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Pr="00247657" w:rsidRDefault="00652500">
            <w:pPr>
              <w:spacing w:line="240" w:lineRule="atLeast"/>
              <w:jc w:val="right"/>
              <w:rPr>
                <w:rFonts w:hint="eastAsia"/>
                <w:sz w:val="20"/>
                <w:szCs w:val="21"/>
              </w:rPr>
            </w:pPr>
            <w:r>
              <w:rPr>
                <w:sz w:val="40"/>
                <w:szCs w:val="40"/>
              </w:rPr>
              <w:t>HRI</w:t>
            </w:r>
            <w:r w:rsidR="006E1330">
              <w:rPr>
                <w:sz w:val="20"/>
              </w:rPr>
              <w:t>/</w:t>
            </w:r>
            <w:r w:rsidRPr="00CD4228">
              <w:rPr>
                <w:sz w:val="20"/>
              </w:rPr>
              <w:t>CORE</w:t>
            </w:r>
            <w:r w:rsidR="006E1330">
              <w:rPr>
                <w:sz w:val="20"/>
              </w:rPr>
              <w:t>/</w:t>
            </w:r>
            <w:r w:rsidR="00247657" w:rsidRPr="00247657">
              <w:rPr>
                <w:sz w:val="20"/>
              </w:rPr>
              <w:t>MYS</w:t>
            </w:r>
            <w:r w:rsidR="006E1330">
              <w:rPr>
                <w:sz w:val="20"/>
              </w:rPr>
              <w:t>/</w:t>
            </w:r>
            <w:r w:rsidR="00247657" w:rsidRPr="00247657">
              <w:rPr>
                <w:sz w:val="20"/>
              </w:rPr>
              <w:t>2016</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6E1330" w:rsidP="00CD4228">
            <w:pPr>
              <w:spacing w:before="240" w:line="240" w:lineRule="atLeast"/>
              <w:rPr>
                <w:sz w:val="20"/>
              </w:rPr>
            </w:pPr>
            <w:r>
              <w:rPr>
                <w:sz w:val="20"/>
              </w:rPr>
              <w:t xml:space="preserve">Distr.: </w:t>
            </w:r>
            <w:r w:rsidR="00652500" w:rsidRPr="00CD4228">
              <w:rPr>
                <w:sz w:val="20"/>
              </w:rPr>
              <w:t>General</w:t>
            </w:r>
          </w:p>
          <w:p w:rsidR="00652500" w:rsidRPr="00247657" w:rsidRDefault="00247657">
            <w:pPr>
              <w:spacing w:line="240" w:lineRule="atLeast"/>
              <w:rPr>
                <w:sz w:val="20"/>
              </w:rPr>
            </w:pPr>
            <w:r w:rsidRPr="00247657">
              <w:rPr>
                <w:sz w:val="20"/>
              </w:rPr>
              <w:t>29 September 2016</w:t>
            </w:r>
          </w:p>
          <w:p w:rsidR="00652500" w:rsidRPr="00CD4228" w:rsidRDefault="00652500">
            <w:pPr>
              <w:spacing w:line="240" w:lineRule="atLeast"/>
              <w:rPr>
                <w:sz w:val="20"/>
              </w:rPr>
            </w:pPr>
            <w:r w:rsidRPr="00CD4228">
              <w:rPr>
                <w:sz w:val="20"/>
              </w:rPr>
              <w:t xml:space="preserve">Chinese </w:t>
            </w:r>
          </w:p>
          <w:p w:rsidR="00652500" w:rsidRPr="00CD4228" w:rsidRDefault="006E1330">
            <w:pPr>
              <w:spacing w:line="240" w:lineRule="atLeast"/>
              <w:rPr>
                <w:rFonts w:hint="eastAsia"/>
                <w:sz w:val="20"/>
              </w:rPr>
            </w:pPr>
            <w:r>
              <w:rPr>
                <w:sz w:val="20"/>
              </w:rPr>
              <w:t xml:space="preserve">Original: </w:t>
            </w:r>
            <w:r w:rsidR="00652500" w:rsidRPr="00CD4228">
              <w:rPr>
                <w:sz w:val="20"/>
              </w:rPr>
              <w:t>English</w:t>
            </w:r>
          </w:p>
        </w:tc>
      </w:tr>
    </w:tbl>
    <w:p w:rsidR="00652500" w:rsidRPr="001318D3" w:rsidRDefault="00652500" w:rsidP="00E112CD">
      <w:pPr>
        <w:pStyle w:val="HMGC"/>
        <w:rPr>
          <w:rFonts w:hint="eastAsia"/>
        </w:rPr>
      </w:pPr>
      <w:r>
        <w:tab/>
      </w:r>
      <w:r>
        <w:tab/>
      </w:r>
      <w:r w:rsidR="001318D3" w:rsidRPr="001318D3">
        <w:rPr>
          <w:rFonts w:hint="eastAsia"/>
        </w:rPr>
        <w:t>作为缔约国报告组成部分的共同核心文件</w:t>
      </w:r>
    </w:p>
    <w:p w:rsidR="00652500" w:rsidRDefault="00652500" w:rsidP="002751D5">
      <w:pPr>
        <w:pStyle w:val="HMGC"/>
        <w:rPr>
          <w:rFonts w:hint="eastAsia"/>
        </w:rPr>
      </w:pPr>
      <w:r>
        <w:tab/>
      </w:r>
      <w:r>
        <w:tab/>
      </w:r>
      <w:r w:rsidR="001318D3" w:rsidRPr="001318D3">
        <w:rPr>
          <w:rFonts w:hint="eastAsia"/>
        </w:rPr>
        <w:t>马来西亚</w:t>
      </w:r>
      <w:r w:rsidR="00B723D0" w:rsidRPr="001318D3">
        <w:footnoteReference w:customMarkFollows="1" w:id="1"/>
        <w:t>*</w:t>
      </w:r>
    </w:p>
    <w:p w:rsidR="00652500" w:rsidRDefault="006E1330" w:rsidP="000A25DA">
      <w:pPr>
        <w:wordWrap w:val="0"/>
        <w:jc w:val="right"/>
        <w:rPr>
          <w:rFonts w:hint="eastAsia"/>
        </w:rPr>
      </w:pPr>
      <w:r>
        <w:rPr>
          <w:rFonts w:hint="eastAsia"/>
        </w:rPr>
        <w:t>[</w:t>
      </w:r>
      <w:r w:rsidR="001318D3" w:rsidRPr="001318D3">
        <w:rPr>
          <w:rFonts w:hint="eastAsia"/>
        </w:rPr>
        <w:t>收到日期</w:t>
      </w:r>
      <w:r>
        <w:rPr>
          <w:rFonts w:hint="eastAsia"/>
        </w:rPr>
        <w:t>：</w:t>
      </w:r>
      <w:r w:rsidR="001318D3" w:rsidRPr="001318D3">
        <w:rPr>
          <w:rFonts w:hint="eastAsia"/>
        </w:rPr>
        <w:t>2016</w:t>
      </w:r>
      <w:r w:rsidR="001318D3" w:rsidRPr="001318D3">
        <w:rPr>
          <w:rFonts w:hint="eastAsia"/>
        </w:rPr>
        <w:t>年</w:t>
      </w:r>
      <w:r w:rsidR="001318D3" w:rsidRPr="001318D3">
        <w:rPr>
          <w:rFonts w:hint="eastAsia"/>
        </w:rPr>
        <w:t>9</w:t>
      </w:r>
      <w:r w:rsidR="001318D3" w:rsidRPr="001318D3">
        <w:rPr>
          <w:rFonts w:hint="eastAsia"/>
        </w:rPr>
        <w:t>月</w:t>
      </w:r>
      <w:r w:rsidR="001318D3" w:rsidRPr="001318D3">
        <w:rPr>
          <w:rFonts w:hint="eastAsia"/>
        </w:rPr>
        <w:t>1</w:t>
      </w:r>
      <w:r w:rsidR="001318D3" w:rsidRPr="001318D3">
        <w:rPr>
          <w:rFonts w:hint="eastAsia"/>
        </w:rPr>
        <w:t>日</w:t>
      </w:r>
      <w:r>
        <w:rPr>
          <w:rFonts w:hint="eastAsia"/>
        </w:rPr>
        <w:t>]</w:t>
      </w:r>
    </w:p>
    <w:p w:rsidR="00E112CD" w:rsidRDefault="001318D3">
      <w:pPr>
        <w:spacing w:after="120"/>
        <w:rPr>
          <w:sz w:val="28"/>
          <w:szCs w:val="28"/>
        </w:rPr>
      </w:pPr>
      <w:r>
        <w:br w:type="page"/>
      </w:r>
      <w:r w:rsidR="00E112CD">
        <w:rPr>
          <w:rFonts w:hint="eastAsia"/>
          <w:sz w:val="28"/>
          <w:szCs w:val="28"/>
        </w:rPr>
        <w:t>目录</w:t>
      </w:r>
    </w:p>
    <w:p w:rsidR="00E112CD" w:rsidRDefault="00E112CD">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sz w:val="23"/>
          <w:szCs w:val="23"/>
        </w:rPr>
        <w:tab/>
      </w:r>
      <w:r w:rsidRPr="0027066F">
        <w:rPr>
          <w:rFonts w:eastAsia="KaiTi_GB2312" w:hint="eastAsia"/>
          <w:sz w:val="18"/>
          <w:szCs w:val="18"/>
        </w:rPr>
        <w:t>页次</w:t>
      </w:r>
    </w:p>
    <w:p w:rsidR="00E112CD" w:rsidRPr="00E112CD" w:rsidRDefault="00E112CD" w:rsidP="00E112CD">
      <w:pPr>
        <w:pStyle w:val="a2"/>
        <w:rPr>
          <w:lang w:val="en-GB"/>
        </w:rPr>
      </w:pPr>
      <w:r w:rsidRPr="00E112CD">
        <w:rPr>
          <w:lang w:val="en-GB"/>
        </w:rPr>
        <w:tab/>
      </w:r>
      <w:r w:rsidRPr="00E112CD">
        <w:rPr>
          <w:rFonts w:hint="eastAsia"/>
          <w:lang w:val="en-GB"/>
        </w:rPr>
        <w:t>一</w:t>
      </w:r>
      <w:r w:rsidRPr="00E112CD">
        <w:rPr>
          <w:lang w:val="en-GB"/>
        </w:rPr>
        <w:t>.</w:t>
      </w:r>
      <w:r w:rsidRPr="00E112CD">
        <w:rPr>
          <w:lang w:val="en-GB"/>
        </w:rPr>
        <w:tab/>
      </w:r>
      <w:r w:rsidRPr="00E112CD">
        <w:rPr>
          <w:rFonts w:hint="eastAsia"/>
          <w:lang w:val="en-GB"/>
        </w:rPr>
        <w:t>关于马来西亚的一般资料</w:t>
      </w:r>
      <w:r w:rsidRPr="00E112CD">
        <w:rPr>
          <w:lang w:val="en-GB"/>
        </w:rPr>
        <w:tab/>
      </w:r>
      <w:r w:rsidRPr="00E112CD">
        <w:rPr>
          <w:lang w:val="en-GB"/>
        </w:rPr>
        <w:tab/>
        <w:t>3</w:t>
      </w:r>
    </w:p>
    <w:p w:rsidR="00E112CD" w:rsidRPr="00E112CD" w:rsidRDefault="00E112CD" w:rsidP="00E112CD">
      <w:pPr>
        <w:pStyle w:val="a2"/>
        <w:rPr>
          <w:lang w:val="en-GB"/>
        </w:rPr>
      </w:pPr>
      <w:r w:rsidRPr="00E112CD">
        <w:rPr>
          <w:lang w:val="en-GB"/>
        </w:rPr>
        <w:tab/>
      </w:r>
      <w:r w:rsidRPr="00E112CD">
        <w:rPr>
          <w:lang w:val="en-GB"/>
        </w:rPr>
        <w:tab/>
        <w:t>A.</w:t>
      </w:r>
      <w:r w:rsidRPr="00E112CD">
        <w:rPr>
          <w:lang w:val="en-GB"/>
        </w:rPr>
        <w:tab/>
      </w:r>
      <w:r w:rsidRPr="00E112CD">
        <w:rPr>
          <w:rFonts w:hint="eastAsia"/>
          <w:lang w:val="en-GB"/>
        </w:rPr>
        <w:t>人口、经济、社会及文化特征</w:t>
      </w:r>
      <w:r w:rsidRPr="00E112CD">
        <w:rPr>
          <w:lang w:val="en-GB"/>
        </w:rPr>
        <w:tab/>
      </w:r>
      <w:r w:rsidRPr="00E112CD">
        <w:rPr>
          <w:lang w:val="en-GB"/>
        </w:rPr>
        <w:tab/>
        <w:t>3</w:t>
      </w:r>
    </w:p>
    <w:p w:rsidR="00E112CD" w:rsidRPr="00E112CD" w:rsidRDefault="00E112CD" w:rsidP="00E112CD">
      <w:pPr>
        <w:pStyle w:val="a2"/>
        <w:rPr>
          <w:rFonts w:hint="eastAsia"/>
          <w:lang w:val="en-GB"/>
        </w:rPr>
      </w:pPr>
      <w:r w:rsidRPr="00E112CD">
        <w:rPr>
          <w:lang w:val="en-GB"/>
        </w:rPr>
        <w:tab/>
      </w:r>
      <w:r w:rsidRPr="00E112CD">
        <w:rPr>
          <w:lang w:val="en-GB"/>
        </w:rPr>
        <w:tab/>
        <w:t>B.</w:t>
      </w:r>
      <w:r w:rsidRPr="00E112CD">
        <w:rPr>
          <w:lang w:val="en-GB"/>
        </w:rPr>
        <w:tab/>
      </w:r>
      <w:r w:rsidRPr="00E112CD">
        <w:rPr>
          <w:rFonts w:hint="eastAsia"/>
          <w:lang w:val="en-GB"/>
        </w:rPr>
        <w:t>宪法、政治</w:t>
      </w:r>
      <w:r w:rsidR="00E6083B" w:rsidRPr="00E6083B">
        <w:rPr>
          <w:rFonts w:hint="eastAsia"/>
          <w:lang w:val="en-GB"/>
        </w:rPr>
        <w:t>和</w:t>
      </w:r>
      <w:r w:rsidRPr="00E112CD">
        <w:rPr>
          <w:rFonts w:hint="eastAsia"/>
          <w:lang w:val="en-GB"/>
        </w:rPr>
        <w:t>法律结构</w:t>
      </w:r>
      <w:r w:rsidR="00E6083B">
        <w:rPr>
          <w:lang w:val="en-GB"/>
        </w:rPr>
        <w:tab/>
      </w:r>
      <w:r w:rsidR="00E6083B">
        <w:rPr>
          <w:lang w:val="en-GB"/>
        </w:rPr>
        <w:tab/>
      </w:r>
      <w:r w:rsidR="00E6083B">
        <w:rPr>
          <w:rFonts w:hint="eastAsia"/>
          <w:lang w:val="en-GB"/>
        </w:rPr>
        <w:t>11</w:t>
      </w:r>
    </w:p>
    <w:p w:rsidR="00E112CD" w:rsidRPr="00E112CD" w:rsidRDefault="00E112CD" w:rsidP="00E112CD">
      <w:pPr>
        <w:pStyle w:val="a2"/>
        <w:rPr>
          <w:rFonts w:hint="eastAsia"/>
          <w:lang w:val="en-GB"/>
        </w:rPr>
      </w:pPr>
      <w:r w:rsidRPr="00E112CD">
        <w:rPr>
          <w:lang w:val="en-GB"/>
        </w:rPr>
        <w:tab/>
      </w:r>
      <w:r w:rsidRPr="00E112CD">
        <w:rPr>
          <w:rFonts w:hint="eastAsia"/>
          <w:lang w:val="en-GB"/>
        </w:rPr>
        <w:t>二</w:t>
      </w:r>
      <w:r w:rsidRPr="00E112CD">
        <w:rPr>
          <w:lang w:val="en-GB"/>
        </w:rPr>
        <w:t>.</w:t>
      </w:r>
      <w:r w:rsidRPr="00E112CD">
        <w:rPr>
          <w:lang w:val="en-GB"/>
        </w:rPr>
        <w:tab/>
      </w:r>
      <w:r w:rsidRPr="00E112CD">
        <w:rPr>
          <w:rFonts w:hint="eastAsia"/>
          <w:lang w:val="en-GB"/>
        </w:rPr>
        <w:t>保护人权的总框架</w:t>
      </w:r>
      <w:r w:rsidR="00E6083B">
        <w:rPr>
          <w:lang w:val="en-GB"/>
        </w:rPr>
        <w:tab/>
      </w:r>
      <w:r w:rsidR="00E6083B">
        <w:rPr>
          <w:lang w:val="en-GB"/>
        </w:rPr>
        <w:tab/>
        <w:t>1</w:t>
      </w:r>
      <w:r w:rsidR="00E6083B">
        <w:rPr>
          <w:rFonts w:hint="eastAsia"/>
          <w:lang w:val="en-GB"/>
        </w:rPr>
        <w:t>2</w:t>
      </w:r>
    </w:p>
    <w:p w:rsidR="00E112CD" w:rsidRPr="00E112CD" w:rsidRDefault="00E112CD" w:rsidP="00E112CD">
      <w:pPr>
        <w:pStyle w:val="a2"/>
        <w:rPr>
          <w:rFonts w:hint="eastAsia"/>
          <w:lang w:val="en-GB"/>
        </w:rPr>
      </w:pPr>
      <w:r w:rsidRPr="00E112CD">
        <w:rPr>
          <w:lang w:val="en-GB"/>
        </w:rPr>
        <w:tab/>
      </w:r>
      <w:r w:rsidRPr="00E112CD">
        <w:rPr>
          <w:lang w:val="en-GB"/>
        </w:rPr>
        <w:tab/>
        <w:t>A.</w:t>
      </w:r>
      <w:r w:rsidRPr="00E112CD">
        <w:rPr>
          <w:lang w:val="en-GB"/>
        </w:rPr>
        <w:tab/>
      </w:r>
      <w:r w:rsidRPr="00E112CD">
        <w:rPr>
          <w:rFonts w:hint="eastAsia"/>
          <w:lang w:val="en-GB"/>
        </w:rPr>
        <w:t>接受国际人权规范</w:t>
      </w:r>
      <w:r w:rsidR="00E6083B">
        <w:rPr>
          <w:lang w:val="en-GB"/>
        </w:rPr>
        <w:tab/>
      </w:r>
      <w:r w:rsidR="00E6083B">
        <w:rPr>
          <w:lang w:val="en-GB"/>
        </w:rPr>
        <w:tab/>
        <w:t>1</w:t>
      </w:r>
      <w:r w:rsidR="00E6083B">
        <w:rPr>
          <w:rFonts w:hint="eastAsia"/>
          <w:lang w:val="en-GB"/>
        </w:rPr>
        <w:t>2</w:t>
      </w:r>
    </w:p>
    <w:p w:rsidR="00E112CD" w:rsidRPr="00E112CD" w:rsidRDefault="00E112CD" w:rsidP="00E112CD">
      <w:pPr>
        <w:pStyle w:val="a2"/>
        <w:rPr>
          <w:rFonts w:hint="eastAsia"/>
          <w:lang w:val="en-GB"/>
        </w:rPr>
      </w:pPr>
      <w:r w:rsidRPr="00E112CD">
        <w:rPr>
          <w:lang w:val="en-GB"/>
        </w:rPr>
        <w:tab/>
      </w:r>
      <w:r w:rsidRPr="00E112CD">
        <w:rPr>
          <w:lang w:val="en-GB"/>
        </w:rPr>
        <w:tab/>
        <w:t>B.</w:t>
      </w:r>
      <w:r w:rsidRPr="00E112CD">
        <w:rPr>
          <w:lang w:val="en-GB"/>
        </w:rPr>
        <w:tab/>
      </w:r>
      <w:r w:rsidRPr="00E112CD">
        <w:rPr>
          <w:rFonts w:hint="eastAsia"/>
          <w:lang w:val="en-GB"/>
        </w:rPr>
        <w:t>国家一级保护人权的法律框架</w:t>
      </w:r>
      <w:r w:rsidR="00E6083B">
        <w:rPr>
          <w:lang w:val="en-GB"/>
        </w:rPr>
        <w:tab/>
      </w:r>
      <w:r w:rsidR="00E6083B">
        <w:rPr>
          <w:lang w:val="en-GB"/>
        </w:rPr>
        <w:tab/>
        <w:t>1</w:t>
      </w:r>
      <w:r w:rsidR="00E6083B">
        <w:rPr>
          <w:rFonts w:hint="eastAsia"/>
          <w:lang w:val="en-GB"/>
        </w:rPr>
        <w:t>3</w:t>
      </w:r>
    </w:p>
    <w:p w:rsidR="00E112CD" w:rsidRPr="00E112CD" w:rsidRDefault="00E112CD" w:rsidP="00E112CD">
      <w:pPr>
        <w:pStyle w:val="a2"/>
        <w:rPr>
          <w:rFonts w:hint="eastAsia"/>
          <w:lang w:val="en-GB"/>
        </w:rPr>
      </w:pPr>
      <w:r w:rsidRPr="00E112CD">
        <w:rPr>
          <w:lang w:val="en-GB"/>
        </w:rPr>
        <w:tab/>
      </w:r>
      <w:r w:rsidRPr="00E112CD">
        <w:rPr>
          <w:lang w:val="en-GB"/>
        </w:rPr>
        <w:tab/>
        <w:t>C.</w:t>
      </w:r>
      <w:r w:rsidRPr="00E112CD">
        <w:rPr>
          <w:lang w:val="en-GB"/>
        </w:rPr>
        <w:tab/>
      </w:r>
      <w:r w:rsidRPr="00E112CD">
        <w:rPr>
          <w:rFonts w:hint="eastAsia"/>
          <w:lang w:val="en-GB"/>
        </w:rPr>
        <w:t>国家一级促进人权的框架</w:t>
      </w:r>
      <w:r w:rsidR="00E6083B">
        <w:rPr>
          <w:lang w:val="en-GB"/>
        </w:rPr>
        <w:tab/>
      </w:r>
      <w:r w:rsidR="00E6083B">
        <w:rPr>
          <w:lang w:val="en-GB"/>
        </w:rPr>
        <w:tab/>
        <w:t>1</w:t>
      </w:r>
      <w:r w:rsidR="00E6083B">
        <w:rPr>
          <w:rFonts w:hint="eastAsia"/>
          <w:lang w:val="en-GB"/>
        </w:rPr>
        <w:t>5</w:t>
      </w:r>
    </w:p>
    <w:p w:rsidR="00E112CD" w:rsidRPr="00E112CD" w:rsidRDefault="00E112CD" w:rsidP="00E112CD">
      <w:pPr>
        <w:pStyle w:val="a2"/>
        <w:rPr>
          <w:rFonts w:hint="eastAsia"/>
          <w:lang w:val="en-GB"/>
        </w:rPr>
      </w:pPr>
      <w:r w:rsidRPr="00E112CD">
        <w:rPr>
          <w:lang w:val="en-GB"/>
        </w:rPr>
        <w:tab/>
      </w:r>
      <w:r w:rsidRPr="00E112CD">
        <w:rPr>
          <w:lang w:val="en-GB"/>
        </w:rPr>
        <w:tab/>
        <w:t>D.</w:t>
      </w:r>
      <w:r w:rsidRPr="00E112CD">
        <w:rPr>
          <w:lang w:val="en-GB"/>
        </w:rPr>
        <w:tab/>
      </w:r>
      <w:r w:rsidRPr="00E112CD">
        <w:rPr>
          <w:rFonts w:hint="eastAsia"/>
          <w:lang w:val="en-GB"/>
        </w:rPr>
        <w:t>国家一级报告程序</w:t>
      </w:r>
      <w:r w:rsidR="00E6083B">
        <w:rPr>
          <w:lang w:val="en-GB"/>
        </w:rPr>
        <w:tab/>
      </w:r>
      <w:r w:rsidR="00E6083B">
        <w:rPr>
          <w:lang w:val="en-GB"/>
        </w:rPr>
        <w:tab/>
        <w:t>1</w:t>
      </w:r>
      <w:r w:rsidR="00E6083B">
        <w:rPr>
          <w:rFonts w:hint="eastAsia"/>
          <w:lang w:val="en-GB"/>
        </w:rPr>
        <w:t>5</w:t>
      </w:r>
    </w:p>
    <w:p w:rsidR="00DB48AD" w:rsidRDefault="00E112CD" w:rsidP="00E112CD">
      <w:pPr>
        <w:pStyle w:val="a2"/>
        <w:rPr>
          <w:rFonts w:hint="eastAsia"/>
        </w:rPr>
      </w:pPr>
      <w:r w:rsidRPr="00E112CD">
        <w:rPr>
          <w:lang w:val="en-GB"/>
        </w:rPr>
        <w:tab/>
      </w:r>
      <w:r w:rsidRPr="00E112CD">
        <w:rPr>
          <w:rFonts w:hint="eastAsia"/>
          <w:lang w:val="en-GB"/>
        </w:rPr>
        <w:t>三</w:t>
      </w:r>
      <w:r w:rsidRPr="00E112CD">
        <w:rPr>
          <w:lang w:val="en-GB"/>
        </w:rPr>
        <w:t>.</w:t>
      </w:r>
      <w:r w:rsidRPr="00E112CD">
        <w:rPr>
          <w:lang w:val="en-GB"/>
        </w:rPr>
        <w:tab/>
      </w:r>
      <w:r w:rsidRPr="00E112CD">
        <w:rPr>
          <w:rFonts w:hint="eastAsia"/>
          <w:lang w:val="en-GB"/>
        </w:rPr>
        <w:t>关于不歧视与平等及有效补救的信息</w:t>
      </w:r>
      <w:r w:rsidR="00E6083B">
        <w:rPr>
          <w:lang w:val="en-GB"/>
        </w:rPr>
        <w:tab/>
      </w:r>
      <w:r w:rsidR="00E6083B">
        <w:rPr>
          <w:lang w:val="en-GB"/>
        </w:rPr>
        <w:tab/>
        <w:t>1</w:t>
      </w:r>
      <w:r w:rsidR="00E6083B">
        <w:rPr>
          <w:rFonts w:hint="eastAsia"/>
          <w:lang w:val="en-GB"/>
        </w:rPr>
        <w:t>6</w:t>
      </w:r>
    </w:p>
    <w:p w:rsidR="00E112CD" w:rsidRPr="00E112CD" w:rsidRDefault="00E112CD" w:rsidP="00E112CD">
      <w:pPr>
        <w:pStyle w:val="HChGC"/>
        <w:rPr>
          <w:lang w:val="en-GB"/>
        </w:rPr>
      </w:pPr>
      <w:r>
        <w:br w:type="page"/>
      </w:r>
      <w:r w:rsidRPr="00E112CD">
        <w:rPr>
          <w:lang w:val="en-GB"/>
        </w:rPr>
        <w:tab/>
      </w:r>
      <w:r w:rsidRPr="00E112CD">
        <w:rPr>
          <w:rFonts w:hint="eastAsia"/>
          <w:lang w:val="en-GB"/>
        </w:rPr>
        <w:t>一</w:t>
      </w:r>
      <w:r w:rsidRPr="00E112CD">
        <w:rPr>
          <w:lang w:val="en-GB"/>
        </w:rPr>
        <w:t>.</w:t>
      </w:r>
      <w:r w:rsidRPr="00E112CD">
        <w:rPr>
          <w:lang w:val="en-GB"/>
        </w:rPr>
        <w:tab/>
      </w:r>
      <w:r w:rsidRPr="00E112CD">
        <w:rPr>
          <w:rFonts w:hint="eastAsia"/>
          <w:lang w:val="en-GB"/>
        </w:rPr>
        <w:t>关于马来西亚的一般资料</w:t>
      </w:r>
    </w:p>
    <w:p w:rsidR="00E112CD" w:rsidRPr="00E112CD" w:rsidRDefault="00E112CD" w:rsidP="00E112CD">
      <w:pPr>
        <w:pStyle w:val="H1GC"/>
        <w:rPr>
          <w:lang w:val="en-GB"/>
        </w:rPr>
      </w:pPr>
      <w:r w:rsidRPr="00E112CD">
        <w:rPr>
          <w:lang w:val="en-GB"/>
        </w:rPr>
        <w:tab/>
        <w:t>A.</w:t>
      </w:r>
      <w:r w:rsidRPr="00E112CD">
        <w:rPr>
          <w:lang w:val="en-GB"/>
        </w:rPr>
        <w:tab/>
      </w:r>
      <w:r w:rsidRPr="00E112CD">
        <w:rPr>
          <w:rFonts w:hint="eastAsia"/>
          <w:lang w:val="en-GB"/>
        </w:rPr>
        <w:t>人口、经济、社会及文化特征</w:t>
      </w:r>
    </w:p>
    <w:p w:rsidR="00E112CD" w:rsidRPr="00E112CD" w:rsidRDefault="00E112CD" w:rsidP="00E112CD">
      <w:pPr>
        <w:pStyle w:val="SingleTxtGC"/>
        <w:rPr>
          <w:b/>
          <w:bCs/>
          <w:lang w:val="en-GB"/>
        </w:rPr>
      </w:pPr>
      <w:r w:rsidRPr="00E112CD">
        <w:rPr>
          <w:rFonts w:hint="eastAsia"/>
          <w:lang w:val="en-GB"/>
        </w:rPr>
        <w:t>表</w:t>
      </w:r>
      <w:r w:rsidRPr="00E112CD">
        <w:rPr>
          <w:lang w:val="en-GB"/>
        </w:rPr>
        <w:t>1</w:t>
      </w:r>
      <w:r w:rsidRPr="00E112CD">
        <w:rPr>
          <w:lang w:val="en-GB"/>
        </w:rPr>
        <w:br/>
      </w:r>
      <w:r w:rsidRPr="00E112CD">
        <w:rPr>
          <w:rFonts w:eastAsia="SimHei" w:hint="eastAsia"/>
          <w:lang w:val="en-GB"/>
        </w:rPr>
        <w:t>马来西亚的基本统计资料</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1149"/>
        <w:gridCol w:w="1054"/>
        <w:gridCol w:w="738"/>
        <w:gridCol w:w="738"/>
        <w:gridCol w:w="739"/>
        <w:gridCol w:w="738"/>
        <w:gridCol w:w="738"/>
        <w:gridCol w:w="738"/>
        <w:gridCol w:w="738"/>
      </w:tblGrid>
      <w:tr w:rsidR="00E112CD" w:rsidRPr="00E112CD" w:rsidTr="00E112CD">
        <w:trPr>
          <w:trHeight w:val="240"/>
          <w:tblHeader/>
        </w:trPr>
        <w:tc>
          <w:tcPr>
            <w:tcW w:w="1550"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left"/>
              <w:rPr>
                <w:lang w:val="en-GB"/>
              </w:rPr>
            </w:pPr>
          </w:p>
        </w:tc>
        <w:tc>
          <w:tcPr>
            <w:tcW w:w="1420"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right"/>
              <w:rPr>
                <w:lang w:val="en-GB"/>
              </w:rPr>
            </w:pPr>
          </w:p>
        </w:tc>
        <w:tc>
          <w:tcPr>
            <w:tcW w:w="992"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right"/>
              <w:rPr>
                <w:lang w:val="en-GB"/>
              </w:rPr>
            </w:pPr>
            <w:r w:rsidRPr="00E112CD">
              <w:rPr>
                <w:lang w:val="en-GB"/>
              </w:rPr>
              <w:t>2008</w:t>
            </w:r>
            <w:r w:rsidRPr="00E112CD">
              <w:rPr>
                <w:rFonts w:hint="eastAsia"/>
                <w:lang w:val="en-GB"/>
              </w:rPr>
              <w:t>年</w:t>
            </w:r>
          </w:p>
        </w:tc>
        <w:tc>
          <w:tcPr>
            <w:tcW w:w="992"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right"/>
              <w:rPr>
                <w:lang w:val="en-GB"/>
              </w:rPr>
            </w:pPr>
            <w:r w:rsidRPr="00E112CD">
              <w:rPr>
                <w:lang w:val="en-GB"/>
              </w:rPr>
              <w:t>2009</w:t>
            </w:r>
            <w:r w:rsidRPr="00E112CD">
              <w:rPr>
                <w:rFonts w:hint="eastAsia"/>
                <w:lang w:val="en-GB"/>
              </w:rPr>
              <w:t>年</w:t>
            </w:r>
          </w:p>
        </w:tc>
        <w:tc>
          <w:tcPr>
            <w:tcW w:w="993"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right"/>
              <w:rPr>
                <w:lang w:val="en-GB"/>
              </w:rPr>
            </w:pPr>
            <w:r w:rsidRPr="00E112CD">
              <w:rPr>
                <w:lang w:val="en-GB"/>
              </w:rPr>
              <w:t>2010</w:t>
            </w:r>
            <w:r w:rsidRPr="00E112CD">
              <w:rPr>
                <w:rFonts w:hint="eastAsia"/>
                <w:lang w:val="en-GB"/>
              </w:rPr>
              <w:t>年</w:t>
            </w:r>
          </w:p>
        </w:tc>
        <w:tc>
          <w:tcPr>
            <w:tcW w:w="992"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right"/>
              <w:rPr>
                <w:lang w:val="en-GB"/>
              </w:rPr>
            </w:pPr>
            <w:r w:rsidRPr="00E112CD">
              <w:rPr>
                <w:lang w:val="en-GB"/>
              </w:rPr>
              <w:t>2011</w:t>
            </w:r>
            <w:r w:rsidRPr="00E112CD">
              <w:rPr>
                <w:rFonts w:hint="eastAsia"/>
                <w:lang w:val="en-GB"/>
              </w:rPr>
              <w:t>年</w:t>
            </w:r>
          </w:p>
        </w:tc>
        <w:tc>
          <w:tcPr>
            <w:tcW w:w="992"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right"/>
              <w:rPr>
                <w:lang w:val="en-GB"/>
              </w:rPr>
            </w:pPr>
            <w:r w:rsidRPr="00E112CD">
              <w:rPr>
                <w:lang w:val="en-GB"/>
              </w:rPr>
              <w:t>2012</w:t>
            </w:r>
            <w:r w:rsidRPr="00E112CD">
              <w:rPr>
                <w:rFonts w:hint="eastAsia"/>
                <w:lang w:val="en-GB"/>
              </w:rPr>
              <w:t>年</w:t>
            </w:r>
          </w:p>
        </w:tc>
        <w:tc>
          <w:tcPr>
            <w:tcW w:w="992"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right"/>
              <w:rPr>
                <w:lang w:val="en-GB"/>
              </w:rPr>
            </w:pPr>
            <w:r w:rsidRPr="00E112CD">
              <w:rPr>
                <w:lang w:val="en-GB"/>
              </w:rPr>
              <w:t>2013</w:t>
            </w:r>
            <w:r w:rsidRPr="00E112CD">
              <w:rPr>
                <w:rFonts w:hint="eastAsia"/>
                <w:lang w:val="en-GB"/>
              </w:rPr>
              <w:t>年</w:t>
            </w:r>
          </w:p>
        </w:tc>
        <w:tc>
          <w:tcPr>
            <w:tcW w:w="992"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right"/>
              <w:rPr>
                <w:lang w:val="en-GB"/>
              </w:rPr>
            </w:pPr>
            <w:r w:rsidRPr="00E112CD">
              <w:rPr>
                <w:lang w:val="en-GB"/>
              </w:rPr>
              <w:t>2014</w:t>
            </w:r>
            <w:r w:rsidRPr="00E112CD">
              <w:rPr>
                <w:rFonts w:hint="eastAsia"/>
                <w:lang w:val="en-GB"/>
              </w:rPr>
              <w:t>年</w:t>
            </w:r>
          </w:p>
        </w:tc>
      </w:tr>
      <w:tr w:rsidR="00E112CD" w:rsidRPr="00E112CD" w:rsidTr="00E112CD">
        <w:trPr>
          <w:trHeight w:val="240"/>
        </w:trPr>
        <w:tc>
          <w:tcPr>
            <w:tcW w:w="1550" w:type="dxa"/>
            <w:tcBorders>
              <w:top w:val="single" w:sz="12" w:space="0" w:color="auto"/>
            </w:tcBorders>
            <w:shd w:val="clear" w:color="auto" w:fill="auto"/>
          </w:tcPr>
          <w:p w:rsidR="00E112CD" w:rsidRPr="00E112CD" w:rsidRDefault="00E112CD" w:rsidP="00E112CD">
            <w:pPr>
              <w:pStyle w:val="a5"/>
              <w:overflowPunct/>
              <w:ind w:right="0"/>
              <w:jc w:val="left"/>
              <w:rPr>
                <w:lang w:val="en-GB"/>
              </w:rPr>
            </w:pPr>
            <w:r w:rsidRPr="00E112CD">
              <w:rPr>
                <w:rFonts w:hint="eastAsia"/>
                <w:lang w:val="en-GB"/>
              </w:rPr>
              <w:t>面积</w:t>
            </w:r>
          </w:p>
        </w:tc>
        <w:tc>
          <w:tcPr>
            <w:tcW w:w="1420" w:type="dxa"/>
            <w:tcBorders>
              <w:top w:val="single" w:sz="12"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rFonts w:hint="eastAsia"/>
                <w:lang w:val="en-GB"/>
              </w:rPr>
              <w:t>平方公里</w:t>
            </w:r>
          </w:p>
        </w:tc>
        <w:tc>
          <w:tcPr>
            <w:tcW w:w="992" w:type="dxa"/>
            <w:tcBorders>
              <w:top w:val="single" w:sz="12"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lang w:val="en-GB"/>
              </w:rPr>
              <w:t>330</w:t>
            </w:r>
            <w:r w:rsidR="00C73B9F">
              <w:rPr>
                <w:rFonts w:hint="eastAsia"/>
                <w:lang w:val="en-GB"/>
              </w:rPr>
              <w:t xml:space="preserve"> </w:t>
            </w:r>
            <w:r w:rsidRPr="00E112CD">
              <w:rPr>
                <w:lang w:val="en-GB"/>
              </w:rPr>
              <w:t>803</w:t>
            </w:r>
          </w:p>
        </w:tc>
        <w:tc>
          <w:tcPr>
            <w:tcW w:w="992" w:type="dxa"/>
            <w:tcBorders>
              <w:top w:val="single" w:sz="12"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lang w:val="en-GB"/>
              </w:rPr>
              <w:t>330</w:t>
            </w:r>
            <w:r w:rsidR="00C73B9F">
              <w:rPr>
                <w:rFonts w:hint="eastAsia"/>
                <w:lang w:val="en-GB"/>
              </w:rPr>
              <w:t xml:space="preserve"> </w:t>
            </w:r>
            <w:r w:rsidRPr="00E112CD">
              <w:rPr>
                <w:lang w:val="en-GB"/>
              </w:rPr>
              <w:t>803</w:t>
            </w:r>
          </w:p>
        </w:tc>
        <w:tc>
          <w:tcPr>
            <w:tcW w:w="993" w:type="dxa"/>
            <w:tcBorders>
              <w:top w:val="single" w:sz="12"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lang w:val="en-GB"/>
              </w:rPr>
              <w:t>330</w:t>
            </w:r>
            <w:r w:rsidR="00C73B9F">
              <w:rPr>
                <w:rFonts w:hint="eastAsia"/>
                <w:lang w:val="en-GB"/>
              </w:rPr>
              <w:t xml:space="preserve"> </w:t>
            </w:r>
            <w:r w:rsidRPr="00E112CD">
              <w:rPr>
                <w:lang w:val="en-GB"/>
              </w:rPr>
              <w:t>803</w:t>
            </w:r>
          </w:p>
        </w:tc>
        <w:tc>
          <w:tcPr>
            <w:tcW w:w="992" w:type="dxa"/>
            <w:tcBorders>
              <w:top w:val="single" w:sz="12"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lang w:val="en-GB"/>
              </w:rPr>
              <w:t>330</w:t>
            </w:r>
            <w:r w:rsidR="00C73B9F">
              <w:rPr>
                <w:rFonts w:hint="eastAsia"/>
                <w:lang w:val="en-GB"/>
              </w:rPr>
              <w:t xml:space="preserve"> </w:t>
            </w:r>
            <w:r w:rsidRPr="00E112CD">
              <w:rPr>
                <w:lang w:val="en-GB"/>
              </w:rPr>
              <w:t>803</w:t>
            </w:r>
          </w:p>
        </w:tc>
        <w:tc>
          <w:tcPr>
            <w:tcW w:w="992" w:type="dxa"/>
            <w:tcBorders>
              <w:top w:val="single" w:sz="12"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lang w:val="en-GB"/>
              </w:rPr>
              <w:t>330</w:t>
            </w:r>
            <w:r w:rsidR="00C73B9F">
              <w:rPr>
                <w:rFonts w:hint="eastAsia"/>
                <w:lang w:val="en-GB"/>
              </w:rPr>
              <w:t xml:space="preserve"> </w:t>
            </w:r>
            <w:r w:rsidRPr="00E112CD">
              <w:rPr>
                <w:lang w:val="en-GB"/>
              </w:rPr>
              <w:t>290</w:t>
            </w:r>
          </w:p>
        </w:tc>
        <w:tc>
          <w:tcPr>
            <w:tcW w:w="992" w:type="dxa"/>
            <w:tcBorders>
              <w:top w:val="single" w:sz="12"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lang w:val="en-GB"/>
              </w:rPr>
              <w:t>330</w:t>
            </w:r>
            <w:r w:rsidR="00C73B9F">
              <w:rPr>
                <w:rFonts w:hint="eastAsia"/>
                <w:lang w:val="en-GB"/>
              </w:rPr>
              <w:t xml:space="preserve"> </w:t>
            </w:r>
            <w:r w:rsidRPr="00E112CD">
              <w:rPr>
                <w:lang w:val="en-GB"/>
              </w:rPr>
              <w:t>396</w:t>
            </w:r>
          </w:p>
        </w:tc>
        <w:tc>
          <w:tcPr>
            <w:tcW w:w="992" w:type="dxa"/>
            <w:tcBorders>
              <w:top w:val="single" w:sz="12"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lang w:val="en-GB"/>
              </w:rPr>
              <w:t>330</w:t>
            </w:r>
            <w:r w:rsidR="00C73B9F">
              <w:rPr>
                <w:rFonts w:hint="eastAsia"/>
                <w:lang w:val="en-GB"/>
              </w:rPr>
              <w:t xml:space="preserve"> </w:t>
            </w:r>
            <w:r w:rsidRPr="00E112CD">
              <w:rPr>
                <w:lang w:val="en-GB"/>
              </w:rPr>
              <w:t>396</w:t>
            </w:r>
          </w:p>
        </w:tc>
      </w:tr>
      <w:tr w:rsidR="00E112CD" w:rsidRPr="00E112CD" w:rsidTr="00E112CD">
        <w:trPr>
          <w:trHeight w:val="240"/>
        </w:trPr>
        <w:tc>
          <w:tcPr>
            <w:tcW w:w="1550" w:type="dxa"/>
            <w:shd w:val="clear" w:color="auto" w:fill="auto"/>
          </w:tcPr>
          <w:p w:rsidR="00E112CD" w:rsidRPr="00E112CD" w:rsidRDefault="00E112CD" w:rsidP="00E112CD">
            <w:pPr>
              <w:pStyle w:val="a5"/>
              <w:overflowPunct/>
              <w:ind w:right="0"/>
              <w:jc w:val="left"/>
              <w:rPr>
                <w:lang w:val="en-GB"/>
              </w:rPr>
            </w:pPr>
            <w:r w:rsidRPr="00E112CD">
              <w:rPr>
                <w:rFonts w:hint="eastAsia"/>
                <w:lang w:val="en-GB"/>
              </w:rPr>
              <w:t>人口</w:t>
            </w:r>
          </w:p>
          <w:p w:rsidR="00E112CD" w:rsidRPr="00E112CD" w:rsidRDefault="00E112CD" w:rsidP="00E112CD">
            <w:pPr>
              <w:pStyle w:val="a5"/>
              <w:overflowPunct/>
              <w:ind w:right="0"/>
              <w:jc w:val="left"/>
              <w:rPr>
                <w:lang w:val="en-GB"/>
              </w:rPr>
            </w:pPr>
            <w:r w:rsidRPr="00E112CD">
              <w:rPr>
                <w:lang w:val="en-GB"/>
              </w:rPr>
              <w:t>18</w:t>
            </w:r>
            <w:r w:rsidRPr="00E112CD">
              <w:rPr>
                <w:rFonts w:hint="eastAsia"/>
                <w:lang w:val="en-GB"/>
              </w:rPr>
              <w:t>岁以下</w:t>
            </w:r>
          </w:p>
          <w:p w:rsidR="00E112CD" w:rsidRPr="00E112CD" w:rsidRDefault="00E112CD" w:rsidP="00E112CD">
            <w:pPr>
              <w:pStyle w:val="a5"/>
              <w:overflowPunct/>
              <w:ind w:right="0"/>
              <w:jc w:val="left"/>
              <w:rPr>
                <w:lang w:val="en-GB"/>
              </w:rPr>
            </w:pPr>
            <w:r w:rsidRPr="00E112CD">
              <w:rPr>
                <w:lang w:val="en-GB"/>
              </w:rPr>
              <w:t>60</w:t>
            </w:r>
            <w:r w:rsidRPr="00E112CD">
              <w:rPr>
                <w:rFonts w:hint="eastAsia"/>
                <w:lang w:val="en-GB"/>
              </w:rPr>
              <w:t>岁及</w:t>
            </w:r>
            <w:r w:rsidRPr="00E112CD">
              <w:rPr>
                <w:lang w:val="en-GB"/>
              </w:rPr>
              <w:t>60</w:t>
            </w:r>
            <w:r w:rsidRPr="00E112CD">
              <w:rPr>
                <w:rFonts w:hint="eastAsia"/>
                <w:lang w:val="en-GB"/>
              </w:rPr>
              <w:t>岁以上人口</w:t>
            </w:r>
          </w:p>
        </w:tc>
        <w:tc>
          <w:tcPr>
            <w:tcW w:w="1420" w:type="dxa"/>
            <w:shd w:val="clear" w:color="auto" w:fill="auto"/>
            <w:vAlign w:val="bottom"/>
          </w:tcPr>
          <w:p w:rsidR="00E112CD" w:rsidRPr="00E112CD" w:rsidRDefault="00E112CD" w:rsidP="00E112CD">
            <w:pPr>
              <w:pStyle w:val="a5"/>
              <w:overflowPunct/>
              <w:ind w:right="0"/>
              <w:jc w:val="right"/>
              <w:rPr>
                <w:lang w:val="en-GB"/>
              </w:rPr>
            </w:pPr>
            <w:r w:rsidRPr="00E112CD">
              <w:rPr>
                <w:rFonts w:hint="eastAsia"/>
                <w:lang w:val="en-GB"/>
              </w:rPr>
              <w:t>百万</w:t>
            </w:r>
          </w:p>
          <w:p w:rsidR="00E112CD" w:rsidRPr="00E112CD" w:rsidRDefault="00E112CD" w:rsidP="00E112CD">
            <w:pPr>
              <w:pStyle w:val="a5"/>
              <w:overflowPunct/>
              <w:ind w:right="0"/>
              <w:jc w:val="right"/>
              <w:rPr>
                <w:lang w:val="en-GB"/>
              </w:rPr>
            </w:pPr>
            <w:r w:rsidRPr="00E112CD">
              <w:rPr>
                <w:rFonts w:hint="eastAsia"/>
                <w:lang w:val="en-GB"/>
              </w:rPr>
              <w:t>百万</w:t>
            </w:r>
          </w:p>
          <w:p w:rsidR="00E112CD" w:rsidRPr="00E112CD" w:rsidRDefault="00E112CD" w:rsidP="00E112CD">
            <w:pPr>
              <w:pStyle w:val="a5"/>
              <w:overflowPunct/>
              <w:ind w:right="0"/>
              <w:jc w:val="right"/>
              <w:rPr>
                <w:lang w:val="en-GB"/>
              </w:rPr>
            </w:pPr>
          </w:p>
          <w:p w:rsidR="00E112CD" w:rsidRPr="00E112CD" w:rsidRDefault="00E112CD" w:rsidP="00E112CD">
            <w:pPr>
              <w:pStyle w:val="a5"/>
              <w:overflowPunct/>
              <w:ind w:right="0"/>
              <w:jc w:val="right"/>
              <w:rPr>
                <w:lang w:val="en-GB"/>
              </w:rPr>
            </w:pPr>
            <w:r w:rsidRPr="00E112CD">
              <w:rPr>
                <w:rFonts w:hint="eastAsia"/>
                <w:lang w:val="en-GB"/>
              </w:rPr>
              <w:t>百万</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2</w:t>
            </w:r>
            <w:r w:rsidR="006E1330">
              <w:rPr>
                <w:lang w:val="en-GB"/>
              </w:rPr>
              <w:t>7.</w:t>
            </w:r>
            <w:r w:rsidRPr="00E112CD">
              <w:rPr>
                <w:lang w:val="en-GB"/>
              </w:rPr>
              <w:t>7</w:t>
            </w:r>
          </w:p>
          <w:p w:rsidR="00E112CD" w:rsidRPr="00E112CD" w:rsidRDefault="00E112CD" w:rsidP="00E112CD">
            <w:pPr>
              <w:pStyle w:val="a5"/>
              <w:overflowPunct/>
              <w:ind w:right="0"/>
              <w:jc w:val="right"/>
              <w:rPr>
                <w:lang w:val="en-GB"/>
              </w:rPr>
            </w:pPr>
            <w:r w:rsidRPr="00E112CD">
              <w:rPr>
                <w:lang w:val="en-GB"/>
              </w:rPr>
              <w:t>1</w:t>
            </w:r>
            <w:r w:rsidR="006E1330">
              <w:rPr>
                <w:lang w:val="en-GB"/>
              </w:rPr>
              <w:t>1.</w:t>
            </w:r>
            <w:r w:rsidRPr="00E112CD">
              <w:rPr>
                <w:lang w:val="en-GB"/>
              </w:rPr>
              <w:t>0</w:t>
            </w:r>
          </w:p>
          <w:p w:rsidR="00E112CD" w:rsidRPr="00E112CD" w:rsidRDefault="00E112CD" w:rsidP="00E112CD">
            <w:pPr>
              <w:pStyle w:val="a5"/>
              <w:overflowPunct/>
              <w:ind w:right="0"/>
              <w:jc w:val="right"/>
              <w:rPr>
                <w:lang w:val="en-GB"/>
              </w:rPr>
            </w:pPr>
          </w:p>
          <w:p w:rsidR="00E112CD" w:rsidRPr="00E112CD" w:rsidRDefault="006E1330" w:rsidP="00E112CD">
            <w:pPr>
              <w:pStyle w:val="a5"/>
              <w:overflowPunct/>
              <w:ind w:right="0"/>
              <w:jc w:val="right"/>
              <w:rPr>
                <w:lang w:val="en-GB"/>
              </w:rPr>
            </w:pPr>
            <w:r>
              <w:rPr>
                <w:lang w:val="en-GB"/>
              </w:rPr>
              <w:t>1.</w:t>
            </w:r>
            <w:r w:rsidR="00E112CD" w:rsidRPr="00E112CD">
              <w:rPr>
                <w:lang w:val="en-GB"/>
              </w:rPr>
              <w:t>9</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2</w:t>
            </w:r>
            <w:r w:rsidR="006E1330">
              <w:rPr>
                <w:lang w:val="en-GB"/>
              </w:rPr>
              <w:t>7.</w:t>
            </w:r>
            <w:r w:rsidRPr="00E112CD">
              <w:rPr>
                <w:lang w:val="en-GB"/>
              </w:rPr>
              <w:t>9</w:t>
            </w:r>
          </w:p>
          <w:p w:rsidR="00E112CD" w:rsidRPr="00E112CD" w:rsidRDefault="006E1330" w:rsidP="00E112CD">
            <w:pPr>
              <w:pStyle w:val="a5"/>
              <w:overflowPunct/>
              <w:ind w:right="0"/>
              <w:jc w:val="right"/>
              <w:rPr>
                <w:lang w:val="en-GB"/>
              </w:rPr>
            </w:pPr>
            <w:r>
              <w:rPr>
                <w:lang w:val="en-GB"/>
              </w:rPr>
              <w:t>9.</w:t>
            </w:r>
            <w:r w:rsidR="00E112CD" w:rsidRPr="00E112CD">
              <w:rPr>
                <w:lang w:val="en-GB"/>
              </w:rPr>
              <w:t>8</w:t>
            </w:r>
          </w:p>
          <w:p w:rsidR="00E112CD" w:rsidRPr="00E112CD" w:rsidRDefault="00E112CD" w:rsidP="00E112CD">
            <w:pPr>
              <w:pStyle w:val="a5"/>
              <w:overflowPunct/>
              <w:ind w:right="0"/>
              <w:jc w:val="right"/>
              <w:rPr>
                <w:lang w:val="en-GB"/>
              </w:rPr>
            </w:pPr>
          </w:p>
          <w:p w:rsidR="00E112CD" w:rsidRPr="00E112CD" w:rsidRDefault="006E1330" w:rsidP="00E112CD">
            <w:pPr>
              <w:pStyle w:val="a5"/>
              <w:overflowPunct/>
              <w:ind w:right="0"/>
              <w:jc w:val="right"/>
              <w:rPr>
                <w:lang w:val="en-GB"/>
              </w:rPr>
            </w:pPr>
            <w:r>
              <w:rPr>
                <w:lang w:val="en-GB"/>
              </w:rPr>
              <w:t>2.</w:t>
            </w:r>
            <w:r w:rsidR="00E112CD" w:rsidRPr="00E112CD">
              <w:rPr>
                <w:lang w:val="en-GB"/>
              </w:rPr>
              <w:t>1</w:t>
            </w:r>
          </w:p>
        </w:tc>
        <w:tc>
          <w:tcPr>
            <w:tcW w:w="993"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2</w:t>
            </w:r>
            <w:r w:rsidR="006E1330">
              <w:rPr>
                <w:lang w:val="en-GB"/>
              </w:rPr>
              <w:t>8.</w:t>
            </w:r>
            <w:r w:rsidRPr="00E112CD">
              <w:rPr>
                <w:lang w:val="en-GB"/>
              </w:rPr>
              <w:t>3</w:t>
            </w:r>
          </w:p>
          <w:p w:rsidR="00E112CD" w:rsidRPr="00E112CD" w:rsidRDefault="006E1330" w:rsidP="00E112CD">
            <w:pPr>
              <w:pStyle w:val="a5"/>
              <w:overflowPunct/>
              <w:ind w:right="0"/>
              <w:jc w:val="right"/>
              <w:rPr>
                <w:lang w:val="en-GB"/>
              </w:rPr>
            </w:pPr>
            <w:r>
              <w:rPr>
                <w:lang w:val="en-GB"/>
              </w:rPr>
              <w:t>9.</w:t>
            </w:r>
            <w:r w:rsidR="00E112CD" w:rsidRPr="00E112CD">
              <w:rPr>
                <w:lang w:val="en-GB"/>
              </w:rPr>
              <w:t>8</w:t>
            </w:r>
          </w:p>
          <w:p w:rsidR="00E112CD" w:rsidRPr="00E112CD" w:rsidRDefault="00E112CD" w:rsidP="00E112CD">
            <w:pPr>
              <w:pStyle w:val="a5"/>
              <w:overflowPunct/>
              <w:ind w:right="0"/>
              <w:jc w:val="right"/>
              <w:rPr>
                <w:lang w:val="en-GB"/>
              </w:rPr>
            </w:pPr>
          </w:p>
          <w:p w:rsidR="00E112CD" w:rsidRPr="00E112CD" w:rsidRDefault="006E1330" w:rsidP="00E112CD">
            <w:pPr>
              <w:pStyle w:val="a5"/>
              <w:overflowPunct/>
              <w:ind w:right="0"/>
              <w:jc w:val="right"/>
              <w:rPr>
                <w:lang w:val="en-GB"/>
              </w:rPr>
            </w:pPr>
            <w:r>
              <w:rPr>
                <w:lang w:val="en-GB"/>
              </w:rPr>
              <w:t>2.</w:t>
            </w:r>
            <w:r w:rsidR="00E112CD" w:rsidRPr="00E112CD">
              <w:rPr>
                <w:lang w:val="en-GB"/>
              </w:rPr>
              <w:t>2</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2</w:t>
            </w:r>
            <w:r w:rsidR="006E1330">
              <w:rPr>
                <w:lang w:val="en-GB"/>
              </w:rPr>
              <w:t>8.</w:t>
            </w:r>
            <w:r w:rsidRPr="00E112CD">
              <w:rPr>
                <w:lang w:val="en-GB"/>
              </w:rPr>
              <w:t>6</w:t>
            </w:r>
          </w:p>
          <w:p w:rsidR="00E112CD" w:rsidRPr="00E112CD" w:rsidRDefault="006E1330" w:rsidP="00E112CD">
            <w:pPr>
              <w:pStyle w:val="a5"/>
              <w:overflowPunct/>
              <w:ind w:right="0"/>
              <w:jc w:val="right"/>
              <w:rPr>
                <w:lang w:val="en-GB"/>
              </w:rPr>
            </w:pPr>
            <w:r>
              <w:rPr>
                <w:lang w:val="en-GB"/>
              </w:rPr>
              <w:t>9.</w:t>
            </w:r>
            <w:r w:rsidR="00E112CD" w:rsidRPr="00E112CD">
              <w:rPr>
                <w:lang w:val="en-GB"/>
              </w:rPr>
              <w:t>8</w:t>
            </w:r>
          </w:p>
          <w:p w:rsidR="00E112CD" w:rsidRPr="00E112CD" w:rsidRDefault="00E112CD" w:rsidP="00E112CD">
            <w:pPr>
              <w:pStyle w:val="a5"/>
              <w:overflowPunct/>
              <w:ind w:right="0"/>
              <w:jc w:val="right"/>
              <w:rPr>
                <w:lang w:val="en-GB"/>
              </w:rPr>
            </w:pPr>
          </w:p>
          <w:p w:rsidR="00E112CD" w:rsidRPr="00E112CD" w:rsidRDefault="006E1330" w:rsidP="00E112CD">
            <w:pPr>
              <w:pStyle w:val="a5"/>
              <w:overflowPunct/>
              <w:ind w:right="0"/>
              <w:jc w:val="right"/>
              <w:rPr>
                <w:lang w:val="en-GB"/>
              </w:rPr>
            </w:pPr>
            <w:r>
              <w:rPr>
                <w:lang w:val="en-GB"/>
              </w:rPr>
              <w:t>2.</w:t>
            </w:r>
            <w:r w:rsidR="00E112CD" w:rsidRPr="00E112CD">
              <w:rPr>
                <w:lang w:val="en-GB"/>
              </w:rPr>
              <w:t>3</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2</w:t>
            </w:r>
            <w:r w:rsidR="006E1330">
              <w:rPr>
                <w:lang w:val="en-GB"/>
              </w:rPr>
              <w:t>9.</w:t>
            </w:r>
            <w:r w:rsidRPr="00E112CD">
              <w:rPr>
                <w:lang w:val="en-GB"/>
              </w:rPr>
              <w:t>5</w:t>
            </w:r>
          </w:p>
          <w:p w:rsidR="00E112CD" w:rsidRPr="00E112CD" w:rsidRDefault="006E1330" w:rsidP="00E112CD">
            <w:pPr>
              <w:pStyle w:val="a5"/>
              <w:overflowPunct/>
              <w:ind w:right="0"/>
              <w:jc w:val="right"/>
              <w:rPr>
                <w:lang w:val="en-GB"/>
              </w:rPr>
            </w:pPr>
            <w:r>
              <w:rPr>
                <w:lang w:val="en-GB"/>
              </w:rPr>
              <w:t>9.</w:t>
            </w:r>
            <w:r w:rsidR="00E112CD" w:rsidRPr="00E112CD">
              <w:rPr>
                <w:lang w:val="en-GB"/>
              </w:rPr>
              <w:t>5</w:t>
            </w:r>
          </w:p>
          <w:p w:rsidR="00E112CD" w:rsidRPr="00E112CD" w:rsidRDefault="00E112CD" w:rsidP="00E112CD">
            <w:pPr>
              <w:pStyle w:val="a5"/>
              <w:overflowPunct/>
              <w:ind w:right="0"/>
              <w:jc w:val="right"/>
              <w:rPr>
                <w:lang w:val="en-GB"/>
              </w:rPr>
            </w:pPr>
          </w:p>
          <w:p w:rsidR="00E112CD" w:rsidRPr="00E112CD" w:rsidRDefault="006E1330" w:rsidP="00E112CD">
            <w:pPr>
              <w:pStyle w:val="a5"/>
              <w:overflowPunct/>
              <w:ind w:right="0"/>
              <w:jc w:val="right"/>
              <w:rPr>
                <w:lang w:val="en-GB"/>
              </w:rPr>
            </w:pPr>
            <w:r>
              <w:rPr>
                <w:lang w:val="en-GB"/>
              </w:rPr>
              <w:t>2.</w:t>
            </w:r>
            <w:r w:rsidR="00E112CD" w:rsidRPr="00E112CD">
              <w:rPr>
                <w:lang w:val="en-GB"/>
              </w:rPr>
              <w:t>5</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3</w:t>
            </w:r>
            <w:r w:rsidR="006E1330">
              <w:rPr>
                <w:lang w:val="en-GB"/>
              </w:rPr>
              <w:t>0.</w:t>
            </w:r>
            <w:r w:rsidRPr="00E112CD">
              <w:rPr>
                <w:lang w:val="en-GB"/>
              </w:rPr>
              <w:t>2</w:t>
            </w:r>
          </w:p>
          <w:p w:rsidR="00E112CD" w:rsidRPr="00E112CD" w:rsidRDefault="006E1330" w:rsidP="00E112CD">
            <w:pPr>
              <w:pStyle w:val="a5"/>
              <w:overflowPunct/>
              <w:ind w:right="0"/>
              <w:jc w:val="right"/>
              <w:rPr>
                <w:lang w:val="en-GB"/>
              </w:rPr>
            </w:pPr>
            <w:r>
              <w:rPr>
                <w:lang w:val="en-GB"/>
              </w:rPr>
              <w:t>9.</w:t>
            </w:r>
            <w:r w:rsidR="00E112CD" w:rsidRPr="00E112CD">
              <w:rPr>
                <w:lang w:val="en-GB"/>
              </w:rPr>
              <w:t>5</w:t>
            </w:r>
          </w:p>
          <w:p w:rsidR="00E112CD" w:rsidRPr="00E112CD" w:rsidRDefault="00E112CD" w:rsidP="00E112CD">
            <w:pPr>
              <w:pStyle w:val="a5"/>
              <w:overflowPunct/>
              <w:ind w:right="0"/>
              <w:jc w:val="right"/>
              <w:rPr>
                <w:lang w:val="en-GB"/>
              </w:rPr>
            </w:pPr>
          </w:p>
          <w:p w:rsidR="00E112CD" w:rsidRPr="00E112CD" w:rsidRDefault="006E1330" w:rsidP="00E112CD">
            <w:pPr>
              <w:pStyle w:val="a5"/>
              <w:overflowPunct/>
              <w:ind w:right="0"/>
              <w:jc w:val="right"/>
              <w:rPr>
                <w:lang w:val="en-GB"/>
              </w:rPr>
            </w:pPr>
            <w:r>
              <w:rPr>
                <w:lang w:val="en-GB"/>
              </w:rPr>
              <w:t>2.</w:t>
            </w:r>
            <w:r w:rsidR="00E112CD" w:rsidRPr="00E112CD">
              <w:rPr>
                <w:lang w:val="en-GB"/>
              </w:rPr>
              <w:t>6</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3</w:t>
            </w:r>
            <w:r w:rsidR="006E1330">
              <w:rPr>
                <w:lang w:val="en-GB"/>
              </w:rPr>
              <w:t>0.</w:t>
            </w:r>
            <w:r w:rsidRPr="00E112CD">
              <w:rPr>
                <w:lang w:val="en-GB"/>
              </w:rPr>
              <w:t>6</w:t>
            </w:r>
          </w:p>
          <w:p w:rsidR="00E112CD" w:rsidRPr="00E112CD" w:rsidRDefault="006E1330" w:rsidP="00E112CD">
            <w:pPr>
              <w:pStyle w:val="a5"/>
              <w:overflowPunct/>
              <w:ind w:right="0"/>
              <w:jc w:val="right"/>
              <w:rPr>
                <w:lang w:val="en-GB"/>
              </w:rPr>
            </w:pPr>
            <w:r>
              <w:rPr>
                <w:lang w:val="en-GB"/>
              </w:rPr>
              <w:t>9.</w:t>
            </w:r>
            <w:r w:rsidR="00E112CD" w:rsidRPr="00E112CD">
              <w:rPr>
                <w:lang w:val="en-GB"/>
              </w:rPr>
              <w:t>4</w:t>
            </w:r>
          </w:p>
          <w:p w:rsidR="00E112CD" w:rsidRPr="00E112CD" w:rsidRDefault="00E112CD" w:rsidP="00E112CD">
            <w:pPr>
              <w:pStyle w:val="a5"/>
              <w:overflowPunct/>
              <w:ind w:right="0"/>
              <w:jc w:val="right"/>
              <w:rPr>
                <w:lang w:val="en-GB"/>
              </w:rPr>
            </w:pPr>
          </w:p>
          <w:p w:rsidR="00E112CD" w:rsidRPr="00E112CD" w:rsidRDefault="006E1330" w:rsidP="00E112CD">
            <w:pPr>
              <w:pStyle w:val="a5"/>
              <w:overflowPunct/>
              <w:ind w:right="0"/>
              <w:jc w:val="right"/>
              <w:rPr>
                <w:lang w:val="en-GB"/>
              </w:rPr>
            </w:pPr>
            <w:r>
              <w:rPr>
                <w:lang w:val="en-GB"/>
              </w:rPr>
              <w:t>2.</w:t>
            </w:r>
            <w:r w:rsidR="00E112CD" w:rsidRPr="00E112CD">
              <w:rPr>
                <w:lang w:val="en-GB"/>
              </w:rPr>
              <w:t>7</w:t>
            </w:r>
          </w:p>
        </w:tc>
      </w:tr>
      <w:tr w:rsidR="00E112CD" w:rsidRPr="00E112CD" w:rsidTr="00E112CD">
        <w:trPr>
          <w:trHeight w:val="240"/>
        </w:trPr>
        <w:tc>
          <w:tcPr>
            <w:tcW w:w="1550" w:type="dxa"/>
            <w:shd w:val="clear" w:color="auto" w:fill="auto"/>
          </w:tcPr>
          <w:p w:rsidR="00E112CD" w:rsidRPr="00E112CD" w:rsidRDefault="00E112CD" w:rsidP="00E112CD">
            <w:pPr>
              <w:pStyle w:val="a5"/>
              <w:overflowPunct/>
              <w:ind w:right="0"/>
              <w:jc w:val="left"/>
              <w:rPr>
                <w:lang w:val="en-GB"/>
              </w:rPr>
            </w:pPr>
            <w:r w:rsidRPr="00E112CD">
              <w:rPr>
                <w:rFonts w:hint="eastAsia"/>
                <w:lang w:val="en-GB"/>
              </w:rPr>
              <w:t>人口密度</w:t>
            </w:r>
          </w:p>
        </w:tc>
        <w:tc>
          <w:tcPr>
            <w:tcW w:w="1420" w:type="dxa"/>
            <w:shd w:val="clear" w:color="auto" w:fill="auto"/>
            <w:vAlign w:val="bottom"/>
          </w:tcPr>
          <w:p w:rsidR="00E112CD" w:rsidRPr="00E112CD" w:rsidRDefault="00E112CD" w:rsidP="00E112CD">
            <w:pPr>
              <w:pStyle w:val="a5"/>
              <w:overflowPunct/>
              <w:ind w:right="0"/>
              <w:jc w:val="right"/>
              <w:rPr>
                <w:lang w:val="en-GB"/>
              </w:rPr>
            </w:pPr>
            <w:r w:rsidRPr="00E112CD">
              <w:rPr>
                <w:rFonts w:hint="eastAsia"/>
                <w:lang w:val="en-GB"/>
              </w:rPr>
              <w:t>每平方公里</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8</w:t>
            </w:r>
            <w:r w:rsidR="006E1330">
              <w:rPr>
                <w:lang w:val="en-GB"/>
              </w:rPr>
              <w:t>4.</w:t>
            </w:r>
            <w:r w:rsidRPr="00E112CD">
              <w:rPr>
                <w:lang w:val="en-GB"/>
              </w:rPr>
              <w:t>4</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8</w:t>
            </w:r>
            <w:r w:rsidR="006E1330">
              <w:rPr>
                <w:lang w:val="en-GB"/>
              </w:rPr>
              <w:t>5.</w:t>
            </w:r>
            <w:r w:rsidRPr="00E112CD">
              <w:rPr>
                <w:lang w:val="en-GB"/>
              </w:rPr>
              <w:t>0</w:t>
            </w:r>
          </w:p>
        </w:tc>
        <w:tc>
          <w:tcPr>
            <w:tcW w:w="993"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8</w:t>
            </w:r>
            <w:r w:rsidR="006E1330">
              <w:rPr>
                <w:lang w:val="en-GB"/>
              </w:rPr>
              <w:t>5.</w:t>
            </w:r>
            <w:r w:rsidRPr="00E112CD">
              <w:rPr>
                <w:lang w:val="en-GB"/>
              </w:rPr>
              <w:t>0</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8</w:t>
            </w:r>
            <w:r w:rsidR="006E1330">
              <w:rPr>
                <w:lang w:val="en-GB"/>
              </w:rPr>
              <w:t>6.</w:t>
            </w:r>
            <w:r w:rsidRPr="00E112CD">
              <w:rPr>
                <w:lang w:val="en-GB"/>
              </w:rPr>
              <w:t>3</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8</w:t>
            </w:r>
            <w:r w:rsidR="006E1330">
              <w:rPr>
                <w:lang w:val="en-GB"/>
              </w:rPr>
              <w:t>9.</w:t>
            </w:r>
            <w:r w:rsidRPr="00E112CD">
              <w:rPr>
                <w:lang w:val="en-GB"/>
              </w:rPr>
              <w:t>3</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6E1330">
              <w:rPr>
                <w:lang w:val="en-GB"/>
              </w:rPr>
              <w:t>1.</w:t>
            </w:r>
            <w:r w:rsidRPr="00E112CD">
              <w:rPr>
                <w:lang w:val="en-GB"/>
              </w:rPr>
              <w:t>4</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6E1330">
              <w:rPr>
                <w:lang w:val="en-GB"/>
              </w:rPr>
              <w:t>2.</w:t>
            </w:r>
            <w:r w:rsidRPr="00E112CD">
              <w:rPr>
                <w:lang w:val="en-GB"/>
              </w:rPr>
              <w:t>6</w:t>
            </w:r>
          </w:p>
        </w:tc>
      </w:tr>
      <w:tr w:rsidR="00E112CD" w:rsidRPr="00E112CD" w:rsidTr="00E112CD">
        <w:trPr>
          <w:trHeight w:val="240"/>
        </w:trPr>
        <w:tc>
          <w:tcPr>
            <w:tcW w:w="1550" w:type="dxa"/>
            <w:shd w:val="clear" w:color="auto" w:fill="auto"/>
          </w:tcPr>
          <w:p w:rsidR="00E112CD" w:rsidRPr="00E112CD" w:rsidRDefault="00E112CD" w:rsidP="00E112CD">
            <w:pPr>
              <w:pStyle w:val="a5"/>
              <w:overflowPunct/>
              <w:ind w:right="0"/>
              <w:jc w:val="left"/>
              <w:rPr>
                <w:lang w:val="en-GB"/>
              </w:rPr>
            </w:pPr>
            <w:r w:rsidRPr="00E112CD">
              <w:rPr>
                <w:rFonts w:hint="eastAsia"/>
                <w:lang w:val="en-GB"/>
              </w:rPr>
              <w:t>名义国内生产总值</w:t>
            </w:r>
          </w:p>
        </w:tc>
        <w:tc>
          <w:tcPr>
            <w:tcW w:w="1420"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10</w:t>
            </w:r>
            <w:r w:rsidRPr="00E112CD">
              <w:rPr>
                <w:rFonts w:hint="eastAsia"/>
                <w:lang w:val="en-GB"/>
              </w:rPr>
              <w:t>亿林吉特</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74</w:t>
            </w:r>
            <w:r w:rsidR="006E1330">
              <w:rPr>
                <w:lang w:val="en-GB"/>
              </w:rPr>
              <w:t>2.</w:t>
            </w:r>
            <w:r w:rsidRPr="00E112CD">
              <w:rPr>
                <w:lang w:val="en-GB"/>
              </w:rPr>
              <w:t>5</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67</w:t>
            </w:r>
            <w:r w:rsidR="006E1330">
              <w:rPr>
                <w:lang w:val="en-GB"/>
              </w:rPr>
              <w:t>9.</w:t>
            </w:r>
            <w:r w:rsidRPr="00E112CD">
              <w:rPr>
                <w:lang w:val="en-GB"/>
              </w:rPr>
              <w:t>9</w:t>
            </w:r>
          </w:p>
        </w:tc>
        <w:tc>
          <w:tcPr>
            <w:tcW w:w="993"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76</w:t>
            </w:r>
            <w:r w:rsidR="006E1330">
              <w:rPr>
                <w:lang w:val="en-GB"/>
              </w:rPr>
              <w:t>6.</w:t>
            </w:r>
            <w:r w:rsidRPr="00E112CD">
              <w:rPr>
                <w:lang w:val="en-GB"/>
              </w:rPr>
              <w:t>0</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88</w:t>
            </w:r>
            <w:r w:rsidR="006E1330">
              <w:rPr>
                <w:lang w:val="en-GB"/>
              </w:rPr>
              <w:t>1.</w:t>
            </w:r>
            <w:r w:rsidRPr="00E112CD">
              <w:rPr>
                <w:lang w:val="en-GB"/>
              </w:rPr>
              <w:t>1</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97</w:t>
            </w:r>
            <w:r w:rsidR="006E1330">
              <w:rPr>
                <w:lang w:val="en-GB"/>
              </w:rPr>
              <w:t>1.</w:t>
            </w:r>
            <w:r w:rsidRPr="00E112CD">
              <w:rPr>
                <w:lang w:val="en-GB"/>
              </w:rPr>
              <w:t>3</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95</w:t>
            </w:r>
            <w:r w:rsidR="006E1330">
              <w:rPr>
                <w:lang w:val="en-GB"/>
              </w:rPr>
              <w:t>5.</w:t>
            </w:r>
            <w:r w:rsidRPr="00E112CD">
              <w:rPr>
                <w:lang w:val="en-GB"/>
              </w:rPr>
              <w:t>3</w:t>
            </w:r>
          </w:p>
        </w:tc>
        <w:tc>
          <w:tcPr>
            <w:tcW w:w="992" w:type="dxa"/>
            <w:shd w:val="clear" w:color="auto" w:fill="auto"/>
            <w:vAlign w:val="bottom"/>
          </w:tcPr>
          <w:p w:rsidR="00E112CD" w:rsidRPr="00E112CD" w:rsidRDefault="00E112CD" w:rsidP="00494329">
            <w:pPr>
              <w:pStyle w:val="a5"/>
              <w:overflowPunct/>
              <w:ind w:right="0"/>
              <w:jc w:val="right"/>
              <w:rPr>
                <w:lang w:val="en-GB"/>
              </w:rPr>
            </w:pPr>
            <w:r w:rsidRPr="00E112CD">
              <w:rPr>
                <w:lang w:val="en-GB"/>
              </w:rPr>
              <w:t>101</w:t>
            </w:r>
            <w:r w:rsidR="006E1330">
              <w:rPr>
                <w:lang w:val="en-GB"/>
              </w:rPr>
              <w:t>2.</w:t>
            </w:r>
            <w:r w:rsidRPr="00E112CD">
              <w:rPr>
                <w:lang w:val="en-GB"/>
              </w:rPr>
              <w:t>5</w:t>
            </w:r>
          </w:p>
        </w:tc>
      </w:tr>
      <w:tr w:rsidR="00E112CD" w:rsidRPr="00E112CD" w:rsidTr="00E112CD">
        <w:trPr>
          <w:trHeight w:val="240"/>
        </w:trPr>
        <w:tc>
          <w:tcPr>
            <w:tcW w:w="1550" w:type="dxa"/>
            <w:shd w:val="clear" w:color="auto" w:fill="auto"/>
          </w:tcPr>
          <w:p w:rsidR="00E112CD" w:rsidRPr="00E112CD" w:rsidRDefault="00E112CD" w:rsidP="00E112CD">
            <w:pPr>
              <w:pStyle w:val="a5"/>
              <w:overflowPunct/>
              <w:ind w:right="0"/>
              <w:jc w:val="left"/>
              <w:rPr>
                <w:lang w:val="en-GB"/>
              </w:rPr>
            </w:pPr>
            <w:r w:rsidRPr="00E112CD">
              <w:rPr>
                <w:rFonts w:hint="eastAsia"/>
                <w:lang w:val="en-GB"/>
              </w:rPr>
              <w:t>实际国内生产总值增长率</w:t>
            </w:r>
          </w:p>
        </w:tc>
        <w:tc>
          <w:tcPr>
            <w:tcW w:w="1420" w:type="dxa"/>
            <w:shd w:val="clear" w:color="auto" w:fill="auto"/>
            <w:vAlign w:val="bottom"/>
          </w:tcPr>
          <w:p w:rsidR="00E112CD" w:rsidRPr="00E112CD" w:rsidRDefault="006E1330" w:rsidP="00E112CD">
            <w:pPr>
              <w:pStyle w:val="a5"/>
              <w:overflowPunct/>
              <w:ind w:right="0"/>
              <w:jc w:val="right"/>
              <w:rPr>
                <w:lang w:val="en-GB"/>
              </w:rPr>
            </w:pPr>
            <w:r>
              <w:rPr>
                <w:lang w:val="en-GB"/>
              </w:rPr>
              <w:t>%</w:t>
            </w:r>
          </w:p>
        </w:tc>
        <w:tc>
          <w:tcPr>
            <w:tcW w:w="992" w:type="dxa"/>
            <w:shd w:val="clear" w:color="auto" w:fill="auto"/>
            <w:vAlign w:val="bottom"/>
          </w:tcPr>
          <w:p w:rsidR="00E112CD" w:rsidRPr="00E112CD" w:rsidRDefault="006E1330" w:rsidP="00E112CD">
            <w:pPr>
              <w:pStyle w:val="a5"/>
              <w:overflowPunct/>
              <w:ind w:right="0"/>
              <w:jc w:val="right"/>
              <w:rPr>
                <w:lang w:val="en-GB"/>
              </w:rPr>
            </w:pPr>
            <w:r>
              <w:rPr>
                <w:lang w:val="en-GB"/>
              </w:rPr>
              <w:t>4.</w:t>
            </w:r>
            <w:r w:rsidR="00E112CD" w:rsidRPr="00E112CD">
              <w:rPr>
                <w:lang w:val="en-GB"/>
              </w:rPr>
              <w:t>8</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w:t>
            </w:r>
            <w:r w:rsidR="006E1330">
              <w:rPr>
                <w:lang w:val="en-GB"/>
              </w:rPr>
              <w:t>1.</w:t>
            </w:r>
            <w:r w:rsidRPr="00E112CD">
              <w:rPr>
                <w:lang w:val="en-GB"/>
              </w:rPr>
              <w:t>6</w:t>
            </w:r>
          </w:p>
        </w:tc>
        <w:tc>
          <w:tcPr>
            <w:tcW w:w="993" w:type="dxa"/>
            <w:shd w:val="clear" w:color="auto" w:fill="auto"/>
            <w:vAlign w:val="bottom"/>
          </w:tcPr>
          <w:p w:rsidR="00E112CD" w:rsidRPr="00E112CD" w:rsidRDefault="006E1330" w:rsidP="00E112CD">
            <w:pPr>
              <w:pStyle w:val="a5"/>
              <w:overflowPunct/>
              <w:ind w:right="0"/>
              <w:jc w:val="right"/>
              <w:rPr>
                <w:lang w:val="en-GB"/>
              </w:rPr>
            </w:pPr>
            <w:r>
              <w:rPr>
                <w:lang w:val="en-GB"/>
              </w:rPr>
              <w:t>7.</w:t>
            </w:r>
            <w:r w:rsidR="00E112CD" w:rsidRPr="00E112CD">
              <w:rPr>
                <w:lang w:val="en-GB"/>
              </w:rPr>
              <w:t>2</w:t>
            </w:r>
          </w:p>
        </w:tc>
        <w:tc>
          <w:tcPr>
            <w:tcW w:w="992" w:type="dxa"/>
            <w:shd w:val="clear" w:color="auto" w:fill="auto"/>
            <w:vAlign w:val="bottom"/>
          </w:tcPr>
          <w:p w:rsidR="00E112CD" w:rsidRPr="00E112CD" w:rsidRDefault="006E1330" w:rsidP="00E112CD">
            <w:pPr>
              <w:pStyle w:val="a5"/>
              <w:overflowPunct/>
              <w:ind w:right="0"/>
              <w:jc w:val="right"/>
              <w:rPr>
                <w:lang w:val="en-GB"/>
              </w:rPr>
            </w:pPr>
            <w:r>
              <w:rPr>
                <w:lang w:val="en-GB"/>
              </w:rPr>
              <w:t>5.</w:t>
            </w:r>
            <w:r w:rsidR="00E112CD" w:rsidRPr="00E112CD">
              <w:rPr>
                <w:lang w:val="en-GB"/>
              </w:rPr>
              <w:t>1</w:t>
            </w:r>
          </w:p>
        </w:tc>
        <w:tc>
          <w:tcPr>
            <w:tcW w:w="992" w:type="dxa"/>
            <w:shd w:val="clear" w:color="auto" w:fill="auto"/>
            <w:vAlign w:val="bottom"/>
          </w:tcPr>
          <w:p w:rsidR="00E112CD" w:rsidRPr="00E112CD" w:rsidRDefault="006E1330" w:rsidP="00E112CD">
            <w:pPr>
              <w:pStyle w:val="a5"/>
              <w:overflowPunct/>
              <w:ind w:right="0"/>
              <w:jc w:val="right"/>
              <w:rPr>
                <w:lang w:val="en-GB"/>
              </w:rPr>
            </w:pPr>
            <w:r>
              <w:rPr>
                <w:lang w:val="en-GB"/>
              </w:rPr>
              <w:t>5.</w:t>
            </w:r>
            <w:r w:rsidR="00E112CD" w:rsidRPr="00E112CD">
              <w:rPr>
                <w:lang w:val="en-GB"/>
              </w:rPr>
              <w:t>5</w:t>
            </w:r>
          </w:p>
        </w:tc>
        <w:tc>
          <w:tcPr>
            <w:tcW w:w="992" w:type="dxa"/>
            <w:shd w:val="clear" w:color="auto" w:fill="auto"/>
            <w:vAlign w:val="bottom"/>
          </w:tcPr>
          <w:p w:rsidR="00E112CD" w:rsidRPr="00E112CD" w:rsidRDefault="006E1330" w:rsidP="00E112CD">
            <w:pPr>
              <w:pStyle w:val="a5"/>
              <w:overflowPunct/>
              <w:ind w:right="0"/>
              <w:jc w:val="right"/>
              <w:rPr>
                <w:lang w:val="en-GB"/>
              </w:rPr>
            </w:pPr>
            <w:r>
              <w:rPr>
                <w:lang w:val="en-GB"/>
              </w:rPr>
              <w:t>4.</w:t>
            </w:r>
            <w:r w:rsidR="00E112CD" w:rsidRPr="00E112CD">
              <w:rPr>
                <w:lang w:val="en-GB"/>
              </w:rPr>
              <w:t>7</w:t>
            </w:r>
          </w:p>
        </w:tc>
        <w:tc>
          <w:tcPr>
            <w:tcW w:w="992" w:type="dxa"/>
            <w:shd w:val="clear" w:color="auto" w:fill="auto"/>
            <w:vAlign w:val="bottom"/>
          </w:tcPr>
          <w:p w:rsidR="00E112CD" w:rsidRPr="00E112CD" w:rsidRDefault="006E1330" w:rsidP="00E112CD">
            <w:pPr>
              <w:pStyle w:val="a5"/>
              <w:overflowPunct/>
              <w:ind w:right="0"/>
              <w:jc w:val="right"/>
              <w:rPr>
                <w:lang w:val="en-GB"/>
              </w:rPr>
            </w:pPr>
            <w:r>
              <w:rPr>
                <w:lang w:val="en-GB"/>
              </w:rPr>
              <w:t>6.</w:t>
            </w:r>
            <w:r w:rsidR="00E112CD" w:rsidRPr="00E112CD">
              <w:rPr>
                <w:lang w:val="en-GB"/>
              </w:rPr>
              <w:t>0</w:t>
            </w:r>
          </w:p>
        </w:tc>
      </w:tr>
      <w:tr w:rsidR="00E112CD" w:rsidRPr="00E112CD" w:rsidTr="00E112CD">
        <w:trPr>
          <w:trHeight w:val="240"/>
        </w:trPr>
        <w:tc>
          <w:tcPr>
            <w:tcW w:w="1550" w:type="dxa"/>
            <w:shd w:val="clear" w:color="auto" w:fill="auto"/>
          </w:tcPr>
          <w:p w:rsidR="00E112CD" w:rsidRPr="00E112CD" w:rsidRDefault="00E112CD" w:rsidP="00E112CD">
            <w:pPr>
              <w:pStyle w:val="a5"/>
              <w:overflowPunct/>
              <w:ind w:right="0"/>
              <w:jc w:val="left"/>
              <w:rPr>
                <w:lang w:val="en-GB"/>
              </w:rPr>
            </w:pPr>
            <w:r w:rsidRPr="00E112CD">
              <w:rPr>
                <w:rFonts w:hint="eastAsia"/>
                <w:lang w:val="en-GB"/>
              </w:rPr>
              <w:t>人均收入</w:t>
            </w:r>
          </w:p>
        </w:tc>
        <w:tc>
          <w:tcPr>
            <w:tcW w:w="1420" w:type="dxa"/>
            <w:shd w:val="clear" w:color="auto" w:fill="auto"/>
            <w:vAlign w:val="bottom"/>
          </w:tcPr>
          <w:p w:rsidR="00E112CD" w:rsidRPr="00E112CD" w:rsidRDefault="00E112CD" w:rsidP="00E112CD">
            <w:pPr>
              <w:pStyle w:val="a5"/>
              <w:overflowPunct/>
              <w:ind w:right="0"/>
              <w:jc w:val="right"/>
              <w:rPr>
                <w:lang w:val="en-GB"/>
              </w:rPr>
            </w:pPr>
            <w:r w:rsidRPr="00E112CD">
              <w:rPr>
                <w:rFonts w:hint="eastAsia"/>
                <w:lang w:val="en-GB"/>
              </w:rPr>
              <w:t>美元</w:t>
            </w:r>
          </w:p>
          <w:p w:rsidR="00E112CD" w:rsidRPr="00E112CD" w:rsidRDefault="00E112CD" w:rsidP="00E112CD">
            <w:pPr>
              <w:pStyle w:val="a5"/>
              <w:overflowPunct/>
              <w:ind w:right="0"/>
              <w:jc w:val="right"/>
              <w:rPr>
                <w:lang w:val="en-GB"/>
              </w:rPr>
            </w:pPr>
            <w:r w:rsidRPr="00E112CD">
              <w:rPr>
                <w:rFonts w:hint="eastAsia"/>
                <w:lang w:val="en-GB"/>
              </w:rPr>
              <w:t>购买力平价美元</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26</w:t>
            </w:r>
            <w:r w:rsidR="00C73B9F">
              <w:rPr>
                <w:rFonts w:hint="eastAsia"/>
                <w:lang w:val="en-GB"/>
              </w:rPr>
              <w:t xml:space="preserve"> </w:t>
            </w:r>
            <w:r w:rsidRPr="00E112CD">
              <w:rPr>
                <w:lang w:val="en-GB"/>
              </w:rPr>
              <w:t>123</w:t>
            </w:r>
          </w:p>
          <w:p w:rsidR="00E112CD" w:rsidRPr="00E112CD" w:rsidRDefault="00E112CD" w:rsidP="00E112CD">
            <w:pPr>
              <w:pStyle w:val="a5"/>
              <w:overflowPunct/>
              <w:ind w:right="0"/>
              <w:jc w:val="right"/>
              <w:rPr>
                <w:lang w:val="en-GB"/>
              </w:rPr>
            </w:pPr>
            <w:r w:rsidRPr="00E112CD">
              <w:rPr>
                <w:lang w:val="en-GB"/>
              </w:rPr>
              <w:t>7</w:t>
            </w:r>
            <w:r w:rsidR="00C73B9F">
              <w:rPr>
                <w:rFonts w:hint="eastAsia"/>
                <w:lang w:val="en-GB"/>
              </w:rPr>
              <w:t xml:space="preserve"> </w:t>
            </w:r>
            <w:r w:rsidRPr="00E112CD">
              <w:rPr>
                <w:lang w:val="en-GB"/>
              </w:rPr>
              <w:t>837</w:t>
            </w:r>
          </w:p>
          <w:p w:rsidR="00E112CD" w:rsidRPr="00E112CD" w:rsidRDefault="00E112CD" w:rsidP="00E112CD">
            <w:pPr>
              <w:pStyle w:val="a5"/>
              <w:overflowPunct/>
              <w:ind w:right="0"/>
              <w:jc w:val="right"/>
              <w:rPr>
                <w:lang w:val="en-GB"/>
              </w:rPr>
            </w:pPr>
            <w:r w:rsidRPr="00E112CD">
              <w:rPr>
                <w:lang w:val="en-GB"/>
              </w:rPr>
              <w:t>15</w:t>
            </w:r>
            <w:r w:rsidR="00C73B9F">
              <w:rPr>
                <w:rFonts w:hint="eastAsia"/>
                <w:lang w:val="en-GB"/>
              </w:rPr>
              <w:t xml:space="preserve"> </w:t>
            </w:r>
            <w:r w:rsidRPr="00E112CD">
              <w:rPr>
                <w:lang w:val="en-GB"/>
              </w:rPr>
              <w:t>586</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23</w:t>
            </w:r>
            <w:r w:rsidR="00C73B9F">
              <w:rPr>
                <w:rFonts w:hint="eastAsia"/>
                <w:lang w:val="en-GB"/>
              </w:rPr>
              <w:t xml:space="preserve"> </w:t>
            </w:r>
            <w:r w:rsidRPr="00E112CD">
              <w:rPr>
                <w:lang w:val="en-GB"/>
              </w:rPr>
              <w:t>850</w:t>
            </w:r>
          </w:p>
          <w:p w:rsidR="00E112CD" w:rsidRPr="00E112CD" w:rsidRDefault="00E112CD" w:rsidP="00E112CD">
            <w:pPr>
              <w:pStyle w:val="a5"/>
              <w:overflowPunct/>
              <w:ind w:right="0"/>
              <w:jc w:val="right"/>
              <w:rPr>
                <w:lang w:val="en-GB"/>
              </w:rPr>
            </w:pPr>
            <w:r w:rsidRPr="00E112CD">
              <w:rPr>
                <w:lang w:val="en-GB"/>
              </w:rPr>
              <w:t>6</w:t>
            </w:r>
            <w:r w:rsidR="00C73B9F">
              <w:rPr>
                <w:rFonts w:hint="eastAsia"/>
                <w:lang w:val="en-GB"/>
              </w:rPr>
              <w:t xml:space="preserve"> </w:t>
            </w:r>
            <w:r w:rsidRPr="00E112CD">
              <w:rPr>
                <w:lang w:val="en-GB"/>
              </w:rPr>
              <w:t>768</w:t>
            </w:r>
          </w:p>
          <w:p w:rsidR="00E112CD" w:rsidRPr="00E112CD" w:rsidRDefault="00E112CD" w:rsidP="00E112CD">
            <w:pPr>
              <w:pStyle w:val="a5"/>
              <w:overflowPunct/>
              <w:ind w:right="0"/>
              <w:jc w:val="right"/>
              <w:rPr>
                <w:lang w:val="en-GB"/>
              </w:rPr>
            </w:pPr>
            <w:r w:rsidRPr="00E112CD">
              <w:rPr>
                <w:lang w:val="en-GB"/>
              </w:rPr>
              <w:t>13</w:t>
            </w:r>
            <w:r w:rsidR="00C73B9F">
              <w:rPr>
                <w:rFonts w:hint="eastAsia"/>
                <w:lang w:val="en-GB"/>
              </w:rPr>
              <w:t xml:space="preserve"> </w:t>
            </w:r>
            <w:r w:rsidRPr="00E112CD">
              <w:rPr>
                <w:lang w:val="en-GB"/>
              </w:rPr>
              <w:t>468</w:t>
            </w:r>
          </w:p>
        </w:tc>
        <w:tc>
          <w:tcPr>
            <w:tcW w:w="993"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26</w:t>
            </w:r>
            <w:r w:rsidR="00C73B9F">
              <w:rPr>
                <w:rFonts w:hint="eastAsia"/>
                <w:lang w:val="en-GB"/>
              </w:rPr>
              <w:t xml:space="preserve"> </w:t>
            </w:r>
            <w:r w:rsidRPr="00E112CD">
              <w:rPr>
                <w:lang w:val="en-GB"/>
              </w:rPr>
              <w:t>175</w:t>
            </w:r>
          </w:p>
          <w:p w:rsidR="00E112CD" w:rsidRPr="00E112CD" w:rsidRDefault="00E112CD" w:rsidP="00E112CD">
            <w:pPr>
              <w:pStyle w:val="a5"/>
              <w:overflowPunct/>
              <w:ind w:right="0"/>
              <w:jc w:val="right"/>
              <w:rPr>
                <w:lang w:val="en-GB"/>
              </w:rPr>
            </w:pPr>
            <w:r w:rsidRPr="00E112CD">
              <w:rPr>
                <w:lang w:val="en-GB"/>
              </w:rPr>
              <w:t>8</w:t>
            </w:r>
            <w:r w:rsidR="00C73B9F">
              <w:rPr>
                <w:rFonts w:hint="eastAsia"/>
                <w:lang w:val="en-GB"/>
              </w:rPr>
              <w:t xml:space="preserve"> </w:t>
            </w:r>
            <w:r w:rsidRPr="00E112CD">
              <w:rPr>
                <w:lang w:val="en-GB"/>
              </w:rPr>
              <w:t>126</w:t>
            </w:r>
          </w:p>
          <w:p w:rsidR="00E112CD" w:rsidRPr="00E112CD" w:rsidRDefault="00E112CD" w:rsidP="00E112CD">
            <w:pPr>
              <w:pStyle w:val="a5"/>
              <w:overflowPunct/>
              <w:ind w:right="0"/>
              <w:jc w:val="right"/>
              <w:rPr>
                <w:lang w:val="en-GB"/>
              </w:rPr>
            </w:pPr>
            <w:r w:rsidRPr="00E112CD">
              <w:rPr>
                <w:lang w:val="en-GB"/>
              </w:rPr>
              <w:t>12</w:t>
            </w:r>
            <w:r w:rsidR="00C73B9F">
              <w:rPr>
                <w:rFonts w:hint="eastAsia"/>
                <w:lang w:val="en-GB"/>
              </w:rPr>
              <w:t xml:space="preserve"> </w:t>
            </w:r>
            <w:r w:rsidRPr="00E112CD">
              <w:rPr>
                <w:lang w:val="en-GB"/>
              </w:rPr>
              <w:t>475</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27</w:t>
            </w:r>
            <w:r w:rsidR="00C73B9F">
              <w:rPr>
                <w:rFonts w:hint="eastAsia"/>
                <w:lang w:val="en-GB"/>
              </w:rPr>
              <w:t xml:space="preserve"> </w:t>
            </w:r>
            <w:r w:rsidRPr="00E112CD">
              <w:rPr>
                <w:lang w:val="en-GB"/>
              </w:rPr>
              <w:t>783</w:t>
            </w:r>
          </w:p>
          <w:p w:rsidR="00E112CD" w:rsidRPr="00E112CD" w:rsidRDefault="00E112CD" w:rsidP="00E112CD">
            <w:pPr>
              <w:pStyle w:val="a5"/>
              <w:overflowPunct/>
              <w:ind w:right="0"/>
              <w:jc w:val="right"/>
              <w:rPr>
                <w:lang w:val="en-GB"/>
              </w:rPr>
            </w:pPr>
            <w:r w:rsidRPr="00E112CD">
              <w:rPr>
                <w:lang w:val="en-GB"/>
              </w:rPr>
              <w:t>9</w:t>
            </w:r>
            <w:r w:rsidR="00C73B9F">
              <w:rPr>
                <w:rFonts w:hint="eastAsia"/>
                <w:lang w:val="en-GB"/>
              </w:rPr>
              <w:t xml:space="preserve"> </w:t>
            </w:r>
            <w:r w:rsidRPr="00E112CD">
              <w:rPr>
                <w:lang w:val="en-GB"/>
              </w:rPr>
              <w:t>733</w:t>
            </w:r>
          </w:p>
          <w:p w:rsidR="00E112CD" w:rsidRPr="00E112CD" w:rsidRDefault="00E112CD" w:rsidP="00E112CD">
            <w:pPr>
              <w:pStyle w:val="a5"/>
              <w:overflowPunct/>
              <w:ind w:right="0"/>
              <w:jc w:val="right"/>
              <w:rPr>
                <w:lang w:val="en-GB"/>
              </w:rPr>
            </w:pPr>
            <w:r w:rsidRPr="00E112CD">
              <w:rPr>
                <w:lang w:val="en-GB"/>
              </w:rPr>
              <w:t>15</w:t>
            </w:r>
            <w:r w:rsidR="00C73B9F">
              <w:rPr>
                <w:rFonts w:hint="eastAsia"/>
                <w:lang w:val="en-GB"/>
              </w:rPr>
              <w:t xml:space="preserve"> </w:t>
            </w:r>
            <w:r w:rsidRPr="00E112CD">
              <w:rPr>
                <w:lang w:val="en-GB"/>
              </w:rPr>
              <w:t>190</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30</w:t>
            </w:r>
            <w:r w:rsidR="00C73B9F">
              <w:rPr>
                <w:rFonts w:hint="eastAsia"/>
                <w:lang w:val="en-GB"/>
              </w:rPr>
              <w:t xml:space="preserve"> </w:t>
            </w:r>
            <w:r w:rsidRPr="00E112CD">
              <w:rPr>
                <w:lang w:val="en-GB"/>
              </w:rPr>
              <w:t>859</w:t>
            </w:r>
          </w:p>
          <w:p w:rsidR="00E112CD" w:rsidRPr="00E112CD" w:rsidRDefault="00E112CD" w:rsidP="00E112CD">
            <w:pPr>
              <w:pStyle w:val="a5"/>
              <w:overflowPunct/>
              <w:ind w:right="0"/>
              <w:jc w:val="right"/>
              <w:rPr>
                <w:lang w:val="en-GB"/>
              </w:rPr>
            </w:pPr>
            <w:r w:rsidRPr="00E112CD">
              <w:rPr>
                <w:lang w:val="en-GB"/>
              </w:rPr>
              <w:t>9</w:t>
            </w:r>
            <w:r w:rsidR="00C73B9F">
              <w:rPr>
                <w:rFonts w:hint="eastAsia"/>
                <w:lang w:val="en-GB"/>
              </w:rPr>
              <w:t xml:space="preserve"> </w:t>
            </w:r>
            <w:r w:rsidRPr="00E112CD">
              <w:rPr>
                <w:lang w:val="en-GB"/>
              </w:rPr>
              <w:t>991</w:t>
            </w:r>
          </w:p>
          <w:p w:rsidR="00E112CD" w:rsidRPr="00E112CD" w:rsidRDefault="00E112CD" w:rsidP="00E112CD">
            <w:pPr>
              <w:pStyle w:val="a5"/>
              <w:overflowPunct/>
              <w:ind w:right="0"/>
              <w:jc w:val="right"/>
              <w:rPr>
                <w:lang w:val="en-GB"/>
              </w:rPr>
            </w:pPr>
            <w:r w:rsidRPr="00E112CD">
              <w:rPr>
                <w:lang w:val="en-GB"/>
              </w:rPr>
              <w:t>16</w:t>
            </w:r>
            <w:r w:rsidR="00C73B9F">
              <w:rPr>
                <w:rFonts w:hint="eastAsia"/>
                <w:lang w:val="en-GB"/>
              </w:rPr>
              <w:t xml:space="preserve"> </w:t>
            </w:r>
            <w:r w:rsidRPr="00E112CD">
              <w:rPr>
                <w:lang w:val="en-GB"/>
              </w:rPr>
              <w:t>530</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32</w:t>
            </w:r>
            <w:r w:rsidR="00C73B9F">
              <w:rPr>
                <w:rFonts w:hint="eastAsia"/>
                <w:lang w:val="en-GB"/>
              </w:rPr>
              <w:t xml:space="preserve"> </w:t>
            </w:r>
            <w:r w:rsidRPr="00E112CD">
              <w:rPr>
                <w:lang w:val="en-GB"/>
              </w:rPr>
              <w:t>144</w:t>
            </w:r>
          </w:p>
          <w:p w:rsidR="00E112CD" w:rsidRPr="00E112CD" w:rsidRDefault="00E112CD" w:rsidP="00E112CD">
            <w:pPr>
              <w:pStyle w:val="a5"/>
              <w:overflowPunct/>
              <w:ind w:right="0"/>
              <w:jc w:val="right"/>
              <w:rPr>
                <w:lang w:val="en-GB"/>
              </w:rPr>
            </w:pPr>
            <w:r w:rsidRPr="00E112CD">
              <w:rPr>
                <w:lang w:val="en-GB"/>
              </w:rPr>
              <w:t>10</w:t>
            </w:r>
            <w:r w:rsidR="00C73B9F">
              <w:rPr>
                <w:rFonts w:hint="eastAsia"/>
                <w:lang w:val="en-GB"/>
              </w:rPr>
              <w:t xml:space="preserve"> </w:t>
            </w:r>
            <w:r w:rsidRPr="00E112CD">
              <w:rPr>
                <w:lang w:val="en-GB"/>
              </w:rPr>
              <w:t>265</w:t>
            </w:r>
          </w:p>
          <w:p w:rsidR="00E112CD" w:rsidRPr="00E112CD" w:rsidRDefault="00E112CD" w:rsidP="00E112CD">
            <w:pPr>
              <w:pStyle w:val="a5"/>
              <w:overflowPunct/>
              <w:ind w:right="0"/>
              <w:jc w:val="right"/>
              <w:rPr>
                <w:lang w:val="en-GB"/>
              </w:rPr>
            </w:pPr>
            <w:r w:rsidRPr="00E112CD">
              <w:rPr>
                <w:lang w:val="en-GB"/>
              </w:rPr>
              <w:t>16</w:t>
            </w:r>
            <w:r w:rsidR="00C73B9F">
              <w:rPr>
                <w:rFonts w:hint="eastAsia"/>
                <w:lang w:val="en-GB"/>
              </w:rPr>
              <w:t xml:space="preserve"> </w:t>
            </w:r>
            <w:r w:rsidRPr="00E112CD">
              <w:rPr>
                <w:lang w:val="en-GB"/>
              </w:rPr>
              <w:t>743</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34</w:t>
            </w:r>
            <w:r w:rsidR="00C73B9F">
              <w:rPr>
                <w:rFonts w:hint="eastAsia"/>
                <w:lang w:val="en-GB"/>
              </w:rPr>
              <w:t xml:space="preserve"> </w:t>
            </w:r>
            <w:r w:rsidRPr="00E112CD">
              <w:rPr>
                <w:lang w:val="en-GB"/>
              </w:rPr>
              <w:t>126</w:t>
            </w:r>
          </w:p>
          <w:p w:rsidR="00E112CD" w:rsidRPr="00E112CD" w:rsidRDefault="00E112CD" w:rsidP="00E112CD">
            <w:pPr>
              <w:pStyle w:val="a5"/>
              <w:overflowPunct/>
              <w:ind w:right="0"/>
              <w:jc w:val="right"/>
              <w:rPr>
                <w:lang w:val="en-GB"/>
              </w:rPr>
            </w:pPr>
            <w:r w:rsidRPr="00E112CD">
              <w:rPr>
                <w:lang w:val="en-GB"/>
              </w:rPr>
              <w:t>10</w:t>
            </w:r>
            <w:r w:rsidR="00C73B9F">
              <w:rPr>
                <w:rFonts w:hint="eastAsia"/>
                <w:lang w:val="en-GB"/>
              </w:rPr>
              <w:t xml:space="preserve"> </w:t>
            </w:r>
            <w:r w:rsidRPr="00E112CD">
              <w:rPr>
                <w:lang w:val="en-GB"/>
              </w:rPr>
              <w:t>898</w:t>
            </w:r>
          </w:p>
          <w:p w:rsidR="00E112CD" w:rsidRPr="00E112CD" w:rsidRDefault="00E112CD" w:rsidP="00E112CD">
            <w:pPr>
              <w:pStyle w:val="a5"/>
              <w:overflowPunct/>
              <w:ind w:right="0"/>
              <w:jc w:val="right"/>
              <w:rPr>
                <w:lang w:val="en-GB"/>
              </w:rPr>
            </w:pPr>
            <w:r w:rsidRPr="00E112CD">
              <w:rPr>
                <w:lang w:val="en-GB"/>
              </w:rPr>
              <w:t>17</w:t>
            </w:r>
            <w:r w:rsidR="00C73B9F">
              <w:rPr>
                <w:rFonts w:hint="eastAsia"/>
                <w:lang w:val="en-GB"/>
              </w:rPr>
              <w:t xml:space="preserve"> </w:t>
            </w:r>
            <w:r w:rsidRPr="00E112CD">
              <w:rPr>
                <w:lang w:val="en-GB"/>
              </w:rPr>
              <w:t>173</w:t>
            </w:r>
          </w:p>
        </w:tc>
      </w:tr>
      <w:tr w:rsidR="00E112CD" w:rsidRPr="00E112CD" w:rsidTr="00E112CD">
        <w:trPr>
          <w:trHeight w:val="240"/>
        </w:trPr>
        <w:tc>
          <w:tcPr>
            <w:tcW w:w="1550" w:type="dxa"/>
            <w:shd w:val="clear" w:color="auto" w:fill="auto"/>
          </w:tcPr>
          <w:p w:rsidR="00E112CD" w:rsidRPr="00E112CD" w:rsidRDefault="00E112CD" w:rsidP="00E112CD">
            <w:pPr>
              <w:pStyle w:val="a5"/>
              <w:overflowPunct/>
              <w:ind w:right="0"/>
              <w:jc w:val="left"/>
              <w:rPr>
                <w:lang w:val="en-GB"/>
              </w:rPr>
            </w:pPr>
            <w:r w:rsidRPr="00E112CD">
              <w:rPr>
                <w:rFonts w:hint="eastAsia"/>
                <w:lang w:val="en-GB"/>
              </w:rPr>
              <w:t>公路长度</w:t>
            </w:r>
          </w:p>
        </w:tc>
        <w:tc>
          <w:tcPr>
            <w:tcW w:w="1420" w:type="dxa"/>
            <w:shd w:val="clear" w:color="auto" w:fill="auto"/>
            <w:vAlign w:val="bottom"/>
          </w:tcPr>
          <w:p w:rsidR="00E112CD" w:rsidRPr="00E112CD" w:rsidRDefault="00E112CD" w:rsidP="00E112CD">
            <w:pPr>
              <w:pStyle w:val="a5"/>
              <w:overflowPunct/>
              <w:ind w:right="0"/>
              <w:jc w:val="right"/>
              <w:rPr>
                <w:lang w:val="en-GB"/>
              </w:rPr>
            </w:pPr>
            <w:r w:rsidRPr="00E112CD">
              <w:rPr>
                <w:rFonts w:hint="eastAsia"/>
                <w:lang w:val="en-GB"/>
              </w:rPr>
              <w:t>公里</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92</w:t>
            </w:r>
            <w:r w:rsidR="00C73B9F">
              <w:rPr>
                <w:rFonts w:hint="eastAsia"/>
                <w:lang w:val="en-GB"/>
              </w:rPr>
              <w:t xml:space="preserve"> </w:t>
            </w:r>
            <w:r w:rsidRPr="00E112CD">
              <w:rPr>
                <w:lang w:val="en-GB"/>
              </w:rPr>
              <w:t>011</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124</w:t>
            </w:r>
            <w:r w:rsidR="00C73B9F">
              <w:rPr>
                <w:rFonts w:hint="eastAsia"/>
                <w:lang w:val="en-GB"/>
              </w:rPr>
              <w:t xml:space="preserve"> </w:t>
            </w:r>
            <w:r w:rsidRPr="00E112CD">
              <w:rPr>
                <w:lang w:val="en-GB"/>
              </w:rPr>
              <w:t>653</w:t>
            </w:r>
          </w:p>
        </w:tc>
        <w:tc>
          <w:tcPr>
            <w:tcW w:w="993"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137</w:t>
            </w:r>
            <w:r w:rsidR="00C73B9F">
              <w:rPr>
                <w:rFonts w:hint="eastAsia"/>
                <w:lang w:val="en-GB"/>
              </w:rPr>
              <w:t xml:space="preserve"> </w:t>
            </w:r>
            <w:r w:rsidRPr="00E112CD">
              <w:rPr>
                <w:lang w:val="en-GB"/>
              </w:rPr>
              <w:t>219</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rFonts w:hint="eastAsia"/>
                <w:lang w:val="en-GB"/>
              </w:rPr>
              <w:t>不适用</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rFonts w:hint="eastAsia"/>
                <w:lang w:val="en-GB"/>
              </w:rPr>
              <w:t>不适用</w:t>
            </w:r>
          </w:p>
        </w:tc>
        <w:tc>
          <w:tcPr>
            <w:tcW w:w="992" w:type="dxa"/>
            <w:shd w:val="clear" w:color="auto" w:fill="auto"/>
            <w:vAlign w:val="bottom"/>
          </w:tcPr>
          <w:p w:rsidR="00E112CD" w:rsidRPr="00E112CD" w:rsidRDefault="00E112CD" w:rsidP="00E112CD">
            <w:pPr>
              <w:pStyle w:val="a5"/>
              <w:overflowPunct/>
              <w:ind w:right="0"/>
              <w:jc w:val="right"/>
              <w:rPr>
                <w:lang w:val="en-GB"/>
              </w:rPr>
            </w:pPr>
          </w:p>
        </w:tc>
        <w:tc>
          <w:tcPr>
            <w:tcW w:w="992" w:type="dxa"/>
            <w:shd w:val="clear" w:color="auto" w:fill="auto"/>
            <w:vAlign w:val="bottom"/>
          </w:tcPr>
          <w:p w:rsidR="00E112CD" w:rsidRPr="00E112CD" w:rsidRDefault="00E112CD" w:rsidP="00E112CD">
            <w:pPr>
              <w:pStyle w:val="a5"/>
              <w:overflowPunct/>
              <w:ind w:right="0"/>
              <w:jc w:val="right"/>
              <w:rPr>
                <w:lang w:val="en-GB"/>
              </w:rPr>
            </w:pPr>
          </w:p>
        </w:tc>
      </w:tr>
      <w:tr w:rsidR="00E112CD" w:rsidRPr="00E112CD" w:rsidTr="00E112CD">
        <w:trPr>
          <w:trHeight w:val="240"/>
        </w:trPr>
        <w:tc>
          <w:tcPr>
            <w:tcW w:w="1550" w:type="dxa"/>
            <w:shd w:val="clear" w:color="auto" w:fill="auto"/>
          </w:tcPr>
          <w:p w:rsidR="00E112CD" w:rsidRPr="00E112CD" w:rsidRDefault="00E112CD" w:rsidP="00E112CD">
            <w:pPr>
              <w:pStyle w:val="a5"/>
              <w:overflowPunct/>
              <w:ind w:right="0"/>
              <w:jc w:val="left"/>
              <w:rPr>
                <w:lang w:val="en-GB"/>
              </w:rPr>
            </w:pPr>
            <w:r w:rsidRPr="00E112CD">
              <w:rPr>
                <w:rFonts w:hint="eastAsia"/>
                <w:lang w:val="en-GB"/>
              </w:rPr>
              <w:t>管道供水</w:t>
            </w:r>
          </w:p>
        </w:tc>
        <w:tc>
          <w:tcPr>
            <w:tcW w:w="1420" w:type="dxa"/>
            <w:shd w:val="clear" w:color="auto" w:fill="auto"/>
            <w:vAlign w:val="bottom"/>
          </w:tcPr>
          <w:p w:rsidR="00E112CD" w:rsidRPr="00E112CD" w:rsidRDefault="006E1330" w:rsidP="00E112CD">
            <w:pPr>
              <w:pStyle w:val="a5"/>
              <w:overflowPunct/>
              <w:ind w:right="0"/>
              <w:jc w:val="right"/>
              <w:rPr>
                <w:lang w:val="en-GB"/>
              </w:rPr>
            </w:pPr>
            <w:r>
              <w:rPr>
                <w:lang w:val="en-GB"/>
              </w:rPr>
              <w:t>%</w:t>
            </w:r>
            <w:r w:rsidR="00E112CD" w:rsidRPr="00E112CD">
              <w:rPr>
                <w:rFonts w:hint="eastAsia"/>
                <w:lang w:val="en-GB"/>
              </w:rPr>
              <w:t>的人口</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6E1330">
              <w:rPr>
                <w:lang w:val="en-GB"/>
              </w:rPr>
              <w:t>0.</w:t>
            </w:r>
            <w:r w:rsidRPr="00E112CD">
              <w:rPr>
                <w:lang w:val="en-GB"/>
              </w:rPr>
              <w:t>9</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6E1330">
              <w:rPr>
                <w:lang w:val="en-GB"/>
              </w:rPr>
              <w:t>1.</w:t>
            </w:r>
            <w:r w:rsidRPr="00E112CD">
              <w:rPr>
                <w:lang w:val="en-GB"/>
              </w:rPr>
              <w:t>6</w:t>
            </w:r>
          </w:p>
        </w:tc>
        <w:tc>
          <w:tcPr>
            <w:tcW w:w="993"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6E1330">
              <w:rPr>
                <w:lang w:val="en-GB"/>
              </w:rPr>
              <w:t>2.</w:t>
            </w:r>
            <w:r w:rsidRPr="00E112CD">
              <w:rPr>
                <w:lang w:val="en-GB"/>
              </w:rPr>
              <w:t>4</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6E1330">
              <w:rPr>
                <w:lang w:val="en-GB"/>
              </w:rPr>
              <w:t>3.</w:t>
            </w:r>
            <w:r w:rsidRPr="00E112CD">
              <w:rPr>
                <w:lang w:val="en-GB"/>
              </w:rPr>
              <w:t>4</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rFonts w:hint="eastAsia"/>
                <w:lang w:val="en-GB"/>
              </w:rPr>
              <w:t>不适用</w:t>
            </w:r>
          </w:p>
        </w:tc>
        <w:tc>
          <w:tcPr>
            <w:tcW w:w="992" w:type="dxa"/>
            <w:shd w:val="clear" w:color="auto" w:fill="auto"/>
            <w:vAlign w:val="bottom"/>
          </w:tcPr>
          <w:p w:rsidR="00E112CD" w:rsidRPr="00E112CD" w:rsidRDefault="00E112CD" w:rsidP="00E112CD">
            <w:pPr>
              <w:pStyle w:val="a5"/>
              <w:overflowPunct/>
              <w:ind w:right="0"/>
              <w:jc w:val="right"/>
              <w:rPr>
                <w:lang w:val="en-GB"/>
              </w:rPr>
            </w:pPr>
          </w:p>
        </w:tc>
        <w:tc>
          <w:tcPr>
            <w:tcW w:w="992" w:type="dxa"/>
            <w:shd w:val="clear" w:color="auto" w:fill="auto"/>
            <w:vAlign w:val="bottom"/>
          </w:tcPr>
          <w:p w:rsidR="00E112CD" w:rsidRPr="00E112CD" w:rsidRDefault="00E112CD" w:rsidP="00E112CD">
            <w:pPr>
              <w:pStyle w:val="a5"/>
              <w:overflowPunct/>
              <w:ind w:right="0"/>
              <w:jc w:val="right"/>
              <w:rPr>
                <w:lang w:val="en-GB"/>
              </w:rPr>
            </w:pPr>
          </w:p>
        </w:tc>
      </w:tr>
      <w:tr w:rsidR="00E112CD" w:rsidRPr="00E112CD" w:rsidTr="00E112CD">
        <w:trPr>
          <w:trHeight w:val="240"/>
        </w:trPr>
        <w:tc>
          <w:tcPr>
            <w:tcW w:w="1550" w:type="dxa"/>
            <w:shd w:val="clear" w:color="auto" w:fill="auto"/>
          </w:tcPr>
          <w:p w:rsidR="00E112CD" w:rsidRPr="00E112CD" w:rsidRDefault="00E112CD" w:rsidP="00E112CD">
            <w:pPr>
              <w:pStyle w:val="a5"/>
              <w:overflowPunct/>
              <w:ind w:right="0"/>
              <w:jc w:val="left"/>
              <w:rPr>
                <w:lang w:val="en-GB"/>
              </w:rPr>
            </w:pPr>
            <w:r w:rsidRPr="00E112CD">
              <w:rPr>
                <w:rFonts w:hint="eastAsia"/>
                <w:lang w:val="en-GB"/>
              </w:rPr>
              <w:t>电力供应</w:t>
            </w:r>
            <w:r>
              <w:rPr>
                <w:rFonts w:hint="eastAsia"/>
                <w:lang w:val="en-GB"/>
              </w:rPr>
              <w:br/>
            </w:r>
            <w:r w:rsidR="006E1330">
              <w:rPr>
                <w:lang w:val="en-GB"/>
              </w:rPr>
              <w:t>(</w:t>
            </w:r>
            <w:r w:rsidRPr="00E112CD">
              <w:rPr>
                <w:rFonts w:hint="eastAsia"/>
                <w:lang w:val="en-GB"/>
              </w:rPr>
              <w:t>农村人口</w:t>
            </w:r>
            <w:r w:rsidR="006E1330">
              <w:rPr>
                <w:lang w:val="en-GB"/>
              </w:rPr>
              <w:t>)</w:t>
            </w:r>
          </w:p>
        </w:tc>
        <w:tc>
          <w:tcPr>
            <w:tcW w:w="1420" w:type="dxa"/>
            <w:shd w:val="clear" w:color="auto" w:fill="auto"/>
            <w:vAlign w:val="bottom"/>
          </w:tcPr>
          <w:p w:rsidR="00E112CD" w:rsidRPr="00E112CD" w:rsidRDefault="006E1330" w:rsidP="00E112CD">
            <w:pPr>
              <w:pStyle w:val="a5"/>
              <w:overflowPunct/>
              <w:ind w:right="0"/>
              <w:jc w:val="right"/>
              <w:rPr>
                <w:lang w:val="en-GB"/>
              </w:rPr>
            </w:pPr>
            <w:r>
              <w:rPr>
                <w:lang w:val="en-GB"/>
              </w:rPr>
              <w:t>%</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6E1330">
              <w:rPr>
                <w:lang w:val="en-GB"/>
              </w:rPr>
              <w:t>1.</w:t>
            </w:r>
            <w:r w:rsidRPr="00E112CD">
              <w:rPr>
                <w:lang w:val="en-GB"/>
              </w:rPr>
              <w:t>7</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6E1330">
              <w:rPr>
                <w:lang w:val="en-GB"/>
              </w:rPr>
              <w:t>2.</w:t>
            </w:r>
            <w:r w:rsidRPr="00E112CD">
              <w:rPr>
                <w:lang w:val="en-GB"/>
              </w:rPr>
              <w:t>3</w:t>
            </w:r>
          </w:p>
        </w:tc>
        <w:tc>
          <w:tcPr>
            <w:tcW w:w="993"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6E1330">
              <w:rPr>
                <w:lang w:val="en-GB"/>
              </w:rPr>
              <w:t>3.</w:t>
            </w:r>
            <w:r w:rsidRPr="00E112CD">
              <w:rPr>
                <w:lang w:val="en-GB"/>
              </w:rPr>
              <w:t>4</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6E1330">
              <w:rPr>
                <w:lang w:val="en-GB"/>
              </w:rPr>
              <w:t>4.</w:t>
            </w:r>
            <w:r w:rsidRPr="00E112CD">
              <w:rPr>
                <w:lang w:val="en-GB"/>
              </w:rPr>
              <w:t>6</w:t>
            </w:r>
          </w:p>
        </w:tc>
        <w:tc>
          <w:tcPr>
            <w:tcW w:w="992" w:type="dxa"/>
            <w:shd w:val="clear" w:color="auto" w:fill="auto"/>
            <w:vAlign w:val="bottom"/>
          </w:tcPr>
          <w:p w:rsidR="00E112CD" w:rsidRPr="00E112CD" w:rsidRDefault="00E112CD" w:rsidP="00E112CD">
            <w:pPr>
              <w:pStyle w:val="a5"/>
              <w:overflowPunct/>
              <w:ind w:right="0"/>
              <w:jc w:val="right"/>
              <w:rPr>
                <w:lang w:val="en-GB"/>
              </w:rPr>
            </w:pPr>
            <w:r w:rsidRPr="00E112CD">
              <w:rPr>
                <w:rFonts w:hint="eastAsia"/>
                <w:lang w:val="en-GB"/>
              </w:rPr>
              <w:t>不适用</w:t>
            </w:r>
          </w:p>
        </w:tc>
        <w:tc>
          <w:tcPr>
            <w:tcW w:w="992" w:type="dxa"/>
            <w:shd w:val="clear" w:color="auto" w:fill="auto"/>
            <w:vAlign w:val="bottom"/>
          </w:tcPr>
          <w:p w:rsidR="00E112CD" w:rsidRPr="00E112CD" w:rsidRDefault="00E112CD" w:rsidP="00E112CD">
            <w:pPr>
              <w:pStyle w:val="a5"/>
              <w:overflowPunct/>
              <w:ind w:right="0"/>
              <w:jc w:val="right"/>
              <w:rPr>
                <w:lang w:val="en-GB"/>
              </w:rPr>
            </w:pPr>
          </w:p>
        </w:tc>
        <w:tc>
          <w:tcPr>
            <w:tcW w:w="992" w:type="dxa"/>
            <w:shd w:val="clear" w:color="auto" w:fill="auto"/>
            <w:vAlign w:val="bottom"/>
          </w:tcPr>
          <w:p w:rsidR="00E112CD" w:rsidRPr="00E112CD" w:rsidRDefault="00E112CD" w:rsidP="00E112CD">
            <w:pPr>
              <w:pStyle w:val="a5"/>
              <w:overflowPunct/>
              <w:ind w:right="0"/>
              <w:jc w:val="right"/>
              <w:rPr>
                <w:lang w:val="en-GB"/>
              </w:rPr>
            </w:pPr>
          </w:p>
        </w:tc>
      </w:tr>
    </w:tbl>
    <w:p w:rsidR="00E112CD" w:rsidRPr="00E112CD" w:rsidRDefault="00E112CD">
      <w:pPr>
        <w:pStyle w:val="SingleTxtGC"/>
        <w:spacing w:before="120"/>
        <w:rPr>
          <w:rFonts w:hint="eastAsia"/>
          <w:sz w:val="19"/>
          <w:szCs w:val="19"/>
        </w:rPr>
      </w:pPr>
      <w:r w:rsidRPr="001D60F7">
        <w:rPr>
          <w:rFonts w:eastAsia="KaiTi_GB2312" w:hint="eastAsia"/>
          <w:sz w:val="19"/>
          <w:szCs w:val="19"/>
        </w:rPr>
        <w:t>资料来源</w:t>
      </w:r>
      <w:r w:rsidR="006E1330">
        <w:rPr>
          <w:rFonts w:eastAsia="KaiTi_GB2312" w:hint="eastAsia"/>
          <w:sz w:val="19"/>
          <w:szCs w:val="19"/>
        </w:rPr>
        <w:t>：</w:t>
      </w:r>
      <w:r w:rsidRPr="00E112CD">
        <w:rPr>
          <w:rFonts w:hint="eastAsia"/>
          <w:sz w:val="19"/>
          <w:szCs w:val="19"/>
        </w:rPr>
        <w:t>《马来西亚经济》</w:t>
      </w:r>
      <w:r w:rsidR="006E1330">
        <w:rPr>
          <w:rFonts w:hint="eastAsia"/>
          <w:sz w:val="19"/>
          <w:szCs w:val="19"/>
        </w:rPr>
        <w:t>，</w:t>
      </w:r>
      <w:r w:rsidRPr="00E112CD">
        <w:rPr>
          <w:rFonts w:hint="eastAsia"/>
          <w:sz w:val="19"/>
          <w:szCs w:val="19"/>
        </w:rPr>
        <w:t>财政部</w:t>
      </w:r>
      <w:r w:rsidR="006E1330">
        <w:rPr>
          <w:rFonts w:hint="eastAsia"/>
          <w:sz w:val="19"/>
          <w:szCs w:val="19"/>
        </w:rPr>
        <w:t>，</w:t>
      </w:r>
      <w:r w:rsidRPr="00E112CD">
        <w:rPr>
          <w:rFonts w:hint="eastAsia"/>
          <w:sz w:val="19"/>
          <w:szCs w:val="19"/>
        </w:rPr>
        <w:t>马来西亚</w:t>
      </w:r>
      <w:r w:rsidR="006E1330">
        <w:rPr>
          <w:rFonts w:hint="eastAsia"/>
          <w:sz w:val="19"/>
          <w:szCs w:val="19"/>
        </w:rPr>
        <w:t>，</w:t>
      </w:r>
      <w:r w:rsidRPr="00E112CD">
        <w:rPr>
          <w:rFonts w:hint="eastAsia"/>
          <w:sz w:val="19"/>
          <w:szCs w:val="19"/>
        </w:rPr>
        <w:t>2014</w:t>
      </w:r>
      <w:r w:rsidRPr="00E112CD">
        <w:rPr>
          <w:rFonts w:hint="eastAsia"/>
          <w:sz w:val="19"/>
          <w:szCs w:val="19"/>
        </w:rPr>
        <w:t>年。</w:t>
      </w:r>
    </w:p>
    <w:p w:rsidR="00E112CD" w:rsidRPr="00E112CD" w:rsidRDefault="00E112CD" w:rsidP="00E112CD">
      <w:pPr>
        <w:pStyle w:val="SingleTxtGC"/>
        <w:rPr>
          <w:lang w:val="en-GB"/>
        </w:rPr>
      </w:pPr>
      <w:r w:rsidRPr="00E112CD">
        <w:rPr>
          <w:rFonts w:hint="eastAsia"/>
          <w:lang w:val="en-GB"/>
        </w:rPr>
        <w:t>表</w:t>
      </w:r>
      <w:r w:rsidRPr="00E112CD">
        <w:rPr>
          <w:lang w:val="en-GB"/>
        </w:rPr>
        <w:t>2</w:t>
      </w:r>
      <w:r>
        <w:rPr>
          <w:rFonts w:hint="eastAsia"/>
          <w:lang w:val="en-GB"/>
        </w:rPr>
        <w:br/>
      </w:r>
      <w:r w:rsidRPr="00E112CD">
        <w:rPr>
          <w:rFonts w:eastAsia="SimHei" w:hAnsi="SimHei"/>
          <w:lang w:val="en-GB"/>
        </w:rPr>
        <w:t>按族裔群体分类的人口</w:t>
      </w:r>
      <w:r w:rsidR="006E1330">
        <w:rPr>
          <w:rFonts w:eastAsia="SimHei" w:hAnsi="SimHei"/>
          <w:lang w:val="en-GB"/>
        </w:rPr>
        <w:t>，</w:t>
      </w:r>
      <w:r w:rsidRPr="00E112CD">
        <w:rPr>
          <w:rFonts w:eastAsia="SimHei" w:hAnsi="SimHei"/>
          <w:lang w:val="en-GB"/>
        </w:rPr>
        <w:t>马来西亚</w:t>
      </w:r>
      <w:r w:rsidR="006E1330">
        <w:rPr>
          <w:rFonts w:eastAsia="SimHei" w:hAnsi="SimHei"/>
          <w:lang w:val="en-GB"/>
        </w:rPr>
        <w:t>，</w:t>
      </w:r>
      <w:r w:rsidRPr="00E112CD">
        <w:rPr>
          <w:rFonts w:eastAsia="SimHei"/>
          <w:lang w:val="en-GB"/>
        </w:rPr>
        <w:t>2014</w:t>
      </w:r>
      <w:r w:rsidRPr="00E112CD">
        <w:rPr>
          <w:rFonts w:eastAsia="SimHei" w:hAnsi="SimHei"/>
          <w:lang w:val="en-GB"/>
        </w:rPr>
        <w:t>年</w:t>
      </w:r>
      <w:r w:rsidR="006E1330">
        <w:rPr>
          <w:rFonts w:eastAsia="SimHei"/>
          <w:lang w:val="en-GB"/>
        </w:rPr>
        <w:t>(</w:t>
      </w:r>
      <w:r w:rsidRPr="00E112CD">
        <w:rPr>
          <w:rFonts w:eastAsia="SimHei" w:hAnsi="SimHei"/>
          <w:lang w:val="en-GB"/>
        </w:rPr>
        <w:t>千人</w:t>
      </w:r>
      <w:r w:rsidR="006E1330">
        <w:rPr>
          <w:rFonts w:eastAsia="SimHei"/>
          <w:lang w:val="en-GB"/>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1843"/>
        <w:gridCol w:w="1843"/>
        <w:gridCol w:w="1842"/>
        <w:gridCol w:w="1842"/>
      </w:tblGrid>
      <w:tr w:rsidR="00E112CD" w:rsidRPr="00E112CD" w:rsidTr="00E112CD">
        <w:trPr>
          <w:trHeight w:val="240"/>
          <w:tblHeader/>
        </w:trPr>
        <w:tc>
          <w:tcPr>
            <w:tcW w:w="1843"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left"/>
              <w:rPr>
                <w:lang w:val="en-GB"/>
              </w:rPr>
            </w:pPr>
            <w:r w:rsidRPr="00E112CD">
              <w:rPr>
                <w:rFonts w:hint="eastAsia"/>
                <w:lang w:val="en-GB"/>
              </w:rPr>
              <w:t>族裔</w:t>
            </w:r>
          </w:p>
        </w:tc>
        <w:tc>
          <w:tcPr>
            <w:tcW w:w="1843"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right"/>
              <w:rPr>
                <w:lang w:val="en-GB"/>
              </w:rPr>
            </w:pPr>
            <w:r w:rsidRPr="00E112CD">
              <w:rPr>
                <w:rFonts w:hint="eastAsia"/>
                <w:lang w:val="en-GB"/>
              </w:rPr>
              <w:t>男性</w:t>
            </w:r>
          </w:p>
        </w:tc>
        <w:tc>
          <w:tcPr>
            <w:tcW w:w="1842"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right"/>
              <w:rPr>
                <w:lang w:val="en-GB"/>
              </w:rPr>
            </w:pPr>
            <w:r w:rsidRPr="00E112CD">
              <w:rPr>
                <w:rFonts w:hint="eastAsia"/>
                <w:lang w:val="en-GB"/>
              </w:rPr>
              <w:t>女性</w:t>
            </w:r>
          </w:p>
        </w:tc>
        <w:tc>
          <w:tcPr>
            <w:tcW w:w="1842" w:type="dxa"/>
            <w:tcBorders>
              <w:top w:val="single" w:sz="4" w:space="0" w:color="auto"/>
              <w:bottom w:val="single" w:sz="12" w:space="0" w:color="auto"/>
            </w:tcBorders>
            <w:shd w:val="clear" w:color="auto" w:fill="auto"/>
            <w:vAlign w:val="bottom"/>
          </w:tcPr>
          <w:p w:rsidR="00E112CD" w:rsidRPr="00E112CD" w:rsidRDefault="00E112CD" w:rsidP="00E112CD">
            <w:pPr>
              <w:pStyle w:val="a0"/>
              <w:ind w:right="0"/>
              <w:jc w:val="right"/>
              <w:rPr>
                <w:b/>
                <w:bCs/>
                <w:lang w:val="en-GB"/>
              </w:rPr>
            </w:pPr>
            <w:r w:rsidRPr="00E112CD">
              <w:rPr>
                <w:rFonts w:hint="eastAsia"/>
                <w:b/>
                <w:bCs/>
                <w:lang w:val="en-GB"/>
              </w:rPr>
              <w:t>总数</w:t>
            </w:r>
          </w:p>
        </w:tc>
      </w:tr>
      <w:tr w:rsidR="00E112CD" w:rsidRPr="00E112CD" w:rsidTr="00E112CD">
        <w:trPr>
          <w:trHeight w:val="240"/>
        </w:trPr>
        <w:tc>
          <w:tcPr>
            <w:tcW w:w="1843" w:type="dxa"/>
            <w:tcBorders>
              <w:top w:val="single" w:sz="12" w:space="0" w:color="auto"/>
            </w:tcBorders>
            <w:shd w:val="clear" w:color="auto" w:fill="auto"/>
          </w:tcPr>
          <w:p w:rsidR="00E112CD" w:rsidRPr="00E112CD" w:rsidRDefault="00E112CD" w:rsidP="00E112CD">
            <w:pPr>
              <w:pStyle w:val="a5"/>
              <w:overflowPunct/>
              <w:ind w:right="0"/>
              <w:jc w:val="left"/>
              <w:rPr>
                <w:lang w:val="en-GB"/>
              </w:rPr>
            </w:pPr>
            <w:r w:rsidRPr="00E112CD">
              <w:rPr>
                <w:rFonts w:hint="eastAsia"/>
                <w:lang w:val="en-GB"/>
              </w:rPr>
              <w:t>马来人</w:t>
            </w:r>
          </w:p>
        </w:tc>
        <w:tc>
          <w:tcPr>
            <w:tcW w:w="1843" w:type="dxa"/>
            <w:tcBorders>
              <w:top w:val="single" w:sz="12"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C73B9F">
              <w:rPr>
                <w:rFonts w:hint="eastAsia"/>
                <w:lang w:val="en-GB"/>
              </w:rPr>
              <w:t xml:space="preserve"> </w:t>
            </w:r>
            <w:r w:rsidRPr="00E112CD">
              <w:rPr>
                <w:lang w:val="en-GB"/>
              </w:rPr>
              <w:t>50</w:t>
            </w:r>
            <w:r w:rsidR="006E1330">
              <w:rPr>
                <w:lang w:val="en-GB"/>
              </w:rPr>
              <w:t>2.</w:t>
            </w:r>
            <w:r w:rsidRPr="00E112CD">
              <w:rPr>
                <w:lang w:val="en-GB"/>
              </w:rPr>
              <w:t>2</w:t>
            </w:r>
          </w:p>
        </w:tc>
        <w:tc>
          <w:tcPr>
            <w:tcW w:w="1842" w:type="dxa"/>
            <w:tcBorders>
              <w:top w:val="single" w:sz="12"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lang w:val="en-GB"/>
              </w:rPr>
              <w:t>9</w:t>
            </w:r>
            <w:r w:rsidR="00C73B9F">
              <w:rPr>
                <w:rFonts w:hint="eastAsia"/>
                <w:lang w:val="en-GB"/>
              </w:rPr>
              <w:t xml:space="preserve"> </w:t>
            </w:r>
            <w:r w:rsidRPr="00E112CD">
              <w:rPr>
                <w:lang w:val="en-GB"/>
              </w:rPr>
              <w:t>34</w:t>
            </w:r>
            <w:r w:rsidR="006E1330">
              <w:rPr>
                <w:lang w:val="en-GB"/>
              </w:rPr>
              <w:t>2.</w:t>
            </w:r>
            <w:r w:rsidRPr="00E112CD">
              <w:rPr>
                <w:lang w:val="en-GB"/>
              </w:rPr>
              <w:t>3</w:t>
            </w:r>
          </w:p>
        </w:tc>
        <w:tc>
          <w:tcPr>
            <w:tcW w:w="1842" w:type="dxa"/>
            <w:tcBorders>
              <w:top w:val="single" w:sz="12" w:space="0" w:color="auto"/>
            </w:tcBorders>
            <w:shd w:val="clear" w:color="auto" w:fill="auto"/>
            <w:vAlign w:val="bottom"/>
          </w:tcPr>
          <w:p w:rsidR="00E112CD" w:rsidRPr="00E112CD" w:rsidRDefault="00E112CD" w:rsidP="00E112CD">
            <w:pPr>
              <w:pStyle w:val="a5"/>
              <w:overflowPunct/>
              <w:ind w:right="0"/>
              <w:jc w:val="right"/>
              <w:rPr>
                <w:b/>
                <w:bCs/>
                <w:lang w:val="en-GB"/>
              </w:rPr>
            </w:pPr>
            <w:r w:rsidRPr="00E112CD">
              <w:rPr>
                <w:b/>
                <w:bCs/>
                <w:lang w:val="en-GB"/>
              </w:rPr>
              <w:t>18</w:t>
            </w:r>
            <w:r w:rsidR="00C73B9F">
              <w:rPr>
                <w:rFonts w:hint="eastAsia"/>
                <w:b/>
                <w:bCs/>
                <w:lang w:val="en-GB"/>
              </w:rPr>
              <w:t xml:space="preserve"> </w:t>
            </w:r>
            <w:r w:rsidRPr="00E112CD">
              <w:rPr>
                <w:b/>
                <w:bCs/>
                <w:lang w:val="en-GB"/>
              </w:rPr>
              <w:t>84</w:t>
            </w:r>
            <w:r w:rsidR="006E1330">
              <w:rPr>
                <w:b/>
                <w:bCs/>
                <w:lang w:val="en-GB"/>
              </w:rPr>
              <w:t>4.</w:t>
            </w:r>
            <w:r w:rsidRPr="00E112CD">
              <w:rPr>
                <w:b/>
                <w:bCs/>
                <w:lang w:val="en-GB"/>
              </w:rPr>
              <w:t>5</w:t>
            </w:r>
          </w:p>
        </w:tc>
      </w:tr>
      <w:tr w:rsidR="00E112CD" w:rsidRPr="00E112CD" w:rsidTr="00E112CD">
        <w:trPr>
          <w:trHeight w:val="240"/>
        </w:trPr>
        <w:tc>
          <w:tcPr>
            <w:tcW w:w="1843" w:type="dxa"/>
            <w:shd w:val="clear" w:color="auto" w:fill="auto"/>
          </w:tcPr>
          <w:p w:rsidR="00E112CD" w:rsidRPr="00E112CD" w:rsidRDefault="00E112CD" w:rsidP="00E112CD">
            <w:pPr>
              <w:pStyle w:val="a5"/>
              <w:overflowPunct/>
              <w:ind w:right="0"/>
              <w:jc w:val="left"/>
              <w:rPr>
                <w:lang w:val="en-GB"/>
              </w:rPr>
            </w:pPr>
            <w:r w:rsidRPr="00E112CD">
              <w:rPr>
                <w:rFonts w:hint="eastAsia"/>
                <w:lang w:val="en-GB"/>
              </w:rPr>
              <w:t>华人</w:t>
            </w:r>
          </w:p>
        </w:tc>
        <w:tc>
          <w:tcPr>
            <w:tcW w:w="1843"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3</w:t>
            </w:r>
            <w:r w:rsidR="00C73B9F">
              <w:rPr>
                <w:rFonts w:hint="eastAsia"/>
                <w:lang w:val="en-GB"/>
              </w:rPr>
              <w:t xml:space="preserve"> </w:t>
            </w:r>
            <w:r w:rsidRPr="00E112CD">
              <w:rPr>
                <w:lang w:val="en-GB"/>
              </w:rPr>
              <w:t>38</w:t>
            </w:r>
            <w:r w:rsidR="006E1330">
              <w:rPr>
                <w:lang w:val="en-GB"/>
              </w:rPr>
              <w:t>6.</w:t>
            </w:r>
            <w:r w:rsidRPr="00E112CD">
              <w:rPr>
                <w:lang w:val="en-GB"/>
              </w:rPr>
              <w:t>5</w:t>
            </w:r>
          </w:p>
        </w:tc>
        <w:tc>
          <w:tcPr>
            <w:tcW w:w="184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3</w:t>
            </w:r>
            <w:r w:rsidR="00C73B9F">
              <w:rPr>
                <w:rFonts w:hint="eastAsia"/>
                <w:lang w:val="en-GB"/>
              </w:rPr>
              <w:t xml:space="preserve"> </w:t>
            </w:r>
            <w:r w:rsidRPr="00E112CD">
              <w:rPr>
                <w:lang w:val="en-GB"/>
              </w:rPr>
              <w:t>19</w:t>
            </w:r>
            <w:r w:rsidR="006E1330">
              <w:rPr>
                <w:lang w:val="en-GB"/>
              </w:rPr>
              <w:t>9.</w:t>
            </w:r>
            <w:r w:rsidRPr="00E112CD">
              <w:rPr>
                <w:lang w:val="en-GB"/>
              </w:rPr>
              <w:t>3</w:t>
            </w:r>
          </w:p>
        </w:tc>
        <w:tc>
          <w:tcPr>
            <w:tcW w:w="1842" w:type="dxa"/>
            <w:shd w:val="clear" w:color="auto" w:fill="auto"/>
            <w:vAlign w:val="bottom"/>
          </w:tcPr>
          <w:p w:rsidR="00E112CD" w:rsidRPr="00E112CD" w:rsidRDefault="00E112CD" w:rsidP="00E112CD">
            <w:pPr>
              <w:pStyle w:val="a5"/>
              <w:overflowPunct/>
              <w:ind w:right="0"/>
              <w:jc w:val="right"/>
              <w:rPr>
                <w:b/>
                <w:bCs/>
                <w:lang w:val="en-GB"/>
              </w:rPr>
            </w:pPr>
            <w:r w:rsidRPr="00E112CD">
              <w:rPr>
                <w:b/>
                <w:bCs/>
                <w:lang w:val="en-GB"/>
              </w:rPr>
              <w:t>6</w:t>
            </w:r>
            <w:r w:rsidR="00C73B9F">
              <w:rPr>
                <w:rFonts w:hint="eastAsia"/>
                <w:b/>
                <w:bCs/>
                <w:lang w:val="en-GB"/>
              </w:rPr>
              <w:t xml:space="preserve"> </w:t>
            </w:r>
            <w:r w:rsidRPr="00E112CD">
              <w:rPr>
                <w:b/>
                <w:bCs/>
                <w:lang w:val="en-GB"/>
              </w:rPr>
              <w:t>58</w:t>
            </w:r>
            <w:r w:rsidR="006E1330">
              <w:rPr>
                <w:b/>
                <w:bCs/>
                <w:lang w:val="en-GB"/>
              </w:rPr>
              <w:t>5.</w:t>
            </w:r>
            <w:r w:rsidRPr="00E112CD">
              <w:rPr>
                <w:b/>
                <w:bCs/>
                <w:lang w:val="en-GB"/>
              </w:rPr>
              <w:t>8</w:t>
            </w:r>
          </w:p>
        </w:tc>
      </w:tr>
      <w:tr w:rsidR="00E112CD" w:rsidRPr="00E112CD" w:rsidTr="00E112CD">
        <w:trPr>
          <w:trHeight w:val="240"/>
        </w:trPr>
        <w:tc>
          <w:tcPr>
            <w:tcW w:w="1843" w:type="dxa"/>
            <w:shd w:val="clear" w:color="auto" w:fill="auto"/>
          </w:tcPr>
          <w:p w:rsidR="00E112CD" w:rsidRPr="00E112CD" w:rsidRDefault="00E112CD" w:rsidP="00E112CD">
            <w:pPr>
              <w:pStyle w:val="a5"/>
              <w:overflowPunct/>
              <w:ind w:right="0"/>
              <w:jc w:val="left"/>
              <w:rPr>
                <w:lang w:val="en-GB"/>
              </w:rPr>
            </w:pPr>
            <w:r w:rsidRPr="00E112CD">
              <w:rPr>
                <w:rFonts w:hint="eastAsia"/>
                <w:lang w:val="en-GB"/>
              </w:rPr>
              <w:t>印度人</w:t>
            </w:r>
          </w:p>
        </w:tc>
        <w:tc>
          <w:tcPr>
            <w:tcW w:w="1843"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98</w:t>
            </w:r>
            <w:r w:rsidR="006E1330">
              <w:rPr>
                <w:lang w:val="en-GB"/>
              </w:rPr>
              <w:t>8.</w:t>
            </w:r>
            <w:r w:rsidRPr="00E112CD">
              <w:rPr>
                <w:lang w:val="en-GB"/>
              </w:rPr>
              <w:t>2</w:t>
            </w:r>
          </w:p>
        </w:tc>
        <w:tc>
          <w:tcPr>
            <w:tcW w:w="1842" w:type="dxa"/>
            <w:shd w:val="clear" w:color="auto" w:fill="auto"/>
            <w:vAlign w:val="bottom"/>
          </w:tcPr>
          <w:p w:rsidR="00E112CD" w:rsidRPr="00E112CD" w:rsidRDefault="00E112CD" w:rsidP="00E112CD">
            <w:pPr>
              <w:pStyle w:val="a5"/>
              <w:overflowPunct/>
              <w:ind w:right="0"/>
              <w:jc w:val="right"/>
              <w:rPr>
                <w:lang w:val="en-GB"/>
              </w:rPr>
            </w:pPr>
            <w:r w:rsidRPr="00E112CD">
              <w:rPr>
                <w:lang w:val="en-GB"/>
              </w:rPr>
              <w:t>98</w:t>
            </w:r>
            <w:r w:rsidR="006E1330">
              <w:rPr>
                <w:lang w:val="en-GB"/>
              </w:rPr>
              <w:t>8.</w:t>
            </w:r>
            <w:r w:rsidRPr="00E112CD">
              <w:rPr>
                <w:lang w:val="en-GB"/>
              </w:rPr>
              <w:t>4</w:t>
            </w:r>
          </w:p>
        </w:tc>
        <w:tc>
          <w:tcPr>
            <w:tcW w:w="1842" w:type="dxa"/>
            <w:shd w:val="clear" w:color="auto" w:fill="auto"/>
            <w:vAlign w:val="bottom"/>
          </w:tcPr>
          <w:p w:rsidR="00E112CD" w:rsidRPr="00E112CD" w:rsidRDefault="00E112CD" w:rsidP="00E112CD">
            <w:pPr>
              <w:pStyle w:val="a5"/>
              <w:overflowPunct/>
              <w:ind w:right="0"/>
              <w:jc w:val="right"/>
              <w:rPr>
                <w:b/>
                <w:bCs/>
                <w:lang w:val="en-GB"/>
              </w:rPr>
            </w:pPr>
            <w:r w:rsidRPr="00E112CD">
              <w:rPr>
                <w:b/>
                <w:bCs/>
                <w:lang w:val="en-GB"/>
              </w:rPr>
              <w:t>1</w:t>
            </w:r>
            <w:r w:rsidR="00C73B9F">
              <w:rPr>
                <w:rFonts w:hint="eastAsia"/>
                <w:b/>
                <w:bCs/>
                <w:lang w:val="en-GB"/>
              </w:rPr>
              <w:t xml:space="preserve"> </w:t>
            </w:r>
            <w:r w:rsidRPr="00E112CD">
              <w:rPr>
                <w:b/>
                <w:bCs/>
                <w:lang w:val="en-GB"/>
              </w:rPr>
              <w:t>97</w:t>
            </w:r>
            <w:r w:rsidR="006E1330">
              <w:rPr>
                <w:b/>
                <w:bCs/>
                <w:lang w:val="en-GB"/>
              </w:rPr>
              <w:t>6.</w:t>
            </w:r>
            <w:r w:rsidRPr="00E112CD">
              <w:rPr>
                <w:b/>
                <w:bCs/>
                <w:lang w:val="en-GB"/>
              </w:rPr>
              <w:t>6</w:t>
            </w:r>
          </w:p>
        </w:tc>
      </w:tr>
      <w:tr w:rsidR="00E112CD" w:rsidRPr="00E112CD" w:rsidTr="00E112CD">
        <w:trPr>
          <w:trHeight w:val="240"/>
        </w:trPr>
        <w:tc>
          <w:tcPr>
            <w:tcW w:w="1843" w:type="dxa"/>
            <w:tcBorders>
              <w:bottom w:val="single" w:sz="4" w:space="0" w:color="auto"/>
            </w:tcBorders>
            <w:shd w:val="clear" w:color="auto" w:fill="auto"/>
          </w:tcPr>
          <w:p w:rsidR="00E112CD" w:rsidRPr="00E112CD" w:rsidRDefault="00E112CD" w:rsidP="00E112CD">
            <w:pPr>
              <w:pStyle w:val="a5"/>
              <w:overflowPunct/>
              <w:ind w:right="0"/>
              <w:jc w:val="left"/>
              <w:rPr>
                <w:lang w:val="en-GB"/>
              </w:rPr>
            </w:pPr>
            <w:r w:rsidRPr="00E112CD">
              <w:rPr>
                <w:rFonts w:hint="eastAsia"/>
                <w:lang w:val="en-GB"/>
              </w:rPr>
              <w:t>其他</w:t>
            </w:r>
          </w:p>
        </w:tc>
        <w:tc>
          <w:tcPr>
            <w:tcW w:w="1843" w:type="dxa"/>
            <w:tcBorders>
              <w:bottom w:val="single" w:sz="4"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lang w:val="en-GB"/>
              </w:rPr>
              <w:t>1</w:t>
            </w:r>
            <w:r w:rsidR="00C73B9F">
              <w:rPr>
                <w:rFonts w:hint="eastAsia"/>
                <w:lang w:val="en-GB"/>
              </w:rPr>
              <w:t xml:space="preserve"> </w:t>
            </w:r>
            <w:r w:rsidRPr="00E112CD">
              <w:rPr>
                <w:lang w:val="en-GB"/>
              </w:rPr>
              <w:t>91</w:t>
            </w:r>
            <w:r w:rsidR="006E1330">
              <w:rPr>
                <w:lang w:val="en-GB"/>
              </w:rPr>
              <w:t>9.</w:t>
            </w:r>
            <w:r w:rsidRPr="00E112CD">
              <w:rPr>
                <w:lang w:val="en-GB"/>
              </w:rPr>
              <w:t>5</w:t>
            </w:r>
          </w:p>
        </w:tc>
        <w:tc>
          <w:tcPr>
            <w:tcW w:w="1842" w:type="dxa"/>
            <w:tcBorders>
              <w:bottom w:val="single" w:sz="4" w:space="0" w:color="auto"/>
            </w:tcBorders>
            <w:shd w:val="clear" w:color="auto" w:fill="auto"/>
            <w:vAlign w:val="bottom"/>
          </w:tcPr>
          <w:p w:rsidR="00E112CD" w:rsidRPr="00E112CD" w:rsidRDefault="00E112CD" w:rsidP="00E112CD">
            <w:pPr>
              <w:pStyle w:val="a5"/>
              <w:overflowPunct/>
              <w:ind w:right="0"/>
              <w:jc w:val="right"/>
              <w:rPr>
                <w:lang w:val="en-GB"/>
              </w:rPr>
            </w:pPr>
            <w:r w:rsidRPr="00E112CD">
              <w:rPr>
                <w:lang w:val="en-GB"/>
              </w:rPr>
              <w:t>1</w:t>
            </w:r>
            <w:r w:rsidR="00C73B9F">
              <w:rPr>
                <w:rFonts w:hint="eastAsia"/>
                <w:lang w:val="en-GB"/>
              </w:rPr>
              <w:t xml:space="preserve"> </w:t>
            </w:r>
            <w:r w:rsidRPr="00E112CD">
              <w:rPr>
                <w:lang w:val="en-GB"/>
              </w:rPr>
              <w:t>27</w:t>
            </w:r>
            <w:r w:rsidR="006E1330">
              <w:rPr>
                <w:lang w:val="en-GB"/>
              </w:rPr>
              <w:t>1.</w:t>
            </w:r>
            <w:r w:rsidRPr="00E112CD">
              <w:rPr>
                <w:lang w:val="en-GB"/>
              </w:rPr>
              <w:t>6</w:t>
            </w:r>
          </w:p>
        </w:tc>
        <w:tc>
          <w:tcPr>
            <w:tcW w:w="1842" w:type="dxa"/>
            <w:tcBorders>
              <w:bottom w:val="single" w:sz="4" w:space="0" w:color="auto"/>
            </w:tcBorders>
            <w:shd w:val="clear" w:color="auto" w:fill="auto"/>
            <w:vAlign w:val="bottom"/>
          </w:tcPr>
          <w:p w:rsidR="00E112CD" w:rsidRPr="00E112CD" w:rsidRDefault="00E112CD" w:rsidP="00E112CD">
            <w:pPr>
              <w:pStyle w:val="a5"/>
              <w:overflowPunct/>
              <w:ind w:right="0"/>
              <w:jc w:val="right"/>
              <w:rPr>
                <w:b/>
                <w:bCs/>
                <w:lang w:val="en-GB"/>
              </w:rPr>
            </w:pPr>
            <w:r w:rsidRPr="00E112CD">
              <w:rPr>
                <w:b/>
                <w:bCs/>
                <w:lang w:val="en-GB"/>
              </w:rPr>
              <w:t>3</w:t>
            </w:r>
            <w:r w:rsidR="00C73B9F">
              <w:rPr>
                <w:rFonts w:hint="eastAsia"/>
                <w:b/>
                <w:bCs/>
                <w:lang w:val="en-GB"/>
              </w:rPr>
              <w:t xml:space="preserve"> </w:t>
            </w:r>
            <w:r w:rsidRPr="00E112CD">
              <w:rPr>
                <w:b/>
                <w:bCs/>
                <w:lang w:val="en-GB"/>
              </w:rPr>
              <w:t>19</w:t>
            </w:r>
            <w:r w:rsidR="006E1330">
              <w:rPr>
                <w:b/>
                <w:bCs/>
                <w:lang w:val="en-GB"/>
              </w:rPr>
              <w:t>1.</w:t>
            </w:r>
            <w:r w:rsidRPr="00E112CD">
              <w:rPr>
                <w:b/>
                <w:bCs/>
                <w:lang w:val="en-GB"/>
              </w:rPr>
              <w:t>1</w:t>
            </w:r>
          </w:p>
        </w:tc>
      </w:tr>
      <w:tr w:rsidR="00E112CD" w:rsidRPr="00E112CD" w:rsidTr="00E112CD">
        <w:trPr>
          <w:trHeight w:val="240"/>
        </w:trPr>
        <w:tc>
          <w:tcPr>
            <w:tcW w:w="1843" w:type="dxa"/>
            <w:tcBorders>
              <w:top w:val="single" w:sz="4" w:space="0" w:color="auto"/>
              <w:bottom w:val="single" w:sz="12" w:space="0" w:color="auto"/>
            </w:tcBorders>
            <w:shd w:val="clear" w:color="auto" w:fill="auto"/>
          </w:tcPr>
          <w:p w:rsidR="00E112CD" w:rsidRPr="00E112CD" w:rsidRDefault="00E112CD" w:rsidP="00E112CD">
            <w:pPr>
              <w:pStyle w:val="a5"/>
              <w:overflowPunct/>
              <w:spacing w:before="80" w:after="80"/>
              <w:ind w:right="0"/>
              <w:jc w:val="left"/>
              <w:rPr>
                <w:rFonts w:eastAsia="SimHei"/>
                <w:lang w:val="en-GB"/>
              </w:rPr>
            </w:pPr>
            <w:r>
              <w:rPr>
                <w:rFonts w:eastAsia="SimHei"/>
                <w:lang w:val="en-GB"/>
              </w:rPr>
              <w:tab/>
            </w:r>
            <w:r w:rsidRPr="00E112CD">
              <w:rPr>
                <w:rFonts w:eastAsia="SimHei" w:hint="eastAsia"/>
                <w:lang w:val="en-GB"/>
              </w:rPr>
              <w:t>总数</w:t>
            </w:r>
          </w:p>
        </w:tc>
        <w:tc>
          <w:tcPr>
            <w:tcW w:w="1843" w:type="dxa"/>
            <w:tcBorders>
              <w:top w:val="single" w:sz="4" w:space="0" w:color="auto"/>
              <w:bottom w:val="single" w:sz="12" w:space="0" w:color="auto"/>
            </w:tcBorders>
            <w:shd w:val="clear" w:color="auto" w:fill="auto"/>
            <w:vAlign w:val="bottom"/>
          </w:tcPr>
          <w:p w:rsidR="00E112CD" w:rsidRPr="00E112CD" w:rsidRDefault="00E112CD" w:rsidP="00E112CD">
            <w:pPr>
              <w:pStyle w:val="a5"/>
              <w:overflowPunct/>
              <w:spacing w:before="80" w:after="80"/>
              <w:ind w:right="0"/>
              <w:jc w:val="right"/>
              <w:rPr>
                <w:b/>
                <w:lang w:val="en-GB"/>
              </w:rPr>
            </w:pPr>
            <w:r w:rsidRPr="00E112CD">
              <w:rPr>
                <w:b/>
                <w:lang w:val="en-GB"/>
              </w:rPr>
              <w:t>15</w:t>
            </w:r>
            <w:r w:rsidR="00C73B9F">
              <w:rPr>
                <w:rFonts w:hint="eastAsia"/>
                <w:b/>
                <w:lang w:val="en-GB"/>
              </w:rPr>
              <w:t xml:space="preserve"> </w:t>
            </w:r>
            <w:r w:rsidRPr="00E112CD">
              <w:rPr>
                <w:b/>
                <w:lang w:val="en-GB"/>
              </w:rPr>
              <w:t>79</w:t>
            </w:r>
            <w:r w:rsidR="006E1330">
              <w:rPr>
                <w:b/>
                <w:lang w:val="en-GB"/>
              </w:rPr>
              <w:t>6.</w:t>
            </w:r>
            <w:r w:rsidRPr="00E112CD">
              <w:rPr>
                <w:b/>
                <w:lang w:val="en-GB"/>
              </w:rPr>
              <w:t>4</w:t>
            </w:r>
          </w:p>
        </w:tc>
        <w:tc>
          <w:tcPr>
            <w:tcW w:w="1842" w:type="dxa"/>
            <w:tcBorders>
              <w:top w:val="single" w:sz="4" w:space="0" w:color="auto"/>
              <w:bottom w:val="single" w:sz="12" w:space="0" w:color="auto"/>
            </w:tcBorders>
            <w:shd w:val="clear" w:color="auto" w:fill="auto"/>
            <w:vAlign w:val="bottom"/>
          </w:tcPr>
          <w:p w:rsidR="00E112CD" w:rsidRPr="00E112CD" w:rsidRDefault="00E112CD" w:rsidP="00E112CD">
            <w:pPr>
              <w:pStyle w:val="a5"/>
              <w:overflowPunct/>
              <w:spacing w:before="80" w:after="80"/>
              <w:ind w:right="0"/>
              <w:jc w:val="right"/>
              <w:rPr>
                <w:b/>
                <w:lang w:val="en-GB"/>
              </w:rPr>
            </w:pPr>
            <w:r w:rsidRPr="00E112CD">
              <w:rPr>
                <w:b/>
                <w:lang w:val="en-GB"/>
              </w:rPr>
              <w:t>14</w:t>
            </w:r>
            <w:r w:rsidR="00C73B9F">
              <w:rPr>
                <w:rFonts w:hint="eastAsia"/>
                <w:b/>
                <w:lang w:val="en-GB"/>
              </w:rPr>
              <w:t xml:space="preserve"> </w:t>
            </w:r>
            <w:r w:rsidRPr="00E112CD">
              <w:rPr>
                <w:b/>
                <w:lang w:val="en-GB"/>
              </w:rPr>
              <w:t>80</w:t>
            </w:r>
            <w:r w:rsidR="006E1330">
              <w:rPr>
                <w:b/>
                <w:lang w:val="en-GB"/>
              </w:rPr>
              <w:t>1.</w:t>
            </w:r>
            <w:r w:rsidRPr="00E112CD">
              <w:rPr>
                <w:b/>
                <w:lang w:val="en-GB"/>
              </w:rPr>
              <w:t>6</w:t>
            </w:r>
          </w:p>
        </w:tc>
        <w:tc>
          <w:tcPr>
            <w:tcW w:w="1842" w:type="dxa"/>
            <w:tcBorders>
              <w:top w:val="single" w:sz="4" w:space="0" w:color="auto"/>
              <w:bottom w:val="single" w:sz="12" w:space="0" w:color="auto"/>
            </w:tcBorders>
            <w:shd w:val="clear" w:color="auto" w:fill="auto"/>
            <w:vAlign w:val="bottom"/>
          </w:tcPr>
          <w:p w:rsidR="00E112CD" w:rsidRPr="00E112CD" w:rsidRDefault="00E112CD" w:rsidP="00E112CD">
            <w:pPr>
              <w:pStyle w:val="a5"/>
              <w:overflowPunct/>
              <w:spacing w:before="80" w:after="80"/>
              <w:ind w:right="0"/>
              <w:jc w:val="right"/>
              <w:rPr>
                <w:b/>
                <w:bCs/>
                <w:lang w:val="en-GB"/>
              </w:rPr>
            </w:pPr>
            <w:r w:rsidRPr="00E112CD">
              <w:rPr>
                <w:b/>
                <w:bCs/>
                <w:lang w:val="en-GB"/>
              </w:rPr>
              <w:t>30</w:t>
            </w:r>
            <w:r w:rsidR="00C73B9F">
              <w:rPr>
                <w:rFonts w:hint="eastAsia"/>
                <w:b/>
                <w:bCs/>
                <w:lang w:val="en-GB"/>
              </w:rPr>
              <w:t xml:space="preserve"> </w:t>
            </w:r>
            <w:r w:rsidRPr="00E112CD">
              <w:rPr>
                <w:b/>
                <w:bCs/>
                <w:lang w:val="en-GB"/>
              </w:rPr>
              <w:t>59</w:t>
            </w:r>
            <w:r w:rsidR="006E1330">
              <w:rPr>
                <w:b/>
                <w:bCs/>
                <w:lang w:val="en-GB"/>
              </w:rPr>
              <w:t>8.</w:t>
            </w:r>
            <w:r w:rsidRPr="00E112CD">
              <w:rPr>
                <w:b/>
                <w:bCs/>
                <w:lang w:val="en-GB"/>
              </w:rPr>
              <w:t>0</w:t>
            </w:r>
          </w:p>
        </w:tc>
      </w:tr>
    </w:tbl>
    <w:p w:rsidR="006E1330" w:rsidRPr="006E1330" w:rsidRDefault="006E1330">
      <w:pPr>
        <w:pStyle w:val="SingleTxtGC"/>
        <w:spacing w:before="120"/>
        <w:rPr>
          <w:rFonts w:hint="eastAsia"/>
          <w:sz w:val="19"/>
          <w:szCs w:val="19"/>
        </w:rPr>
      </w:pPr>
      <w:r w:rsidRPr="001D60F7">
        <w:rPr>
          <w:rFonts w:eastAsia="KaiTi_GB2312" w:hint="eastAsia"/>
          <w:sz w:val="19"/>
          <w:szCs w:val="19"/>
        </w:rPr>
        <w:t>资料来源</w:t>
      </w:r>
      <w:r>
        <w:rPr>
          <w:rFonts w:eastAsia="KaiTi_GB2312" w:hint="eastAsia"/>
          <w:sz w:val="19"/>
          <w:szCs w:val="19"/>
        </w:rPr>
        <w:t>：</w:t>
      </w:r>
      <w:r w:rsidRPr="006E1330">
        <w:rPr>
          <w:rFonts w:hint="eastAsia"/>
          <w:sz w:val="19"/>
          <w:szCs w:val="19"/>
        </w:rPr>
        <w:t>马来西亚统计局</w:t>
      </w:r>
      <w:r>
        <w:rPr>
          <w:rFonts w:hint="eastAsia"/>
          <w:sz w:val="19"/>
          <w:szCs w:val="19"/>
        </w:rPr>
        <w:t>，</w:t>
      </w:r>
      <w:r w:rsidRPr="006E1330">
        <w:rPr>
          <w:rFonts w:hint="eastAsia"/>
          <w:sz w:val="19"/>
          <w:szCs w:val="19"/>
        </w:rPr>
        <w:t>2014</w:t>
      </w:r>
      <w:r w:rsidRPr="006E1330">
        <w:rPr>
          <w:rFonts w:hint="eastAsia"/>
          <w:sz w:val="19"/>
          <w:szCs w:val="19"/>
        </w:rPr>
        <w:t>年。</w:t>
      </w:r>
    </w:p>
    <w:p w:rsidR="00E112CD" w:rsidRPr="00E112CD" w:rsidRDefault="006E1330" w:rsidP="00E112CD">
      <w:pPr>
        <w:pStyle w:val="SingleTxtGC"/>
        <w:rPr>
          <w:b/>
          <w:bCs/>
          <w:lang w:val="en-GB"/>
        </w:rPr>
      </w:pPr>
      <w:r>
        <w:rPr>
          <w:lang w:val="en-GB"/>
        </w:rPr>
        <w:br w:type="page"/>
      </w:r>
      <w:r w:rsidR="00E112CD" w:rsidRPr="00E112CD">
        <w:rPr>
          <w:rFonts w:hint="eastAsia"/>
          <w:lang w:val="en-GB"/>
        </w:rPr>
        <w:t>表</w:t>
      </w:r>
      <w:r w:rsidR="00E112CD" w:rsidRPr="00E112CD">
        <w:rPr>
          <w:lang w:val="en-GB"/>
        </w:rPr>
        <w:t>3</w:t>
      </w:r>
      <w:r w:rsidR="00E112CD" w:rsidRPr="00E112CD">
        <w:rPr>
          <w:lang w:val="en-GB"/>
        </w:rPr>
        <w:br/>
      </w:r>
      <w:r w:rsidR="00E112CD" w:rsidRPr="006E1330">
        <w:rPr>
          <w:rFonts w:eastAsia="SimHei" w:hAnsi="SimHei"/>
          <w:bCs/>
          <w:lang w:val="en-GB"/>
        </w:rPr>
        <w:t>按宗教信仰分类的人口分布</w:t>
      </w:r>
      <w:r>
        <w:rPr>
          <w:rFonts w:eastAsia="SimHei" w:hAnsi="SimHei"/>
          <w:bCs/>
          <w:lang w:val="en-GB"/>
        </w:rPr>
        <w:t>，</w:t>
      </w:r>
      <w:r w:rsidR="00E112CD" w:rsidRPr="006E1330">
        <w:rPr>
          <w:rFonts w:eastAsia="SimHei" w:hAnsi="SimHei"/>
          <w:bCs/>
          <w:lang w:val="en-GB"/>
        </w:rPr>
        <w:t>马来西亚</w:t>
      </w:r>
      <w:r>
        <w:rPr>
          <w:rFonts w:eastAsia="SimHei" w:hAnsi="SimHei"/>
          <w:bCs/>
          <w:lang w:val="en-GB"/>
        </w:rPr>
        <w:t>，</w:t>
      </w:r>
      <w:r w:rsidR="00E112CD" w:rsidRPr="006E1330">
        <w:rPr>
          <w:rFonts w:eastAsia="SimHei"/>
          <w:bCs/>
          <w:lang w:val="en-GB"/>
        </w:rPr>
        <w:t>2010</w:t>
      </w:r>
      <w:r w:rsidR="00E112CD" w:rsidRPr="006E1330">
        <w:rPr>
          <w:rFonts w:eastAsia="SimHei" w:hAnsi="SimHei"/>
          <w:bCs/>
          <w:lang w:val="en-GB"/>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6052"/>
        <w:gridCol w:w="1318"/>
      </w:tblGrid>
      <w:tr w:rsidR="00E112CD" w:rsidRPr="00E112CD" w:rsidTr="006E1330">
        <w:trPr>
          <w:trHeight w:val="240"/>
          <w:tblHeader/>
        </w:trPr>
        <w:tc>
          <w:tcPr>
            <w:tcW w:w="6052" w:type="dxa"/>
            <w:tcBorders>
              <w:top w:val="single" w:sz="4" w:space="0" w:color="auto"/>
              <w:bottom w:val="single" w:sz="12" w:space="0" w:color="auto"/>
            </w:tcBorders>
            <w:shd w:val="clear" w:color="auto" w:fill="auto"/>
            <w:vAlign w:val="bottom"/>
          </w:tcPr>
          <w:p w:rsidR="00E112CD" w:rsidRPr="00E112CD" w:rsidRDefault="00E112CD" w:rsidP="006E1330">
            <w:pPr>
              <w:pStyle w:val="a0"/>
              <w:ind w:right="0"/>
              <w:jc w:val="left"/>
              <w:rPr>
                <w:lang w:val="en-GB"/>
              </w:rPr>
            </w:pPr>
            <w:r w:rsidRPr="00E112CD">
              <w:rPr>
                <w:rFonts w:hint="eastAsia"/>
                <w:lang w:val="en-GB"/>
              </w:rPr>
              <w:t>宗教</w:t>
            </w:r>
          </w:p>
        </w:tc>
        <w:tc>
          <w:tcPr>
            <w:tcW w:w="1318" w:type="dxa"/>
            <w:tcBorders>
              <w:top w:val="single" w:sz="4" w:space="0" w:color="auto"/>
              <w:bottom w:val="single" w:sz="12" w:space="0" w:color="auto"/>
            </w:tcBorders>
            <w:shd w:val="clear" w:color="auto" w:fill="auto"/>
            <w:vAlign w:val="bottom"/>
          </w:tcPr>
          <w:p w:rsidR="00E112CD" w:rsidRPr="00E112CD" w:rsidRDefault="00E112CD" w:rsidP="006E1330">
            <w:pPr>
              <w:pStyle w:val="a0"/>
              <w:ind w:right="0"/>
              <w:jc w:val="right"/>
              <w:rPr>
                <w:lang w:val="en-GB"/>
              </w:rPr>
            </w:pPr>
            <w:r w:rsidRPr="00E112CD">
              <w:rPr>
                <w:rFonts w:hint="eastAsia"/>
                <w:lang w:val="en-GB"/>
              </w:rPr>
              <w:t>百分比</w:t>
            </w:r>
          </w:p>
        </w:tc>
      </w:tr>
      <w:tr w:rsidR="00E112CD" w:rsidRPr="00E112CD" w:rsidTr="006E1330">
        <w:trPr>
          <w:trHeight w:val="240"/>
        </w:trPr>
        <w:tc>
          <w:tcPr>
            <w:tcW w:w="6052" w:type="dxa"/>
            <w:tcBorders>
              <w:top w:val="single" w:sz="12" w:space="0" w:color="auto"/>
            </w:tcBorders>
            <w:shd w:val="clear" w:color="auto" w:fill="auto"/>
          </w:tcPr>
          <w:p w:rsidR="00E112CD" w:rsidRPr="00E112CD" w:rsidRDefault="00E112CD" w:rsidP="006E1330">
            <w:pPr>
              <w:pStyle w:val="a5"/>
              <w:overflowPunct/>
              <w:ind w:right="0"/>
              <w:jc w:val="left"/>
              <w:rPr>
                <w:lang w:val="en-GB"/>
              </w:rPr>
            </w:pPr>
            <w:r w:rsidRPr="00E112CD">
              <w:rPr>
                <w:rFonts w:hint="eastAsia"/>
                <w:lang w:val="en-GB"/>
              </w:rPr>
              <w:t>伊斯兰教</w:t>
            </w:r>
          </w:p>
        </w:tc>
        <w:tc>
          <w:tcPr>
            <w:tcW w:w="1318" w:type="dxa"/>
            <w:tcBorders>
              <w:top w:val="single" w:sz="12" w:space="0" w:color="auto"/>
            </w:tcBorders>
            <w:shd w:val="clear" w:color="auto" w:fill="auto"/>
            <w:vAlign w:val="bottom"/>
          </w:tcPr>
          <w:p w:rsidR="00E112CD" w:rsidRPr="00E112CD" w:rsidRDefault="00E112CD" w:rsidP="006E1330">
            <w:pPr>
              <w:pStyle w:val="a5"/>
              <w:overflowPunct/>
              <w:ind w:right="0"/>
              <w:jc w:val="right"/>
              <w:rPr>
                <w:lang w:val="en-GB"/>
              </w:rPr>
            </w:pPr>
            <w:r w:rsidRPr="00E112CD">
              <w:rPr>
                <w:lang w:val="en-GB"/>
              </w:rPr>
              <w:t>6</w:t>
            </w:r>
            <w:r w:rsidR="006E1330">
              <w:rPr>
                <w:lang w:val="en-GB"/>
              </w:rPr>
              <w:t>1.</w:t>
            </w:r>
            <w:r w:rsidRPr="00E112CD">
              <w:rPr>
                <w:lang w:val="en-GB"/>
              </w:rPr>
              <w:t>3</w:t>
            </w:r>
            <w:r w:rsidR="006E1330">
              <w:rPr>
                <w:lang w:val="en-GB"/>
              </w:rPr>
              <w:t>%</w:t>
            </w:r>
          </w:p>
        </w:tc>
      </w:tr>
      <w:tr w:rsidR="00E112CD" w:rsidRPr="00E112CD" w:rsidTr="006E1330">
        <w:trPr>
          <w:trHeight w:val="240"/>
        </w:trPr>
        <w:tc>
          <w:tcPr>
            <w:tcW w:w="6052" w:type="dxa"/>
            <w:shd w:val="clear" w:color="auto" w:fill="auto"/>
          </w:tcPr>
          <w:p w:rsidR="00E112CD" w:rsidRPr="00E112CD" w:rsidRDefault="00E112CD" w:rsidP="006E1330">
            <w:pPr>
              <w:pStyle w:val="a5"/>
              <w:overflowPunct/>
              <w:ind w:right="0"/>
              <w:jc w:val="left"/>
              <w:rPr>
                <w:lang w:val="en-GB"/>
              </w:rPr>
            </w:pPr>
            <w:r w:rsidRPr="00E112CD">
              <w:rPr>
                <w:rFonts w:hint="eastAsia"/>
                <w:lang w:val="en-GB"/>
              </w:rPr>
              <w:t>佛教</w:t>
            </w:r>
          </w:p>
        </w:tc>
        <w:tc>
          <w:tcPr>
            <w:tcW w:w="1318" w:type="dxa"/>
            <w:shd w:val="clear" w:color="auto" w:fill="auto"/>
            <w:vAlign w:val="bottom"/>
          </w:tcPr>
          <w:p w:rsidR="00E112CD" w:rsidRPr="00E112CD" w:rsidRDefault="00E112CD" w:rsidP="006E1330">
            <w:pPr>
              <w:pStyle w:val="a5"/>
              <w:overflowPunct/>
              <w:ind w:right="0"/>
              <w:jc w:val="right"/>
              <w:rPr>
                <w:lang w:val="en-GB"/>
              </w:rPr>
            </w:pPr>
            <w:r w:rsidRPr="00E112CD">
              <w:rPr>
                <w:lang w:val="en-GB"/>
              </w:rPr>
              <w:t>1</w:t>
            </w:r>
            <w:r w:rsidR="006E1330">
              <w:rPr>
                <w:lang w:val="en-GB"/>
              </w:rPr>
              <w:t>9.</w:t>
            </w:r>
            <w:r w:rsidRPr="00E112CD">
              <w:rPr>
                <w:lang w:val="en-GB"/>
              </w:rPr>
              <w:t>3</w:t>
            </w:r>
            <w:r w:rsidR="006E1330">
              <w:rPr>
                <w:lang w:val="en-GB"/>
              </w:rPr>
              <w:t>%</w:t>
            </w:r>
          </w:p>
        </w:tc>
      </w:tr>
      <w:tr w:rsidR="00E112CD" w:rsidRPr="00E112CD" w:rsidTr="006E1330">
        <w:trPr>
          <w:trHeight w:val="240"/>
        </w:trPr>
        <w:tc>
          <w:tcPr>
            <w:tcW w:w="6052" w:type="dxa"/>
            <w:shd w:val="clear" w:color="auto" w:fill="auto"/>
          </w:tcPr>
          <w:p w:rsidR="00E112CD" w:rsidRPr="00E112CD" w:rsidRDefault="00E112CD" w:rsidP="006E1330">
            <w:pPr>
              <w:pStyle w:val="a5"/>
              <w:overflowPunct/>
              <w:ind w:right="0"/>
              <w:jc w:val="left"/>
              <w:rPr>
                <w:lang w:val="en-GB"/>
              </w:rPr>
            </w:pPr>
            <w:r w:rsidRPr="00E112CD">
              <w:rPr>
                <w:rFonts w:hint="eastAsia"/>
                <w:lang w:val="en-GB"/>
              </w:rPr>
              <w:t>基督教</w:t>
            </w:r>
          </w:p>
        </w:tc>
        <w:tc>
          <w:tcPr>
            <w:tcW w:w="1318" w:type="dxa"/>
            <w:shd w:val="clear" w:color="auto" w:fill="auto"/>
            <w:vAlign w:val="bottom"/>
          </w:tcPr>
          <w:p w:rsidR="00E112CD" w:rsidRPr="00E112CD" w:rsidRDefault="006E1330" w:rsidP="006E1330">
            <w:pPr>
              <w:pStyle w:val="a5"/>
              <w:overflowPunct/>
              <w:ind w:right="0"/>
              <w:jc w:val="right"/>
              <w:rPr>
                <w:lang w:val="en-GB"/>
              </w:rPr>
            </w:pPr>
            <w:r>
              <w:rPr>
                <w:lang w:val="en-GB"/>
              </w:rPr>
              <w:t>9.</w:t>
            </w:r>
            <w:r w:rsidR="00E112CD" w:rsidRPr="00E112CD">
              <w:rPr>
                <w:lang w:val="en-GB"/>
              </w:rPr>
              <w:t>2</w:t>
            </w:r>
            <w:r>
              <w:rPr>
                <w:lang w:val="en-GB"/>
              </w:rPr>
              <w:t>%</w:t>
            </w:r>
          </w:p>
        </w:tc>
      </w:tr>
      <w:tr w:rsidR="00E112CD" w:rsidRPr="00E112CD" w:rsidTr="006E1330">
        <w:trPr>
          <w:trHeight w:val="240"/>
        </w:trPr>
        <w:tc>
          <w:tcPr>
            <w:tcW w:w="6052" w:type="dxa"/>
            <w:shd w:val="clear" w:color="auto" w:fill="auto"/>
          </w:tcPr>
          <w:p w:rsidR="00E112CD" w:rsidRPr="00E112CD" w:rsidRDefault="00E112CD" w:rsidP="006E1330">
            <w:pPr>
              <w:pStyle w:val="a5"/>
              <w:overflowPunct/>
              <w:ind w:right="0"/>
              <w:jc w:val="left"/>
              <w:rPr>
                <w:lang w:val="en-GB"/>
              </w:rPr>
            </w:pPr>
            <w:r w:rsidRPr="00E112CD">
              <w:rPr>
                <w:rFonts w:hint="eastAsia"/>
                <w:lang w:val="en-GB"/>
              </w:rPr>
              <w:t>印度教</w:t>
            </w:r>
          </w:p>
        </w:tc>
        <w:tc>
          <w:tcPr>
            <w:tcW w:w="1318" w:type="dxa"/>
            <w:shd w:val="clear" w:color="auto" w:fill="auto"/>
            <w:vAlign w:val="bottom"/>
          </w:tcPr>
          <w:p w:rsidR="00E112CD" w:rsidRPr="00E112CD" w:rsidRDefault="006E1330" w:rsidP="006E1330">
            <w:pPr>
              <w:pStyle w:val="a5"/>
              <w:overflowPunct/>
              <w:ind w:right="0"/>
              <w:jc w:val="right"/>
              <w:rPr>
                <w:lang w:val="en-GB"/>
              </w:rPr>
            </w:pPr>
            <w:r>
              <w:rPr>
                <w:lang w:val="en-GB"/>
              </w:rPr>
              <w:t>6.</w:t>
            </w:r>
            <w:r w:rsidR="00E112CD" w:rsidRPr="00E112CD">
              <w:rPr>
                <w:lang w:val="en-GB"/>
              </w:rPr>
              <w:t>8</w:t>
            </w:r>
            <w:r>
              <w:rPr>
                <w:lang w:val="en-GB"/>
              </w:rPr>
              <w:t>%</w:t>
            </w:r>
          </w:p>
        </w:tc>
      </w:tr>
      <w:tr w:rsidR="00E112CD" w:rsidRPr="00E112CD" w:rsidTr="006E1330">
        <w:trPr>
          <w:trHeight w:val="240"/>
        </w:trPr>
        <w:tc>
          <w:tcPr>
            <w:tcW w:w="6052" w:type="dxa"/>
            <w:shd w:val="clear" w:color="auto" w:fill="auto"/>
          </w:tcPr>
          <w:p w:rsidR="00E112CD" w:rsidRPr="00E112CD" w:rsidRDefault="00E112CD" w:rsidP="006E1330">
            <w:pPr>
              <w:pStyle w:val="a5"/>
              <w:overflowPunct/>
              <w:ind w:right="0"/>
              <w:jc w:val="left"/>
              <w:rPr>
                <w:lang w:val="en-GB"/>
              </w:rPr>
            </w:pPr>
            <w:r w:rsidRPr="00E112CD">
              <w:rPr>
                <w:rFonts w:hint="eastAsia"/>
                <w:lang w:val="en-GB"/>
              </w:rPr>
              <w:t>儒教、道教及部落、民间和其他中国传统宗教</w:t>
            </w:r>
          </w:p>
        </w:tc>
        <w:tc>
          <w:tcPr>
            <w:tcW w:w="1318" w:type="dxa"/>
            <w:shd w:val="clear" w:color="auto" w:fill="auto"/>
            <w:vAlign w:val="bottom"/>
          </w:tcPr>
          <w:p w:rsidR="00E112CD" w:rsidRPr="00E112CD" w:rsidRDefault="006E1330" w:rsidP="006E1330">
            <w:pPr>
              <w:pStyle w:val="a5"/>
              <w:overflowPunct/>
              <w:ind w:right="0"/>
              <w:jc w:val="right"/>
              <w:rPr>
                <w:lang w:val="en-GB"/>
              </w:rPr>
            </w:pPr>
            <w:r>
              <w:rPr>
                <w:lang w:val="en-GB"/>
              </w:rPr>
              <w:t>1.</w:t>
            </w:r>
            <w:r w:rsidR="00E112CD" w:rsidRPr="00E112CD">
              <w:rPr>
                <w:lang w:val="en-GB"/>
              </w:rPr>
              <w:t>3</w:t>
            </w:r>
            <w:r>
              <w:rPr>
                <w:lang w:val="en-GB"/>
              </w:rPr>
              <w:t>%</w:t>
            </w:r>
          </w:p>
        </w:tc>
      </w:tr>
      <w:tr w:rsidR="00E112CD" w:rsidRPr="00E112CD" w:rsidTr="006E1330">
        <w:trPr>
          <w:trHeight w:val="240"/>
        </w:trPr>
        <w:tc>
          <w:tcPr>
            <w:tcW w:w="6052" w:type="dxa"/>
            <w:shd w:val="clear" w:color="auto" w:fill="auto"/>
          </w:tcPr>
          <w:p w:rsidR="00E112CD" w:rsidRPr="00E112CD" w:rsidRDefault="00E112CD" w:rsidP="006E1330">
            <w:pPr>
              <w:pStyle w:val="a5"/>
              <w:overflowPunct/>
              <w:ind w:right="0"/>
              <w:jc w:val="left"/>
              <w:rPr>
                <w:lang w:val="en-GB"/>
              </w:rPr>
            </w:pPr>
            <w:r w:rsidRPr="00E112CD">
              <w:rPr>
                <w:rFonts w:hint="eastAsia"/>
                <w:lang w:val="en-GB"/>
              </w:rPr>
              <w:t>未知</w:t>
            </w:r>
          </w:p>
        </w:tc>
        <w:tc>
          <w:tcPr>
            <w:tcW w:w="1318" w:type="dxa"/>
            <w:shd w:val="clear" w:color="auto" w:fill="auto"/>
            <w:vAlign w:val="bottom"/>
          </w:tcPr>
          <w:p w:rsidR="00E112CD" w:rsidRPr="00E112CD" w:rsidRDefault="006E1330" w:rsidP="006E1330">
            <w:pPr>
              <w:pStyle w:val="a5"/>
              <w:overflowPunct/>
              <w:ind w:right="0"/>
              <w:jc w:val="right"/>
              <w:rPr>
                <w:lang w:val="en-GB"/>
              </w:rPr>
            </w:pPr>
            <w:r>
              <w:rPr>
                <w:lang w:val="en-GB"/>
              </w:rPr>
              <w:t>1.</w:t>
            </w:r>
            <w:r w:rsidR="00E112CD" w:rsidRPr="00E112CD">
              <w:rPr>
                <w:lang w:val="en-GB"/>
              </w:rPr>
              <w:t>0</w:t>
            </w:r>
            <w:r>
              <w:rPr>
                <w:lang w:val="en-GB"/>
              </w:rPr>
              <w:t>%</w:t>
            </w:r>
          </w:p>
        </w:tc>
      </w:tr>
      <w:tr w:rsidR="00E112CD" w:rsidRPr="00E112CD" w:rsidTr="006E1330">
        <w:trPr>
          <w:trHeight w:val="240"/>
        </w:trPr>
        <w:tc>
          <w:tcPr>
            <w:tcW w:w="6052" w:type="dxa"/>
            <w:shd w:val="clear" w:color="auto" w:fill="auto"/>
          </w:tcPr>
          <w:p w:rsidR="00E112CD" w:rsidRPr="00E112CD" w:rsidRDefault="00E112CD" w:rsidP="006E1330">
            <w:pPr>
              <w:pStyle w:val="a5"/>
              <w:overflowPunct/>
              <w:ind w:right="0"/>
              <w:jc w:val="left"/>
              <w:rPr>
                <w:lang w:val="en-GB"/>
              </w:rPr>
            </w:pPr>
            <w:r w:rsidRPr="00E112CD">
              <w:rPr>
                <w:rFonts w:hint="eastAsia"/>
                <w:lang w:val="en-GB"/>
              </w:rPr>
              <w:t>无宗教信仰</w:t>
            </w:r>
          </w:p>
        </w:tc>
        <w:tc>
          <w:tcPr>
            <w:tcW w:w="1318" w:type="dxa"/>
            <w:shd w:val="clear" w:color="auto" w:fill="auto"/>
            <w:vAlign w:val="bottom"/>
          </w:tcPr>
          <w:p w:rsidR="00E112CD" w:rsidRPr="00E112CD" w:rsidRDefault="006E1330" w:rsidP="006E1330">
            <w:pPr>
              <w:pStyle w:val="a5"/>
              <w:overflowPunct/>
              <w:ind w:right="0"/>
              <w:jc w:val="right"/>
              <w:rPr>
                <w:lang w:val="en-GB"/>
              </w:rPr>
            </w:pPr>
            <w:r>
              <w:rPr>
                <w:lang w:val="en-GB"/>
              </w:rPr>
              <w:t>0.</w:t>
            </w:r>
            <w:r w:rsidR="00E112CD" w:rsidRPr="00E112CD">
              <w:rPr>
                <w:lang w:val="en-GB"/>
              </w:rPr>
              <w:t>7</w:t>
            </w:r>
            <w:r>
              <w:rPr>
                <w:lang w:val="en-GB"/>
              </w:rPr>
              <w:t>%</w:t>
            </w:r>
          </w:p>
        </w:tc>
      </w:tr>
      <w:tr w:rsidR="00E112CD" w:rsidRPr="00E112CD" w:rsidTr="006E1330">
        <w:trPr>
          <w:trHeight w:val="240"/>
        </w:trPr>
        <w:tc>
          <w:tcPr>
            <w:tcW w:w="6052" w:type="dxa"/>
            <w:shd w:val="clear" w:color="auto" w:fill="auto"/>
          </w:tcPr>
          <w:p w:rsidR="00E112CD" w:rsidRPr="00E112CD" w:rsidRDefault="00E112CD" w:rsidP="006E1330">
            <w:pPr>
              <w:pStyle w:val="a5"/>
              <w:overflowPunct/>
              <w:ind w:right="0"/>
              <w:jc w:val="left"/>
              <w:rPr>
                <w:lang w:val="en-GB"/>
              </w:rPr>
            </w:pPr>
            <w:r w:rsidRPr="00E112CD">
              <w:rPr>
                <w:rFonts w:hint="eastAsia"/>
                <w:lang w:val="en-GB"/>
              </w:rPr>
              <w:t>其他宗教</w:t>
            </w:r>
          </w:p>
        </w:tc>
        <w:tc>
          <w:tcPr>
            <w:tcW w:w="1318" w:type="dxa"/>
            <w:shd w:val="clear" w:color="auto" w:fill="auto"/>
            <w:vAlign w:val="bottom"/>
          </w:tcPr>
          <w:p w:rsidR="00E112CD" w:rsidRPr="00E112CD" w:rsidRDefault="006E1330" w:rsidP="006E1330">
            <w:pPr>
              <w:pStyle w:val="a5"/>
              <w:overflowPunct/>
              <w:ind w:right="0"/>
              <w:jc w:val="right"/>
              <w:rPr>
                <w:lang w:val="en-GB"/>
              </w:rPr>
            </w:pPr>
            <w:r>
              <w:rPr>
                <w:lang w:val="en-GB"/>
              </w:rPr>
              <w:t>0.</w:t>
            </w:r>
            <w:r w:rsidR="00E112CD" w:rsidRPr="00E112CD">
              <w:rPr>
                <w:lang w:val="en-GB"/>
              </w:rPr>
              <w:t>4</w:t>
            </w:r>
            <w:r>
              <w:rPr>
                <w:lang w:val="en-GB"/>
              </w:rPr>
              <w:t>%</w:t>
            </w:r>
          </w:p>
        </w:tc>
      </w:tr>
    </w:tbl>
    <w:p w:rsidR="006E1330" w:rsidRPr="006E1330" w:rsidRDefault="006E1330">
      <w:pPr>
        <w:pStyle w:val="SingleTxtGC"/>
        <w:spacing w:before="120"/>
        <w:rPr>
          <w:rFonts w:hint="eastAsia"/>
          <w:sz w:val="19"/>
          <w:szCs w:val="19"/>
        </w:rPr>
      </w:pPr>
      <w:r w:rsidRPr="001D60F7">
        <w:rPr>
          <w:rFonts w:eastAsia="KaiTi_GB2312" w:hint="eastAsia"/>
          <w:sz w:val="19"/>
          <w:szCs w:val="19"/>
        </w:rPr>
        <w:t>资料来源</w:t>
      </w:r>
      <w:r>
        <w:rPr>
          <w:rFonts w:eastAsia="KaiTi_GB2312" w:hint="eastAsia"/>
          <w:sz w:val="19"/>
          <w:szCs w:val="19"/>
        </w:rPr>
        <w:t>：</w:t>
      </w:r>
      <w:r w:rsidRPr="006E1330">
        <w:rPr>
          <w:rFonts w:hint="eastAsia"/>
          <w:sz w:val="19"/>
          <w:szCs w:val="19"/>
        </w:rPr>
        <w:t>《人口分布与人口基本特征》</w:t>
      </w:r>
      <w:r>
        <w:rPr>
          <w:rFonts w:hint="eastAsia"/>
          <w:sz w:val="19"/>
          <w:szCs w:val="19"/>
        </w:rPr>
        <w:t>，</w:t>
      </w:r>
      <w:r w:rsidRPr="006E1330">
        <w:rPr>
          <w:rFonts w:hint="eastAsia"/>
          <w:sz w:val="19"/>
          <w:szCs w:val="19"/>
        </w:rPr>
        <w:t>2010</w:t>
      </w:r>
      <w:r w:rsidRPr="006E1330">
        <w:rPr>
          <w:rFonts w:hint="eastAsia"/>
          <w:sz w:val="19"/>
          <w:szCs w:val="19"/>
        </w:rPr>
        <w:t>年。</w:t>
      </w:r>
    </w:p>
    <w:p w:rsidR="00E112CD" w:rsidRPr="00E112CD" w:rsidRDefault="006E1330" w:rsidP="006E1330">
      <w:pPr>
        <w:pStyle w:val="SingleTxtGC"/>
        <w:tabs>
          <w:tab w:val="clear" w:pos="1565"/>
        </w:tabs>
        <w:rPr>
          <w:lang w:val="en-GB"/>
        </w:rPr>
      </w:pPr>
      <w:r>
        <w:rPr>
          <w:lang w:val="en-GB"/>
        </w:rPr>
        <w:t>1.</w:t>
      </w:r>
      <w:r>
        <w:rPr>
          <w:rFonts w:hint="eastAsia"/>
          <w:lang w:val="en-GB"/>
        </w:rPr>
        <w:t xml:space="preserve">  </w:t>
      </w:r>
      <w:r w:rsidR="00E112CD" w:rsidRPr="00E112CD">
        <w:rPr>
          <w:rFonts w:hint="eastAsia"/>
          <w:lang w:val="en-GB"/>
        </w:rPr>
        <w:t>马来西亚现有人口</w:t>
      </w:r>
      <w:r>
        <w:rPr>
          <w:lang w:val="en-GB"/>
        </w:rPr>
        <w:t>3,</w:t>
      </w:r>
      <w:r w:rsidR="00E112CD" w:rsidRPr="00E112CD">
        <w:rPr>
          <w:lang w:val="en-GB"/>
        </w:rPr>
        <w:t>060</w:t>
      </w:r>
      <w:r w:rsidR="00E112CD" w:rsidRPr="00E112CD">
        <w:rPr>
          <w:rFonts w:hint="eastAsia"/>
          <w:lang w:val="en-GB"/>
        </w:rPr>
        <w:t>万</w:t>
      </w:r>
      <w:r>
        <w:rPr>
          <w:lang w:val="en-GB"/>
        </w:rPr>
        <w:t>(</w:t>
      </w:r>
      <w:r w:rsidR="00E112CD" w:rsidRPr="00E112CD">
        <w:rPr>
          <w:lang w:val="en-GB"/>
        </w:rPr>
        <w:t>2014</w:t>
      </w:r>
      <w:r w:rsidR="00E112CD" w:rsidRPr="00E112CD">
        <w:rPr>
          <w:rFonts w:hint="eastAsia"/>
          <w:lang w:val="en-GB"/>
        </w:rPr>
        <w:t>年</w:t>
      </w:r>
      <w:r>
        <w:rPr>
          <w:lang w:val="en-GB"/>
        </w:rPr>
        <w:t>)</w:t>
      </w:r>
      <w:r>
        <w:rPr>
          <w:rFonts w:hint="eastAsia"/>
          <w:lang w:val="en-GB"/>
        </w:rPr>
        <w:t>，</w:t>
      </w:r>
      <w:r w:rsidR="00E112CD" w:rsidRPr="00E112CD">
        <w:rPr>
          <w:lang w:val="en-GB"/>
        </w:rPr>
        <w:t>18</w:t>
      </w:r>
      <w:r w:rsidR="00E112CD" w:rsidRPr="00E112CD">
        <w:rPr>
          <w:rFonts w:hint="eastAsia"/>
          <w:lang w:val="en-GB"/>
        </w:rPr>
        <w:t>岁以下的年轻人口占全国总人口的</w:t>
      </w:r>
      <w:r w:rsidR="00E112CD" w:rsidRPr="00E112CD">
        <w:rPr>
          <w:lang w:val="en-GB"/>
        </w:rPr>
        <w:t>3</w:t>
      </w:r>
      <w:r>
        <w:rPr>
          <w:lang w:val="en-GB"/>
        </w:rPr>
        <w:t>0.</w:t>
      </w:r>
      <w:r w:rsidR="00E112CD" w:rsidRPr="00E112CD">
        <w:rPr>
          <w:lang w:val="en-GB"/>
        </w:rPr>
        <w:t>7</w:t>
      </w:r>
      <w:r>
        <w:rPr>
          <w:lang w:val="en-GB"/>
        </w:rPr>
        <w:t>%</w:t>
      </w:r>
      <w:r w:rsidR="00E112CD" w:rsidRPr="00E112CD">
        <w:rPr>
          <w:rFonts w:hint="eastAsia"/>
          <w:lang w:val="en-GB"/>
        </w:rPr>
        <w:t>。</w:t>
      </w:r>
      <w:r w:rsidR="00E112CD" w:rsidRPr="00E112CD">
        <w:rPr>
          <w:lang w:val="en-GB"/>
        </w:rPr>
        <w:t>6</w:t>
      </w:r>
      <w:r>
        <w:rPr>
          <w:lang w:val="en-GB"/>
        </w:rPr>
        <w:t>0.</w:t>
      </w:r>
      <w:r w:rsidR="00E112CD" w:rsidRPr="00E112CD">
        <w:rPr>
          <w:lang w:val="en-GB"/>
        </w:rPr>
        <w:t>5</w:t>
      </w:r>
      <w:r>
        <w:rPr>
          <w:lang w:val="en-GB"/>
        </w:rPr>
        <w:t>%</w:t>
      </w:r>
      <w:r w:rsidR="00E112CD" w:rsidRPr="00E112CD">
        <w:rPr>
          <w:rFonts w:hint="eastAsia"/>
          <w:lang w:val="en-GB"/>
        </w:rPr>
        <w:t>的人口年龄在</w:t>
      </w:r>
      <w:r w:rsidR="00E112CD" w:rsidRPr="00E112CD">
        <w:rPr>
          <w:lang w:val="en-GB"/>
        </w:rPr>
        <w:t>18</w:t>
      </w:r>
      <w:r w:rsidR="00E112CD" w:rsidRPr="00E112CD">
        <w:rPr>
          <w:rFonts w:hint="eastAsia"/>
          <w:lang w:val="en-GB"/>
        </w:rPr>
        <w:t>到</w:t>
      </w:r>
      <w:r w:rsidR="00E112CD" w:rsidRPr="00E112CD">
        <w:rPr>
          <w:lang w:val="en-GB"/>
        </w:rPr>
        <w:t>59</w:t>
      </w:r>
      <w:r w:rsidR="00E112CD" w:rsidRPr="00E112CD">
        <w:rPr>
          <w:rFonts w:hint="eastAsia"/>
          <w:lang w:val="en-GB"/>
        </w:rPr>
        <w:t>岁之间。在</w:t>
      </w:r>
      <w:r w:rsidR="00E112CD" w:rsidRPr="00E112CD">
        <w:rPr>
          <w:lang w:val="en-GB"/>
        </w:rPr>
        <w:t>2000</w:t>
      </w:r>
      <w:r w:rsidR="00E112CD" w:rsidRPr="00E112CD">
        <w:rPr>
          <w:rFonts w:hint="eastAsia"/>
          <w:lang w:val="en-GB"/>
        </w:rPr>
        <w:t>年至</w:t>
      </w:r>
      <w:r w:rsidR="00E112CD" w:rsidRPr="00E112CD">
        <w:rPr>
          <w:lang w:val="en-GB"/>
        </w:rPr>
        <w:t>2014</w:t>
      </w:r>
      <w:r w:rsidR="00E112CD" w:rsidRPr="00E112CD">
        <w:rPr>
          <w:rFonts w:hint="eastAsia"/>
          <w:lang w:val="en-GB"/>
        </w:rPr>
        <w:t>年期间</w:t>
      </w:r>
      <w:r>
        <w:rPr>
          <w:rFonts w:hint="eastAsia"/>
          <w:lang w:val="en-GB"/>
        </w:rPr>
        <w:t>，</w:t>
      </w:r>
      <w:r w:rsidR="00E112CD" w:rsidRPr="00E112CD">
        <w:rPr>
          <w:rFonts w:hint="eastAsia"/>
          <w:lang w:val="en-GB"/>
        </w:rPr>
        <w:t>马来西亚人口年均增长率为</w:t>
      </w:r>
      <w:r w:rsidR="00E112CD" w:rsidRPr="00E112CD">
        <w:rPr>
          <w:lang w:val="en-GB"/>
        </w:rPr>
        <w:t>2</w:t>
      </w:r>
      <w:r>
        <w:rPr>
          <w:lang w:val="en-GB"/>
        </w:rPr>
        <w:t>%</w:t>
      </w:r>
      <w:r w:rsidR="00E112CD" w:rsidRPr="00E112CD">
        <w:rPr>
          <w:rFonts w:hint="eastAsia"/>
          <w:lang w:val="en-GB"/>
        </w:rPr>
        <w:t>。</w:t>
      </w:r>
    </w:p>
    <w:p w:rsidR="00E112CD" w:rsidRPr="00E112CD" w:rsidRDefault="006E1330" w:rsidP="006E1330">
      <w:pPr>
        <w:pStyle w:val="SingleTxtGC"/>
        <w:tabs>
          <w:tab w:val="clear" w:pos="1565"/>
        </w:tabs>
        <w:rPr>
          <w:lang w:val="en-GB"/>
        </w:rPr>
      </w:pPr>
      <w:r>
        <w:rPr>
          <w:lang w:val="en-GB"/>
        </w:rPr>
        <w:t>2.</w:t>
      </w:r>
      <w:r>
        <w:rPr>
          <w:rFonts w:hint="eastAsia"/>
          <w:lang w:val="en-GB"/>
        </w:rPr>
        <w:t xml:space="preserve">  </w:t>
      </w:r>
      <w:r w:rsidR="00E112CD" w:rsidRPr="00E112CD">
        <w:rPr>
          <w:rFonts w:hint="eastAsia"/>
          <w:lang w:val="en-GB"/>
        </w:rPr>
        <w:t>马来西亚的人口从</w:t>
      </w:r>
      <w:r w:rsidR="00E112CD" w:rsidRPr="00E112CD">
        <w:rPr>
          <w:lang w:val="en-GB"/>
        </w:rPr>
        <w:t>2000</w:t>
      </w:r>
      <w:r w:rsidR="00E112CD" w:rsidRPr="00E112CD">
        <w:rPr>
          <w:rFonts w:hint="eastAsia"/>
          <w:lang w:val="en-GB"/>
        </w:rPr>
        <w:t>年的</w:t>
      </w:r>
      <w:r>
        <w:rPr>
          <w:lang w:val="en-GB"/>
        </w:rPr>
        <w:t>2,</w:t>
      </w:r>
      <w:r w:rsidR="00E112CD" w:rsidRPr="00E112CD">
        <w:rPr>
          <w:lang w:val="en-GB"/>
        </w:rPr>
        <w:t>349</w:t>
      </w:r>
      <w:r w:rsidR="00E112CD" w:rsidRPr="00E112CD">
        <w:rPr>
          <w:rFonts w:hint="eastAsia"/>
          <w:lang w:val="en-GB"/>
        </w:rPr>
        <w:t>万人增至</w:t>
      </w:r>
      <w:r w:rsidR="00E112CD" w:rsidRPr="00E112CD">
        <w:rPr>
          <w:lang w:val="en-GB"/>
        </w:rPr>
        <w:t>2014</w:t>
      </w:r>
      <w:r w:rsidR="00E112CD" w:rsidRPr="00E112CD">
        <w:rPr>
          <w:rFonts w:hint="eastAsia"/>
          <w:lang w:val="en-GB"/>
        </w:rPr>
        <w:t>年的</w:t>
      </w:r>
      <w:r>
        <w:rPr>
          <w:lang w:val="en-GB"/>
        </w:rPr>
        <w:t>3,</w:t>
      </w:r>
      <w:r w:rsidR="00E112CD" w:rsidRPr="00E112CD">
        <w:rPr>
          <w:lang w:val="en-GB"/>
        </w:rPr>
        <w:t>060</w:t>
      </w:r>
      <w:r w:rsidR="00E112CD" w:rsidRPr="00E112CD">
        <w:rPr>
          <w:rFonts w:hint="eastAsia"/>
          <w:lang w:val="en-GB"/>
        </w:rPr>
        <w:t>万人。</w:t>
      </w:r>
      <w:r w:rsidR="00E112CD" w:rsidRPr="00E112CD">
        <w:rPr>
          <w:lang w:val="en-GB"/>
        </w:rPr>
        <w:t>2014</w:t>
      </w:r>
      <w:r w:rsidR="00E112CD" w:rsidRPr="00E112CD">
        <w:rPr>
          <w:rFonts w:hint="eastAsia"/>
          <w:lang w:val="en-GB"/>
        </w:rPr>
        <w:t>年</w:t>
      </w:r>
      <w:bookmarkStart w:id="0" w:name="OLE_LINK1"/>
      <w:bookmarkStart w:id="1" w:name="OLE_LINK2"/>
      <w:bookmarkStart w:id="2" w:name="OLE_LINK3"/>
      <w:bookmarkStart w:id="3" w:name="OLE_LINK4"/>
      <w:bookmarkStart w:id="4" w:name="OLE_LINK5"/>
      <w:r>
        <w:rPr>
          <w:rFonts w:hint="eastAsia"/>
          <w:lang w:val="en-GB"/>
        </w:rPr>
        <w:t>，</w:t>
      </w:r>
      <w:r w:rsidR="00E112CD" w:rsidRPr="00E112CD">
        <w:rPr>
          <w:rFonts w:hint="eastAsia"/>
          <w:lang w:val="en-GB"/>
        </w:rPr>
        <w:t>人口年均增长率</w:t>
      </w:r>
      <w:bookmarkEnd w:id="0"/>
      <w:bookmarkEnd w:id="1"/>
      <w:bookmarkEnd w:id="2"/>
      <w:bookmarkEnd w:id="3"/>
      <w:bookmarkEnd w:id="4"/>
      <w:r w:rsidR="00E112CD" w:rsidRPr="00E112CD">
        <w:rPr>
          <w:rFonts w:hint="eastAsia"/>
          <w:lang w:val="en-GB"/>
        </w:rPr>
        <w:t>为</w:t>
      </w:r>
      <w:r>
        <w:rPr>
          <w:lang w:val="en-GB"/>
        </w:rPr>
        <w:t>1.</w:t>
      </w:r>
      <w:r w:rsidR="00E112CD" w:rsidRPr="00E112CD">
        <w:rPr>
          <w:lang w:val="en-GB"/>
        </w:rPr>
        <w:t>3</w:t>
      </w:r>
      <w:r>
        <w:rPr>
          <w:lang w:val="en-GB"/>
        </w:rPr>
        <w:t>%</w:t>
      </w:r>
      <w:r w:rsidR="00E112CD" w:rsidRPr="00E112CD">
        <w:rPr>
          <w:rFonts w:hint="eastAsia"/>
          <w:lang w:val="en-GB"/>
        </w:rPr>
        <w:t>。</w:t>
      </w:r>
      <w:r w:rsidR="00E112CD" w:rsidRPr="00E112CD">
        <w:rPr>
          <w:lang w:val="en-GB"/>
        </w:rPr>
        <w:t>2014</w:t>
      </w:r>
      <w:r w:rsidR="00E112CD" w:rsidRPr="00E112CD">
        <w:rPr>
          <w:rFonts w:hint="eastAsia"/>
          <w:lang w:val="en-GB"/>
        </w:rPr>
        <w:t>年</w:t>
      </w:r>
      <w:r>
        <w:rPr>
          <w:rFonts w:hint="eastAsia"/>
          <w:lang w:val="en-GB"/>
        </w:rPr>
        <w:t>，</w:t>
      </w:r>
      <w:r w:rsidR="00E112CD" w:rsidRPr="00E112CD">
        <w:rPr>
          <w:rFonts w:hint="eastAsia"/>
          <w:lang w:val="en-GB"/>
        </w:rPr>
        <w:t>第一次结婚的平均年龄是</w:t>
      </w:r>
      <w:r>
        <w:rPr>
          <w:rFonts w:hint="eastAsia"/>
          <w:lang w:val="en-GB"/>
        </w:rPr>
        <w:t>：</w:t>
      </w:r>
      <w:r w:rsidR="00E112CD" w:rsidRPr="00E112CD">
        <w:rPr>
          <w:rFonts w:hint="eastAsia"/>
          <w:lang w:val="en-GB"/>
        </w:rPr>
        <w:t>男性</w:t>
      </w:r>
      <w:r w:rsidR="00E112CD" w:rsidRPr="00E112CD">
        <w:rPr>
          <w:lang w:val="en-GB"/>
        </w:rPr>
        <w:t>28</w:t>
      </w:r>
      <w:r w:rsidR="00E112CD" w:rsidRPr="00E112CD">
        <w:rPr>
          <w:rFonts w:hint="eastAsia"/>
          <w:lang w:val="en-GB"/>
        </w:rPr>
        <w:t>岁</w:t>
      </w:r>
      <w:r>
        <w:rPr>
          <w:rFonts w:hint="eastAsia"/>
          <w:lang w:val="en-GB"/>
        </w:rPr>
        <w:t>，</w:t>
      </w:r>
      <w:r w:rsidR="00E112CD" w:rsidRPr="00E112CD">
        <w:rPr>
          <w:rFonts w:hint="eastAsia"/>
          <w:lang w:val="en-GB"/>
        </w:rPr>
        <w:t>女性</w:t>
      </w:r>
      <w:r w:rsidR="00E112CD" w:rsidRPr="00E112CD">
        <w:rPr>
          <w:lang w:val="en-GB"/>
        </w:rPr>
        <w:t>2</w:t>
      </w:r>
      <w:r>
        <w:rPr>
          <w:lang w:val="en-GB"/>
        </w:rPr>
        <w:t>5.</w:t>
      </w:r>
      <w:r w:rsidR="00E112CD" w:rsidRPr="00E112CD">
        <w:rPr>
          <w:lang w:val="en-GB"/>
        </w:rPr>
        <w:t>7</w:t>
      </w:r>
      <w:r w:rsidR="00E112CD" w:rsidRPr="00E112CD">
        <w:rPr>
          <w:rFonts w:hint="eastAsia"/>
          <w:lang w:val="en-GB"/>
        </w:rPr>
        <w:t>岁</w:t>
      </w:r>
      <w:r>
        <w:rPr>
          <w:rFonts w:hint="eastAsia"/>
          <w:lang w:val="en-GB"/>
        </w:rPr>
        <w:t>；</w:t>
      </w:r>
      <w:r w:rsidR="00E112CD" w:rsidRPr="00E112CD">
        <w:rPr>
          <w:rFonts w:hint="eastAsia"/>
          <w:lang w:val="en-GB"/>
        </w:rPr>
        <w:t>相比之下</w:t>
      </w:r>
      <w:r>
        <w:rPr>
          <w:rFonts w:hint="eastAsia"/>
          <w:lang w:val="en-GB"/>
        </w:rPr>
        <w:t>，</w:t>
      </w:r>
      <w:r w:rsidR="00E112CD" w:rsidRPr="00E112CD">
        <w:rPr>
          <w:lang w:val="en-GB"/>
        </w:rPr>
        <w:t>2000</w:t>
      </w:r>
      <w:r w:rsidR="00E112CD" w:rsidRPr="00E112CD">
        <w:rPr>
          <w:rFonts w:hint="eastAsia"/>
          <w:lang w:val="en-GB"/>
        </w:rPr>
        <w:t>年</w:t>
      </w:r>
      <w:r>
        <w:rPr>
          <w:rFonts w:hint="eastAsia"/>
          <w:lang w:val="en-GB"/>
        </w:rPr>
        <w:t>，</w:t>
      </w:r>
      <w:r w:rsidR="00E112CD" w:rsidRPr="00E112CD">
        <w:rPr>
          <w:rFonts w:hint="eastAsia"/>
          <w:lang w:val="en-GB"/>
        </w:rPr>
        <w:t>男性为</w:t>
      </w:r>
      <w:r w:rsidR="00E112CD" w:rsidRPr="00E112CD">
        <w:rPr>
          <w:lang w:val="en-GB"/>
        </w:rPr>
        <w:t>2</w:t>
      </w:r>
      <w:r>
        <w:rPr>
          <w:lang w:val="en-GB"/>
        </w:rPr>
        <w:t>8.</w:t>
      </w:r>
      <w:r w:rsidR="00E112CD" w:rsidRPr="00E112CD">
        <w:rPr>
          <w:lang w:val="en-GB"/>
        </w:rPr>
        <w:t>6</w:t>
      </w:r>
      <w:r w:rsidR="00E112CD" w:rsidRPr="00E112CD">
        <w:rPr>
          <w:rFonts w:hint="eastAsia"/>
          <w:lang w:val="en-GB"/>
        </w:rPr>
        <w:t>岁</w:t>
      </w:r>
      <w:r>
        <w:rPr>
          <w:rFonts w:hint="eastAsia"/>
          <w:lang w:val="en-GB"/>
        </w:rPr>
        <w:t>，</w:t>
      </w:r>
      <w:r w:rsidR="00E112CD" w:rsidRPr="00E112CD">
        <w:rPr>
          <w:rFonts w:hint="eastAsia"/>
          <w:lang w:val="en-GB"/>
        </w:rPr>
        <w:t>女性为</w:t>
      </w:r>
      <w:r w:rsidR="00E112CD" w:rsidRPr="00E112CD">
        <w:rPr>
          <w:lang w:val="en-GB"/>
        </w:rPr>
        <w:t>2</w:t>
      </w:r>
      <w:r>
        <w:rPr>
          <w:lang w:val="en-GB"/>
        </w:rPr>
        <w:t>5.</w:t>
      </w:r>
      <w:r w:rsidR="00E112CD" w:rsidRPr="00E112CD">
        <w:rPr>
          <w:lang w:val="en-GB"/>
        </w:rPr>
        <w:t>1</w:t>
      </w:r>
      <w:r w:rsidR="00E112CD" w:rsidRPr="00E112CD">
        <w:rPr>
          <w:rFonts w:hint="eastAsia"/>
          <w:lang w:val="en-GB"/>
        </w:rPr>
        <w:t>岁。自</w:t>
      </w:r>
      <w:r w:rsidR="00E112CD" w:rsidRPr="00E112CD">
        <w:rPr>
          <w:lang w:val="en-GB"/>
        </w:rPr>
        <w:t>1950</w:t>
      </w:r>
      <w:r w:rsidR="00E112CD" w:rsidRPr="00E112CD">
        <w:rPr>
          <w:rFonts w:hint="eastAsia"/>
          <w:lang w:val="en-GB"/>
        </w:rPr>
        <w:t>年代中期开始</w:t>
      </w:r>
      <w:r>
        <w:rPr>
          <w:rFonts w:hint="eastAsia"/>
          <w:lang w:val="en-GB"/>
        </w:rPr>
        <w:t>，</w:t>
      </w:r>
      <w:r w:rsidR="00E112CD" w:rsidRPr="00E112CD">
        <w:rPr>
          <w:rFonts w:hint="eastAsia"/>
          <w:lang w:val="en-GB"/>
        </w:rPr>
        <w:t>马来西亚妇女生育率一直下降</w:t>
      </w:r>
      <w:r>
        <w:rPr>
          <w:rFonts w:hint="eastAsia"/>
          <w:lang w:val="en-GB"/>
        </w:rPr>
        <w:t>，</w:t>
      </w:r>
      <w:r w:rsidR="00E112CD" w:rsidRPr="00E112CD">
        <w:rPr>
          <w:rFonts w:hint="eastAsia"/>
          <w:lang w:val="en-GB"/>
        </w:rPr>
        <w:t>从相对较高的粗出生率每</w:t>
      </w:r>
      <w:r>
        <w:rPr>
          <w:lang w:val="en-GB"/>
        </w:rPr>
        <w:t>1,</w:t>
      </w:r>
      <w:r w:rsidR="00E112CD" w:rsidRPr="00E112CD">
        <w:rPr>
          <w:lang w:val="en-GB"/>
        </w:rPr>
        <w:t>000</w:t>
      </w:r>
      <w:r w:rsidR="00E112CD" w:rsidRPr="00E112CD">
        <w:rPr>
          <w:rFonts w:hint="eastAsia"/>
          <w:lang w:val="en-GB"/>
        </w:rPr>
        <w:t>人口的</w:t>
      </w:r>
      <w:r w:rsidR="00E112CD" w:rsidRPr="00E112CD">
        <w:rPr>
          <w:lang w:val="en-GB"/>
        </w:rPr>
        <w:t>45</w:t>
      </w:r>
      <w:r w:rsidR="00E112CD" w:rsidRPr="00E112CD">
        <w:rPr>
          <w:rFonts w:hint="eastAsia"/>
          <w:lang w:val="en-GB"/>
        </w:rPr>
        <w:t>例婴儿活产降至</w:t>
      </w:r>
      <w:r w:rsidR="00E112CD" w:rsidRPr="00E112CD">
        <w:rPr>
          <w:lang w:val="en-GB"/>
        </w:rPr>
        <w:t>2010</w:t>
      </w:r>
      <w:r w:rsidR="00E112CD" w:rsidRPr="00E112CD">
        <w:rPr>
          <w:rFonts w:hint="eastAsia"/>
          <w:lang w:val="en-GB"/>
        </w:rPr>
        <w:t>年的每</w:t>
      </w:r>
      <w:r>
        <w:rPr>
          <w:lang w:val="en-GB"/>
        </w:rPr>
        <w:t>1,</w:t>
      </w:r>
      <w:r w:rsidR="00E112CD" w:rsidRPr="00E112CD">
        <w:rPr>
          <w:lang w:val="en-GB"/>
        </w:rPr>
        <w:t>000</w:t>
      </w:r>
      <w:r w:rsidR="00E112CD" w:rsidRPr="00E112CD">
        <w:rPr>
          <w:rFonts w:hint="eastAsia"/>
          <w:lang w:val="en-GB"/>
        </w:rPr>
        <w:t>人口</w:t>
      </w:r>
      <w:r w:rsidR="00E112CD" w:rsidRPr="00E112CD">
        <w:rPr>
          <w:lang w:val="en-GB"/>
        </w:rPr>
        <w:t>17</w:t>
      </w:r>
      <w:r w:rsidR="00E112CD" w:rsidRPr="00E112CD">
        <w:rPr>
          <w:rFonts w:hint="eastAsia"/>
          <w:lang w:val="en-GB"/>
        </w:rPr>
        <w:t>例婴儿活产。总和生育率</w:t>
      </w:r>
      <w:r>
        <w:rPr>
          <w:rFonts w:hint="eastAsia"/>
          <w:lang w:val="en-GB"/>
        </w:rPr>
        <w:t>，</w:t>
      </w:r>
      <w:r w:rsidR="00E112CD" w:rsidRPr="00E112CD">
        <w:rPr>
          <w:rFonts w:hint="eastAsia"/>
          <w:lang w:val="en-GB"/>
        </w:rPr>
        <w:t>即妇女在育龄期间</w:t>
      </w:r>
      <w:r>
        <w:rPr>
          <w:lang w:val="en-GB"/>
        </w:rPr>
        <w:t>(</w:t>
      </w:r>
      <w:r w:rsidR="00E112CD" w:rsidRPr="00E112CD">
        <w:rPr>
          <w:lang w:val="en-GB"/>
        </w:rPr>
        <w:t>15</w:t>
      </w:r>
      <w:r w:rsidR="00E112CD" w:rsidRPr="00E112CD">
        <w:rPr>
          <w:rFonts w:hint="eastAsia"/>
          <w:lang w:val="en-GB"/>
        </w:rPr>
        <w:t>至</w:t>
      </w:r>
      <w:r w:rsidR="00E112CD" w:rsidRPr="00E112CD">
        <w:rPr>
          <w:lang w:val="en-GB"/>
        </w:rPr>
        <w:t>49</w:t>
      </w:r>
      <w:r w:rsidR="00E112CD" w:rsidRPr="00E112CD">
        <w:rPr>
          <w:rFonts w:hint="eastAsia"/>
          <w:lang w:val="en-GB"/>
        </w:rPr>
        <w:t>岁</w:t>
      </w:r>
      <w:r>
        <w:rPr>
          <w:lang w:val="en-GB"/>
        </w:rPr>
        <w:t>)</w:t>
      </w:r>
      <w:r w:rsidR="00E112CD" w:rsidRPr="00E112CD">
        <w:rPr>
          <w:rFonts w:hint="eastAsia"/>
          <w:lang w:val="en-GB"/>
        </w:rPr>
        <w:t>平均每个妇女的生育子女数</w:t>
      </w:r>
      <w:r>
        <w:rPr>
          <w:rFonts w:hint="eastAsia"/>
          <w:lang w:val="en-GB"/>
        </w:rPr>
        <w:t>，</w:t>
      </w:r>
      <w:r w:rsidR="00E112CD" w:rsidRPr="00E112CD">
        <w:rPr>
          <w:rFonts w:hint="eastAsia"/>
          <w:lang w:val="en-GB"/>
        </w:rPr>
        <w:t>也从</w:t>
      </w:r>
      <w:r w:rsidR="00E112CD" w:rsidRPr="00E112CD">
        <w:rPr>
          <w:lang w:val="en-GB"/>
        </w:rPr>
        <w:t>1957</w:t>
      </w:r>
      <w:r w:rsidR="00E112CD" w:rsidRPr="00E112CD">
        <w:rPr>
          <w:rFonts w:hint="eastAsia"/>
          <w:lang w:val="en-GB"/>
        </w:rPr>
        <w:t>年的每个妇女生育</w:t>
      </w:r>
      <w:r>
        <w:rPr>
          <w:lang w:val="en-GB"/>
        </w:rPr>
        <w:t>6.</w:t>
      </w:r>
      <w:r w:rsidR="00E112CD" w:rsidRPr="00E112CD">
        <w:rPr>
          <w:lang w:val="en-GB"/>
        </w:rPr>
        <w:t>8</w:t>
      </w:r>
      <w:r w:rsidR="00E112CD" w:rsidRPr="00E112CD">
        <w:rPr>
          <w:rFonts w:hint="eastAsia"/>
          <w:lang w:val="en-GB"/>
        </w:rPr>
        <w:t>个子女降至</w:t>
      </w:r>
      <w:r w:rsidR="00E112CD" w:rsidRPr="00E112CD">
        <w:rPr>
          <w:lang w:val="en-GB"/>
        </w:rPr>
        <w:t>2014</w:t>
      </w:r>
      <w:r w:rsidR="00E112CD" w:rsidRPr="00E112CD">
        <w:rPr>
          <w:rFonts w:hint="eastAsia"/>
          <w:lang w:val="en-GB"/>
        </w:rPr>
        <w:t>年的</w:t>
      </w:r>
      <w:r>
        <w:rPr>
          <w:lang w:val="en-GB"/>
        </w:rPr>
        <w:t>2.</w:t>
      </w:r>
      <w:r w:rsidR="00E112CD" w:rsidRPr="00E112CD">
        <w:rPr>
          <w:lang w:val="en-GB"/>
        </w:rPr>
        <w:t>0</w:t>
      </w:r>
      <w:r w:rsidR="00E112CD" w:rsidRPr="00E112CD">
        <w:rPr>
          <w:rFonts w:hint="eastAsia"/>
          <w:lang w:val="en-GB"/>
        </w:rPr>
        <w:t>个</w:t>
      </w:r>
      <w:r>
        <w:rPr>
          <w:lang w:val="en-GB"/>
        </w:rPr>
        <w:t>(</w:t>
      </w:r>
      <w:r w:rsidR="00E112CD" w:rsidRPr="00E112CD">
        <w:rPr>
          <w:rFonts w:hint="eastAsia"/>
          <w:lang w:val="en-GB"/>
        </w:rPr>
        <w:t>图</w:t>
      </w:r>
      <w:r w:rsidR="00E112CD" w:rsidRPr="00E112CD">
        <w:rPr>
          <w:lang w:val="en-GB"/>
        </w:rPr>
        <w:t>1</w:t>
      </w:r>
      <w:r>
        <w:rPr>
          <w:lang w:val="en-GB"/>
        </w:rPr>
        <w:t>)</w:t>
      </w:r>
      <w:r w:rsidR="00E112CD" w:rsidRPr="00E112CD">
        <w:rPr>
          <w:rFonts w:hint="eastAsia"/>
          <w:lang w:val="en-GB"/>
        </w:rPr>
        <w:t>。</w:t>
      </w:r>
    </w:p>
    <w:p w:rsidR="00E112CD" w:rsidRDefault="00E112CD" w:rsidP="00E112CD">
      <w:pPr>
        <w:pStyle w:val="SingleTxtGC"/>
        <w:rPr>
          <w:rFonts w:eastAsia="SimHei" w:hAnsi="SimHei" w:hint="eastAsia"/>
        </w:rPr>
      </w:pPr>
      <w:r w:rsidRPr="00E112CD">
        <w:rPr>
          <w:rFonts w:hint="eastAsia"/>
          <w:bCs/>
          <w:lang w:val="en-GB"/>
        </w:rPr>
        <w:t>图</w:t>
      </w:r>
      <w:r w:rsidRPr="00E112CD">
        <w:rPr>
          <w:bCs/>
          <w:lang w:val="en-GB"/>
        </w:rPr>
        <w:t>1</w:t>
      </w:r>
      <w:r w:rsidRPr="00E112CD">
        <w:rPr>
          <w:bCs/>
          <w:lang w:val="en-GB"/>
        </w:rPr>
        <w:br/>
      </w:r>
      <w:r w:rsidRPr="006E1330">
        <w:rPr>
          <w:rFonts w:eastAsia="SimHei" w:hAnsi="SimHei"/>
        </w:rPr>
        <w:t>粗出生率和总和生育率</w:t>
      </w:r>
      <w:r w:rsidR="006E1330" w:rsidRPr="006E1330">
        <w:rPr>
          <w:rFonts w:eastAsia="SimHei" w:hAnsi="SimHei"/>
        </w:rPr>
        <w:t>，</w:t>
      </w:r>
      <w:r w:rsidRPr="006E1330">
        <w:rPr>
          <w:rFonts w:eastAsia="SimHei" w:hAnsi="SimHei"/>
        </w:rPr>
        <w:t>马来西亚</w:t>
      </w:r>
      <w:r w:rsidR="006E1330" w:rsidRPr="006E1330">
        <w:rPr>
          <w:rFonts w:eastAsia="SimHei" w:hAnsi="SimHei"/>
        </w:rPr>
        <w:t>，</w:t>
      </w:r>
      <w:r w:rsidRPr="006E1330">
        <w:rPr>
          <w:rFonts w:eastAsia="SimHei"/>
        </w:rPr>
        <w:t>1957</w:t>
      </w:r>
      <w:r w:rsidRPr="006E1330">
        <w:rPr>
          <w:rFonts w:eastAsia="SimHei" w:hAnsi="SimHei"/>
        </w:rPr>
        <w:t>至</w:t>
      </w:r>
      <w:r w:rsidRPr="006E1330">
        <w:rPr>
          <w:rFonts w:eastAsia="SimHei"/>
        </w:rPr>
        <w:t>2014</w:t>
      </w:r>
      <w:r w:rsidRPr="006E1330">
        <w:rPr>
          <w:rFonts w:eastAsia="SimHei" w:hAnsi="SimHei"/>
        </w:rPr>
        <w:t>年</w:t>
      </w:r>
    </w:p>
    <w:p w:rsidR="006E1330" w:rsidRPr="00E112CD" w:rsidRDefault="006E1330" w:rsidP="006E1330">
      <w:pPr>
        <w:pStyle w:val="SingleTxtGC"/>
        <w:spacing w:after="0" w:line="240" w:lineRule="auto"/>
        <w:rPr>
          <w:rFonts w:hint="eastAsia"/>
          <w:lang w:val="en-GB"/>
        </w:rPr>
      </w:pPr>
      <w:r>
        <w:rPr>
          <w:rFonts w:hint="eastAsia"/>
          <w:noProof/>
          <w:snapToGrid/>
        </w:rPr>
      </w:r>
      <w:r w:rsidRPr="006E1330">
        <w:rPr>
          <w:lang w:val="en-GB"/>
        </w:rPr>
        <w:pict>
          <v:group id="_x0000_s1086" style="width:338.8pt;height:166.35pt;mso-position-horizontal-relative:char;mso-position-vertical-relative:line" coordorigin="2268,1781" coordsize="6776,3327">
            <v:group id="_x0000_s1087" style="position:absolute;left:2268;top:1781;width:6776;height:3327" coordorigin="2268,1781" coordsize="6776,3327">
              <v:shape id="Picture 4" o:spid="_x0000_s1088" type="#_x0000_t75" style="position:absolute;left:2268;top:1781;width:6776;height:3327;visibility:visible">
                <v:imagedata r:id="rId8" o:title=""/>
                <o:lock v:ext="edit" aspectratio="f"/>
              </v:shape>
              <v:shapetype id="_x0000_t202" coordsize="21600,21600" o:spt="202" path="m,l,21600r21600,l21600,xe">
                <v:stroke joinstyle="miter"/>
                <v:path gradientshapeok="t" o:connecttype="rect"/>
              </v:shapetype>
              <v:shape id="_x0000_s1089" type="#_x0000_t202" style="position:absolute;left:7786;top:3446;width:1170;height:275" stroked="f">
                <v:textbox style="mso-next-textbox:#_x0000_s1089" inset="0,0,0,0">
                  <w:txbxContent>
                    <w:p w:rsidR="00E6083B" w:rsidRPr="00E16129" w:rsidRDefault="00E6083B" w:rsidP="006E1330">
                      <w:pPr>
                        <w:spacing w:line="240" w:lineRule="exact"/>
                        <w:rPr>
                          <w:sz w:val="16"/>
                          <w:szCs w:val="16"/>
                        </w:rPr>
                      </w:pPr>
                      <w:r w:rsidRPr="00E16129">
                        <w:rPr>
                          <w:rFonts w:hint="eastAsia"/>
                          <w:sz w:val="16"/>
                          <w:szCs w:val="16"/>
                        </w:rPr>
                        <w:t>总和生育率</w:t>
                      </w:r>
                    </w:p>
                  </w:txbxContent>
                </v:textbox>
              </v:shape>
            </v:group>
            <v:shape id="_x0000_s1090" type="#_x0000_t202" style="position:absolute;left:7794;top:3168;width:1040;height:275" stroked="f">
              <v:textbox style="mso-next-textbox:#_x0000_s1090" inset="0,0,0,0">
                <w:txbxContent>
                  <w:p w:rsidR="00E6083B" w:rsidRPr="00E16129" w:rsidRDefault="00E6083B" w:rsidP="006E1330">
                    <w:pPr>
                      <w:spacing w:line="240" w:lineRule="exact"/>
                      <w:rPr>
                        <w:sz w:val="16"/>
                        <w:szCs w:val="16"/>
                      </w:rPr>
                    </w:pPr>
                    <w:r w:rsidRPr="00E16129">
                      <w:rPr>
                        <w:rFonts w:hint="eastAsia"/>
                        <w:sz w:val="16"/>
                        <w:szCs w:val="16"/>
                      </w:rPr>
                      <w:t>粗出生率</w:t>
                    </w:r>
                  </w:p>
                </w:txbxContent>
              </v:textbox>
            </v:shape>
            <w10:anchorlock/>
          </v:group>
        </w:pict>
      </w:r>
    </w:p>
    <w:p w:rsidR="005962CC" w:rsidRPr="005962CC" w:rsidRDefault="005962CC">
      <w:pPr>
        <w:pStyle w:val="SingleTxtGC"/>
        <w:spacing w:before="120"/>
        <w:rPr>
          <w:rFonts w:hint="eastAsia"/>
          <w:sz w:val="19"/>
          <w:szCs w:val="19"/>
        </w:rPr>
      </w:pPr>
      <w:r w:rsidRPr="001D60F7">
        <w:rPr>
          <w:rFonts w:eastAsia="KaiTi_GB2312" w:hint="eastAsia"/>
          <w:sz w:val="19"/>
          <w:szCs w:val="19"/>
        </w:rPr>
        <w:t>资料来源：</w:t>
      </w:r>
      <w:r w:rsidRPr="005962CC">
        <w:rPr>
          <w:rFonts w:hint="eastAsia"/>
          <w:sz w:val="19"/>
          <w:szCs w:val="19"/>
        </w:rPr>
        <w:t>统计局，马来西亚，各个年份《生命统计》。</w:t>
      </w:r>
    </w:p>
    <w:p w:rsidR="00E112CD" w:rsidRPr="00E112CD" w:rsidRDefault="006E1330" w:rsidP="005962CC">
      <w:pPr>
        <w:pStyle w:val="SingleTxtGC"/>
        <w:tabs>
          <w:tab w:val="clear" w:pos="1565"/>
        </w:tabs>
        <w:rPr>
          <w:rFonts w:hint="eastAsia"/>
          <w:lang w:val="en-GB"/>
        </w:rPr>
      </w:pPr>
      <w:r>
        <w:rPr>
          <w:lang w:val="en-GB"/>
        </w:rPr>
        <w:t>3.</w:t>
      </w:r>
      <w:r w:rsidR="005962CC">
        <w:rPr>
          <w:rFonts w:hint="eastAsia"/>
          <w:lang w:val="en-GB"/>
        </w:rPr>
        <w:t xml:space="preserve">  </w:t>
      </w:r>
      <w:r w:rsidR="00E112CD" w:rsidRPr="00E112CD">
        <w:rPr>
          <w:rFonts w:hint="eastAsia"/>
          <w:lang w:val="en-GB"/>
        </w:rPr>
        <w:t>随着受教育水平上升</w:t>
      </w:r>
      <w:r>
        <w:rPr>
          <w:rFonts w:hint="eastAsia"/>
          <w:lang w:val="en-GB"/>
        </w:rPr>
        <w:t>，</w:t>
      </w:r>
      <w:r w:rsidR="00E112CD" w:rsidRPr="00E112CD">
        <w:rPr>
          <w:rFonts w:hint="eastAsia"/>
          <w:lang w:val="en-GB"/>
        </w:rPr>
        <w:t>越来越多的劳动力参与职业发展</w:t>
      </w:r>
      <w:r>
        <w:rPr>
          <w:rFonts w:hint="eastAsia"/>
          <w:lang w:val="en-GB"/>
        </w:rPr>
        <w:t>，</w:t>
      </w:r>
      <w:r w:rsidR="00E112CD" w:rsidRPr="00E112CD">
        <w:rPr>
          <w:rFonts w:hint="eastAsia"/>
          <w:lang w:val="en-GB"/>
        </w:rPr>
        <w:t>以职业发展为重点</w:t>
      </w:r>
      <w:r>
        <w:rPr>
          <w:rFonts w:hint="eastAsia"/>
          <w:lang w:val="en-GB"/>
        </w:rPr>
        <w:t>，</w:t>
      </w:r>
      <w:r w:rsidR="00E112CD" w:rsidRPr="00E112CD">
        <w:rPr>
          <w:rFonts w:hint="eastAsia"/>
          <w:lang w:val="en-GB"/>
        </w:rPr>
        <w:t>婚姻往往被推迟。由于生育率下降和越来越多的人结婚后偏好核心家庭</w:t>
      </w:r>
      <w:r>
        <w:rPr>
          <w:rFonts w:hint="eastAsia"/>
          <w:lang w:val="en-GB"/>
        </w:rPr>
        <w:t>，</w:t>
      </w:r>
      <w:r w:rsidR="00E112CD" w:rsidRPr="00E112CD">
        <w:rPr>
          <w:rFonts w:hint="eastAsia"/>
          <w:lang w:val="en-GB"/>
        </w:rPr>
        <w:t>出现了家庭规模倾向较小家庭的重大转变。平均家庭规模从</w:t>
      </w:r>
      <w:r w:rsidR="00E112CD" w:rsidRPr="00E112CD">
        <w:rPr>
          <w:lang w:val="en-GB"/>
        </w:rPr>
        <w:t>1980</w:t>
      </w:r>
      <w:r w:rsidR="00E112CD" w:rsidRPr="00E112CD">
        <w:rPr>
          <w:rFonts w:hint="eastAsia"/>
          <w:lang w:val="en-GB"/>
        </w:rPr>
        <w:t>年的</w:t>
      </w:r>
      <w:r>
        <w:rPr>
          <w:lang w:val="en-GB"/>
        </w:rPr>
        <w:t>5.</w:t>
      </w:r>
      <w:r w:rsidR="00E112CD" w:rsidRPr="00E112CD">
        <w:rPr>
          <w:lang w:val="en-GB"/>
        </w:rPr>
        <w:t>2</w:t>
      </w:r>
      <w:r w:rsidR="00E112CD" w:rsidRPr="00E112CD">
        <w:rPr>
          <w:rFonts w:hint="eastAsia"/>
          <w:lang w:val="en-GB"/>
        </w:rPr>
        <w:t>人</w:t>
      </w:r>
      <w:r>
        <w:rPr>
          <w:rFonts w:hint="eastAsia"/>
          <w:lang w:val="en-GB"/>
        </w:rPr>
        <w:t>，</w:t>
      </w:r>
      <w:r w:rsidR="00E112CD" w:rsidRPr="00E112CD">
        <w:rPr>
          <w:rFonts w:hint="eastAsia"/>
          <w:lang w:val="en-GB"/>
        </w:rPr>
        <w:t>降至</w:t>
      </w:r>
      <w:r w:rsidR="00E112CD" w:rsidRPr="00E112CD">
        <w:rPr>
          <w:lang w:val="en-GB"/>
        </w:rPr>
        <w:t>1991</w:t>
      </w:r>
      <w:r w:rsidR="00E112CD" w:rsidRPr="00E112CD">
        <w:rPr>
          <w:rFonts w:hint="eastAsia"/>
          <w:lang w:val="en-GB"/>
        </w:rPr>
        <w:t>年的</w:t>
      </w:r>
      <w:r>
        <w:rPr>
          <w:lang w:val="en-GB"/>
        </w:rPr>
        <w:t>4.</w:t>
      </w:r>
      <w:r w:rsidR="00E112CD" w:rsidRPr="00E112CD">
        <w:rPr>
          <w:lang w:val="en-GB"/>
        </w:rPr>
        <w:t>8</w:t>
      </w:r>
      <w:r w:rsidR="00E112CD" w:rsidRPr="00E112CD">
        <w:rPr>
          <w:rFonts w:hint="eastAsia"/>
          <w:lang w:val="en-GB"/>
        </w:rPr>
        <w:t>人</w:t>
      </w:r>
      <w:r>
        <w:rPr>
          <w:rFonts w:hint="eastAsia"/>
          <w:lang w:val="en-GB"/>
        </w:rPr>
        <w:t>，</w:t>
      </w:r>
      <w:r w:rsidR="00E112CD" w:rsidRPr="00E112CD">
        <w:rPr>
          <w:rFonts w:hint="eastAsia"/>
          <w:lang w:val="en-GB"/>
        </w:rPr>
        <w:t>进一步降至</w:t>
      </w:r>
      <w:r w:rsidR="00E112CD" w:rsidRPr="00E112CD">
        <w:rPr>
          <w:lang w:val="en-GB"/>
        </w:rPr>
        <w:t>2000</w:t>
      </w:r>
      <w:r w:rsidR="00E112CD" w:rsidRPr="00E112CD">
        <w:rPr>
          <w:rFonts w:hint="eastAsia"/>
          <w:lang w:val="en-GB"/>
        </w:rPr>
        <w:t>年的</w:t>
      </w:r>
      <w:r>
        <w:rPr>
          <w:lang w:val="en-GB"/>
        </w:rPr>
        <w:t>4.</w:t>
      </w:r>
      <w:r w:rsidR="00E112CD" w:rsidRPr="00E112CD">
        <w:rPr>
          <w:lang w:val="en-GB"/>
        </w:rPr>
        <w:t>6</w:t>
      </w:r>
      <w:r w:rsidR="00E112CD" w:rsidRPr="00E112CD">
        <w:rPr>
          <w:rFonts w:hint="eastAsia"/>
          <w:lang w:val="en-GB"/>
        </w:rPr>
        <w:t>人。</w:t>
      </w:r>
      <w:r w:rsidR="00E112CD" w:rsidRPr="00E112CD">
        <w:rPr>
          <w:lang w:val="en-GB"/>
        </w:rPr>
        <w:t>2010</w:t>
      </w:r>
      <w:r w:rsidR="00E112CD" w:rsidRPr="00E112CD">
        <w:rPr>
          <w:rFonts w:hint="eastAsia"/>
          <w:lang w:val="en-GB"/>
        </w:rPr>
        <w:t>年</w:t>
      </w:r>
      <w:r>
        <w:rPr>
          <w:rFonts w:hint="eastAsia"/>
          <w:lang w:val="en-GB"/>
        </w:rPr>
        <w:t>，</w:t>
      </w:r>
      <w:r w:rsidR="00E112CD" w:rsidRPr="00E112CD">
        <w:rPr>
          <w:rFonts w:hint="eastAsia"/>
          <w:lang w:val="en-GB"/>
        </w:rPr>
        <w:t>进一步降至每户</w:t>
      </w:r>
      <w:r>
        <w:rPr>
          <w:lang w:val="en-GB"/>
        </w:rPr>
        <w:t>4.</w:t>
      </w:r>
      <w:r w:rsidR="00E112CD" w:rsidRPr="00E112CD">
        <w:rPr>
          <w:lang w:val="en-GB"/>
        </w:rPr>
        <w:t>3</w:t>
      </w:r>
      <w:r w:rsidR="00E112CD" w:rsidRPr="00E112CD">
        <w:rPr>
          <w:rFonts w:hint="eastAsia"/>
          <w:lang w:val="en-GB"/>
        </w:rPr>
        <w:t>人</w:t>
      </w:r>
      <w:r>
        <w:rPr>
          <w:lang w:val="en-GB"/>
        </w:rPr>
        <w:t>(</w:t>
      </w:r>
      <w:r w:rsidR="00E112CD" w:rsidRPr="00E112CD">
        <w:rPr>
          <w:rFonts w:hint="eastAsia"/>
          <w:lang w:val="en-GB"/>
        </w:rPr>
        <w:t>表</w:t>
      </w:r>
      <w:r w:rsidR="00E112CD" w:rsidRPr="00E112CD">
        <w:rPr>
          <w:lang w:val="en-GB"/>
        </w:rPr>
        <w:t>4</w:t>
      </w:r>
      <w:r>
        <w:rPr>
          <w:lang w:val="en-GB"/>
        </w:rPr>
        <w:t>)</w:t>
      </w:r>
      <w:r w:rsidR="00E112CD">
        <w:rPr>
          <w:rFonts w:hint="eastAsia"/>
          <w:lang w:val="en-GB"/>
        </w:rPr>
        <w:t>。</w:t>
      </w:r>
    </w:p>
    <w:p w:rsidR="00E112CD" w:rsidRPr="00E112CD" w:rsidRDefault="00E112CD" w:rsidP="00E112CD">
      <w:pPr>
        <w:pStyle w:val="SingleTxtGC"/>
        <w:rPr>
          <w:lang w:val="en-GB"/>
        </w:rPr>
      </w:pPr>
      <w:r w:rsidRPr="00E112CD">
        <w:rPr>
          <w:rFonts w:hint="eastAsia"/>
          <w:bCs/>
          <w:lang w:val="en-GB"/>
        </w:rPr>
        <w:t>表</w:t>
      </w:r>
      <w:r w:rsidRPr="00E112CD">
        <w:rPr>
          <w:bCs/>
          <w:lang w:val="en-GB"/>
        </w:rPr>
        <w:t>4</w:t>
      </w:r>
      <w:r w:rsidRPr="00E112CD">
        <w:rPr>
          <w:bCs/>
          <w:lang w:val="en-GB"/>
        </w:rPr>
        <w:br/>
      </w:r>
      <w:r w:rsidRPr="005962CC">
        <w:rPr>
          <w:rFonts w:eastAsia="SimHei" w:hAnsi="SimHei"/>
        </w:rPr>
        <w:t>按州分类的平均家庭规模</w:t>
      </w:r>
      <w:r w:rsidR="006E1330" w:rsidRPr="005962CC">
        <w:rPr>
          <w:rFonts w:eastAsia="SimHei" w:hAnsi="SimHei"/>
        </w:rPr>
        <w:t>，</w:t>
      </w:r>
      <w:r w:rsidRPr="005962CC">
        <w:rPr>
          <w:rFonts w:eastAsia="SimHei"/>
        </w:rPr>
        <w:t>1980</w:t>
      </w:r>
      <w:r w:rsidRPr="005962CC">
        <w:rPr>
          <w:rFonts w:eastAsia="SimHei" w:hAnsi="SimHei"/>
        </w:rPr>
        <w:t>至</w:t>
      </w:r>
      <w:r w:rsidRPr="005962CC">
        <w:rPr>
          <w:rFonts w:eastAsia="SimHei"/>
        </w:rPr>
        <w:t>2010</w:t>
      </w:r>
      <w:r w:rsidRPr="005962CC">
        <w:rPr>
          <w:rFonts w:eastAsia="SimHei" w:hAnsi="SimHei"/>
        </w:rPr>
        <w:t>年</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113"/>
        <w:gridCol w:w="1352"/>
        <w:gridCol w:w="1303"/>
        <w:gridCol w:w="1303"/>
        <w:gridCol w:w="1299"/>
      </w:tblGrid>
      <w:tr w:rsidR="00E112CD" w:rsidRPr="00E112CD" w:rsidTr="005962CC">
        <w:trPr>
          <w:trHeight w:val="240"/>
          <w:tblHeader/>
        </w:trPr>
        <w:tc>
          <w:tcPr>
            <w:tcW w:w="1434" w:type="pct"/>
            <w:tcBorders>
              <w:top w:val="single" w:sz="4" w:space="0" w:color="auto"/>
              <w:bottom w:val="single" w:sz="12" w:space="0" w:color="auto"/>
            </w:tcBorders>
            <w:shd w:val="clear" w:color="auto" w:fill="auto"/>
            <w:noWrap/>
            <w:vAlign w:val="bottom"/>
          </w:tcPr>
          <w:p w:rsidR="00E112CD" w:rsidRPr="00E112CD" w:rsidRDefault="00E112CD" w:rsidP="005962CC">
            <w:pPr>
              <w:pStyle w:val="a0"/>
              <w:ind w:right="0"/>
              <w:jc w:val="left"/>
              <w:rPr>
                <w:lang w:val="en-GB"/>
              </w:rPr>
            </w:pPr>
            <w:r w:rsidRPr="00E112CD">
              <w:rPr>
                <w:rFonts w:hint="eastAsia"/>
                <w:lang w:val="en-GB"/>
              </w:rPr>
              <w:t>州</w:t>
            </w:r>
          </w:p>
        </w:tc>
        <w:tc>
          <w:tcPr>
            <w:tcW w:w="917" w:type="pct"/>
            <w:tcBorders>
              <w:top w:val="single" w:sz="4" w:space="0" w:color="auto"/>
              <w:bottom w:val="single" w:sz="12" w:space="0" w:color="auto"/>
            </w:tcBorders>
            <w:shd w:val="clear" w:color="auto" w:fill="auto"/>
            <w:noWrap/>
            <w:vAlign w:val="bottom"/>
          </w:tcPr>
          <w:p w:rsidR="00E112CD" w:rsidRPr="00E112CD" w:rsidRDefault="00E112CD" w:rsidP="005962CC">
            <w:pPr>
              <w:pStyle w:val="a0"/>
              <w:ind w:right="0"/>
              <w:jc w:val="right"/>
              <w:rPr>
                <w:lang w:val="en-GB"/>
              </w:rPr>
            </w:pPr>
            <w:r w:rsidRPr="00E112CD">
              <w:rPr>
                <w:lang w:val="en-GB"/>
              </w:rPr>
              <w:t>1980</w:t>
            </w:r>
            <w:r w:rsidRPr="00E112CD">
              <w:rPr>
                <w:rFonts w:hint="eastAsia"/>
                <w:lang w:val="en-GB"/>
              </w:rPr>
              <w:t>年</w:t>
            </w:r>
          </w:p>
        </w:tc>
        <w:tc>
          <w:tcPr>
            <w:tcW w:w="884" w:type="pct"/>
            <w:tcBorders>
              <w:top w:val="single" w:sz="4" w:space="0" w:color="auto"/>
              <w:bottom w:val="single" w:sz="12" w:space="0" w:color="auto"/>
            </w:tcBorders>
            <w:shd w:val="clear" w:color="auto" w:fill="auto"/>
            <w:noWrap/>
            <w:vAlign w:val="bottom"/>
          </w:tcPr>
          <w:p w:rsidR="00E112CD" w:rsidRPr="00E112CD" w:rsidRDefault="00E112CD" w:rsidP="005962CC">
            <w:pPr>
              <w:pStyle w:val="a0"/>
              <w:ind w:right="0"/>
              <w:jc w:val="right"/>
              <w:rPr>
                <w:lang w:val="en-GB"/>
              </w:rPr>
            </w:pPr>
            <w:r w:rsidRPr="00E112CD">
              <w:rPr>
                <w:lang w:val="en-GB"/>
              </w:rPr>
              <w:t>1991</w:t>
            </w:r>
            <w:r w:rsidRPr="00E112CD">
              <w:rPr>
                <w:rFonts w:hint="eastAsia"/>
                <w:lang w:val="en-GB"/>
              </w:rPr>
              <w:t>年</w:t>
            </w:r>
          </w:p>
        </w:tc>
        <w:tc>
          <w:tcPr>
            <w:tcW w:w="884" w:type="pct"/>
            <w:tcBorders>
              <w:top w:val="single" w:sz="4" w:space="0" w:color="auto"/>
              <w:bottom w:val="single" w:sz="12" w:space="0" w:color="auto"/>
            </w:tcBorders>
            <w:shd w:val="clear" w:color="auto" w:fill="auto"/>
            <w:noWrap/>
            <w:vAlign w:val="bottom"/>
          </w:tcPr>
          <w:p w:rsidR="00E112CD" w:rsidRPr="00E112CD" w:rsidRDefault="00E112CD" w:rsidP="005962CC">
            <w:pPr>
              <w:pStyle w:val="a0"/>
              <w:ind w:right="0"/>
              <w:jc w:val="right"/>
              <w:rPr>
                <w:lang w:val="en-GB"/>
              </w:rPr>
            </w:pPr>
            <w:r w:rsidRPr="00E112CD">
              <w:rPr>
                <w:lang w:val="en-GB"/>
              </w:rPr>
              <w:t>2000</w:t>
            </w:r>
            <w:r w:rsidRPr="00E112CD">
              <w:rPr>
                <w:rFonts w:hint="eastAsia"/>
                <w:lang w:val="en-GB"/>
              </w:rPr>
              <w:t>年</w:t>
            </w:r>
          </w:p>
        </w:tc>
        <w:tc>
          <w:tcPr>
            <w:tcW w:w="881" w:type="pct"/>
            <w:tcBorders>
              <w:top w:val="single" w:sz="4" w:space="0" w:color="auto"/>
              <w:bottom w:val="single" w:sz="12" w:space="0" w:color="auto"/>
            </w:tcBorders>
            <w:shd w:val="clear" w:color="auto" w:fill="auto"/>
            <w:vAlign w:val="bottom"/>
          </w:tcPr>
          <w:p w:rsidR="00E112CD" w:rsidRPr="00E112CD" w:rsidRDefault="00E112CD" w:rsidP="005962CC">
            <w:pPr>
              <w:pStyle w:val="a0"/>
              <w:ind w:right="0"/>
              <w:jc w:val="right"/>
              <w:rPr>
                <w:lang w:val="en-GB"/>
              </w:rPr>
            </w:pPr>
            <w:r w:rsidRPr="00E112CD">
              <w:rPr>
                <w:lang w:val="en-GB"/>
              </w:rPr>
              <w:t>2010</w:t>
            </w:r>
            <w:r w:rsidRPr="00E112CD">
              <w:rPr>
                <w:rFonts w:hint="eastAsia"/>
                <w:lang w:val="en-GB"/>
              </w:rPr>
              <w:t>年</w:t>
            </w:r>
          </w:p>
        </w:tc>
      </w:tr>
      <w:tr w:rsidR="00E112CD" w:rsidRPr="00E112CD" w:rsidTr="005962CC">
        <w:trPr>
          <w:trHeight w:val="240"/>
        </w:trPr>
        <w:tc>
          <w:tcPr>
            <w:tcW w:w="1434" w:type="pct"/>
            <w:tcBorders>
              <w:top w:val="single" w:sz="12" w:space="0" w:color="auto"/>
            </w:tcBorders>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柔佛</w:t>
            </w:r>
          </w:p>
        </w:tc>
        <w:tc>
          <w:tcPr>
            <w:tcW w:w="917" w:type="pct"/>
            <w:tcBorders>
              <w:top w:val="single" w:sz="12" w:space="0" w:color="auto"/>
            </w:tcBorders>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5</w:t>
            </w:r>
          </w:p>
        </w:tc>
        <w:tc>
          <w:tcPr>
            <w:tcW w:w="884" w:type="pct"/>
            <w:tcBorders>
              <w:top w:val="single" w:sz="12" w:space="0" w:color="auto"/>
            </w:tcBorders>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8</w:t>
            </w:r>
          </w:p>
        </w:tc>
        <w:tc>
          <w:tcPr>
            <w:tcW w:w="884" w:type="pct"/>
            <w:tcBorders>
              <w:top w:val="single" w:sz="12" w:space="0" w:color="auto"/>
            </w:tcBorders>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5</w:t>
            </w:r>
          </w:p>
        </w:tc>
        <w:tc>
          <w:tcPr>
            <w:tcW w:w="881" w:type="pct"/>
            <w:tcBorders>
              <w:top w:val="single" w:sz="12" w:space="0" w:color="auto"/>
            </w:tcBorders>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2</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吉打</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0</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7</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5</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4</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吉兰丹</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8</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0</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0</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3</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马六甲</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4</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8</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4</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3</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森美兰</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2</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7</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4</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3</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彭亨</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0</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8</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5</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3</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霹雳</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2</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6</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3</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3</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玻璃市</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5</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4</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3</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4</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槟城</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4</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9</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3</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2</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沙巴</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4</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1</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1</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9</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砂拉越</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2</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7</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8</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6</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雪兰莪</w:t>
            </w:r>
            <w:r w:rsidR="005962CC">
              <w:rPr>
                <w:rStyle w:val="FootnoteReference"/>
                <w:lang w:val="en-GB"/>
              </w:rPr>
              <w:footnoteReference w:id="2"/>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3</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8</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5</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3.</w:t>
            </w:r>
            <w:r w:rsidR="00E112CD" w:rsidRPr="00E112CD">
              <w:rPr>
                <w:lang w:val="en-GB"/>
              </w:rPr>
              <w:t>7</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登嘉楼</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9</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1</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0</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8</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spacing w:before="80"/>
              <w:ind w:right="0"/>
              <w:jc w:val="left"/>
              <w:rPr>
                <w:lang w:val="en-GB"/>
              </w:rPr>
            </w:pPr>
            <w:r w:rsidRPr="00E112CD">
              <w:rPr>
                <w:rFonts w:hint="eastAsia"/>
                <w:lang w:val="en-GB"/>
              </w:rPr>
              <w:t>联邦直辖区</w:t>
            </w:r>
          </w:p>
        </w:tc>
        <w:tc>
          <w:tcPr>
            <w:tcW w:w="917" w:type="pct"/>
            <w:shd w:val="clear" w:color="auto" w:fill="auto"/>
            <w:noWrap/>
            <w:vAlign w:val="bottom"/>
          </w:tcPr>
          <w:p w:rsidR="00E112CD" w:rsidRPr="00E112CD" w:rsidRDefault="00E112CD" w:rsidP="005962CC">
            <w:pPr>
              <w:pStyle w:val="a5"/>
              <w:overflowPunct/>
              <w:spacing w:before="80" w:after="80"/>
              <w:ind w:right="0"/>
              <w:jc w:val="right"/>
              <w:rPr>
                <w:lang w:val="en-GB"/>
              </w:rPr>
            </w:pPr>
          </w:p>
        </w:tc>
        <w:tc>
          <w:tcPr>
            <w:tcW w:w="884" w:type="pct"/>
            <w:shd w:val="clear" w:color="auto" w:fill="auto"/>
            <w:noWrap/>
            <w:vAlign w:val="bottom"/>
          </w:tcPr>
          <w:p w:rsidR="00E112CD" w:rsidRPr="00E112CD" w:rsidRDefault="00E112CD" w:rsidP="005962CC">
            <w:pPr>
              <w:pStyle w:val="a5"/>
              <w:overflowPunct/>
              <w:spacing w:before="80" w:after="80"/>
              <w:ind w:right="0"/>
              <w:jc w:val="right"/>
              <w:rPr>
                <w:lang w:val="en-GB"/>
              </w:rPr>
            </w:pPr>
          </w:p>
        </w:tc>
        <w:tc>
          <w:tcPr>
            <w:tcW w:w="884" w:type="pct"/>
            <w:shd w:val="clear" w:color="auto" w:fill="auto"/>
            <w:noWrap/>
            <w:vAlign w:val="bottom"/>
          </w:tcPr>
          <w:p w:rsidR="00E112CD" w:rsidRPr="00E112CD" w:rsidRDefault="00E112CD" w:rsidP="005962CC">
            <w:pPr>
              <w:pStyle w:val="a5"/>
              <w:overflowPunct/>
              <w:spacing w:before="80" w:after="80"/>
              <w:ind w:right="0"/>
              <w:jc w:val="right"/>
              <w:rPr>
                <w:lang w:val="en-GB"/>
              </w:rPr>
            </w:pPr>
          </w:p>
        </w:tc>
        <w:tc>
          <w:tcPr>
            <w:tcW w:w="881" w:type="pct"/>
            <w:shd w:val="clear" w:color="auto" w:fill="auto"/>
            <w:vAlign w:val="bottom"/>
          </w:tcPr>
          <w:p w:rsidR="00E112CD" w:rsidRPr="00E112CD" w:rsidRDefault="00E112CD" w:rsidP="005962CC">
            <w:pPr>
              <w:pStyle w:val="a5"/>
              <w:overflowPunct/>
              <w:spacing w:before="80" w:after="80"/>
              <w:ind w:right="0"/>
              <w:jc w:val="right"/>
              <w:rPr>
                <w:lang w:val="en-GB"/>
              </w:rPr>
            </w:pP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吉隆坡</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8</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5</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2</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2</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纳闽</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5</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9</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8</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1</w:t>
            </w:r>
          </w:p>
        </w:tc>
      </w:tr>
      <w:tr w:rsidR="00E112CD" w:rsidRPr="00E112CD" w:rsidTr="005962CC">
        <w:trPr>
          <w:trHeight w:val="240"/>
        </w:trPr>
        <w:tc>
          <w:tcPr>
            <w:tcW w:w="1434" w:type="pct"/>
            <w:shd w:val="clear" w:color="auto" w:fill="auto"/>
            <w:noWrap/>
          </w:tcPr>
          <w:p w:rsidR="00E112CD" w:rsidRPr="00E112CD" w:rsidRDefault="00E112CD" w:rsidP="005962CC">
            <w:pPr>
              <w:pStyle w:val="a5"/>
              <w:overflowPunct/>
              <w:ind w:right="0"/>
              <w:jc w:val="left"/>
              <w:rPr>
                <w:lang w:val="en-GB"/>
              </w:rPr>
            </w:pPr>
            <w:r w:rsidRPr="00E112CD">
              <w:rPr>
                <w:rFonts w:hint="eastAsia"/>
                <w:lang w:val="en-GB"/>
              </w:rPr>
              <w:t>马来西亚</w:t>
            </w:r>
          </w:p>
        </w:tc>
        <w:tc>
          <w:tcPr>
            <w:tcW w:w="917" w:type="pct"/>
            <w:shd w:val="clear" w:color="auto" w:fill="auto"/>
            <w:noWrap/>
            <w:vAlign w:val="bottom"/>
          </w:tcPr>
          <w:p w:rsidR="00E112CD" w:rsidRPr="00E112CD" w:rsidRDefault="006E1330" w:rsidP="005962CC">
            <w:pPr>
              <w:pStyle w:val="a5"/>
              <w:overflowPunct/>
              <w:ind w:right="0"/>
              <w:jc w:val="right"/>
              <w:rPr>
                <w:lang w:val="en-GB"/>
              </w:rPr>
            </w:pPr>
            <w:r>
              <w:rPr>
                <w:lang w:val="en-GB"/>
              </w:rPr>
              <w:t>5.</w:t>
            </w:r>
            <w:r w:rsidR="00E112CD" w:rsidRPr="00E112CD">
              <w:rPr>
                <w:lang w:val="en-GB"/>
              </w:rPr>
              <w:t>2</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8</w:t>
            </w:r>
          </w:p>
        </w:tc>
        <w:tc>
          <w:tcPr>
            <w:tcW w:w="884" w:type="pct"/>
            <w:shd w:val="clear" w:color="auto" w:fill="auto"/>
            <w:noWrap/>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6</w:t>
            </w:r>
          </w:p>
        </w:tc>
        <w:tc>
          <w:tcPr>
            <w:tcW w:w="881" w:type="pct"/>
            <w:shd w:val="clear" w:color="auto" w:fill="auto"/>
            <w:vAlign w:val="bottom"/>
          </w:tcPr>
          <w:p w:rsidR="00E112CD" w:rsidRPr="00E112CD" w:rsidRDefault="006E1330" w:rsidP="005962CC">
            <w:pPr>
              <w:pStyle w:val="a5"/>
              <w:overflowPunct/>
              <w:ind w:right="0"/>
              <w:jc w:val="right"/>
              <w:rPr>
                <w:lang w:val="en-GB"/>
              </w:rPr>
            </w:pPr>
            <w:r>
              <w:rPr>
                <w:lang w:val="en-GB"/>
              </w:rPr>
              <w:t>4.</w:t>
            </w:r>
            <w:r w:rsidR="00E112CD" w:rsidRPr="00E112CD">
              <w:rPr>
                <w:lang w:val="en-GB"/>
              </w:rPr>
              <w:t>3</w:t>
            </w:r>
          </w:p>
        </w:tc>
      </w:tr>
    </w:tbl>
    <w:p w:rsidR="005962CC" w:rsidRPr="005962CC" w:rsidRDefault="005962CC">
      <w:pPr>
        <w:pStyle w:val="SingleTxtGC"/>
        <w:spacing w:before="120"/>
        <w:rPr>
          <w:rFonts w:hint="eastAsia"/>
          <w:sz w:val="19"/>
          <w:szCs w:val="19"/>
        </w:rPr>
      </w:pPr>
      <w:r w:rsidRPr="001D60F7">
        <w:rPr>
          <w:rFonts w:eastAsia="KaiTi_GB2312" w:hint="eastAsia"/>
          <w:sz w:val="19"/>
          <w:szCs w:val="19"/>
        </w:rPr>
        <w:t>资料来源：</w:t>
      </w:r>
      <w:r w:rsidRPr="005962CC">
        <w:rPr>
          <w:rFonts w:hint="eastAsia"/>
          <w:sz w:val="19"/>
          <w:szCs w:val="19"/>
        </w:rPr>
        <w:t>统计局，马来西亚。</w:t>
      </w:r>
    </w:p>
    <w:p w:rsidR="00E112CD" w:rsidRPr="00E112CD" w:rsidRDefault="006E1330" w:rsidP="00E112CD">
      <w:pPr>
        <w:pStyle w:val="SingleTxtGC"/>
        <w:rPr>
          <w:lang w:val="en-GB"/>
        </w:rPr>
      </w:pPr>
      <w:r>
        <w:rPr>
          <w:lang w:val="en-GB"/>
        </w:rPr>
        <w:t>4.</w:t>
      </w:r>
      <w:r w:rsidR="005962CC">
        <w:rPr>
          <w:rFonts w:hint="eastAsia"/>
          <w:lang w:val="en-GB"/>
        </w:rPr>
        <w:t xml:space="preserve">  </w:t>
      </w:r>
      <w:r w:rsidR="00E112CD" w:rsidRPr="00E112CD">
        <w:rPr>
          <w:rFonts w:hint="eastAsia"/>
          <w:lang w:val="en-GB"/>
        </w:rPr>
        <w:t>婴儿死亡率从</w:t>
      </w:r>
      <w:r w:rsidR="00E112CD" w:rsidRPr="00E112CD">
        <w:rPr>
          <w:lang w:val="en-GB"/>
        </w:rPr>
        <w:t>1990</w:t>
      </w:r>
      <w:r w:rsidR="00E112CD" w:rsidRPr="00E112CD">
        <w:rPr>
          <w:rFonts w:hint="eastAsia"/>
          <w:lang w:val="en-GB"/>
        </w:rPr>
        <w:t>年的每</w:t>
      </w:r>
      <w:r>
        <w:rPr>
          <w:lang w:val="en-GB"/>
        </w:rPr>
        <w:t>1,</w:t>
      </w:r>
      <w:r w:rsidR="00E112CD" w:rsidRPr="00E112CD">
        <w:rPr>
          <w:lang w:val="en-GB"/>
        </w:rPr>
        <w:t>000</w:t>
      </w:r>
      <w:r w:rsidR="00E112CD" w:rsidRPr="00E112CD">
        <w:rPr>
          <w:rFonts w:hint="eastAsia"/>
          <w:lang w:val="en-GB"/>
        </w:rPr>
        <w:t>例活产</w:t>
      </w:r>
      <w:r w:rsidR="00E112CD" w:rsidRPr="00E112CD">
        <w:rPr>
          <w:lang w:val="en-GB"/>
        </w:rPr>
        <w:t>1</w:t>
      </w:r>
      <w:r>
        <w:rPr>
          <w:lang w:val="en-GB"/>
        </w:rPr>
        <w:t>1.</w:t>
      </w:r>
      <w:r w:rsidR="00E112CD" w:rsidRPr="00E112CD">
        <w:rPr>
          <w:lang w:val="en-GB"/>
        </w:rPr>
        <w:t>6</w:t>
      </w:r>
      <w:r w:rsidR="00E112CD" w:rsidRPr="00E112CD">
        <w:rPr>
          <w:rFonts w:hint="eastAsia"/>
          <w:lang w:val="en-GB"/>
        </w:rPr>
        <w:t>例死亡降至</w:t>
      </w:r>
      <w:r w:rsidR="00E112CD" w:rsidRPr="00E112CD">
        <w:rPr>
          <w:lang w:val="en-GB"/>
        </w:rPr>
        <w:t>1990</w:t>
      </w:r>
      <w:r w:rsidR="00E112CD" w:rsidRPr="00E112CD">
        <w:rPr>
          <w:rFonts w:hint="eastAsia"/>
          <w:lang w:val="en-GB"/>
        </w:rPr>
        <w:t>年的每</w:t>
      </w:r>
      <w:r>
        <w:rPr>
          <w:lang w:val="en-GB"/>
        </w:rPr>
        <w:t>1,</w:t>
      </w:r>
      <w:r w:rsidR="00E112CD" w:rsidRPr="00E112CD">
        <w:rPr>
          <w:lang w:val="en-GB"/>
        </w:rPr>
        <w:t>000</w:t>
      </w:r>
      <w:r w:rsidR="00E112CD" w:rsidRPr="00E112CD">
        <w:rPr>
          <w:rFonts w:hint="eastAsia"/>
          <w:lang w:val="en-GB"/>
        </w:rPr>
        <w:t>例活产</w:t>
      </w:r>
      <w:r>
        <w:rPr>
          <w:lang w:val="en-GB"/>
        </w:rPr>
        <w:t>6.</w:t>
      </w:r>
      <w:r w:rsidR="00E112CD" w:rsidRPr="00E112CD">
        <w:rPr>
          <w:lang w:val="en-GB"/>
        </w:rPr>
        <w:t>5</w:t>
      </w:r>
      <w:r w:rsidR="00E112CD" w:rsidRPr="00E112CD">
        <w:rPr>
          <w:rFonts w:hint="eastAsia"/>
          <w:lang w:val="en-GB"/>
        </w:rPr>
        <w:t>例死亡。男性和女性的预期寿命增加了。</w:t>
      </w:r>
      <w:r w:rsidR="00E112CD" w:rsidRPr="00E112CD">
        <w:rPr>
          <w:lang w:val="en-GB"/>
        </w:rPr>
        <w:t>1980</w:t>
      </w:r>
      <w:r w:rsidR="00E112CD" w:rsidRPr="00E112CD">
        <w:rPr>
          <w:rFonts w:hint="eastAsia"/>
          <w:lang w:val="en-GB"/>
        </w:rPr>
        <w:t>年</w:t>
      </w:r>
      <w:r>
        <w:rPr>
          <w:rFonts w:hint="eastAsia"/>
          <w:lang w:val="en-GB"/>
        </w:rPr>
        <w:t>，</w:t>
      </w:r>
      <w:r w:rsidR="00E112CD" w:rsidRPr="00E112CD">
        <w:rPr>
          <w:rFonts w:hint="eastAsia"/>
          <w:lang w:val="en-GB"/>
        </w:rPr>
        <w:t>女性的平均寿命为</w:t>
      </w:r>
      <w:r w:rsidR="00E112CD" w:rsidRPr="00E112CD">
        <w:rPr>
          <w:lang w:val="en-GB"/>
        </w:rPr>
        <w:t>71</w:t>
      </w:r>
      <w:r w:rsidR="00E112CD" w:rsidRPr="00E112CD">
        <w:rPr>
          <w:rFonts w:hint="eastAsia"/>
          <w:lang w:val="en-GB"/>
        </w:rPr>
        <w:t>岁</w:t>
      </w:r>
      <w:r>
        <w:rPr>
          <w:rFonts w:hint="eastAsia"/>
          <w:lang w:val="en-GB"/>
        </w:rPr>
        <w:t>，</w:t>
      </w:r>
      <w:r w:rsidR="00E112CD" w:rsidRPr="00E112CD">
        <w:rPr>
          <w:rFonts w:hint="eastAsia"/>
          <w:lang w:val="en-GB"/>
        </w:rPr>
        <w:t>男性为</w:t>
      </w:r>
      <w:r w:rsidR="00E112CD" w:rsidRPr="00E112CD">
        <w:rPr>
          <w:lang w:val="en-GB"/>
        </w:rPr>
        <w:t>6</w:t>
      </w:r>
      <w:r>
        <w:rPr>
          <w:lang w:val="en-GB"/>
        </w:rPr>
        <w:t>6.</w:t>
      </w:r>
      <w:r w:rsidR="00E112CD" w:rsidRPr="00E112CD">
        <w:rPr>
          <w:lang w:val="en-GB"/>
        </w:rPr>
        <w:t>5</w:t>
      </w:r>
      <w:r w:rsidR="00E112CD" w:rsidRPr="00E112CD">
        <w:rPr>
          <w:rFonts w:hint="eastAsia"/>
          <w:lang w:val="en-GB"/>
        </w:rPr>
        <w:t>岁。</w:t>
      </w:r>
      <w:r w:rsidR="00E112CD" w:rsidRPr="00E112CD">
        <w:rPr>
          <w:lang w:val="en-GB"/>
        </w:rPr>
        <w:t>2014</w:t>
      </w:r>
      <w:r w:rsidR="00E112CD" w:rsidRPr="00E112CD">
        <w:rPr>
          <w:rFonts w:hint="eastAsia"/>
          <w:lang w:val="en-GB"/>
        </w:rPr>
        <w:t>年</w:t>
      </w:r>
      <w:r>
        <w:rPr>
          <w:rFonts w:hint="eastAsia"/>
          <w:lang w:val="en-GB"/>
        </w:rPr>
        <w:t>，</w:t>
      </w:r>
      <w:r w:rsidR="00E112CD" w:rsidRPr="00E112CD">
        <w:rPr>
          <w:rFonts w:hint="eastAsia"/>
          <w:lang w:val="en-GB"/>
        </w:rPr>
        <w:t>他们的预期寿命分别为</w:t>
      </w:r>
      <w:r w:rsidR="00E112CD" w:rsidRPr="00E112CD">
        <w:rPr>
          <w:lang w:val="en-GB"/>
        </w:rPr>
        <w:t>7</w:t>
      </w:r>
      <w:r>
        <w:rPr>
          <w:lang w:val="en-GB"/>
        </w:rPr>
        <w:t>7.</w:t>
      </w:r>
      <w:r w:rsidR="00E112CD" w:rsidRPr="00E112CD">
        <w:rPr>
          <w:lang w:val="en-GB"/>
        </w:rPr>
        <w:t>2</w:t>
      </w:r>
      <w:r w:rsidR="00E112CD" w:rsidRPr="00E112CD">
        <w:rPr>
          <w:rFonts w:hint="eastAsia"/>
          <w:lang w:val="en-GB"/>
        </w:rPr>
        <w:t>岁和</w:t>
      </w:r>
      <w:r w:rsidR="00E112CD" w:rsidRPr="00E112CD">
        <w:rPr>
          <w:lang w:val="en-GB"/>
        </w:rPr>
        <w:t>7</w:t>
      </w:r>
      <w:r>
        <w:rPr>
          <w:lang w:val="en-GB"/>
        </w:rPr>
        <w:t>2.</w:t>
      </w:r>
      <w:r w:rsidR="00E112CD" w:rsidRPr="00E112CD">
        <w:rPr>
          <w:lang w:val="en-GB"/>
        </w:rPr>
        <w:t>5</w:t>
      </w:r>
      <w:r w:rsidR="00E112CD" w:rsidRPr="00E112CD">
        <w:rPr>
          <w:rFonts w:hint="eastAsia"/>
          <w:lang w:val="en-GB"/>
        </w:rPr>
        <w:t>岁。</w:t>
      </w:r>
      <w:r w:rsidR="005962CC">
        <w:rPr>
          <w:rStyle w:val="FootnoteReference"/>
          <w:lang w:val="en-GB"/>
        </w:rPr>
        <w:footnoteReference w:id="3"/>
      </w:r>
    </w:p>
    <w:p w:rsidR="00E112CD" w:rsidRPr="00E112CD" w:rsidRDefault="00E112CD" w:rsidP="005962CC">
      <w:pPr>
        <w:pStyle w:val="H23GC"/>
        <w:pageBreakBefore/>
        <w:rPr>
          <w:lang w:val="en-GB"/>
        </w:rPr>
      </w:pPr>
      <w:r w:rsidRPr="00E112CD">
        <w:rPr>
          <w:lang w:val="en-GB"/>
        </w:rPr>
        <w:tab/>
      </w:r>
      <w:r w:rsidR="006E1330">
        <w:rPr>
          <w:lang w:val="en-GB"/>
        </w:rPr>
        <w:t>1.</w:t>
      </w:r>
      <w:r w:rsidRPr="00E112CD">
        <w:rPr>
          <w:lang w:val="en-GB"/>
        </w:rPr>
        <w:tab/>
      </w:r>
      <w:r w:rsidRPr="005962CC">
        <w:rPr>
          <w:rFonts w:hint="eastAsia"/>
          <w:lang w:val="en-GB"/>
        </w:rPr>
        <w:t>经济</w:t>
      </w:r>
    </w:p>
    <w:p w:rsidR="00E112CD" w:rsidRPr="00E112CD" w:rsidRDefault="006E1330" w:rsidP="00E112CD">
      <w:pPr>
        <w:pStyle w:val="SingleTxtGC"/>
        <w:rPr>
          <w:lang w:val="en-GB"/>
        </w:rPr>
      </w:pPr>
      <w:r>
        <w:rPr>
          <w:lang w:val="en-GB"/>
        </w:rPr>
        <w:t>5.</w:t>
      </w:r>
      <w:r w:rsidR="005962CC">
        <w:rPr>
          <w:rFonts w:hint="eastAsia"/>
          <w:lang w:val="en-GB"/>
        </w:rPr>
        <w:t xml:space="preserve">  </w:t>
      </w:r>
      <w:r w:rsidR="00E112CD" w:rsidRPr="00E112CD">
        <w:rPr>
          <w:rFonts w:hint="eastAsia"/>
          <w:lang w:val="en-GB"/>
        </w:rPr>
        <w:t>政府执行的经济政策导致了全国更加平衡的经济参与和更广泛的基本服务覆盖。过去</w:t>
      </w:r>
      <w:r w:rsidR="00E112CD" w:rsidRPr="00E112CD">
        <w:rPr>
          <w:lang w:val="en-GB"/>
        </w:rPr>
        <w:t>40</w:t>
      </w:r>
      <w:r w:rsidR="00E112CD" w:rsidRPr="00E112CD">
        <w:rPr>
          <w:rFonts w:hint="eastAsia"/>
          <w:lang w:val="en-GB"/>
        </w:rPr>
        <w:t>年</w:t>
      </w:r>
      <w:r>
        <w:rPr>
          <w:rFonts w:hint="eastAsia"/>
          <w:lang w:val="en-GB"/>
        </w:rPr>
        <w:t>，</w:t>
      </w:r>
      <w:r w:rsidR="00E112CD" w:rsidRPr="00E112CD">
        <w:rPr>
          <w:rFonts w:hint="eastAsia"/>
          <w:lang w:val="en-GB"/>
        </w:rPr>
        <w:t>马来西亚的贫困率从</w:t>
      </w:r>
      <w:r w:rsidR="00E112CD" w:rsidRPr="00E112CD">
        <w:rPr>
          <w:lang w:val="en-GB"/>
        </w:rPr>
        <w:t>1970</w:t>
      </w:r>
      <w:r w:rsidR="00E112CD" w:rsidRPr="00E112CD">
        <w:rPr>
          <w:rFonts w:hint="eastAsia"/>
          <w:lang w:val="en-GB"/>
        </w:rPr>
        <w:t>年的</w:t>
      </w:r>
      <w:r w:rsidR="00E112CD" w:rsidRPr="00E112CD">
        <w:rPr>
          <w:lang w:val="en-GB"/>
        </w:rPr>
        <w:t>4</w:t>
      </w:r>
      <w:r>
        <w:rPr>
          <w:lang w:val="en-GB"/>
        </w:rPr>
        <w:t>9.</w:t>
      </w:r>
      <w:r w:rsidR="00E112CD" w:rsidRPr="00E112CD">
        <w:rPr>
          <w:lang w:val="en-GB"/>
        </w:rPr>
        <w:t>3</w:t>
      </w:r>
      <w:r>
        <w:rPr>
          <w:lang w:val="en-GB"/>
        </w:rPr>
        <w:t>%</w:t>
      </w:r>
      <w:r w:rsidR="00E112CD" w:rsidRPr="00E112CD">
        <w:rPr>
          <w:rFonts w:hint="eastAsia"/>
          <w:lang w:val="en-GB"/>
        </w:rPr>
        <w:t>降至</w:t>
      </w:r>
      <w:r w:rsidR="00E112CD" w:rsidRPr="00E112CD">
        <w:rPr>
          <w:lang w:val="en-GB"/>
        </w:rPr>
        <w:t>2012</w:t>
      </w:r>
      <w:r w:rsidR="00E112CD" w:rsidRPr="00E112CD">
        <w:rPr>
          <w:rFonts w:hint="eastAsia"/>
          <w:lang w:val="en-GB"/>
        </w:rPr>
        <w:t>年的</w:t>
      </w:r>
      <w:r>
        <w:rPr>
          <w:lang w:val="en-GB"/>
        </w:rPr>
        <w:t>3.</w:t>
      </w:r>
      <w:r w:rsidR="00E112CD" w:rsidRPr="00E112CD">
        <w:rPr>
          <w:lang w:val="en-GB"/>
        </w:rPr>
        <w:t>8</w:t>
      </w:r>
      <w:r>
        <w:rPr>
          <w:lang w:val="en-GB"/>
        </w:rPr>
        <w:t>%</w:t>
      </w:r>
      <w:r>
        <w:rPr>
          <w:rFonts w:hint="eastAsia"/>
          <w:lang w:val="en-GB"/>
        </w:rPr>
        <w:t>，</w:t>
      </w:r>
      <w:r w:rsidR="005962CC">
        <w:rPr>
          <w:rStyle w:val="FootnoteReference"/>
          <w:lang w:val="en-GB"/>
        </w:rPr>
        <w:footnoteReference w:id="4"/>
      </w:r>
      <w:r w:rsidR="005962CC">
        <w:rPr>
          <w:rFonts w:hint="eastAsia"/>
          <w:vertAlign w:val="superscript"/>
          <w:lang w:val="en-GB"/>
        </w:rPr>
        <w:t xml:space="preserve"> </w:t>
      </w:r>
      <w:r w:rsidR="00E112CD" w:rsidRPr="00E112CD">
        <w:rPr>
          <w:rFonts w:hint="eastAsia"/>
          <w:lang w:val="en-GB"/>
        </w:rPr>
        <w:t>马来西亚在消除贫困和饥饿方面取得了良好进展</w:t>
      </w:r>
      <w:r>
        <w:rPr>
          <w:rFonts w:hint="eastAsia"/>
          <w:lang w:val="en-GB"/>
        </w:rPr>
        <w:t>，</w:t>
      </w:r>
      <w:r w:rsidR="00E112CD" w:rsidRPr="00E112CD">
        <w:rPr>
          <w:rFonts w:hint="eastAsia"/>
          <w:lang w:val="en-GB"/>
        </w:rPr>
        <w:t>无论什么性别或种族。</w:t>
      </w:r>
    </w:p>
    <w:p w:rsidR="00E112CD" w:rsidRPr="00E112CD" w:rsidRDefault="006E1330" w:rsidP="00E112CD">
      <w:pPr>
        <w:pStyle w:val="SingleTxtGC"/>
        <w:rPr>
          <w:lang w:val="en-GB"/>
        </w:rPr>
      </w:pPr>
      <w:r>
        <w:rPr>
          <w:lang w:val="en-GB"/>
        </w:rPr>
        <w:t>6.</w:t>
      </w:r>
      <w:r w:rsidR="005962CC">
        <w:rPr>
          <w:rFonts w:hint="eastAsia"/>
          <w:lang w:val="en-GB"/>
        </w:rPr>
        <w:t xml:space="preserve">  </w:t>
      </w:r>
      <w:r w:rsidR="00E112CD" w:rsidRPr="00E112CD">
        <w:rPr>
          <w:rFonts w:hint="eastAsia"/>
          <w:lang w:val="en-GB"/>
        </w:rPr>
        <w:t>马来西亚政府现在的目标是</w:t>
      </w:r>
      <w:r>
        <w:rPr>
          <w:rFonts w:hint="eastAsia"/>
          <w:lang w:val="en-GB"/>
        </w:rPr>
        <w:t>，</w:t>
      </w:r>
      <w:r w:rsidR="00E112CD" w:rsidRPr="00E112CD">
        <w:rPr>
          <w:rFonts w:hint="eastAsia"/>
          <w:lang w:val="en-GB"/>
        </w:rPr>
        <w:t>到</w:t>
      </w:r>
      <w:r w:rsidR="00E112CD" w:rsidRPr="00E112CD">
        <w:rPr>
          <w:lang w:val="en-GB"/>
        </w:rPr>
        <w:t>2020</w:t>
      </w:r>
      <w:r w:rsidR="00E112CD" w:rsidRPr="00E112CD">
        <w:rPr>
          <w:rFonts w:hint="eastAsia"/>
          <w:lang w:val="en-GB"/>
        </w:rPr>
        <w:t>年</w:t>
      </w:r>
      <w:r>
        <w:rPr>
          <w:rFonts w:hint="eastAsia"/>
          <w:lang w:val="en-GB"/>
        </w:rPr>
        <w:t>，</w:t>
      </w:r>
      <w:r w:rsidR="00E112CD" w:rsidRPr="00E112CD">
        <w:rPr>
          <w:rFonts w:hint="eastAsia"/>
          <w:lang w:val="en-GB"/>
        </w:rPr>
        <w:t>成为一个既有包容性又可持续的高收入国家。为了实现这个目标</w:t>
      </w:r>
      <w:r>
        <w:rPr>
          <w:rFonts w:hint="eastAsia"/>
          <w:lang w:val="en-GB"/>
        </w:rPr>
        <w:t>，</w:t>
      </w:r>
      <w:r w:rsidR="00E112CD" w:rsidRPr="00E112CD">
        <w:rPr>
          <w:rFonts w:hint="eastAsia"/>
          <w:lang w:val="en-GB"/>
        </w:rPr>
        <w:t>年经济增长率必须达到</w:t>
      </w:r>
      <w:r w:rsidR="00E112CD" w:rsidRPr="00E112CD">
        <w:rPr>
          <w:lang w:val="en-GB"/>
        </w:rPr>
        <w:t>6</w:t>
      </w:r>
      <w:r>
        <w:rPr>
          <w:lang w:val="en-GB"/>
        </w:rPr>
        <w:t>%</w:t>
      </w:r>
      <w:r w:rsidR="00E112CD" w:rsidRPr="00E112CD">
        <w:rPr>
          <w:rFonts w:hint="eastAsia"/>
          <w:lang w:val="en-GB"/>
        </w:rPr>
        <w:t>。然而</w:t>
      </w:r>
      <w:r>
        <w:rPr>
          <w:rFonts w:hint="eastAsia"/>
          <w:lang w:val="en-GB"/>
        </w:rPr>
        <w:t>，</w:t>
      </w:r>
      <w:r w:rsidR="00E112CD" w:rsidRPr="00E112CD">
        <w:rPr>
          <w:rFonts w:hint="eastAsia"/>
          <w:lang w:val="en-GB"/>
        </w:rPr>
        <w:t>从</w:t>
      </w:r>
      <w:r w:rsidR="00E112CD" w:rsidRPr="00E112CD">
        <w:rPr>
          <w:lang w:val="en-GB"/>
        </w:rPr>
        <w:t>2006</w:t>
      </w:r>
      <w:r w:rsidR="00E112CD" w:rsidRPr="00E112CD">
        <w:rPr>
          <w:rFonts w:hint="eastAsia"/>
          <w:lang w:val="en-GB"/>
        </w:rPr>
        <w:t>到</w:t>
      </w:r>
      <w:r w:rsidR="00E112CD" w:rsidRPr="00E112CD">
        <w:rPr>
          <w:lang w:val="en-GB"/>
        </w:rPr>
        <w:t>2011</w:t>
      </w:r>
      <w:r w:rsidR="00E112CD" w:rsidRPr="00E112CD">
        <w:rPr>
          <w:rFonts w:hint="eastAsia"/>
          <w:lang w:val="en-GB"/>
        </w:rPr>
        <w:t>年</w:t>
      </w:r>
      <w:r>
        <w:rPr>
          <w:rFonts w:hint="eastAsia"/>
          <w:lang w:val="en-GB"/>
        </w:rPr>
        <w:t>，</w:t>
      </w:r>
      <w:r w:rsidR="00E112CD" w:rsidRPr="00E112CD">
        <w:rPr>
          <w:rFonts w:hint="eastAsia"/>
          <w:lang w:val="en-GB"/>
        </w:rPr>
        <w:t>马来西亚国内生产总值年均增长率是</w:t>
      </w:r>
      <w:r>
        <w:rPr>
          <w:lang w:val="en-GB"/>
        </w:rPr>
        <w:t>4.</w:t>
      </w:r>
      <w:r w:rsidR="00E112CD" w:rsidRPr="00E112CD">
        <w:rPr>
          <w:lang w:val="en-GB"/>
        </w:rPr>
        <w:t>7</w:t>
      </w:r>
      <w:r>
        <w:rPr>
          <w:lang w:val="en-GB"/>
        </w:rPr>
        <w:t>%</w:t>
      </w:r>
      <w:r w:rsidR="00E112CD" w:rsidRPr="00E112CD">
        <w:rPr>
          <w:rFonts w:hint="eastAsia"/>
          <w:lang w:val="en-GB"/>
        </w:rPr>
        <w:t>。</w:t>
      </w:r>
      <w:r w:rsidR="005962CC">
        <w:rPr>
          <w:rStyle w:val="FootnoteReference"/>
          <w:lang w:val="en-GB"/>
        </w:rPr>
        <w:footnoteReference w:id="5"/>
      </w:r>
      <w:r w:rsidR="005962CC" w:rsidRPr="005962CC">
        <w:rPr>
          <w:rFonts w:hint="eastAsia"/>
          <w:vertAlign w:val="superscript"/>
          <w:lang w:val="en-GB"/>
        </w:rPr>
        <w:t xml:space="preserve"> </w:t>
      </w:r>
      <w:r w:rsidR="00E112CD" w:rsidRPr="00E112CD">
        <w:rPr>
          <w:rFonts w:hint="eastAsia"/>
          <w:lang w:val="en-GB"/>
        </w:rPr>
        <w:t>为了促进经济增长</w:t>
      </w:r>
      <w:r>
        <w:rPr>
          <w:rFonts w:hint="eastAsia"/>
          <w:lang w:val="en-GB"/>
        </w:rPr>
        <w:t>，</w:t>
      </w:r>
      <w:r w:rsidR="00E112CD" w:rsidRPr="00E112CD">
        <w:rPr>
          <w:rFonts w:hint="eastAsia"/>
          <w:lang w:val="en-GB"/>
        </w:rPr>
        <w:t>马来西亚继续实行</w:t>
      </w:r>
      <w:r w:rsidR="00E112CD" w:rsidRPr="00E112CD">
        <w:rPr>
          <w:lang w:val="en-GB"/>
        </w:rPr>
        <w:t>2010</w:t>
      </w:r>
      <w:r w:rsidR="00E112CD" w:rsidRPr="00E112CD">
        <w:rPr>
          <w:rFonts w:hint="eastAsia"/>
          <w:lang w:val="en-GB"/>
        </w:rPr>
        <w:t>年</w:t>
      </w:r>
      <w:r w:rsidR="00E112CD" w:rsidRPr="00E112CD">
        <w:rPr>
          <w:lang w:val="en-GB"/>
        </w:rPr>
        <w:t>3</w:t>
      </w:r>
      <w:r w:rsidR="00E112CD" w:rsidRPr="00E112CD">
        <w:rPr>
          <w:rFonts w:hint="eastAsia"/>
          <w:lang w:val="en-GB"/>
        </w:rPr>
        <w:t>月</w:t>
      </w:r>
      <w:r w:rsidR="00E112CD" w:rsidRPr="00E112CD">
        <w:rPr>
          <w:lang w:val="en-GB"/>
        </w:rPr>
        <w:t>30</w:t>
      </w:r>
      <w:r w:rsidR="00E112CD" w:rsidRPr="00E112CD">
        <w:rPr>
          <w:rFonts w:hint="eastAsia"/>
          <w:lang w:val="en-GB"/>
        </w:rPr>
        <w:t>日公布的“新经济模式”和</w:t>
      </w:r>
      <w:r w:rsidR="00E112CD" w:rsidRPr="00E112CD">
        <w:rPr>
          <w:lang w:val="en-GB"/>
        </w:rPr>
        <w:t>2010</w:t>
      </w:r>
      <w:r w:rsidR="00E112CD" w:rsidRPr="00E112CD">
        <w:rPr>
          <w:rFonts w:hint="eastAsia"/>
          <w:lang w:val="en-GB"/>
        </w:rPr>
        <w:t>年</w:t>
      </w:r>
      <w:r w:rsidR="00E112CD" w:rsidRPr="00E112CD">
        <w:rPr>
          <w:lang w:val="en-GB"/>
        </w:rPr>
        <w:t>9</w:t>
      </w:r>
      <w:r w:rsidR="00E112CD" w:rsidRPr="00E112CD">
        <w:rPr>
          <w:rFonts w:hint="eastAsia"/>
          <w:lang w:val="en-GB"/>
        </w:rPr>
        <w:t>月</w:t>
      </w:r>
      <w:r w:rsidR="00E112CD" w:rsidRPr="00E112CD">
        <w:rPr>
          <w:lang w:val="en-GB"/>
        </w:rPr>
        <w:t>21</w:t>
      </w:r>
      <w:r w:rsidR="00E112CD" w:rsidRPr="00E112CD">
        <w:rPr>
          <w:rFonts w:hint="eastAsia"/>
          <w:lang w:val="en-GB"/>
        </w:rPr>
        <w:t>日开始实行的“经济转型方案”。</w:t>
      </w:r>
    </w:p>
    <w:p w:rsidR="00E112CD" w:rsidRPr="00E112CD" w:rsidRDefault="006E1330" w:rsidP="00E112CD">
      <w:pPr>
        <w:pStyle w:val="SingleTxtGC"/>
        <w:rPr>
          <w:lang w:val="en-GB"/>
        </w:rPr>
      </w:pPr>
      <w:r>
        <w:rPr>
          <w:lang w:val="en-GB"/>
        </w:rPr>
        <w:t>7.</w:t>
      </w:r>
      <w:r w:rsidR="005962CC">
        <w:rPr>
          <w:rFonts w:hint="eastAsia"/>
          <w:lang w:val="en-GB"/>
        </w:rPr>
        <w:t xml:space="preserve">  </w:t>
      </w:r>
      <w:r w:rsidR="00E112CD" w:rsidRPr="00E112CD">
        <w:rPr>
          <w:rFonts w:hint="eastAsia"/>
          <w:lang w:val="en-GB"/>
        </w:rPr>
        <w:t>“经济转型方案”是一个全面的经济转型计划</w:t>
      </w:r>
      <w:r>
        <w:rPr>
          <w:rFonts w:hint="eastAsia"/>
          <w:lang w:val="en-GB"/>
        </w:rPr>
        <w:t>，</w:t>
      </w:r>
      <w:r w:rsidR="00E112CD" w:rsidRPr="00E112CD">
        <w:rPr>
          <w:rFonts w:hint="eastAsia"/>
          <w:lang w:val="en-GB"/>
        </w:rPr>
        <w:t>重点是十二大国家重要经济领域和六大战略改革举措。十二大国家重要经济领域是</w:t>
      </w:r>
      <w:r>
        <w:rPr>
          <w:rFonts w:hint="eastAsia"/>
          <w:lang w:val="en-GB"/>
        </w:rPr>
        <w:t>：</w:t>
      </w:r>
      <w:r w:rsidR="00E112CD" w:rsidRPr="00E112CD">
        <w:rPr>
          <w:rFonts w:hint="eastAsia"/>
          <w:lang w:val="en-GB"/>
        </w:rPr>
        <w:t>大吉隆坡</w:t>
      </w:r>
      <w:r>
        <w:rPr>
          <w:lang w:val="en-GB"/>
        </w:rPr>
        <w:t>/</w:t>
      </w:r>
      <w:r w:rsidR="00E112CD" w:rsidRPr="00E112CD">
        <w:rPr>
          <w:rFonts w:hint="eastAsia"/>
          <w:lang w:val="en-GB"/>
        </w:rPr>
        <w:t>巴生流域</w:t>
      </w:r>
      <w:r>
        <w:rPr>
          <w:rFonts w:hint="eastAsia"/>
          <w:lang w:val="en-GB"/>
        </w:rPr>
        <w:t>；</w:t>
      </w:r>
      <w:r w:rsidR="00E112CD" w:rsidRPr="00E112CD">
        <w:rPr>
          <w:rFonts w:hint="eastAsia"/>
          <w:lang w:val="en-GB"/>
        </w:rPr>
        <w:t>石油、天然气与能源</w:t>
      </w:r>
      <w:r>
        <w:rPr>
          <w:rFonts w:hint="eastAsia"/>
          <w:lang w:val="en-GB"/>
        </w:rPr>
        <w:t>；</w:t>
      </w:r>
      <w:r w:rsidR="00E112CD" w:rsidRPr="00E112CD">
        <w:rPr>
          <w:rFonts w:hint="eastAsia"/>
          <w:lang w:val="en-GB"/>
        </w:rPr>
        <w:t>金融服务</w:t>
      </w:r>
      <w:r>
        <w:rPr>
          <w:rFonts w:hint="eastAsia"/>
          <w:lang w:val="en-GB"/>
        </w:rPr>
        <w:t>；</w:t>
      </w:r>
      <w:r w:rsidR="00E112CD" w:rsidRPr="00E112CD">
        <w:rPr>
          <w:rFonts w:hint="eastAsia"/>
          <w:lang w:val="en-GB"/>
        </w:rPr>
        <w:t>批发与零售</w:t>
      </w:r>
      <w:r>
        <w:rPr>
          <w:rFonts w:hint="eastAsia"/>
          <w:lang w:val="en-GB"/>
        </w:rPr>
        <w:t>；</w:t>
      </w:r>
      <w:r w:rsidR="00E112CD" w:rsidRPr="00E112CD">
        <w:rPr>
          <w:rFonts w:hint="eastAsia"/>
          <w:lang w:val="en-GB"/>
        </w:rPr>
        <w:t>棕榈油与橡胶</w:t>
      </w:r>
      <w:r>
        <w:rPr>
          <w:rFonts w:hint="eastAsia"/>
          <w:lang w:val="en-GB"/>
        </w:rPr>
        <w:t>；</w:t>
      </w:r>
      <w:r w:rsidR="00E112CD" w:rsidRPr="00E112CD">
        <w:rPr>
          <w:rFonts w:hint="eastAsia"/>
          <w:lang w:val="en-GB"/>
        </w:rPr>
        <w:t>旅游</w:t>
      </w:r>
      <w:r>
        <w:rPr>
          <w:rFonts w:hint="eastAsia"/>
          <w:lang w:val="en-GB"/>
        </w:rPr>
        <w:t>；</w:t>
      </w:r>
      <w:r w:rsidR="00E112CD" w:rsidRPr="00E112CD">
        <w:rPr>
          <w:rFonts w:hint="eastAsia"/>
          <w:lang w:val="en-GB"/>
        </w:rPr>
        <w:t>电气与电子</w:t>
      </w:r>
      <w:r>
        <w:rPr>
          <w:rFonts w:hint="eastAsia"/>
          <w:lang w:val="en-GB"/>
        </w:rPr>
        <w:t>；</w:t>
      </w:r>
      <w:r w:rsidR="00E112CD" w:rsidRPr="00E112CD">
        <w:rPr>
          <w:rFonts w:hint="eastAsia"/>
          <w:lang w:val="en-GB"/>
        </w:rPr>
        <w:t>商业服务</w:t>
      </w:r>
      <w:r>
        <w:rPr>
          <w:rFonts w:hint="eastAsia"/>
          <w:lang w:val="en-GB"/>
        </w:rPr>
        <w:t>；</w:t>
      </w:r>
      <w:r w:rsidR="00E112CD" w:rsidRPr="00E112CD">
        <w:rPr>
          <w:rFonts w:hint="eastAsia"/>
          <w:lang w:val="en-GB"/>
        </w:rPr>
        <w:t>通信与基础设施</w:t>
      </w:r>
      <w:r>
        <w:rPr>
          <w:rFonts w:hint="eastAsia"/>
          <w:lang w:val="en-GB"/>
        </w:rPr>
        <w:t>；</w:t>
      </w:r>
      <w:r w:rsidR="00E112CD" w:rsidRPr="00E112CD">
        <w:rPr>
          <w:rFonts w:hint="eastAsia"/>
          <w:lang w:val="en-GB"/>
        </w:rPr>
        <w:t>教育</w:t>
      </w:r>
      <w:r>
        <w:rPr>
          <w:rFonts w:hint="eastAsia"/>
          <w:lang w:val="en-GB"/>
        </w:rPr>
        <w:t>；</w:t>
      </w:r>
      <w:r w:rsidR="00E112CD" w:rsidRPr="00E112CD">
        <w:rPr>
          <w:rFonts w:hint="eastAsia"/>
          <w:lang w:val="en-GB"/>
        </w:rPr>
        <w:t>农业</w:t>
      </w:r>
      <w:r>
        <w:rPr>
          <w:rFonts w:hint="eastAsia"/>
          <w:lang w:val="en-GB"/>
        </w:rPr>
        <w:t>；</w:t>
      </w:r>
      <w:r w:rsidR="00E112CD" w:rsidRPr="00E112CD">
        <w:rPr>
          <w:rFonts w:hint="eastAsia"/>
          <w:lang w:val="en-GB"/>
        </w:rPr>
        <w:t>以及医疗保健。六大战略改革举措是</w:t>
      </w:r>
      <w:r>
        <w:rPr>
          <w:rFonts w:hint="eastAsia"/>
          <w:lang w:val="en-GB"/>
        </w:rPr>
        <w:t>：</w:t>
      </w:r>
      <w:r w:rsidR="00E112CD" w:rsidRPr="00E112CD">
        <w:rPr>
          <w:rFonts w:hint="eastAsia"/>
          <w:lang w:val="en-GB"/>
        </w:rPr>
        <w:t>竞争、标准与自由化</w:t>
      </w:r>
      <w:r>
        <w:rPr>
          <w:rFonts w:hint="eastAsia"/>
          <w:lang w:val="en-GB"/>
        </w:rPr>
        <w:t>；</w:t>
      </w:r>
      <w:r w:rsidR="00E112CD" w:rsidRPr="00E112CD">
        <w:rPr>
          <w:rFonts w:hint="eastAsia"/>
          <w:lang w:val="en-GB"/>
        </w:rPr>
        <w:t>公共财政改革</w:t>
      </w:r>
      <w:r>
        <w:rPr>
          <w:rFonts w:hint="eastAsia"/>
          <w:lang w:val="en-GB"/>
        </w:rPr>
        <w:t>；</w:t>
      </w:r>
      <w:r w:rsidR="00E112CD" w:rsidRPr="00E112CD">
        <w:rPr>
          <w:rFonts w:hint="eastAsia"/>
          <w:lang w:val="en-GB"/>
        </w:rPr>
        <w:t>公共服务提供</w:t>
      </w:r>
      <w:r>
        <w:rPr>
          <w:rFonts w:hint="eastAsia"/>
          <w:lang w:val="en-GB"/>
        </w:rPr>
        <w:t>；</w:t>
      </w:r>
      <w:r w:rsidR="00E112CD" w:rsidRPr="00E112CD">
        <w:rPr>
          <w:rFonts w:hint="eastAsia"/>
          <w:lang w:val="en-GB"/>
        </w:rPr>
        <w:t>缩小差距</w:t>
      </w:r>
      <w:r>
        <w:rPr>
          <w:rFonts w:hint="eastAsia"/>
          <w:lang w:val="en-GB"/>
        </w:rPr>
        <w:t>；</w:t>
      </w:r>
      <w:r w:rsidR="00E112CD" w:rsidRPr="00E112CD">
        <w:rPr>
          <w:rFonts w:hint="eastAsia"/>
          <w:lang w:val="en-GB"/>
        </w:rPr>
        <w:t>减少政府在商业方面的作用</w:t>
      </w:r>
      <w:r>
        <w:rPr>
          <w:rFonts w:hint="eastAsia"/>
          <w:lang w:val="en-GB"/>
        </w:rPr>
        <w:t>；</w:t>
      </w:r>
      <w:r w:rsidR="00E112CD" w:rsidRPr="00E112CD">
        <w:rPr>
          <w:rFonts w:hint="eastAsia"/>
          <w:lang w:val="en-GB"/>
        </w:rPr>
        <w:t>以及人力资本发展。</w:t>
      </w:r>
      <w:r w:rsidR="00E112CD" w:rsidRPr="00E112CD">
        <w:rPr>
          <w:lang w:val="en-GB"/>
        </w:rPr>
        <w:t>2012</w:t>
      </w:r>
      <w:r w:rsidR="00E112CD" w:rsidRPr="00E112CD">
        <w:rPr>
          <w:rFonts w:hint="eastAsia"/>
          <w:lang w:val="en-GB"/>
        </w:rPr>
        <w:t>年</w:t>
      </w:r>
      <w:r>
        <w:rPr>
          <w:rFonts w:hint="eastAsia"/>
          <w:lang w:val="en-GB"/>
        </w:rPr>
        <w:t>，</w:t>
      </w:r>
      <w:r w:rsidR="00E112CD" w:rsidRPr="00E112CD">
        <w:rPr>
          <w:rFonts w:hint="eastAsia"/>
          <w:lang w:val="en-GB"/>
        </w:rPr>
        <w:t>在实现关键绩效指标目标上取得了良好成效。“经济转型方案”也促进了马来西亚可持续的经济增长所需要的跨结构性改革。</w:t>
      </w:r>
      <w:r w:rsidR="00E112CD" w:rsidRPr="00E112CD">
        <w:rPr>
          <w:lang w:val="en-GB"/>
        </w:rPr>
        <w:t>2012</w:t>
      </w:r>
      <w:r w:rsidR="00E112CD" w:rsidRPr="00E112CD">
        <w:rPr>
          <w:rFonts w:hint="eastAsia"/>
          <w:lang w:val="en-GB"/>
        </w:rPr>
        <w:t>年</w:t>
      </w:r>
      <w:r>
        <w:rPr>
          <w:rFonts w:hint="eastAsia"/>
          <w:lang w:val="en-GB"/>
        </w:rPr>
        <w:t>，</w:t>
      </w:r>
      <w:r w:rsidR="00E112CD" w:rsidRPr="00E112CD">
        <w:rPr>
          <w:rFonts w:hint="eastAsia"/>
          <w:lang w:val="en-GB"/>
        </w:rPr>
        <w:t>尽管全球局势日益动荡和具有挑战性</w:t>
      </w:r>
      <w:r>
        <w:rPr>
          <w:rFonts w:hint="eastAsia"/>
          <w:lang w:val="en-GB"/>
        </w:rPr>
        <w:t>，</w:t>
      </w:r>
      <w:r w:rsidR="00E112CD" w:rsidRPr="00E112CD">
        <w:rPr>
          <w:rFonts w:hint="eastAsia"/>
          <w:lang w:val="en-GB"/>
        </w:rPr>
        <w:t>通过增加私人投资和国内消费增长</w:t>
      </w:r>
      <w:r>
        <w:rPr>
          <w:rFonts w:hint="eastAsia"/>
          <w:lang w:val="en-GB"/>
        </w:rPr>
        <w:t>，</w:t>
      </w:r>
      <w:r w:rsidR="00E112CD" w:rsidRPr="00E112CD">
        <w:rPr>
          <w:rFonts w:hint="eastAsia"/>
          <w:lang w:val="en-GB"/>
        </w:rPr>
        <w:t>马来西亚取得了</w:t>
      </w:r>
      <w:r>
        <w:rPr>
          <w:lang w:val="en-GB"/>
        </w:rPr>
        <w:t>5.</w:t>
      </w:r>
      <w:r w:rsidR="00E112CD" w:rsidRPr="00E112CD">
        <w:rPr>
          <w:lang w:val="en-GB"/>
        </w:rPr>
        <w:t>6</w:t>
      </w:r>
      <w:r>
        <w:rPr>
          <w:lang w:val="en-GB"/>
        </w:rPr>
        <w:t>%</w:t>
      </w:r>
      <w:r w:rsidR="00E112CD" w:rsidRPr="00E112CD">
        <w:rPr>
          <w:rFonts w:hint="eastAsia"/>
          <w:lang w:val="en-GB"/>
        </w:rPr>
        <w:t>的国内生产总值增长。</w:t>
      </w:r>
    </w:p>
    <w:p w:rsidR="00E112CD" w:rsidRPr="00E112CD" w:rsidRDefault="006E1330" w:rsidP="00E112CD">
      <w:pPr>
        <w:pStyle w:val="SingleTxtGC"/>
        <w:rPr>
          <w:lang w:val="en-GB"/>
        </w:rPr>
      </w:pPr>
      <w:r>
        <w:rPr>
          <w:lang w:val="en-GB"/>
        </w:rPr>
        <w:t>8.</w:t>
      </w:r>
      <w:r w:rsidR="005962CC">
        <w:rPr>
          <w:rFonts w:hint="eastAsia"/>
          <w:lang w:val="en-GB"/>
        </w:rPr>
        <w:t xml:space="preserve">  </w:t>
      </w:r>
      <w:r w:rsidR="00E112CD" w:rsidRPr="00E112CD">
        <w:rPr>
          <w:lang w:val="en-GB"/>
        </w:rPr>
        <w:t>2010</w:t>
      </w:r>
      <w:r w:rsidR="00E112CD" w:rsidRPr="00E112CD">
        <w:rPr>
          <w:rFonts w:hint="eastAsia"/>
          <w:lang w:val="en-GB"/>
        </w:rPr>
        <w:t>年</w:t>
      </w:r>
      <w:r>
        <w:rPr>
          <w:rFonts w:hint="eastAsia"/>
          <w:lang w:val="en-GB"/>
        </w:rPr>
        <w:t>，</w:t>
      </w:r>
      <w:r w:rsidR="00E112CD" w:rsidRPr="00E112CD">
        <w:rPr>
          <w:rFonts w:hint="eastAsia"/>
          <w:lang w:val="en-GB"/>
        </w:rPr>
        <w:t>政府还出台了“政府转型计划”。这是一个大胆的计划</w:t>
      </w:r>
      <w:r>
        <w:rPr>
          <w:rFonts w:hint="eastAsia"/>
          <w:lang w:val="en-GB"/>
        </w:rPr>
        <w:t>，</w:t>
      </w:r>
      <w:r w:rsidR="00E112CD" w:rsidRPr="00E112CD">
        <w:rPr>
          <w:rFonts w:hint="eastAsia"/>
          <w:lang w:val="en-GB"/>
        </w:rPr>
        <w:t>旨在从根本上改变政府的工作方式</w:t>
      </w:r>
      <w:r>
        <w:rPr>
          <w:rFonts w:hint="eastAsia"/>
          <w:lang w:val="en-GB"/>
        </w:rPr>
        <w:t>，</w:t>
      </w:r>
      <w:r w:rsidR="00E112CD" w:rsidRPr="00E112CD">
        <w:rPr>
          <w:rFonts w:hint="eastAsia"/>
          <w:lang w:val="en-GB"/>
        </w:rPr>
        <w:t>以便它可以向人们交出几个困扰国家的重要问题的真正解决。作为改进向人民提供服务的路线图</w:t>
      </w:r>
      <w:r>
        <w:rPr>
          <w:rFonts w:hint="eastAsia"/>
          <w:lang w:val="en-GB"/>
        </w:rPr>
        <w:t>，</w:t>
      </w:r>
      <w:r w:rsidR="00E112CD" w:rsidRPr="00E112CD">
        <w:rPr>
          <w:rFonts w:hint="eastAsia"/>
          <w:lang w:val="en-GB"/>
        </w:rPr>
        <w:t>“政府转型计划”的重点是快速提供实实在在的成果。在路线图中列出了有成套具体举措的详细的深入的方案。整个计划基于政府承诺“以人为本、绩效为先”的前提。</w:t>
      </w:r>
    </w:p>
    <w:p w:rsidR="00E112CD" w:rsidRPr="00E112CD" w:rsidRDefault="006E1330" w:rsidP="00E112CD">
      <w:pPr>
        <w:pStyle w:val="SingleTxtGC"/>
        <w:rPr>
          <w:lang w:val="en-GB"/>
        </w:rPr>
      </w:pPr>
      <w:r>
        <w:rPr>
          <w:lang w:val="en-GB"/>
        </w:rPr>
        <w:t>9.</w:t>
      </w:r>
      <w:r w:rsidR="005962CC">
        <w:rPr>
          <w:rFonts w:hint="eastAsia"/>
          <w:lang w:val="en-GB"/>
        </w:rPr>
        <w:t xml:space="preserve">  </w:t>
      </w:r>
      <w:r w:rsidR="00E112CD" w:rsidRPr="00E112CD">
        <w:rPr>
          <w:rFonts w:hint="eastAsia"/>
          <w:lang w:val="en-GB"/>
        </w:rPr>
        <w:t>基于人民最迫切需要解决的问题</w:t>
      </w:r>
      <w:r>
        <w:rPr>
          <w:rFonts w:hint="eastAsia"/>
          <w:lang w:val="en-GB"/>
        </w:rPr>
        <w:t>，</w:t>
      </w:r>
      <w:r w:rsidR="00E112CD" w:rsidRPr="00E112CD">
        <w:rPr>
          <w:rFonts w:hint="eastAsia"/>
          <w:lang w:val="en-GB"/>
        </w:rPr>
        <w:t>“政府转型计划”有七大“国家重要成效领域”。它们是</w:t>
      </w:r>
      <w:r>
        <w:rPr>
          <w:rFonts w:hint="eastAsia"/>
          <w:lang w:val="en-GB"/>
        </w:rPr>
        <w:t>：</w:t>
      </w:r>
      <w:r w:rsidR="00E112CD" w:rsidRPr="00E112CD">
        <w:rPr>
          <w:rFonts w:hint="eastAsia"/>
          <w:lang w:val="en-GB"/>
        </w:rPr>
        <w:t>减少犯罪</w:t>
      </w:r>
      <w:r>
        <w:rPr>
          <w:rFonts w:hint="eastAsia"/>
          <w:lang w:val="en-GB"/>
        </w:rPr>
        <w:t>；</w:t>
      </w:r>
      <w:r w:rsidR="00E112CD" w:rsidRPr="00E112CD">
        <w:rPr>
          <w:rFonts w:hint="eastAsia"/>
          <w:lang w:val="en-GB"/>
        </w:rPr>
        <w:t>打击腐败</w:t>
      </w:r>
      <w:r>
        <w:rPr>
          <w:rFonts w:hint="eastAsia"/>
          <w:lang w:val="en-GB"/>
        </w:rPr>
        <w:t>；</w:t>
      </w:r>
      <w:r w:rsidR="00E112CD" w:rsidRPr="00E112CD">
        <w:rPr>
          <w:rFonts w:hint="eastAsia"/>
          <w:lang w:val="en-GB"/>
        </w:rPr>
        <w:t>提高学生的学业成绩</w:t>
      </w:r>
      <w:r>
        <w:rPr>
          <w:rFonts w:hint="eastAsia"/>
          <w:lang w:val="en-GB"/>
        </w:rPr>
        <w:t>；</w:t>
      </w:r>
      <w:r w:rsidR="00E112CD" w:rsidRPr="00E112CD">
        <w:rPr>
          <w:rFonts w:hint="eastAsia"/>
          <w:lang w:val="en-GB"/>
        </w:rPr>
        <w:t>解决生活费用问题</w:t>
      </w:r>
      <w:r>
        <w:rPr>
          <w:rFonts w:hint="eastAsia"/>
          <w:lang w:val="en-GB"/>
        </w:rPr>
        <w:t>；</w:t>
      </w:r>
      <w:r w:rsidR="00E112CD" w:rsidRPr="00E112CD">
        <w:rPr>
          <w:rFonts w:hint="eastAsia"/>
          <w:lang w:val="en-GB"/>
        </w:rPr>
        <w:t>提高低收入家庭的生活水平</w:t>
      </w:r>
      <w:r>
        <w:rPr>
          <w:rFonts w:hint="eastAsia"/>
          <w:lang w:val="en-GB"/>
        </w:rPr>
        <w:t>；</w:t>
      </w:r>
      <w:r w:rsidR="00E112CD" w:rsidRPr="00E112CD">
        <w:rPr>
          <w:rFonts w:hint="eastAsia"/>
          <w:lang w:val="en-GB"/>
        </w:rPr>
        <w:t>改善农村基础设施</w:t>
      </w:r>
      <w:r>
        <w:rPr>
          <w:rFonts w:hint="eastAsia"/>
          <w:lang w:val="en-GB"/>
        </w:rPr>
        <w:t>；</w:t>
      </w:r>
      <w:r w:rsidR="00E112CD" w:rsidRPr="00E112CD">
        <w:rPr>
          <w:rFonts w:hint="eastAsia"/>
          <w:lang w:val="en-GB"/>
        </w:rPr>
        <w:t>以及改善城市公共交通。在大多数“国家重要成效领域”上</w:t>
      </w:r>
      <w:r>
        <w:rPr>
          <w:rFonts w:hint="eastAsia"/>
          <w:lang w:val="en-GB"/>
        </w:rPr>
        <w:t>，</w:t>
      </w:r>
      <w:r w:rsidR="00E112CD" w:rsidRPr="00E112CD">
        <w:rPr>
          <w:rFonts w:hint="eastAsia"/>
          <w:lang w:val="en-GB"/>
        </w:rPr>
        <w:t>实现了目标的</w:t>
      </w:r>
      <w:r w:rsidR="00E112CD" w:rsidRPr="00E112CD">
        <w:rPr>
          <w:lang w:val="en-GB"/>
        </w:rPr>
        <w:t>90</w:t>
      </w:r>
      <w:r>
        <w:rPr>
          <w:lang w:val="en-GB"/>
        </w:rPr>
        <w:t>%</w:t>
      </w:r>
      <w:r w:rsidR="00E112CD" w:rsidRPr="00E112CD">
        <w:rPr>
          <w:rFonts w:hint="eastAsia"/>
          <w:lang w:val="en-GB"/>
        </w:rPr>
        <w:t>以上。例如</w:t>
      </w:r>
      <w:r>
        <w:rPr>
          <w:rFonts w:hint="eastAsia"/>
          <w:lang w:val="en-GB"/>
        </w:rPr>
        <w:t>，</w:t>
      </w:r>
      <w:r w:rsidR="00E112CD" w:rsidRPr="00E112CD">
        <w:rPr>
          <w:rFonts w:hint="eastAsia"/>
          <w:lang w:val="en-GB"/>
        </w:rPr>
        <w:t>在关于低收入家庭的“国家重要成效领域”</w:t>
      </w:r>
      <w:r>
        <w:rPr>
          <w:rFonts w:hint="eastAsia"/>
          <w:lang w:val="en-GB"/>
        </w:rPr>
        <w:t>，</w:t>
      </w:r>
      <w:r w:rsidR="00E112CD" w:rsidRPr="00E112CD">
        <w:rPr>
          <w:rFonts w:hint="eastAsia"/>
          <w:lang w:val="en-GB"/>
        </w:rPr>
        <w:t>为女性企业家进行了专业培训。在过去</w:t>
      </w:r>
      <w:r w:rsidR="00E112CD" w:rsidRPr="00E112CD">
        <w:rPr>
          <w:lang w:val="en-GB"/>
        </w:rPr>
        <w:t>3</w:t>
      </w:r>
      <w:r w:rsidR="00E112CD" w:rsidRPr="00E112CD">
        <w:rPr>
          <w:rFonts w:hint="eastAsia"/>
          <w:lang w:val="en-GB"/>
        </w:rPr>
        <w:t>年里</w:t>
      </w:r>
      <w:r>
        <w:rPr>
          <w:lang w:val="en-GB"/>
        </w:rPr>
        <w:t>(</w:t>
      </w:r>
      <w:r w:rsidR="00E112CD" w:rsidRPr="00E112CD">
        <w:rPr>
          <w:lang w:val="en-GB"/>
        </w:rPr>
        <w:t>2010</w:t>
      </w:r>
      <w:r w:rsidR="00E112CD" w:rsidRPr="00E112CD">
        <w:rPr>
          <w:rFonts w:hint="eastAsia"/>
          <w:lang w:val="en-GB"/>
        </w:rPr>
        <w:t>至</w:t>
      </w:r>
      <w:r w:rsidR="00E112CD" w:rsidRPr="00E112CD">
        <w:rPr>
          <w:lang w:val="en-GB"/>
        </w:rPr>
        <w:t>2012</w:t>
      </w:r>
      <w:r w:rsidR="00E112CD" w:rsidRPr="00E112CD">
        <w:rPr>
          <w:rFonts w:hint="eastAsia"/>
          <w:lang w:val="en-GB"/>
        </w:rPr>
        <w:t>年</w:t>
      </w:r>
      <w:r>
        <w:rPr>
          <w:lang w:val="en-GB"/>
        </w:rPr>
        <w:t>)</w:t>
      </w:r>
      <w:r>
        <w:rPr>
          <w:rFonts w:hint="eastAsia"/>
          <w:lang w:val="en-GB"/>
        </w:rPr>
        <w:t>，</w:t>
      </w:r>
      <w:r w:rsidR="00E112CD" w:rsidRPr="00E112CD">
        <w:rPr>
          <w:rFonts w:hint="eastAsia"/>
          <w:lang w:val="en-GB"/>
        </w:rPr>
        <w:t>对</w:t>
      </w:r>
      <w:r>
        <w:rPr>
          <w:lang w:val="en-GB"/>
        </w:rPr>
        <w:t>4,</w:t>
      </w:r>
      <w:r w:rsidR="00E112CD" w:rsidRPr="00E112CD">
        <w:rPr>
          <w:lang w:val="en-GB"/>
        </w:rPr>
        <w:t>300</w:t>
      </w:r>
      <w:r w:rsidR="00E112CD" w:rsidRPr="00E112CD">
        <w:rPr>
          <w:rFonts w:hint="eastAsia"/>
          <w:lang w:val="en-GB"/>
        </w:rPr>
        <w:t>名女企业家进行了培训</w:t>
      </w:r>
      <w:r>
        <w:rPr>
          <w:rFonts w:hint="eastAsia"/>
          <w:lang w:val="en-GB"/>
        </w:rPr>
        <w:t>，</w:t>
      </w:r>
      <w:r w:rsidR="00E112CD" w:rsidRPr="00E112CD">
        <w:rPr>
          <w:rFonts w:hint="eastAsia"/>
          <w:lang w:val="en-GB"/>
        </w:rPr>
        <w:t>超过在开始实行“政府转型计划”时起初确定的</w:t>
      </w:r>
      <w:r>
        <w:rPr>
          <w:lang w:val="en-GB"/>
        </w:rPr>
        <w:t>4,</w:t>
      </w:r>
      <w:r w:rsidR="00E112CD" w:rsidRPr="00E112CD">
        <w:rPr>
          <w:lang w:val="en-GB"/>
        </w:rPr>
        <w:t>000</w:t>
      </w:r>
      <w:r w:rsidR="00E112CD" w:rsidRPr="00E112CD">
        <w:rPr>
          <w:rFonts w:hint="eastAsia"/>
          <w:lang w:val="en-GB"/>
        </w:rPr>
        <w:t>名的目标。在</w:t>
      </w:r>
      <w:r w:rsidR="00E112CD" w:rsidRPr="00E112CD">
        <w:rPr>
          <w:lang w:val="en-GB"/>
        </w:rPr>
        <w:t>2011</w:t>
      </w:r>
      <w:r w:rsidR="00E112CD" w:rsidRPr="00E112CD">
        <w:rPr>
          <w:rFonts w:hint="eastAsia"/>
          <w:lang w:val="en-GB"/>
        </w:rPr>
        <w:t>至</w:t>
      </w:r>
      <w:r w:rsidR="00E112CD" w:rsidRPr="00E112CD">
        <w:rPr>
          <w:lang w:val="en-GB"/>
        </w:rPr>
        <w:t>2014</w:t>
      </w:r>
      <w:r w:rsidR="00E112CD" w:rsidRPr="00E112CD">
        <w:rPr>
          <w:rFonts w:hint="eastAsia"/>
          <w:lang w:val="en-GB"/>
        </w:rPr>
        <w:t>年期间</w:t>
      </w:r>
      <w:r>
        <w:rPr>
          <w:rFonts w:hint="eastAsia"/>
          <w:lang w:val="en-GB"/>
        </w:rPr>
        <w:t>，</w:t>
      </w:r>
      <w:r w:rsidR="00E112CD" w:rsidRPr="00E112CD">
        <w:rPr>
          <w:rFonts w:hint="eastAsia"/>
          <w:lang w:val="en-GB"/>
        </w:rPr>
        <w:t>继续实施该计划</w:t>
      </w:r>
      <w:r>
        <w:rPr>
          <w:rFonts w:hint="eastAsia"/>
          <w:lang w:val="en-GB"/>
        </w:rPr>
        <w:t>，</w:t>
      </w:r>
      <w:r w:rsidR="00E112CD" w:rsidRPr="00E112CD">
        <w:rPr>
          <w:rFonts w:hint="eastAsia"/>
          <w:lang w:val="en-GB"/>
        </w:rPr>
        <w:t>又对</w:t>
      </w:r>
      <w:r>
        <w:rPr>
          <w:lang w:val="en-GB"/>
        </w:rPr>
        <w:t>2,</w:t>
      </w:r>
      <w:r w:rsidR="00E112CD" w:rsidRPr="00E112CD">
        <w:rPr>
          <w:lang w:val="en-GB"/>
        </w:rPr>
        <w:t>000</w:t>
      </w:r>
      <w:r w:rsidR="00E112CD" w:rsidRPr="00E112CD">
        <w:rPr>
          <w:rFonts w:hint="eastAsia"/>
          <w:lang w:val="en-GB"/>
        </w:rPr>
        <w:t>名女企业家进行了培训。</w:t>
      </w:r>
    </w:p>
    <w:p w:rsidR="00E112CD" w:rsidRPr="00E112CD" w:rsidRDefault="00E112CD" w:rsidP="005962CC">
      <w:pPr>
        <w:pStyle w:val="H23GC"/>
        <w:rPr>
          <w:lang w:val="en-GB"/>
        </w:rPr>
      </w:pPr>
      <w:r w:rsidRPr="00E112CD">
        <w:rPr>
          <w:lang w:val="en-GB"/>
        </w:rPr>
        <w:tab/>
      </w:r>
      <w:r w:rsidR="006E1330">
        <w:rPr>
          <w:lang w:val="en-GB"/>
        </w:rPr>
        <w:t>2.</w:t>
      </w:r>
      <w:r w:rsidRPr="00E112CD">
        <w:rPr>
          <w:lang w:val="en-GB"/>
        </w:rPr>
        <w:tab/>
      </w:r>
      <w:r w:rsidRPr="005962CC">
        <w:rPr>
          <w:rFonts w:hint="eastAsia"/>
          <w:lang w:val="en-GB"/>
        </w:rPr>
        <w:t>教育</w:t>
      </w:r>
    </w:p>
    <w:p w:rsidR="00E112CD" w:rsidRPr="00E112CD" w:rsidRDefault="00E112CD" w:rsidP="005962CC">
      <w:pPr>
        <w:pStyle w:val="SingleTxtGC"/>
        <w:tabs>
          <w:tab w:val="clear" w:pos="1565"/>
        </w:tabs>
        <w:rPr>
          <w:lang w:val="en-GB"/>
        </w:rPr>
      </w:pPr>
      <w:r w:rsidRPr="00E112CD">
        <w:rPr>
          <w:lang w:val="en-GB"/>
        </w:rPr>
        <w:t>1</w:t>
      </w:r>
      <w:r w:rsidR="006E1330">
        <w:rPr>
          <w:lang w:val="en-GB"/>
        </w:rPr>
        <w:t>0.</w:t>
      </w:r>
      <w:r w:rsidR="005962CC">
        <w:rPr>
          <w:rFonts w:hint="eastAsia"/>
          <w:lang w:val="en-GB"/>
        </w:rPr>
        <w:t xml:space="preserve">  </w:t>
      </w:r>
      <w:r w:rsidRPr="00E112CD">
        <w:rPr>
          <w:rFonts w:hint="eastAsia"/>
          <w:lang w:val="en-GB"/>
        </w:rPr>
        <w:t>马来西亚的每个儿童都应该有平等地受优质教育的机会</w:t>
      </w:r>
      <w:r w:rsidR="006E1330">
        <w:rPr>
          <w:rFonts w:hint="eastAsia"/>
          <w:lang w:val="en-GB"/>
        </w:rPr>
        <w:t>，</w:t>
      </w:r>
      <w:r w:rsidRPr="00E112CD">
        <w:rPr>
          <w:rFonts w:hint="eastAsia"/>
          <w:lang w:val="en-GB"/>
        </w:rPr>
        <w:t>无论他们的财富、种族或背景。优质教育应能使学生实现自己的潜力。根据全民教育原则和千年发展目标</w:t>
      </w:r>
      <w:r w:rsidR="006E1330">
        <w:rPr>
          <w:rFonts w:hint="eastAsia"/>
          <w:lang w:val="en-GB"/>
        </w:rPr>
        <w:t>，</w:t>
      </w:r>
      <w:r w:rsidRPr="00E112CD">
        <w:rPr>
          <w:rFonts w:hint="eastAsia"/>
          <w:lang w:val="en-GB"/>
        </w:rPr>
        <w:t>马来西亚教育制度的目标是</w:t>
      </w:r>
      <w:r w:rsidR="006E1330">
        <w:rPr>
          <w:rFonts w:hint="eastAsia"/>
          <w:lang w:val="en-GB"/>
        </w:rPr>
        <w:t>，</w:t>
      </w:r>
      <w:r w:rsidRPr="00E112CD">
        <w:rPr>
          <w:rFonts w:hint="eastAsia"/>
          <w:lang w:val="en-GB"/>
        </w:rPr>
        <w:t>确保所有儿童都享有接受学前到高中教育的机会</w:t>
      </w:r>
      <w:r w:rsidR="006E1330">
        <w:rPr>
          <w:rFonts w:hint="eastAsia"/>
          <w:lang w:val="en-GB"/>
        </w:rPr>
        <w:t>，</w:t>
      </w:r>
      <w:r w:rsidRPr="00E112CD">
        <w:rPr>
          <w:rFonts w:hint="eastAsia"/>
          <w:lang w:val="en-GB"/>
        </w:rPr>
        <w:t>全部入学。为实现这一目标而实施的战略是</w:t>
      </w:r>
      <w:r w:rsidR="006E1330">
        <w:rPr>
          <w:rFonts w:hint="eastAsia"/>
          <w:lang w:val="en-GB"/>
        </w:rPr>
        <w:t>：</w:t>
      </w:r>
      <w:r w:rsidRPr="00E112CD">
        <w:rPr>
          <w:rFonts w:hint="eastAsia"/>
          <w:lang w:val="en-GB"/>
        </w:rPr>
        <w:t>教育机会全民化</w:t>
      </w:r>
      <w:r w:rsidR="006E1330">
        <w:rPr>
          <w:rFonts w:hint="eastAsia"/>
          <w:lang w:val="en-GB"/>
        </w:rPr>
        <w:t>，</w:t>
      </w:r>
      <w:r w:rsidRPr="00E112CD">
        <w:rPr>
          <w:rFonts w:hint="eastAsia"/>
          <w:lang w:val="en-GB"/>
        </w:rPr>
        <w:t>为弱势群体提供特别援助</w:t>
      </w:r>
      <w:r w:rsidR="006E1330">
        <w:rPr>
          <w:rFonts w:hint="eastAsia"/>
          <w:lang w:val="en-GB"/>
        </w:rPr>
        <w:t>，</w:t>
      </w:r>
      <w:r w:rsidRPr="00E112CD">
        <w:rPr>
          <w:rFonts w:hint="eastAsia"/>
          <w:lang w:val="en-GB"/>
        </w:rPr>
        <w:t>以及加强技术教育。对所有儿童平等地实施这些战略</w:t>
      </w:r>
      <w:r w:rsidR="006E1330">
        <w:rPr>
          <w:rFonts w:hint="eastAsia"/>
          <w:lang w:val="en-GB"/>
        </w:rPr>
        <w:t>，</w:t>
      </w:r>
      <w:r w:rsidRPr="00E112CD">
        <w:rPr>
          <w:rFonts w:hint="eastAsia"/>
          <w:lang w:val="en-GB"/>
        </w:rPr>
        <w:t>不管性别。</w:t>
      </w:r>
    </w:p>
    <w:p w:rsidR="00E112CD" w:rsidRPr="00E112CD" w:rsidRDefault="00E112CD" w:rsidP="00E112CD">
      <w:pPr>
        <w:pStyle w:val="SingleTxtGC"/>
        <w:rPr>
          <w:lang w:val="en-GB"/>
        </w:rPr>
      </w:pPr>
      <w:r w:rsidRPr="00E112CD">
        <w:rPr>
          <w:lang w:val="en-GB"/>
        </w:rPr>
        <w:t>1</w:t>
      </w:r>
      <w:r w:rsidR="006E1330">
        <w:rPr>
          <w:lang w:val="en-GB"/>
        </w:rPr>
        <w:t>1.</w:t>
      </w:r>
      <w:r w:rsidR="005962CC">
        <w:rPr>
          <w:rFonts w:hint="eastAsia"/>
          <w:lang w:val="en-GB"/>
        </w:rPr>
        <w:t xml:space="preserve">  </w:t>
      </w:r>
      <w:r w:rsidRPr="00E112CD">
        <w:rPr>
          <w:rFonts w:hint="eastAsia"/>
          <w:lang w:val="en-GB"/>
        </w:rPr>
        <w:t>公共部门提供的教育主要隶属于教育部及其他一些政府机构和州政府。年度预算为教育部划拨的款额高</w:t>
      </w:r>
      <w:r w:rsidR="006E1330">
        <w:rPr>
          <w:rFonts w:hint="eastAsia"/>
          <w:lang w:val="en-GB"/>
        </w:rPr>
        <w:t>，</w:t>
      </w:r>
      <w:r w:rsidRPr="00E112CD">
        <w:rPr>
          <w:rFonts w:hint="eastAsia"/>
          <w:lang w:val="en-GB"/>
        </w:rPr>
        <w:t>说明马来西亚致力于教育机会全民化。</w:t>
      </w:r>
      <w:r w:rsidRPr="00E112CD">
        <w:rPr>
          <w:lang w:val="en-GB"/>
        </w:rPr>
        <w:t>2011</w:t>
      </w:r>
      <w:r w:rsidRPr="00E112CD">
        <w:rPr>
          <w:rFonts w:hint="eastAsia"/>
          <w:lang w:val="en-GB"/>
        </w:rPr>
        <w:t>年</w:t>
      </w:r>
      <w:r w:rsidR="006E1330">
        <w:rPr>
          <w:rFonts w:hint="eastAsia"/>
          <w:lang w:val="en-GB"/>
        </w:rPr>
        <w:t>，</w:t>
      </w:r>
      <w:r w:rsidRPr="00E112CD">
        <w:rPr>
          <w:rFonts w:hint="eastAsia"/>
          <w:lang w:val="en-GB"/>
        </w:rPr>
        <w:t>教育部获得的预算是</w:t>
      </w:r>
      <w:r w:rsidRPr="00E112CD">
        <w:rPr>
          <w:lang w:val="en-GB"/>
        </w:rPr>
        <w:t>9</w:t>
      </w:r>
      <w:r w:rsidR="006E1330">
        <w:rPr>
          <w:lang w:val="en-GB"/>
        </w:rPr>
        <w:t>5.</w:t>
      </w:r>
      <w:r w:rsidRPr="00E112CD">
        <w:rPr>
          <w:lang w:val="en-GB"/>
        </w:rPr>
        <w:t>8</w:t>
      </w:r>
      <w:r w:rsidRPr="00E112CD">
        <w:rPr>
          <w:rFonts w:hint="eastAsia"/>
          <w:lang w:val="en-GB"/>
        </w:rPr>
        <w:t>亿美元</w:t>
      </w:r>
      <w:r w:rsidR="006E1330">
        <w:rPr>
          <w:lang w:val="en-GB"/>
        </w:rPr>
        <w:t>(</w:t>
      </w:r>
      <w:r w:rsidRPr="00E112CD">
        <w:rPr>
          <w:lang w:val="en-GB"/>
        </w:rPr>
        <w:t>293</w:t>
      </w:r>
      <w:r w:rsidRPr="00E112CD">
        <w:rPr>
          <w:rFonts w:hint="eastAsia"/>
          <w:lang w:val="en-GB"/>
        </w:rPr>
        <w:t>亿林吉特</w:t>
      </w:r>
      <w:r w:rsidR="006E1330">
        <w:rPr>
          <w:lang w:val="en-GB"/>
        </w:rPr>
        <w:t>)</w:t>
      </w:r>
      <w:r w:rsidR="006E1330">
        <w:rPr>
          <w:rFonts w:hint="eastAsia"/>
          <w:lang w:val="en-GB"/>
        </w:rPr>
        <w:t>，</w:t>
      </w:r>
      <w:r w:rsidRPr="00E112CD">
        <w:rPr>
          <w:rFonts w:hint="eastAsia"/>
          <w:lang w:val="en-GB"/>
        </w:rPr>
        <w:t>或者占国家年度预算的</w:t>
      </w:r>
      <w:r w:rsidRPr="00E112CD">
        <w:rPr>
          <w:lang w:val="en-GB"/>
        </w:rPr>
        <w:t>1</w:t>
      </w:r>
      <w:r w:rsidR="006E1330">
        <w:rPr>
          <w:lang w:val="en-GB"/>
        </w:rPr>
        <w:t>6.</w:t>
      </w:r>
      <w:r w:rsidRPr="00E112CD">
        <w:rPr>
          <w:lang w:val="en-GB"/>
        </w:rPr>
        <w:t>17</w:t>
      </w:r>
      <w:r w:rsidR="006E1330">
        <w:rPr>
          <w:lang w:val="en-GB"/>
        </w:rPr>
        <w:t>%</w:t>
      </w:r>
      <w:r w:rsidRPr="00E112CD">
        <w:rPr>
          <w:rFonts w:hint="eastAsia"/>
          <w:lang w:val="en-GB"/>
        </w:rPr>
        <w:t>。相比之下</w:t>
      </w:r>
      <w:r w:rsidR="006E1330">
        <w:rPr>
          <w:rFonts w:hint="eastAsia"/>
          <w:lang w:val="en-GB"/>
        </w:rPr>
        <w:t>，</w:t>
      </w:r>
      <w:r w:rsidRPr="00E112CD">
        <w:rPr>
          <w:lang w:val="en-GB"/>
        </w:rPr>
        <w:t>2005</w:t>
      </w:r>
      <w:r w:rsidRPr="00E112CD">
        <w:rPr>
          <w:rFonts w:hint="eastAsia"/>
          <w:lang w:val="en-GB"/>
        </w:rPr>
        <w:t>年</w:t>
      </w:r>
      <w:r w:rsidR="006E1330">
        <w:rPr>
          <w:rFonts w:hint="eastAsia"/>
          <w:lang w:val="en-GB"/>
        </w:rPr>
        <w:t>，</w:t>
      </w:r>
      <w:r w:rsidRPr="00E112CD">
        <w:rPr>
          <w:rFonts w:hint="eastAsia"/>
          <w:lang w:val="en-GB"/>
        </w:rPr>
        <w:t>教育部获得的预算是</w:t>
      </w:r>
      <w:r w:rsidRPr="00E112CD">
        <w:rPr>
          <w:lang w:val="en-GB"/>
        </w:rPr>
        <w:t>44</w:t>
      </w:r>
      <w:r w:rsidRPr="00E112CD">
        <w:rPr>
          <w:rFonts w:hint="eastAsia"/>
          <w:lang w:val="en-GB"/>
        </w:rPr>
        <w:t>亿美元</w:t>
      </w:r>
      <w:r w:rsidR="006E1330">
        <w:rPr>
          <w:lang w:val="en-GB"/>
        </w:rPr>
        <w:t>(</w:t>
      </w:r>
      <w:r w:rsidRPr="00E112CD">
        <w:rPr>
          <w:lang w:val="en-GB"/>
        </w:rPr>
        <w:t>167</w:t>
      </w:r>
      <w:r w:rsidRPr="00E112CD">
        <w:rPr>
          <w:rFonts w:hint="eastAsia"/>
          <w:lang w:val="en-GB"/>
        </w:rPr>
        <w:t>亿林吉特</w:t>
      </w:r>
      <w:r w:rsidR="006E1330">
        <w:rPr>
          <w:lang w:val="en-GB"/>
        </w:rPr>
        <w:t>)</w:t>
      </w:r>
      <w:r w:rsidRPr="00E112CD">
        <w:rPr>
          <w:rFonts w:hint="eastAsia"/>
          <w:lang w:val="en-GB"/>
        </w:rPr>
        <w:t>。政府为学校、学生宿舍、设施及设备的建造和升级及提高教学专业水平划拨了</w:t>
      </w:r>
      <w:r w:rsidRPr="00E112CD">
        <w:rPr>
          <w:lang w:val="en-GB"/>
        </w:rPr>
        <w:t>2</w:t>
      </w:r>
      <w:r w:rsidR="006E1330">
        <w:rPr>
          <w:lang w:val="en-GB"/>
        </w:rPr>
        <w:t>0.</w:t>
      </w:r>
      <w:r w:rsidRPr="00E112CD">
        <w:rPr>
          <w:lang w:val="en-GB"/>
        </w:rPr>
        <w:t>6</w:t>
      </w:r>
      <w:r w:rsidRPr="00E112CD">
        <w:rPr>
          <w:rFonts w:hint="eastAsia"/>
          <w:lang w:val="en-GB"/>
        </w:rPr>
        <w:t>亿美元</w:t>
      </w:r>
      <w:r w:rsidR="006E1330">
        <w:rPr>
          <w:lang w:val="en-GB"/>
        </w:rPr>
        <w:t>(</w:t>
      </w:r>
      <w:r w:rsidRPr="00E112CD">
        <w:rPr>
          <w:lang w:val="en-GB"/>
        </w:rPr>
        <w:t>64</w:t>
      </w:r>
      <w:r w:rsidRPr="00E112CD">
        <w:rPr>
          <w:rFonts w:hint="eastAsia"/>
          <w:lang w:val="en-GB"/>
        </w:rPr>
        <w:t>亿林吉特</w:t>
      </w:r>
      <w:r w:rsidR="006E1330">
        <w:rPr>
          <w:lang w:val="en-GB"/>
        </w:rPr>
        <w:t>)</w:t>
      </w:r>
      <w:r w:rsidRPr="00E112CD">
        <w:rPr>
          <w:rFonts w:hint="eastAsia"/>
          <w:lang w:val="en-GB"/>
        </w:rPr>
        <w:t>的发展开支。其中</w:t>
      </w:r>
      <w:r w:rsidR="006E1330">
        <w:rPr>
          <w:rFonts w:hint="eastAsia"/>
          <w:lang w:val="en-GB"/>
        </w:rPr>
        <w:t>，</w:t>
      </w:r>
      <w:r w:rsidRPr="00E112CD">
        <w:rPr>
          <w:rFonts w:hint="eastAsia"/>
          <w:lang w:val="en-GB"/>
        </w:rPr>
        <w:t>为建造</w:t>
      </w:r>
      <w:r w:rsidR="006E1330">
        <w:rPr>
          <w:lang w:val="en-GB"/>
        </w:rPr>
        <w:t>1,</w:t>
      </w:r>
      <w:r w:rsidRPr="00E112CD">
        <w:rPr>
          <w:lang w:val="en-GB"/>
        </w:rPr>
        <w:t>474</w:t>
      </w:r>
      <w:r w:rsidRPr="00E112CD">
        <w:rPr>
          <w:rFonts w:hint="eastAsia"/>
          <w:lang w:val="en-GB"/>
        </w:rPr>
        <w:t>所学校和</w:t>
      </w:r>
      <w:r w:rsidRPr="00E112CD">
        <w:rPr>
          <w:lang w:val="en-GB"/>
        </w:rPr>
        <w:t>30</w:t>
      </w:r>
      <w:r w:rsidRPr="00E112CD">
        <w:rPr>
          <w:rFonts w:hint="eastAsia"/>
          <w:lang w:val="en-GB"/>
        </w:rPr>
        <w:t>座学生宿舍楼及改造</w:t>
      </w:r>
      <w:r w:rsidRPr="00E112CD">
        <w:rPr>
          <w:lang w:val="en-GB"/>
        </w:rPr>
        <w:t>574</w:t>
      </w:r>
      <w:r w:rsidRPr="00E112CD">
        <w:rPr>
          <w:rFonts w:hint="eastAsia"/>
          <w:lang w:val="en-GB"/>
        </w:rPr>
        <w:t>所学校</w:t>
      </w:r>
      <w:r w:rsidR="006E1330">
        <w:rPr>
          <w:rFonts w:hint="eastAsia"/>
          <w:lang w:val="en-GB"/>
        </w:rPr>
        <w:t>，</w:t>
      </w:r>
      <w:r w:rsidRPr="00E112CD">
        <w:rPr>
          <w:rFonts w:hint="eastAsia"/>
          <w:lang w:val="en-GB"/>
        </w:rPr>
        <w:t>划拨了</w:t>
      </w:r>
      <w:r w:rsidRPr="00E112CD">
        <w:rPr>
          <w:lang w:val="en-GB"/>
        </w:rPr>
        <w:t>1</w:t>
      </w:r>
      <w:r w:rsidR="006E1330">
        <w:rPr>
          <w:lang w:val="en-GB"/>
        </w:rPr>
        <w:t>7.</w:t>
      </w:r>
      <w:r w:rsidRPr="00E112CD">
        <w:rPr>
          <w:lang w:val="en-GB"/>
        </w:rPr>
        <w:t>4</w:t>
      </w:r>
      <w:r w:rsidRPr="00E112CD">
        <w:rPr>
          <w:rFonts w:hint="eastAsia"/>
          <w:lang w:val="en-GB"/>
        </w:rPr>
        <w:t>亿美元</w:t>
      </w:r>
      <w:r w:rsidR="006E1330">
        <w:rPr>
          <w:lang w:val="en-GB"/>
        </w:rPr>
        <w:t>(</w:t>
      </w:r>
      <w:r w:rsidRPr="00E112CD">
        <w:rPr>
          <w:lang w:val="en-GB"/>
        </w:rPr>
        <w:t>54</w:t>
      </w:r>
      <w:r w:rsidRPr="00E112CD">
        <w:rPr>
          <w:rFonts w:hint="eastAsia"/>
          <w:lang w:val="en-GB"/>
        </w:rPr>
        <w:t>亿林吉特</w:t>
      </w:r>
      <w:r w:rsidR="006E1330">
        <w:rPr>
          <w:lang w:val="en-GB"/>
        </w:rPr>
        <w:t>)</w:t>
      </w:r>
      <w:r w:rsidRPr="00E112CD">
        <w:rPr>
          <w:rFonts w:hint="eastAsia"/>
          <w:lang w:val="en-GB"/>
        </w:rPr>
        <w:t>。此外</w:t>
      </w:r>
      <w:r w:rsidR="006E1330">
        <w:rPr>
          <w:rFonts w:hint="eastAsia"/>
          <w:lang w:val="en-GB"/>
        </w:rPr>
        <w:t>，</w:t>
      </w:r>
      <w:r w:rsidRPr="00E112CD">
        <w:rPr>
          <w:rFonts w:hint="eastAsia"/>
          <w:lang w:val="en-GB"/>
        </w:rPr>
        <w:t>划拨了</w:t>
      </w:r>
      <w:r w:rsidR="006E1330">
        <w:rPr>
          <w:lang w:val="en-GB"/>
        </w:rPr>
        <w:t>6,</w:t>
      </w:r>
      <w:r w:rsidRPr="00E112CD">
        <w:rPr>
          <w:lang w:val="en-GB"/>
        </w:rPr>
        <w:t>870</w:t>
      </w:r>
      <w:r w:rsidRPr="00E112CD">
        <w:rPr>
          <w:rFonts w:hint="eastAsia"/>
          <w:lang w:val="en-GB"/>
        </w:rPr>
        <w:t>万美元</w:t>
      </w:r>
      <w:r w:rsidR="006E1330">
        <w:rPr>
          <w:lang w:val="en-GB"/>
        </w:rPr>
        <w:t>(2.</w:t>
      </w:r>
      <w:r w:rsidRPr="00E112CD">
        <w:rPr>
          <w:lang w:val="en-GB"/>
        </w:rPr>
        <w:t>13</w:t>
      </w:r>
      <w:r w:rsidRPr="00E112CD">
        <w:rPr>
          <w:rFonts w:hint="eastAsia"/>
          <w:lang w:val="en-GB"/>
        </w:rPr>
        <w:t>亿林吉特</w:t>
      </w:r>
      <w:r w:rsidR="006E1330">
        <w:rPr>
          <w:lang w:val="en-GB"/>
        </w:rPr>
        <w:t>)</w:t>
      </w:r>
      <w:r w:rsidR="006E1330">
        <w:rPr>
          <w:rFonts w:hint="eastAsia"/>
          <w:lang w:val="en-GB"/>
        </w:rPr>
        <w:t>，</w:t>
      </w:r>
      <w:r w:rsidRPr="00E112CD">
        <w:rPr>
          <w:rFonts w:hint="eastAsia"/>
          <w:lang w:val="en-GB"/>
        </w:rPr>
        <w:t>用于奖励高绩效学校及优秀校长、班主任和教师。迄今为止</w:t>
      </w:r>
      <w:r w:rsidR="006E1330">
        <w:rPr>
          <w:rFonts w:hint="eastAsia"/>
          <w:lang w:val="en-GB"/>
        </w:rPr>
        <w:t>，</w:t>
      </w:r>
      <w:r w:rsidRPr="00E112CD">
        <w:rPr>
          <w:rFonts w:hint="eastAsia"/>
          <w:lang w:val="en-GB"/>
        </w:rPr>
        <w:t>总共奖励了</w:t>
      </w:r>
      <w:r w:rsidRPr="00E112CD">
        <w:rPr>
          <w:lang w:val="en-GB"/>
        </w:rPr>
        <w:t>52</w:t>
      </w:r>
      <w:r w:rsidRPr="00E112CD">
        <w:rPr>
          <w:rFonts w:hint="eastAsia"/>
          <w:lang w:val="en-GB"/>
        </w:rPr>
        <w:t>所高绩效学校和约</w:t>
      </w:r>
      <w:r w:rsidRPr="00E112CD">
        <w:rPr>
          <w:lang w:val="en-GB"/>
        </w:rPr>
        <w:t>1</w:t>
      </w:r>
      <w:r w:rsidR="006E1330">
        <w:rPr>
          <w:lang w:val="en-GB"/>
        </w:rPr>
        <w:t>4,</w:t>
      </w:r>
      <w:r w:rsidRPr="00E112CD">
        <w:rPr>
          <w:lang w:val="en-GB"/>
        </w:rPr>
        <w:t>600</w:t>
      </w:r>
      <w:r w:rsidRPr="00E112CD">
        <w:rPr>
          <w:rFonts w:hint="eastAsia"/>
          <w:lang w:val="en-GB"/>
        </w:rPr>
        <w:t>名教师</w:t>
      </w:r>
      <w:r w:rsidR="006E1330">
        <w:rPr>
          <w:rFonts w:hint="eastAsia"/>
          <w:lang w:val="en-GB"/>
        </w:rPr>
        <w:t>，</w:t>
      </w:r>
      <w:r w:rsidRPr="00E112CD">
        <w:rPr>
          <w:rFonts w:hint="eastAsia"/>
          <w:lang w:val="en-GB"/>
        </w:rPr>
        <w:t>其中包括</w:t>
      </w:r>
      <w:r w:rsidRPr="00E112CD">
        <w:rPr>
          <w:lang w:val="en-GB"/>
        </w:rPr>
        <w:t>586</w:t>
      </w:r>
      <w:r w:rsidRPr="00E112CD">
        <w:rPr>
          <w:rFonts w:hint="eastAsia"/>
          <w:lang w:val="en-GB"/>
        </w:rPr>
        <w:t>名班主任。</w:t>
      </w:r>
      <w:r w:rsidR="005962CC">
        <w:rPr>
          <w:rStyle w:val="FootnoteReference"/>
          <w:lang w:val="en-GB"/>
        </w:rPr>
        <w:footnoteReference w:id="6"/>
      </w:r>
      <w:r w:rsidR="005962CC">
        <w:rPr>
          <w:rFonts w:hint="eastAsia"/>
          <w:vertAlign w:val="superscript"/>
          <w:lang w:val="en-GB"/>
        </w:rPr>
        <w:t xml:space="preserve"> </w:t>
      </w:r>
      <w:r w:rsidRPr="00E112CD">
        <w:rPr>
          <w:rFonts w:hint="eastAsia"/>
          <w:lang w:val="en-GB"/>
        </w:rPr>
        <w:t>在</w:t>
      </w:r>
      <w:r w:rsidRPr="00E112CD">
        <w:rPr>
          <w:lang w:val="en-GB"/>
        </w:rPr>
        <w:t>2012</w:t>
      </w:r>
      <w:r w:rsidRPr="00E112CD">
        <w:rPr>
          <w:rFonts w:hint="eastAsia"/>
          <w:lang w:val="en-GB"/>
        </w:rPr>
        <w:t>年和</w:t>
      </w:r>
      <w:r w:rsidRPr="00E112CD">
        <w:rPr>
          <w:lang w:val="en-GB"/>
        </w:rPr>
        <w:t>2014</w:t>
      </w:r>
      <w:r w:rsidRPr="00E112CD">
        <w:rPr>
          <w:rFonts w:hint="eastAsia"/>
          <w:lang w:val="en-GB"/>
        </w:rPr>
        <w:t>年</w:t>
      </w:r>
      <w:r w:rsidR="006E1330">
        <w:rPr>
          <w:rFonts w:hint="eastAsia"/>
          <w:lang w:val="en-GB"/>
        </w:rPr>
        <w:t>，</w:t>
      </w:r>
      <w:r w:rsidRPr="00E112CD">
        <w:rPr>
          <w:rFonts w:hint="eastAsia"/>
          <w:lang w:val="en-GB"/>
        </w:rPr>
        <w:t>为教育部门分别划拨了</w:t>
      </w:r>
      <w:r w:rsidRPr="00E112CD">
        <w:rPr>
          <w:lang w:val="en-GB"/>
        </w:rPr>
        <w:t>16</w:t>
      </w:r>
      <w:r w:rsidR="006E1330">
        <w:rPr>
          <w:lang w:val="en-GB"/>
        </w:rPr>
        <w:t>1.</w:t>
      </w:r>
      <w:r w:rsidRPr="00E112CD">
        <w:rPr>
          <w:lang w:val="en-GB"/>
        </w:rPr>
        <w:t>9</w:t>
      </w:r>
      <w:r w:rsidRPr="00E112CD">
        <w:rPr>
          <w:rFonts w:hint="eastAsia"/>
          <w:lang w:val="en-GB"/>
        </w:rPr>
        <w:t>亿美元</w:t>
      </w:r>
      <w:r w:rsidR="006E1330">
        <w:rPr>
          <w:lang w:val="en-GB"/>
        </w:rPr>
        <w:t>(</w:t>
      </w:r>
      <w:r w:rsidRPr="00E112CD">
        <w:rPr>
          <w:lang w:val="en-GB"/>
        </w:rPr>
        <w:t>502</w:t>
      </w:r>
      <w:r w:rsidRPr="00E112CD">
        <w:rPr>
          <w:rFonts w:hint="eastAsia"/>
          <w:lang w:val="en-GB"/>
        </w:rPr>
        <w:t>亿林吉特</w:t>
      </w:r>
      <w:r w:rsidR="006E1330">
        <w:rPr>
          <w:lang w:val="en-GB"/>
        </w:rPr>
        <w:t>)</w:t>
      </w:r>
      <w:r w:rsidRPr="00E112CD">
        <w:rPr>
          <w:rFonts w:hint="eastAsia"/>
          <w:lang w:val="en-GB"/>
        </w:rPr>
        <w:t>和</w:t>
      </w:r>
      <w:r w:rsidRPr="00E112CD">
        <w:rPr>
          <w:lang w:val="en-GB"/>
        </w:rPr>
        <w:t>16</w:t>
      </w:r>
      <w:r w:rsidR="006E1330">
        <w:rPr>
          <w:lang w:val="en-GB"/>
        </w:rPr>
        <w:t>6.</w:t>
      </w:r>
      <w:r w:rsidRPr="00E112CD">
        <w:rPr>
          <w:lang w:val="en-GB"/>
        </w:rPr>
        <w:t>8</w:t>
      </w:r>
      <w:r w:rsidRPr="00E112CD">
        <w:rPr>
          <w:rFonts w:hint="eastAsia"/>
          <w:lang w:val="en-GB"/>
        </w:rPr>
        <w:t>亿美元</w:t>
      </w:r>
      <w:r w:rsidR="006E1330">
        <w:rPr>
          <w:lang w:val="en-GB"/>
        </w:rPr>
        <w:t>(</w:t>
      </w:r>
      <w:r w:rsidRPr="00E112CD">
        <w:rPr>
          <w:lang w:val="en-GB"/>
        </w:rPr>
        <w:t>546</w:t>
      </w:r>
      <w:r w:rsidRPr="00E112CD">
        <w:rPr>
          <w:rFonts w:hint="eastAsia"/>
          <w:lang w:val="en-GB"/>
        </w:rPr>
        <w:t>亿林吉特</w:t>
      </w:r>
      <w:r w:rsidR="006E1330">
        <w:rPr>
          <w:lang w:val="en-GB"/>
        </w:rPr>
        <w:t>)</w:t>
      </w:r>
      <w:r w:rsidRPr="00E112CD">
        <w:rPr>
          <w:rFonts w:hint="eastAsia"/>
          <w:lang w:val="en-GB"/>
        </w:rPr>
        <w:t>。巨大数额的预算划拨证明政府致力于教育</w:t>
      </w:r>
      <w:r w:rsidR="006E1330">
        <w:rPr>
          <w:rFonts w:hint="eastAsia"/>
          <w:lang w:val="en-GB"/>
        </w:rPr>
        <w:t>，</w:t>
      </w:r>
      <w:r w:rsidRPr="00E112CD">
        <w:rPr>
          <w:rFonts w:hint="eastAsia"/>
          <w:lang w:val="en-GB"/>
        </w:rPr>
        <w:t>将教育作为重点</w:t>
      </w:r>
      <w:r w:rsidR="006E1330">
        <w:rPr>
          <w:rFonts w:hint="eastAsia"/>
          <w:lang w:val="en-GB"/>
        </w:rPr>
        <w:t>，</w:t>
      </w:r>
      <w:r w:rsidRPr="00E112CD">
        <w:rPr>
          <w:rFonts w:hint="eastAsia"/>
          <w:lang w:val="en-GB"/>
        </w:rPr>
        <w:t>将教育作为实现国家进步的主要工具之一。向所有马来西亚儿童提供教育</w:t>
      </w:r>
      <w:r w:rsidR="006E1330">
        <w:rPr>
          <w:rFonts w:hint="eastAsia"/>
          <w:lang w:val="en-GB"/>
        </w:rPr>
        <w:t>，</w:t>
      </w:r>
      <w:r w:rsidRPr="00E112CD">
        <w:rPr>
          <w:rFonts w:hint="eastAsia"/>
          <w:lang w:val="en-GB"/>
        </w:rPr>
        <w:t>无论他们的社会经济背景和性别。为儿童实施了各种举措</w:t>
      </w:r>
      <w:r w:rsidR="006E1330">
        <w:rPr>
          <w:rFonts w:hint="eastAsia"/>
          <w:lang w:val="en-GB"/>
        </w:rPr>
        <w:t>，</w:t>
      </w:r>
      <w:r w:rsidRPr="00E112CD">
        <w:rPr>
          <w:rFonts w:hint="eastAsia"/>
          <w:lang w:val="en-GB"/>
        </w:rPr>
        <w:t>提供了各种激励</w:t>
      </w:r>
      <w:r w:rsidR="006E1330">
        <w:rPr>
          <w:rFonts w:hint="eastAsia"/>
          <w:lang w:val="en-GB"/>
        </w:rPr>
        <w:t>，</w:t>
      </w:r>
      <w:r w:rsidRPr="00E112CD">
        <w:rPr>
          <w:rFonts w:hint="eastAsia"/>
          <w:lang w:val="en-GB"/>
        </w:rPr>
        <w:t>确保所有儿童都有获得的机会。政府始终确保提供优质教育和负担得起的受教育的机会。</w:t>
      </w:r>
      <w:r w:rsidRPr="00E112CD">
        <w:rPr>
          <w:lang w:val="en-GB"/>
        </w:rPr>
        <w:t>2011</w:t>
      </w:r>
      <w:r w:rsidRPr="00E112CD">
        <w:rPr>
          <w:rFonts w:hint="eastAsia"/>
          <w:lang w:val="en-GB"/>
        </w:rPr>
        <w:t>年</w:t>
      </w:r>
      <w:r w:rsidR="006E1330">
        <w:rPr>
          <w:rFonts w:hint="eastAsia"/>
          <w:lang w:val="en-GB"/>
        </w:rPr>
        <w:t>，</w:t>
      </w:r>
      <w:r w:rsidRPr="00E112CD">
        <w:rPr>
          <w:rFonts w:hint="eastAsia"/>
          <w:lang w:val="en-GB"/>
        </w:rPr>
        <w:t>为免除学费划拨了</w:t>
      </w:r>
      <w:r w:rsidR="006E1330">
        <w:rPr>
          <w:lang w:val="en-GB"/>
        </w:rPr>
        <w:t>4,</w:t>
      </w:r>
      <w:r w:rsidRPr="00E112CD">
        <w:rPr>
          <w:lang w:val="en-GB"/>
        </w:rPr>
        <w:t>838</w:t>
      </w:r>
      <w:r w:rsidRPr="00E112CD">
        <w:rPr>
          <w:rFonts w:hint="eastAsia"/>
          <w:lang w:val="en-GB"/>
        </w:rPr>
        <w:t>万美元</w:t>
      </w:r>
      <w:r w:rsidR="006E1330">
        <w:rPr>
          <w:lang w:val="en-GB"/>
        </w:rPr>
        <w:t>(1.</w:t>
      </w:r>
      <w:r w:rsidRPr="00E112CD">
        <w:rPr>
          <w:lang w:val="en-GB"/>
        </w:rPr>
        <w:t>5</w:t>
      </w:r>
      <w:r w:rsidRPr="00E112CD">
        <w:rPr>
          <w:rFonts w:hint="eastAsia"/>
          <w:lang w:val="en-GB"/>
        </w:rPr>
        <w:t>亿林吉特</w:t>
      </w:r>
      <w:r w:rsidR="006E1330">
        <w:rPr>
          <w:lang w:val="en-GB"/>
        </w:rPr>
        <w:t>)</w:t>
      </w:r>
      <w:r w:rsidRPr="00E112CD">
        <w:rPr>
          <w:rFonts w:hint="eastAsia"/>
          <w:lang w:val="en-GB"/>
        </w:rPr>
        <w:t>的款项。</w:t>
      </w:r>
    </w:p>
    <w:p w:rsidR="00E112CD" w:rsidRPr="00E112CD" w:rsidRDefault="00E112CD" w:rsidP="00E112CD">
      <w:pPr>
        <w:pStyle w:val="SingleTxtGC"/>
        <w:rPr>
          <w:lang w:val="en-GB"/>
        </w:rPr>
      </w:pPr>
      <w:r w:rsidRPr="00E112CD">
        <w:rPr>
          <w:lang w:val="en-GB"/>
        </w:rPr>
        <w:t>1</w:t>
      </w:r>
      <w:r w:rsidR="006E1330">
        <w:rPr>
          <w:lang w:val="en-GB"/>
        </w:rPr>
        <w:t>2.</w:t>
      </w:r>
      <w:r w:rsidR="005962CC">
        <w:rPr>
          <w:rFonts w:hint="eastAsia"/>
          <w:lang w:val="en-GB"/>
        </w:rPr>
        <w:t xml:space="preserve">  </w:t>
      </w:r>
      <w:r w:rsidRPr="00E112CD">
        <w:rPr>
          <w:rFonts w:hint="eastAsia"/>
          <w:lang w:val="en-GB"/>
        </w:rPr>
        <w:t>在马来西亚</w:t>
      </w:r>
      <w:r w:rsidR="006E1330">
        <w:rPr>
          <w:rFonts w:hint="eastAsia"/>
          <w:lang w:val="en-GB"/>
        </w:rPr>
        <w:t>，</w:t>
      </w:r>
      <w:r w:rsidRPr="00E112CD">
        <w:rPr>
          <w:rFonts w:hint="eastAsia"/>
          <w:lang w:val="en-GB"/>
        </w:rPr>
        <w:t>私营部门也提供教育。私营部门建立的学校是由私人提供资金的</w:t>
      </w:r>
      <w:r w:rsidR="006E1330">
        <w:rPr>
          <w:rFonts w:hint="eastAsia"/>
          <w:lang w:val="en-GB"/>
        </w:rPr>
        <w:t>，</w:t>
      </w:r>
      <w:r w:rsidRPr="00E112CD">
        <w:rPr>
          <w:rFonts w:hint="eastAsia"/>
          <w:lang w:val="en-GB"/>
        </w:rPr>
        <w:t>它们提供普通和宗教教育。在马来西亚</w:t>
      </w:r>
      <w:r w:rsidR="006E1330">
        <w:rPr>
          <w:rFonts w:hint="eastAsia"/>
          <w:lang w:val="en-GB"/>
        </w:rPr>
        <w:t>，</w:t>
      </w:r>
      <w:r w:rsidRPr="00E112CD">
        <w:rPr>
          <w:rFonts w:hint="eastAsia"/>
          <w:lang w:val="en-GB"/>
        </w:rPr>
        <w:t>儿童可以选择上政府创办的</w:t>
      </w:r>
      <w:r w:rsidR="006E1330">
        <w:rPr>
          <w:lang w:val="en-GB"/>
        </w:rPr>
        <w:t>(</w:t>
      </w:r>
      <w:r w:rsidRPr="00E112CD">
        <w:rPr>
          <w:rFonts w:hint="eastAsia"/>
          <w:lang w:val="en-GB"/>
        </w:rPr>
        <w:t>公立</w:t>
      </w:r>
      <w:r w:rsidR="006E1330">
        <w:rPr>
          <w:lang w:val="en-GB"/>
        </w:rPr>
        <w:t>)</w:t>
      </w:r>
      <w:r w:rsidRPr="00E112CD">
        <w:rPr>
          <w:rFonts w:hint="eastAsia"/>
          <w:lang w:val="en-GB"/>
        </w:rPr>
        <w:t>中小学或私立中小学。在马来西亚</w:t>
      </w:r>
      <w:r w:rsidR="006E1330">
        <w:rPr>
          <w:rFonts w:hint="eastAsia"/>
          <w:lang w:val="en-GB"/>
        </w:rPr>
        <w:t>，</w:t>
      </w:r>
      <w:r w:rsidRPr="00E112CD">
        <w:rPr>
          <w:rFonts w:hint="eastAsia"/>
          <w:lang w:val="en-GB"/>
        </w:rPr>
        <w:t>儿童从公立学校向私立学校或宗教机构转学是常见现象</w:t>
      </w:r>
      <w:r w:rsidR="006E1330">
        <w:rPr>
          <w:rFonts w:hint="eastAsia"/>
          <w:lang w:val="en-GB"/>
        </w:rPr>
        <w:t>，</w:t>
      </w:r>
      <w:r w:rsidRPr="00E112CD">
        <w:rPr>
          <w:rFonts w:hint="eastAsia"/>
          <w:lang w:val="en-GB"/>
        </w:rPr>
        <w:t>反之亦然。</w:t>
      </w:r>
    </w:p>
    <w:p w:rsidR="00E112CD" w:rsidRPr="00E112CD" w:rsidRDefault="00E112CD" w:rsidP="00E112CD">
      <w:pPr>
        <w:pStyle w:val="SingleTxtGC"/>
        <w:rPr>
          <w:lang w:val="en-GB"/>
        </w:rPr>
      </w:pPr>
      <w:r w:rsidRPr="00E112CD">
        <w:rPr>
          <w:lang w:val="en-GB"/>
        </w:rPr>
        <w:t>1</w:t>
      </w:r>
      <w:r w:rsidR="006E1330">
        <w:rPr>
          <w:lang w:val="en-GB"/>
        </w:rPr>
        <w:t>3.</w:t>
      </w:r>
      <w:r w:rsidR="005962CC">
        <w:rPr>
          <w:rFonts w:hint="eastAsia"/>
          <w:lang w:val="en-GB"/>
        </w:rPr>
        <w:t xml:space="preserve">  </w:t>
      </w:r>
      <w:r w:rsidRPr="00E112CD">
        <w:rPr>
          <w:rFonts w:hint="eastAsia"/>
          <w:lang w:val="en-GB"/>
        </w:rPr>
        <w:t>截至</w:t>
      </w:r>
      <w:r w:rsidRPr="00E112CD">
        <w:rPr>
          <w:lang w:val="en-GB"/>
        </w:rPr>
        <w:t>2012</w:t>
      </w:r>
      <w:r w:rsidRPr="00E112CD">
        <w:rPr>
          <w:rFonts w:hint="eastAsia"/>
          <w:lang w:val="en-GB"/>
        </w:rPr>
        <w:t>年</w:t>
      </w:r>
      <w:r w:rsidR="006E1330">
        <w:rPr>
          <w:rFonts w:hint="eastAsia"/>
          <w:lang w:val="en-GB"/>
        </w:rPr>
        <w:t>，</w:t>
      </w:r>
      <w:r w:rsidRPr="00E112CD">
        <w:rPr>
          <w:rFonts w:hint="eastAsia"/>
          <w:lang w:val="en-GB"/>
        </w:rPr>
        <w:t>为了配合政府改善向所有群体提供教育机会的努力</w:t>
      </w:r>
      <w:r w:rsidR="006E1330">
        <w:rPr>
          <w:rFonts w:hint="eastAsia"/>
          <w:lang w:val="en-GB"/>
        </w:rPr>
        <w:t>，</w:t>
      </w:r>
      <w:r w:rsidRPr="00E112CD">
        <w:rPr>
          <w:rFonts w:hint="eastAsia"/>
          <w:lang w:val="en-GB"/>
        </w:rPr>
        <w:t>总共为发展目的划拨了</w:t>
      </w:r>
      <w:r w:rsidR="006E1330">
        <w:rPr>
          <w:lang w:val="en-GB"/>
        </w:rPr>
        <w:t>8,</w:t>
      </w:r>
      <w:r w:rsidRPr="00E112CD">
        <w:rPr>
          <w:lang w:val="en-GB"/>
        </w:rPr>
        <w:t>064</w:t>
      </w:r>
      <w:r w:rsidRPr="00E112CD">
        <w:rPr>
          <w:rFonts w:hint="eastAsia"/>
          <w:lang w:val="en-GB"/>
        </w:rPr>
        <w:t>万美元</w:t>
      </w:r>
      <w:r w:rsidR="006E1330">
        <w:rPr>
          <w:lang w:val="en-GB"/>
        </w:rPr>
        <w:t>(2.</w:t>
      </w:r>
      <w:r w:rsidRPr="00E112CD">
        <w:rPr>
          <w:lang w:val="en-GB"/>
        </w:rPr>
        <w:t>5</w:t>
      </w:r>
      <w:r w:rsidRPr="00E112CD">
        <w:rPr>
          <w:rFonts w:hint="eastAsia"/>
          <w:lang w:val="en-GB"/>
        </w:rPr>
        <w:t>亿林吉特</w:t>
      </w:r>
      <w:r w:rsidR="006E1330">
        <w:rPr>
          <w:lang w:val="en-GB"/>
        </w:rPr>
        <w:t>)</w:t>
      </w:r>
      <w:r w:rsidRPr="00E112CD">
        <w:rPr>
          <w:rFonts w:hint="eastAsia"/>
          <w:lang w:val="en-GB"/>
        </w:rPr>
        <w:t>的款项</w:t>
      </w:r>
      <w:r w:rsidR="006E1330">
        <w:rPr>
          <w:rFonts w:hint="eastAsia"/>
          <w:lang w:val="en-GB"/>
        </w:rPr>
        <w:t>，</w:t>
      </w:r>
      <w:r w:rsidRPr="00E112CD">
        <w:rPr>
          <w:lang w:val="en-GB"/>
        </w:rPr>
        <w:t>30</w:t>
      </w:r>
      <w:r w:rsidRPr="00E112CD">
        <w:rPr>
          <w:rFonts w:hint="eastAsia"/>
          <w:lang w:val="en-GB"/>
        </w:rPr>
        <w:t>所有宗教附属关系的学校、</w:t>
      </w:r>
      <w:r w:rsidRPr="00E112CD">
        <w:rPr>
          <w:lang w:val="en-GB"/>
        </w:rPr>
        <w:t>228</w:t>
      </w:r>
      <w:r w:rsidRPr="00E112CD">
        <w:rPr>
          <w:rFonts w:hint="eastAsia"/>
          <w:lang w:val="en-GB"/>
        </w:rPr>
        <w:t>所汉语国民型学校、</w:t>
      </w:r>
      <w:r w:rsidRPr="00E112CD">
        <w:rPr>
          <w:lang w:val="en-GB"/>
        </w:rPr>
        <w:t>59</w:t>
      </w:r>
      <w:r w:rsidRPr="00E112CD">
        <w:rPr>
          <w:rFonts w:hint="eastAsia"/>
          <w:lang w:val="en-GB"/>
        </w:rPr>
        <w:t>所泰米尔国民型学校、</w:t>
      </w:r>
      <w:r w:rsidRPr="00E112CD">
        <w:rPr>
          <w:lang w:val="en-GB"/>
        </w:rPr>
        <w:t>135</w:t>
      </w:r>
      <w:r w:rsidRPr="00E112CD">
        <w:rPr>
          <w:rFonts w:hint="eastAsia"/>
          <w:lang w:val="en-GB"/>
        </w:rPr>
        <w:t>所教会学校及</w:t>
      </w:r>
      <w:r w:rsidRPr="00E112CD">
        <w:rPr>
          <w:lang w:val="en-GB"/>
        </w:rPr>
        <w:t>580</w:t>
      </w:r>
      <w:r w:rsidRPr="00E112CD">
        <w:rPr>
          <w:rFonts w:hint="eastAsia"/>
          <w:lang w:val="en-GB"/>
        </w:rPr>
        <w:t>所政府资助的学校从中受益。政府还向</w:t>
      </w:r>
      <w:r w:rsidRPr="00E112CD">
        <w:rPr>
          <w:lang w:val="en-GB"/>
        </w:rPr>
        <w:t>18</w:t>
      </w:r>
      <w:r w:rsidRPr="00E112CD">
        <w:rPr>
          <w:rFonts w:hint="eastAsia"/>
          <w:lang w:val="en-GB"/>
        </w:rPr>
        <w:t>所小学和</w:t>
      </w:r>
      <w:r w:rsidRPr="00E112CD">
        <w:rPr>
          <w:lang w:val="en-GB"/>
        </w:rPr>
        <w:t>140</w:t>
      </w:r>
      <w:r w:rsidRPr="00E112CD">
        <w:rPr>
          <w:rFonts w:hint="eastAsia"/>
          <w:lang w:val="en-GB"/>
        </w:rPr>
        <w:t>所中级人民宗教学校捐赠了</w:t>
      </w:r>
      <w:r w:rsidR="006E1330">
        <w:rPr>
          <w:lang w:val="en-GB"/>
        </w:rPr>
        <w:t>3,</w:t>
      </w:r>
      <w:r w:rsidRPr="00E112CD">
        <w:rPr>
          <w:lang w:val="en-GB"/>
        </w:rPr>
        <w:t>066</w:t>
      </w:r>
      <w:r w:rsidRPr="00E112CD">
        <w:rPr>
          <w:rFonts w:hint="eastAsia"/>
          <w:lang w:val="en-GB"/>
        </w:rPr>
        <w:t>万美元</w:t>
      </w:r>
      <w:r w:rsidR="006E1330">
        <w:rPr>
          <w:lang w:val="en-GB"/>
        </w:rPr>
        <w:t>(9,</w:t>
      </w:r>
      <w:r w:rsidRPr="00E112CD">
        <w:rPr>
          <w:lang w:val="en-GB"/>
        </w:rPr>
        <w:t>500</w:t>
      </w:r>
      <w:r w:rsidRPr="00E112CD">
        <w:rPr>
          <w:rFonts w:hint="eastAsia"/>
          <w:lang w:val="en-GB"/>
        </w:rPr>
        <w:t>万林吉特</w:t>
      </w:r>
      <w:r w:rsidR="006E1330">
        <w:rPr>
          <w:lang w:val="en-GB"/>
        </w:rPr>
        <w:t>)</w:t>
      </w:r>
      <w:r w:rsidRPr="00E112CD">
        <w:rPr>
          <w:rFonts w:hint="eastAsia"/>
          <w:lang w:val="en-GB"/>
        </w:rPr>
        <w:t>。通过实施各种方案</w:t>
      </w:r>
      <w:r w:rsidR="006E1330">
        <w:rPr>
          <w:rFonts w:hint="eastAsia"/>
          <w:lang w:val="en-GB"/>
        </w:rPr>
        <w:t>，</w:t>
      </w:r>
      <w:r w:rsidRPr="00E112CD">
        <w:rPr>
          <w:rFonts w:hint="eastAsia"/>
          <w:lang w:val="en-GB"/>
        </w:rPr>
        <w:t>包括实施“识字和计算技能筛选”和</w:t>
      </w:r>
      <w:r w:rsidRPr="00E112CD">
        <w:rPr>
          <w:lang w:val="en-GB"/>
        </w:rPr>
        <w:t>3M</w:t>
      </w:r>
      <w:r w:rsidRPr="00E112CD">
        <w:rPr>
          <w:rFonts w:hint="eastAsia"/>
          <w:lang w:val="en-GB"/>
        </w:rPr>
        <w:t>补习方案</w:t>
      </w:r>
      <w:r w:rsidR="006E1330">
        <w:rPr>
          <w:rFonts w:hint="eastAsia"/>
          <w:lang w:val="en-GB"/>
        </w:rPr>
        <w:t>(</w:t>
      </w:r>
      <w:r w:rsidRPr="00E112CD">
        <w:rPr>
          <w:rFonts w:hint="eastAsia"/>
          <w:lang w:val="en-GB"/>
        </w:rPr>
        <w:t>其重点是没有掌握阅读、写作和计算基本技能的学生</w:t>
      </w:r>
      <w:r w:rsidR="006E1330">
        <w:rPr>
          <w:rFonts w:hint="eastAsia"/>
          <w:lang w:val="en-GB"/>
        </w:rPr>
        <w:t>)</w:t>
      </w:r>
      <w:r w:rsidR="006E1330">
        <w:rPr>
          <w:rFonts w:hint="eastAsia"/>
          <w:lang w:val="en-GB"/>
        </w:rPr>
        <w:t>，</w:t>
      </w:r>
      <w:r w:rsidRPr="00E112CD">
        <w:rPr>
          <w:rFonts w:hint="eastAsia"/>
          <w:lang w:val="en-GB"/>
        </w:rPr>
        <w:t>增强了学生的基本识字和计算技能。</w:t>
      </w:r>
      <w:r w:rsidRPr="00E112CD">
        <w:rPr>
          <w:lang w:val="en-GB"/>
        </w:rPr>
        <w:t>2011</w:t>
      </w:r>
      <w:r w:rsidRPr="00E112CD">
        <w:rPr>
          <w:rFonts w:hint="eastAsia"/>
          <w:lang w:val="en-GB"/>
        </w:rPr>
        <w:t>年</w:t>
      </w:r>
      <w:r w:rsidR="006E1330">
        <w:rPr>
          <w:rFonts w:hint="eastAsia"/>
          <w:lang w:val="en-GB"/>
        </w:rPr>
        <w:t>，</w:t>
      </w:r>
      <w:r w:rsidRPr="00E112CD">
        <w:rPr>
          <w:rFonts w:hint="eastAsia"/>
          <w:lang w:val="en-GB"/>
        </w:rPr>
        <w:t>为提高学生的英语水平</w:t>
      </w:r>
      <w:r w:rsidR="006E1330">
        <w:rPr>
          <w:rFonts w:hint="eastAsia"/>
          <w:lang w:val="en-GB"/>
        </w:rPr>
        <w:t>，</w:t>
      </w:r>
      <w:r w:rsidRPr="00E112CD">
        <w:rPr>
          <w:rFonts w:hint="eastAsia"/>
          <w:lang w:val="en-GB"/>
        </w:rPr>
        <w:t>总共聘请了</w:t>
      </w:r>
      <w:r w:rsidRPr="00E112CD">
        <w:rPr>
          <w:lang w:val="en-GB"/>
        </w:rPr>
        <w:t>325</w:t>
      </w:r>
      <w:r w:rsidRPr="00E112CD">
        <w:rPr>
          <w:rFonts w:hint="eastAsia"/>
          <w:lang w:val="en-GB"/>
        </w:rPr>
        <w:t>名外籍英语教师。</w:t>
      </w:r>
    </w:p>
    <w:p w:rsidR="00E112CD" w:rsidRPr="00E112CD" w:rsidRDefault="00E112CD" w:rsidP="00E112CD">
      <w:pPr>
        <w:pStyle w:val="SingleTxtGC"/>
        <w:rPr>
          <w:lang w:val="en-GB"/>
        </w:rPr>
      </w:pPr>
      <w:r w:rsidRPr="00E112CD">
        <w:rPr>
          <w:lang w:val="en-GB"/>
        </w:rPr>
        <w:t>1</w:t>
      </w:r>
      <w:r w:rsidR="006E1330">
        <w:rPr>
          <w:lang w:val="en-GB"/>
        </w:rPr>
        <w:t>4.</w:t>
      </w:r>
      <w:r w:rsidR="005962CC">
        <w:rPr>
          <w:rFonts w:hint="eastAsia"/>
          <w:lang w:val="en-GB"/>
        </w:rPr>
        <w:t xml:space="preserve">  </w:t>
      </w:r>
      <w:r w:rsidRPr="00E112CD">
        <w:rPr>
          <w:rFonts w:hint="eastAsia"/>
          <w:lang w:val="en-GB"/>
        </w:rPr>
        <w:t>为了实现所有儿童从学前到高中</w:t>
      </w:r>
      <w:r w:rsidR="006E1330">
        <w:rPr>
          <w:lang w:val="en-GB"/>
        </w:rPr>
        <w:t>(</w:t>
      </w:r>
      <w:r w:rsidRPr="00E112CD">
        <w:rPr>
          <w:rFonts w:hint="eastAsia"/>
          <w:lang w:val="en-GB"/>
        </w:rPr>
        <w:t>五年级</w:t>
      </w:r>
      <w:r w:rsidR="006E1330">
        <w:rPr>
          <w:lang w:val="en-GB"/>
        </w:rPr>
        <w:t>)</w:t>
      </w:r>
      <w:r w:rsidRPr="00E112CD">
        <w:rPr>
          <w:rFonts w:hint="eastAsia"/>
          <w:lang w:val="en-GB"/>
        </w:rPr>
        <w:t>全部入学</w:t>
      </w:r>
      <w:r w:rsidR="006E1330">
        <w:rPr>
          <w:rFonts w:hint="eastAsia"/>
          <w:lang w:val="en-GB"/>
        </w:rPr>
        <w:t>，</w:t>
      </w:r>
      <w:r w:rsidRPr="00E112CD">
        <w:rPr>
          <w:rFonts w:hint="eastAsia"/>
          <w:lang w:val="en-GB"/>
        </w:rPr>
        <w:t>将重点放在儿童早期教育和基础教育上。儿童早期教育对于儿童的心智发展起着至关重要的作用</w:t>
      </w:r>
      <w:r w:rsidR="006E1330">
        <w:rPr>
          <w:rFonts w:hint="eastAsia"/>
          <w:lang w:val="en-GB"/>
        </w:rPr>
        <w:t>，</w:t>
      </w:r>
      <w:r w:rsidRPr="00E112CD">
        <w:rPr>
          <w:rFonts w:hint="eastAsia"/>
          <w:lang w:val="en-GB"/>
        </w:rPr>
        <w:t>为小学教育提供一个良好的开端。为此</w:t>
      </w:r>
      <w:r w:rsidR="006E1330">
        <w:rPr>
          <w:rFonts w:hint="eastAsia"/>
          <w:lang w:val="en-GB"/>
        </w:rPr>
        <w:t>，</w:t>
      </w:r>
      <w:r w:rsidRPr="00E112CD">
        <w:rPr>
          <w:rFonts w:hint="eastAsia"/>
          <w:lang w:val="en-GB"/>
        </w:rPr>
        <w:t>在马来西亚建立了</w:t>
      </w:r>
      <w:r w:rsidR="006E1330">
        <w:rPr>
          <w:lang w:val="en-GB"/>
        </w:rPr>
        <w:t>5,</w:t>
      </w:r>
      <w:r w:rsidRPr="00E112CD">
        <w:rPr>
          <w:lang w:val="en-GB"/>
        </w:rPr>
        <w:t>984</w:t>
      </w:r>
      <w:r w:rsidRPr="00E112CD">
        <w:rPr>
          <w:rFonts w:hint="eastAsia"/>
          <w:lang w:val="en-GB"/>
        </w:rPr>
        <w:t>所学前学校。在学前教育之后</w:t>
      </w:r>
      <w:r w:rsidR="006E1330">
        <w:rPr>
          <w:rFonts w:hint="eastAsia"/>
          <w:lang w:val="en-GB"/>
        </w:rPr>
        <w:t>，</w:t>
      </w:r>
      <w:r w:rsidRPr="00E112CD">
        <w:rPr>
          <w:rFonts w:hint="eastAsia"/>
          <w:lang w:val="en-GB"/>
        </w:rPr>
        <w:t>马来西亚的国家教育制度提供</w:t>
      </w:r>
      <w:r w:rsidRPr="00E112CD">
        <w:rPr>
          <w:lang w:val="en-GB"/>
        </w:rPr>
        <w:t>11</w:t>
      </w:r>
      <w:r w:rsidRPr="00E112CD">
        <w:rPr>
          <w:rFonts w:hint="eastAsia"/>
          <w:lang w:val="en-GB"/>
        </w:rPr>
        <w:t>年的基础教育</w:t>
      </w:r>
      <w:r w:rsidR="006E1330">
        <w:rPr>
          <w:rFonts w:hint="eastAsia"/>
          <w:lang w:val="en-GB"/>
        </w:rPr>
        <w:t>，</w:t>
      </w:r>
      <w:r w:rsidRPr="00E112CD">
        <w:rPr>
          <w:rFonts w:hint="eastAsia"/>
          <w:lang w:val="en-GB"/>
        </w:rPr>
        <w:t>即六年义务小学教育、三年初中教育及两年高中教育。提供初级和中级教育的目的是</w:t>
      </w:r>
      <w:r w:rsidR="006E1330">
        <w:rPr>
          <w:rFonts w:hint="eastAsia"/>
          <w:lang w:val="en-GB"/>
        </w:rPr>
        <w:t>，</w:t>
      </w:r>
      <w:r w:rsidRPr="00E112CD">
        <w:rPr>
          <w:rFonts w:hint="eastAsia"/>
          <w:lang w:val="en-GB"/>
        </w:rPr>
        <w:t>创造一个团结的、遵守纪律的、有知识的及技术熟练的马来西亚社会。根据共同的课程对国家教育系统中的男童和女童进行教育</w:t>
      </w:r>
      <w:r w:rsidR="006E1330">
        <w:rPr>
          <w:rFonts w:hint="eastAsia"/>
          <w:lang w:val="en-GB"/>
        </w:rPr>
        <w:t>，</w:t>
      </w:r>
      <w:r w:rsidRPr="00E112CD">
        <w:rPr>
          <w:rFonts w:hint="eastAsia"/>
          <w:lang w:val="en-GB"/>
        </w:rPr>
        <w:t>通过标准化的国家考试进行评定。</w:t>
      </w:r>
    </w:p>
    <w:p w:rsidR="00E112CD" w:rsidRPr="00E112CD" w:rsidRDefault="00E112CD" w:rsidP="00E112CD">
      <w:pPr>
        <w:pStyle w:val="SingleTxtGC"/>
        <w:rPr>
          <w:lang w:val="en-GB"/>
        </w:rPr>
      </w:pPr>
      <w:r w:rsidRPr="00E112CD">
        <w:rPr>
          <w:lang w:val="en-GB"/>
        </w:rPr>
        <w:t>1</w:t>
      </w:r>
      <w:r w:rsidR="006E1330">
        <w:rPr>
          <w:lang w:val="en-GB"/>
        </w:rPr>
        <w:t>5.</w:t>
      </w:r>
      <w:r w:rsidR="005962CC">
        <w:rPr>
          <w:rFonts w:hint="eastAsia"/>
          <w:lang w:val="en-GB"/>
        </w:rPr>
        <w:t xml:space="preserve">  </w:t>
      </w:r>
      <w:r w:rsidRPr="00E112CD">
        <w:rPr>
          <w:rFonts w:hint="eastAsia"/>
          <w:lang w:val="en-GB"/>
        </w:rPr>
        <w:t>在</w:t>
      </w:r>
      <w:r w:rsidRPr="00E112CD">
        <w:rPr>
          <w:lang w:val="en-GB"/>
        </w:rPr>
        <w:t>2001</w:t>
      </w:r>
      <w:r w:rsidRPr="00E112CD">
        <w:rPr>
          <w:rFonts w:hint="eastAsia"/>
          <w:lang w:val="en-GB"/>
        </w:rPr>
        <w:t>至</w:t>
      </w:r>
      <w:r w:rsidRPr="00E112CD">
        <w:rPr>
          <w:lang w:val="en-GB"/>
        </w:rPr>
        <w:t>2014</w:t>
      </w:r>
      <w:r w:rsidRPr="00E112CD">
        <w:rPr>
          <w:rFonts w:hint="eastAsia"/>
          <w:lang w:val="en-GB"/>
        </w:rPr>
        <w:t>年期间</w:t>
      </w:r>
      <w:r w:rsidR="006E1330">
        <w:rPr>
          <w:rFonts w:hint="eastAsia"/>
          <w:lang w:val="en-GB"/>
        </w:rPr>
        <w:t>，</w:t>
      </w:r>
      <w:r w:rsidRPr="00E112CD">
        <w:rPr>
          <w:rFonts w:hint="eastAsia"/>
          <w:lang w:val="en-GB"/>
        </w:rPr>
        <w:t>学校录取的学生人数增加。因此</w:t>
      </w:r>
      <w:r w:rsidR="006E1330">
        <w:rPr>
          <w:rFonts w:hint="eastAsia"/>
          <w:lang w:val="en-GB"/>
        </w:rPr>
        <w:t>，</w:t>
      </w:r>
      <w:r w:rsidRPr="00E112CD">
        <w:rPr>
          <w:rFonts w:hint="eastAsia"/>
          <w:lang w:val="en-GB"/>
        </w:rPr>
        <w:t>学校数量从</w:t>
      </w:r>
      <w:r w:rsidRPr="00E112CD">
        <w:rPr>
          <w:lang w:val="en-GB"/>
        </w:rPr>
        <w:t>2001</w:t>
      </w:r>
      <w:r w:rsidRPr="00E112CD">
        <w:rPr>
          <w:rFonts w:hint="eastAsia"/>
          <w:lang w:val="en-GB"/>
        </w:rPr>
        <w:t>年的</w:t>
      </w:r>
      <w:r w:rsidR="006E1330">
        <w:rPr>
          <w:lang w:val="en-GB"/>
        </w:rPr>
        <w:t>9,</w:t>
      </w:r>
      <w:r w:rsidRPr="00E112CD">
        <w:rPr>
          <w:lang w:val="en-GB"/>
        </w:rPr>
        <w:t>052</w:t>
      </w:r>
      <w:r w:rsidRPr="00E112CD">
        <w:rPr>
          <w:rFonts w:hint="eastAsia"/>
          <w:lang w:val="en-GB"/>
        </w:rPr>
        <w:t>所增至</w:t>
      </w:r>
      <w:r w:rsidRPr="00E112CD">
        <w:rPr>
          <w:lang w:val="en-GB"/>
        </w:rPr>
        <w:t>2014</w:t>
      </w:r>
      <w:r w:rsidRPr="00E112CD">
        <w:rPr>
          <w:rFonts w:hint="eastAsia"/>
          <w:lang w:val="en-GB"/>
        </w:rPr>
        <w:t>年的</w:t>
      </w:r>
      <w:r w:rsidRPr="00E112CD">
        <w:rPr>
          <w:lang w:val="en-GB"/>
        </w:rPr>
        <w:t>1</w:t>
      </w:r>
      <w:r w:rsidR="006E1330">
        <w:rPr>
          <w:lang w:val="en-GB"/>
        </w:rPr>
        <w:t>0,</w:t>
      </w:r>
      <w:r w:rsidRPr="00E112CD">
        <w:rPr>
          <w:lang w:val="en-GB"/>
        </w:rPr>
        <w:t>134</w:t>
      </w:r>
      <w:r w:rsidRPr="00E112CD">
        <w:rPr>
          <w:rFonts w:hint="eastAsia"/>
          <w:lang w:val="en-GB"/>
        </w:rPr>
        <w:t>所。</w:t>
      </w:r>
      <w:r w:rsidRPr="00E112CD">
        <w:rPr>
          <w:lang w:val="en-GB"/>
        </w:rPr>
        <w:t>2014</w:t>
      </w:r>
      <w:r w:rsidRPr="00E112CD">
        <w:rPr>
          <w:rFonts w:hint="eastAsia"/>
          <w:lang w:val="en-GB"/>
        </w:rPr>
        <w:t>年</w:t>
      </w:r>
      <w:r w:rsidR="006E1330">
        <w:rPr>
          <w:rFonts w:hint="eastAsia"/>
          <w:lang w:val="en-GB"/>
        </w:rPr>
        <w:t>，</w:t>
      </w:r>
      <w:r w:rsidRPr="00E112CD">
        <w:rPr>
          <w:rFonts w:hint="eastAsia"/>
          <w:lang w:val="en-GB"/>
        </w:rPr>
        <w:t>在全国</w:t>
      </w:r>
      <w:r w:rsidR="006E1330">
        <w:rPr>
          <w:lang w:val="en-GB"/>
        </w:rPr>
        <w:t>7,</w:t>
      </w:r>
      <w:r w:rsidRPr="00E112CD">
        <w:rPr>
          <w:lang w:val="en-GB"/>
        </w:rPr>
        <w:t>758</w:t>
      </w:r>
      <w:r w:rsidRPr="00E112CD">
        <w:rPr>
          <w:rFonts w:hint="eastAsia"/>
          <w:lang w:val="en-GB"/>
        </w:rPr>
        <w:t>所公立小学中</w:t>
      </w:r>
      <w:r w:rsidR="006E1330">
        <w:rPr>
          <w:rFonts w:hint="eastAsia"/>
          <w:lang w:val="en-GB"/>
        </w:rPr>
        <w:t>，</w:t>
      </w:r>
      <w:r w:rsidRPr="00E112CD">
        <w:rPr>
          <w:lang w:val="en-GB"/>
        </w:rPr>
        <w:t>7</w:t>
      </w:r>
      <w:r w:rsidR="006E1330">
        <w:rPr>
          <w:lang w:val="en-GB"/>
        </w:rPr>
        <w:t>2.</w:t>
      </w:r>
      <w:r w:rsidRPr="00E112CD">
        <w:rPr>
          <w:lang w:val="en-GB"/>
        </w:rPr>
        <w:t>9</w:t>
      </w:r>
      <w:r w:rsidR="006E1330">
        <w:rPr>
          <w:lang w:val="en-GB"/>
        </w:rPr>
        <w:t>%</w:t>
      </w:r>
      <w:r w:rsidRPr="00E112CD">
        <w:rPr>
          <w:rFonts w:hint="eastAsia"/>
          <w:lang w:val="en-GB"/>
        </w:rPr>
        <w:t>的学校是在农村地区</w:t>
      </w:r>
      <w:r w:rsidR="006E1330">
        <w:rPr>
          <w:rFonts w:hint="eastAsia"/>
          <w:lang w:val="en-GB"/>
        </w:rPr>
        <w:t>；</w:t>
      </w:r>
      <w:r w:rsidRPr="00E112CD">
        <w:rPr>
          <w:rFonts w:hint="eastAsia"/>
          <w:lang w:val="en-GB"/>
        </w:rPr>
        <w:t>在</w:t>
      </w:r>
      <w:r w:rsidR="006E1330">
        <w:rPr>
          <w:lang w:val="en-GB"/>
        </w:rPr>
        <w:t>2,</w:t>
      </w:r>
      <w:r w:rsidRPr="00E112CD">
        <w:rPr>
          <w:lang w:val="en-GB"/>
        </w:rPr>
        <w:t>376</w:t>
      </w:r>
      <w:r w:rsidRPr="00E112CD">
        <w:rPr>
          <w:rFonts w:hint="eastAsia"/>
          <w:lang w:val="en-GB"/>
        </w:rPr>
        <w:t>所公立中学中</w:t>
      </w:r>
      <w:r w:rsidR="006E1330">
        <w:rPr>
          <w:rFonts w:hint="eastAsia"/>
          <w:lang w:val="en-GB"/>
        </w:rPr>
        <w:t>，</w:t>
      </w:r>
      <w:r w:rsidRPr="00E112CD">
        <w:rPr>
          <w:lang w:val="en-GB"/>
        </w:rPr>
        <w:t>5</w:t>
      </w:r>
      <w:r w:rsidR="006E1330">
        <w:rPr>
          <w:lang w:val="en-GB"/>
        </w:rPr>
        <w:t>0.</w:t>
      </w:r>
      <w:r w:rsidRPr="00E112CD">
        <w:rPr>
          <w:lang w:val="en-GB"/>
        </w:rPr>
        <w:t>3</w:t>
      </w:r>
      <w:r w:rsidR="006E1330">
        <w:rPr>
          <w:lang w:val="en-GB"/>
        </w:rPr>
        <w:t>%</w:t>
      </w:r>
      <w:r w:rsidRPr="00E112CD">
        <w:rPr>
          <w:rFonts w:hint="eastAsia"/>
          <w:lang w:val="en-GB"/>
        </w:rPr>
        <w:t>的学校在农村地区。大多数私立中小学在城市地区。附件中的表</w:t>
      </w:r>
      <w:r w:rsidRPr="00E112CD">
        <w:rPr>
          <w:lang w:val="en-GB"/>
        </w:rPr>
        <w:t>5</w:t>
      </w:r>
      <w:r w:rsidRPr="00E112CD">
        <w:rPr>
          <w:rFonts w:hint="eastAsia"/>
          <w:lang w:val="en-GB"/>
        </w:rPr>
        <w:t>显示</w:t>
      </w:r>
      <w:r w:rsidRPr="00E112CD">
        <w:rPr>
          <w:lang w:val="en-GB"/>
        </w:rPr>
        <w:t>2001</w:t>
      </w:r>
      <w:r w:rsidRPr="00E112CD">
        <w:rPr>
          <w:rFonts w:hint="eastAsia"/>
          <w:lang w:val="en-GB"/>
        </w:rPr>
        <w:t>至</w:t>
      </w:r>
      <w:r w:rsidRPr="00E112CD">
        <w:rPr>
          <w:lang w:val="en-GB"/>
        </w:rPr>
        <w:t>2014</w:t>
      </w:r>
      <w:r w:rsidRPr="00E112CD">
        <w:rPr>
          <w:rFonts w:hint="eastAsia"/>
          <w:lang w:val="en-GB"/>
        </w:rPr>
        <w:t>年期间提供初级和中级教育的公立学校和私立学校数量。</w:t>
      </w:r>
    </w:p>
    <w:p w:rsidR="00E112CD" w:rsidRPr="00E112CD" w:rsidRDefault="00E112CD" w:rsidP="00E112CD">
      <w:pPr>
        <w:pStyle w:val="SingleTxtGC"/>
        <w:rPr>
          <w:lang w:val="en-GB"/>
        </w:rPr>
      </w:pPr>
      <w:r w:rsidRPr="00E112CD">
        <w:rPr>
          <w:lang w:val="en-GB"/>
        </w:rPr>
        <w:t>1</w:t>
      </w:r>
      <w:r w:rsidR="006E1330">
        <w:rPr>
          <w:lang w:val="en-GB"/>
        </w:rPr>
        <w:t>6.</w:t>
      </w:r>
      <w:r w:rsidR="005962CC">
        <w:rPr>
          <w:rFonts w:hint="eastAsia"/>
          <w:lang w:val="en-GB"/>
        </w:rPr>
        <w:t xml:space="preserve">  </w:t>
      </w:r>
      <w:r w:rsidRPr="00E112CD">
        <w:rPr>
          <w:rFonts w:hint="eastAsia"/>
          <w:lang w:val="en-GB"/>
        </w:rPr>
        <w:t>随着中小学录取学生人数增加</w:t>
      </w:r>
      <w:r w:rsidR="006E1330">
        <w:rPr>
          <w:rFonts w:hint="eastAsia"/>
          <w:lang w:val="en-GB"/>
        </w:rPr>
        <w:t>，</w:t>
      </w:r>
      <w:r w:rsidRPr="00E112CD">
        <w:rPr>
          <w:rFonts w:hint="eastAsia"/>
          <w:lang w:val="en-GB"/>
        </w:rPr>
        <w:t>在中小学两级就学率相应地增加。</w:t>
      </w:r>
      <w:r w:rsidRPr="00E112CD">
        <w:rPr>
          <w:lang w:val="en-GB"/>
        </w:rPr>
        <w:t>2001</w:t>
      </w:r>
      <w:r w:rsidRPr="00E112CD">
        <w:rPr>
          <w:rFonts w:hint="eastAsia"/>
          <w:lang w:val="en-GB"/>
        </w:rPr>
        <w:t>年</w:t>
      </w:r>
      <w:r w:rsidR="006E1330">
        <w:rPr>
          <w:rFonts w:hint="eastAsia"/>
          <w:lang w:val="en-GB"/>
        </w:rPr>
        <w:t>，</w:t>
      </w:r>
      <w:r w:rsidRPr="00E112CD">
        <w:rPr>
          <w:rFonts w:hint="eastAsia"/>
          <w:lang w:val="en-GB"/>
        </w:rPr>
        <w:t>马来西亚儿童在公立和私立小学的就学率为</w:t>
      </w:r>
      <w:r w:rsidRPr="00E112CD">
        <w:rPr>
          <w:lang w:val="en-GB"/>
        </w:rPr>
        <w:t>9</w:t>
      </w:r>
      <w:r w:rsidR="006E1330">
        <w:rPr>
          <w:lang w:val="en-GB"/>
        </w:rPr>
        <w:t>2.</w:t>
      </w:r>
      <w:r w:rsidRPr="00E112CD">
        <w:rPr>
          <w:lang w:val="en-GB"/>
        </w:rPr>
        <w:t>2</w:t>
      </w:r>
      <w:r w:rsidR="006E1330">
        <w:rPr>
          <w:lang w:val="en-GB"/>
        </w:rPr>
        <w:t>%</w:t>
      </w:r>
      <w:r w:rsidR="006E1330">
        <w:rPr>
          <w:rFonts w:hint="eastAsia"/>
          <w:lang w:val="en-GB"/>
        </w:rPr>
        <w:t>；</w:t>
      </w:r>
      <w:r w:rsidRPr="00E112CD">
        <w:rPr>
          <w:lang w:val="en-GB"/>
        </w:rPr>
        <w:t>2014</w:t>
      </w:r>
      <w:r w:rsidRPr="00E112CD">
        <w:rPr>
          <w:rFonts w:hint="eastAsia"/>
          <w:lang w:val="en-GB"/>
        </w:rPr>
        <w:t>年</w:t>
      </w:r>
      <w:r w:rsidR="006E1330">
        <w:rPr>
          <w:rFonts w:hint="eastAsia"/>
          <w:lang w:val="en-GB"/>
        </w:rPr>
        <w:t>，</w:t>
      </w:r>
      <w:r w:rsidRPr="00E112CD">
        <w:rPr>
          <w:rFonts w:hint="eastAsia"/>
          <w:lang w:val="en-GB"/>
        </w:rPr>
        <w:t>就学率升至</w:t>
      </w:r>
      <w:r w:rsidRPr="00E112CD">
        <w:rPr>
          <w:lang w:val="en-GB"/>
        </w:rPr>
        <w:t>9</w:t>
      </w:r>
      <w:r w:rsidR="006E1330">
        <w:rPr>
          <w:lang w:val="en-GB"/>
        </w:rPr>
        <w:t>7.</w:t>
      </w:r>
      <w:r w:rsidRPr="00E112CD">
        <w:rPr>
          <w:lang w:val="en-GB"/>
        </w:rPr>
        <w:t>9</w:t>
      </w:r>
      <w:r w:rsidR="006E1330">
        <w:rPr>
          <w:lang w:val="en-GB"/>
        </w:rPr>
        <w:t>%</w:t>
      </w:r>
      <w:r w:rsidRPr="00E112CD">
        <w:rPr>
          <w:rFonts w:hint="eastAsia"/>
          <w:lang w:val="en-GB"/>
        </w:rPr>
        <w:t>。</w:t>
      </w:r>
    </w:p>
    <w:p w:rsidR="00E112CD" w:rsidRPr="00E112CD" w:rsidRDefault="00E112CD" w:rsidP="00E112CD">
      <w:pPr>
        <w:pStyle w:val="SingleTxtGC"/>
        <w:rPr>
          <w:lang w:val="en-GB"/>
        </w:rPr>
      </w:pPr>
      <w:r w:rsidRPr="00E112CD">
        <w:rPr>
          <w:lang w:val="en-GB"/>
        </w:rPr>
        <w:t>1</w:t>
      </w:r>
      <w:r w:rsidR="006E1330">
        <w:rPr>
          <w:lang w:val="en-GB"/>
        </w:rPr>
        <w:t>7.</w:t>
      </w:r>
      <w:r w:rsidR="005962CC">
        <w:rPr>
          <w:rFonts w:hint="eastAsia"/>
          <w:lang w:val="en-GB"/>
        </w:rPr>
        <w:t xml:space="preserve">  </w:t>
      </w:r>
      <w:r w:rsidRPr="00E112CD">
        <w:rPr>
          <w:rFonts w:hint="eastAsia"/>
          <w:lang w:val="en-GB"/>
        </w:rPr>
        <w:t>政府认识到</w:t>
      </w:r>
      <w:r w:rsidR="006E1330">
        <w:rPr>
          <w:rFonts w:hint="eastAsia"/>
          <w:lang w:val="en-GB"/>
        </w:rPr>
        <w:t>，</w:t>
      </w:r>
      <w:r w:rsidRPr="00E112CD">
        <w:rPr>
          <w:rFonts w:hint="eastAsia"/>
          <w:lang w:val="en-GB"/>
        </w:rPr>
        <w:t>向诸如有视力和听力残疾或学习困难或任何多重残疾或残疾和困难的有特殊需求的儿童等弱势群体提供特别支助</w:t>
      </w:r>
      <w:r w:rsidR="006E1330">
        <w:rPr>
          <w:rFonts w:hint="eastAsia"/>
          <w:lang w:val="en-GB"/>
        </w:rPr>
        <w:t>，</w:t>
      </w:r>
      <w:r w:rsidRPr="00E112CD">
        <w:rPr>
          <w:rFonts w:hint="eastAsia"/>
          <w:lang w:val="en-GB"/>
        </w:rPr>
        <w:t>对于确保普及教育也是重要的。截至</w:t>
      </w:r>
      <w:r w:rsidRPr="00E112CD">
        <w:rPr>
          <w:lang w:val="en-GB"/>
        </w:rPr>
        <w:t>2009</w:t>
      </w:r>
      <w:r w:rsidRPr="00E112CD">
        <w:rPr>
          <w:rFonts w:hint="eastAsia"/>
          <w:lang w:val="en-GB"/>
        </w:rPr>
        <w:t>年</w:t>
      </w:r>
      <w:r w:rsidR="006E1330">
        <w:rPr>
          <w:rFonts w:hint="eastAsia"/>
          <w:lang w:val="en-GB"/>
        </w:rPr>
        <w:t>，</w:t>
      </w:r>
      <w:r w:rsidRPr="00E112CD">
        <w:rPr>
          <w:rFonts w:hint="eastAsia"/>
          <w:lang w:val="en-GB"/>
        </w:rPr>
        <w:t>为有特别需求的学生开办了</w:t>
      </w:r>
      <w:r w:rsidRPr="00E112CD">
        <w:rPr>
          <w:lang w:val="en-GB"/>
        </w:rPr>
        <w:t>28</w:t>
      </w:r>
      <w:r w:rsidRPr="00E112CD">
        <w:rPr>
          <w:rFonts w:hint="eastAsia"/>
          <w:lang w:val="en-GB"/>
        </w:rPr>
        <w:t>所国家特别教育学校、</w:t>
      </w:r>
      <w:r w:rsidRPr="00E112CD">
        <w:rPr>
          <w:lang w:val="en-GB"/>
        </w:rPr>
        <w:t>4</w:t>
      </w:r>
      <w:r w:rsidRPr="00E112CD">
        <w:rPr>
          <w:rFonts w:hint="eastAsia"/>
          <w:lang w:val="en-GB"/>
        </w:rPr>
        <w:t>所特别教育中学及</w:t>
      </w:r>
      <w:r w:rsidRPr="00E112CD">
        <w:rPr>
          <w:lang w:val="en-GB"/>
        </w:rPr>
        <w:t>2</w:t>
      </w:r>
      <w:r w:rsidRPr="00E112CD">
        <w:rPr>
          <w:rFonts w:hint="eastAsia"/>
          <w:lang w:val="en-GB"/>
        </w:rPr>
        <w:t>所特别职业教育中学</w:t>
      </w:r>
      <w:r w:rsidR="006E1330">
        <w:rPr>
          <w:rFonts w:hint="eastAsia"/>
          <w:lang w:val="en-GB"/>
        </w:rPr>
        <w:t>，</w:t>
      </w:r>
      <w:r w:rsidRPr="00E112CD">
        <w:rPr>
          <w:rFonts w:hint="eastAsia"/>
          <w:lang w:val="en-GB"/>
        </w:rPr>
        <w:t>实施了</w:t>
      </w:r>
      <w:r w:rsidRPr="00E112CD">
        <w:rPr>
          <w:lang w:val="en-GB"/>
        </w:rPr>
        <w:t>32</w:t>
      </w:r>
      <w:r w:rsidRPr="00E112CD">
        <w:rPr>
          <w:rFonts w:hint="eastAsia"/>
          <w:lang w:val="en-GB"/>
        </w:rPr>
        <w:t>个特别综合教育项目。</w:t>
      </w:r>
    </w:p>
    <w:p w:rsidR="00E112CD" w:rsidRPr="00E112CD" w:rsidRDefault="00E112CD" w:rsidP="00E112CD">
      <w:pPr>
        <w:pStyle w:val="SingleTxtGC"/>
        <w:rPr>
          <w:lang w:val="en-GB"/>
        </w:rPr>
      </w:pPr>
      <w:r w:rsidRPr="00E112CD">
        <w:rPr>
          <w:lang w:val="en-GB"/>
        </w:rPr>
        <w:t>1</w:t>
      </w:r>
      <w:r w:rsidR="006E1330">
        <w:rPr>
          <w:lang w:val="en-GB"/>
        </w:rPr>
        <w:t>8.</w:t>
      </w:r>
      <w:r w:rsidR="005962CC">
        <w:rPr>
          <w:rFonts w:hint="eastAsia"/>
          <w:lang w:val="en-GB"/>
        </w:rPr>
        <w:t xml:space="preserve">  </w:t>
      </w:r>
      <w:r w:rsidRPr="00E112CD">
        <w:rPr>
          <w:lang w:val="en-GB"/>
        </w:rPr>
        <w:t>2004</w:t>
      </w:r>
      <w:r w:rsidRPr="00E112CD">
        <w:rPr>
          <w:rFonts w:hint="eastAsia"/>
          <w:lang w:val="en-GB"/>
        </w:rPr>
        <w:t>年</w:t>
      </w:r>
      <w:r w:rsidR="006E1330">
        <w:rPr>
          <w:rFonts w:hint="eastAsia"/>
          <w:lang w:val="en-GB"/>
        </w:rPr>
        <w:t>，</w:t>
      </w:r>
      <w:r w:rsidRPr="00E112CD">
        <w:rPr>
          <w:rFonts w:hint="eastAsia"/>
          <w:lang w:val="en-GB"/>
        </w:rPr>
        <w:t>教育部在国家所有特别教育学校实施了“特别学前教育方案”。</w:t>
      </w:r>
      <w:r w:rsidRPr="00E112CD">
        <w:rPr>
          <w:lang w:val="en-GB"/>
        </w:rPr>
        <w:t>2007</w:t>
      </w:r>
      <w:r w:rsidRPr="00E112CD">
        <w:rPr>
          <w:rFonts w:hint="eastAsia"/>
          <w:lang w:val="en-GB"/>
        </w:rPr>
        <w:t>年</w:t>
      </w:r>
      <w:r w:rsidR="006E1330">
        <w:rPr>
          <w:rFonts w:hint="eastAsia"/>
          <w:lang w:val="en-GB"/>
        </w:rPr>
        <w:t>，</w:t>
      </w:r>
      <w:r w:rsidRPr="00E112CD">
        <w:rPr>
          <w:rFonts w:hint="eastAsia"/>
          <w:lang w:val="en-GB"/>
        </w:rPr>
        <w:t>在普通学校开始为有学习困难的儿童实施</w:t>
      </w:r>
      <w:r w:rsidRPr="00E112CD">
        <w:rPr>
          <w:lang w:val="en-GB"/>
        </w:rPr>
        <w:t>32</w:t>
      </w:r>
      <w:r w:rsidRPr="00E112CD">
        <w:rPr>
          <w:rFonts w:hint="eastAsia"/>
          <w:lang w:val="en-GB"/>
        </w:rPr>
        <w:t>个“特别综合教育方案”。</w:t>
      </w:r>
      <w:r w:rsidRPr="00E112CD">
        <w:rPr>
          <w:lang w:val="en-GB"/>
        </w:rPr>
        <w:t>2008</w:t>
      </w:r>
      <w:r w:rsidRPr="00E112CD">
        <w:rPr>
          <w:rFonts w:hint="eastAsia"/>
          <w:lang w:val="en-GB"/>
        </w:rPr>
        <w:t>年</w:t>
      </w:r>
      <w:r w:rsidR="006E1330">
        <w:rPr>
          <w:rFonts w:hint="eastAsia"/>
          <w:lang w:val="en-GB"/>
        </w:rPr>
        <w:t>，</w:t>
      </w:r>
      <w:r w:rsidRPr="00E112CD">
        <w:rPr>
          <w:rFonts w:hint="eastAsia"/>
          <w:lang w:val="en-GB"/>
        </w:rPr>
        <w:t>教育部开始为有多重残疾的儿童提供特别需求教育</w:t>
      </w:r>
      <w:r w:rsidR="006E1330">
        <w:rPr>
          <w:rFonts w:hint="eastAsia"/>
          <w:lang w:val="en-GB"/>
        </w:rPr>
        <w:t>，</w:t>
      </w:r>
      <w:r w:rsidRPr="00E112CD">
        <w:rPr>
          <w:rFonts w:hint="eastAsia"/>
          <w:lang w:val="en-GB"/>
        </w:rPr>
        <w:t>而不是前几年只为有单一残疾的儿童实施方案。作为激励</w:t>
      </w:r>
      <w:r w:rsidR="006E1330">
        <w:rPr>
          <w:rFonts w:hint="eastAsia"/>
          <w:lang w:val="en-GB"/>
        </w:rPr>
        <w:t>，</w:t>
      </w:r>
      <w:r w:rsidRPr="00E112CD">
        <w:rPr>
          <w:rFonts w:hint="eastAsia"/>
          <w:lang w:val="en-GB"/>
        </w:rPr>
        <w:t>每月为特别教育学校教师提供</w:t>
      </w:r>
      <w:r w:rsidRPr="00E112CD">
        <w:rPr>
          <w:lang w:val="en-GB"/>
        </w:rPr>
        <w:t>75</w:t>
      </w:r>
      <w:r w:rsidRPr="00E112CD">
        <w:rPr>
          <w:rFonts w:hint="eastAsia"/>
          <w:lang w:val="en-GB"/>
        </w:rPr>
        <w:t>美元</w:t>
      </w:r>
      <w:r w:rsidR="006E1330">
        <w:rPr>
          <w:lang w:val="en-GB"/>
        </w:rPr>
        <w:t>(</w:t>
      </w:r>
      <w:r w:rsidRPr="00E112CD">
        <w:rPr>
          <w:lang w:val="en-GB"/>
        </w:rPr>
        <w:t>250</w:t>
      </w:r>
      <w:r w:rsidRPr="00E112CD">
        <w:rPr>
          <w:rFonts w:hint="eastAsia"/>
          <w:lang w:val="en-GB"/>
        </w:rPr>
        <w:t>林吉特</w:t>
      </w:r>
      <w:r w:rsidR="006E1330">
        <w:rPr>
          <w:lang w:val="en-GB"/>
        </w:rPr>
        <w:t>)</w:t>
      </w:r>
      <w:r w:rsidRPr="00E112CD">
        <w:rPr>
          <w:rFonts w:hint="eastAsia"/>
          <w:lang w:val="en-GB"/>
        </w:rPr>
        <w:t>的补贴。自</w:t>
      </w:r>
      <w:r w:rsidRPr="00E112CD">
        <w:rPr>
          <w:lang w:val="en-GB"/>
        </w:rPr>
        <w:t>2005</w:t>
      </w:r>
      <w:r w:rsidRPr="00E112CD">
        <w:rPr>
          <w:rFonts w:hint="eastAsia"/>
          <w:lang w:val="en-GB"/>
        </w:rPr>
        <w:t>年以来</w:t>
      </w:r>
      <w:r w:rsidR="006E1330">
        <w:rPr>
          <w:rFonts w:hint="eastAsia"/>
          <w:lang w:val="en-GB"/>
        </w:rPr>
        <w:t>，</w:t>
      </w:r>
      <w:r w:rsidRPr="00E112CD">
        <w:rPr>
          <w:rFonts w:hint="eastAsia"/>
          <w:lang w:val="en-GB"/>
        </w:rPr>
        <w:t>有特别需求的儿童每月从社会福利部得到</w:t>
      </w:r>
      <w:r w:rsidRPr="00E112CD">
        <w:rPr>
          <w:lang w:val="en-GB"/>
        </w:rPr>
        <w:t>50</w:t>
      </w:r>
      <w:r w:rsidRPr="00E112CD">
        <w:rPr>
          <w:rFonts w:hint="eastAsia"/>
          <w:lang w:val="en-GB"/>
        </w:rPr>
        <w:t>林吉特的补贴。从</w:t>
      </w:r>
      <w:r w:rsidRPr="00E112CD">
        <w:rPr>
          <w:lang w:val="en-GB"/>
        </w:rPr>
        <w:t>2009</w:t>
      </w:r>
      <w:r w:rsidRPr="00E112CD">
        <w:rPr>
          <w:rFonts w:hint="eastAsia"/>
          <w:lang w:val="en-GB"/>
        </w:rPr>
        <w:t>年开始</w:t>
      </w:r>
      <w:r w:rsidR="006E1330">
        <w:rPr>
          <w:rFonts w:hint="eastAsia"/>
          <w:lang w:val="en-GB"/>
        </w:rPr>
        <w:t>，</w:t>
      </w:r>
      <w:r w:rsidRPr="00E112CD">
        <w:rPr>
          <w:rFonts w:hint="eastAsia"/>
          <w:lang w:val="en-GB"/>
        </w:rPr>
        <w:t>该项补贴增至每月</w:t>
      </w:r>
      <w:r w:rsidRPr="00E112CD">
        <w:rPr>
          <w:lang w:val="en-GB"/>
        </w:rPr>
        <w:t>45</w:t>
      </w:r>
      <w:r w:rsidRPr="00E112CD">
        <w:rPr>
          <w:rFonts w:hint="eastAsia"/>
          <w:lang w:val="en-GB"/>
        </w:rPr>
        <w:t>美元</w:t>
      </w:r>
      <w:r w:rsidR="006E1330">
        <w:rPr>
          <w:lang w:val="en-GB"/>
        </w:rPr>
        <w:t>(</w:t>
      </w:r>
      <w:r w:rsidRPr="00E112CD">
        <w:rPr>
          <w:lang w:val="en-GB"/>
        </w:rPr>
        <w:t>150</w:t>
      </w:r>
      <w:r w:rsidRPr="00E112CD">
        <w:rPr>
          <w:rFonts w:hint="eastAsia"/>
          <w:lang w:val="en-GB"/>
        </w:rPr>
        <w:t>林吉特</w:t>
      </w:r>
      <w:r w:rsidR="006E1330">
        <w:rPr>
          <w:lang w:val="en-GB"/>
        </w:rPr>
        <w:t>)</w:t>
      </w:r>
      <w:r w:rsidRPr="00E112CD">
        <w:rPr>
          <w:rFonts w:hint="eastAsia"/>
          <w:lang w:val="en-GB"/>
        </w:rPr>
        <w:t>。</w:t>
      </w:r>
    </w:p>
    <w:p w:rsidR="00E112CD" w:rsidRPr="00E112CD" w:rsidRDefault="00E112CD" w:rsidP="00E112CD">
      <w:pPr>
        <w:pStyle w:val="SingleTxtGC"/>
        <w:rPr>
          <w:lang w:val="en-GB"/>
        </w:rPr>
      </w:pPr>
      <w:r w:rsidRPr="00E112CD">
        <w:rPr>
          <w:lang w:val="en-GB"/>
        </w:rPr>
        <w:t>1</w:t>
      </w:r>
      <w:r w:rsidR="006E1330">
        <w:rPr>
          <w:lang w:val="en-GB"/>
        </w:rPr>
        <w:t>9.</w:t>
      </w:r>
      <w:r w:rsidR="005962CC">
        <w:rPr>
          <w:rFonts w:hint="eastAsia"/>
          <w:lang w:val="en-GB"/>
        </w:rPr>
        <w:t xml:space="preserve">  </w:t>
      </w:r>
      <w:r w:rsidRPr="00E112CD">
        <w:rPr>
          <w:rFonts w:hint="eastAsia"/>
          <w:lang w:val="en-GB"/>
        </w:rPr>
        <w:t>教育部每年还划拨超过</w:t>
      </w:r>
      <w:r w:rsidRPr="00E112CD">
        <w:rPr>
          <w:lang w:val="en-GB"/>
        </w:rPr>
        <w:t>10</w:t>
      </w:r>
      <w:r w:rsidRPr="00E112CD">
        <w:rPr>
          <w:rFonts w:hint="eastAsia"/>
          <w:lang w:val="en-GB"/>
        </w:rPr>
        <w:t>亿林吉特</w:t>
      </w:r>
      <w:r w:rsidR="006E1330">
        <w:rPr>
          <w:rFonts w:hint="eastAsia"/>
          <w:lang w:val="en-GB"/>
        </w:rPr>
        <w:t>，</w:t>
      </w:r>
      <w:r w:rsidRPr="00E112CD">
        <w:rPr>
          <w:rFonts w:hint="eastAsia"/>
          <w:lang w:val="en-GB"/>
        </w:rPr>
        <w:t>通过实施各种支持方案</w:t>
      </w:r>
      <w:r w:rsidR="006E1330">
        <w:rPr>
          <w:rFonts w:hint="eastAsia"/>
          <w:lang w:val="en-GB"/>
        </w:rPr>
        <w:t>，</w:t>
      </w:r>
      <w:r w:rsidRPr="00E112CD">
        <w:rPr>
          <w:rFonts w:hint="eastAsia"/>
          <w:lang w:val="en-GB"/>
        </w:rPr>
        <w:t>譬如</w:t>
      </w:r>
      <w:r w:rsidR="006E1330">
        <w:rPr>
          <w:rFonts w:hint="eastAsia"/>
          <w:lang w:val="en-GB"/>
        </w:rPr>
        <w:t>，</w:t>
      </w:r>
      <w:r w:rsidRPr="00E112CD">
        <w:rPr>
          <w:rFonts w:hint="eastAsia"/>
          <w:lang w:val="en-GB"/>
        </w:rPr>
        <w:t>辅助食物方案和学校牛奶方案、贫困学生信贷基金、学费资助方案、教科书出租方案、奖学金方案、有特别需求学生资助方案、学生宿舍设施项目、学生宿舍食物资助方案及救生衣方案</w:t>
      </w:r>
      <w:r w:rsidR="006E1330">
        <w:rPr>
          <w:rFonts w:hint="eastAsia"/>
          <w:lang w:val="en-GB"/>
        </w:rPr>
        <w:t>，</w:t>
      </w:r>
      <w:r w:rsidRPr="00E112CD">
        <w:rPr>
          <w:rFonts w:hint="eastAsia"/>
          <w:lang w:val="en-GB"/>
        </w:rPr>
        <w:t>资助来自贫困家庭的学生和有特别需求的学生</w:t>
      </w:r>
      <w:r w:rsidR="006E1330">
        <w:rPr>
          <w:rFonts w:hint="eastAsia"/>
          <w:lang w:val="en-GB"/>
        </w:rPr>
        <w:t>，</w:t>
      </w:r>
      <w:r w:rsidRPr="00E112CD">
        <w:rPr>
          <w:rFonts w:hint="eastAsia"/>
          <w:lang w:val="en-GB"/>
        </w:rPr>
        <w:t>无论性别。</w:t>
      </w:r>
    </w:p>
    <w:p w:rsidR="00E112CD" w:rsidRPr="00E112CD" w:rsidRDefault="00E112CD" w:rsidP="00E112CD">
      <w:pPr>
        <w:pStyle w:val="SingleTxtGC"/>
        <w:rPr>
          <w:lang w:val="en-GB"/>
        </w:rPr>
      </w:pPr>
      <w:r w:rsidRPr="00E112CD">
        <w:rPr>
          <w:lang w:val="en-GB"/>
        </w:rPr>
        <w:t>2</w:t>
      </w:r>
      <w:r w:rsidR="006E1330">
        <w:rPr>
          <w:lang w:val="en-GB"/>
        </w:rPr>
        <w:t>0.</w:t>
      </w:r>
      <w:r w:rsidR="005962CC">
        <w:rPr>
          <w:rFonts w:hint="eastAsia"/>
          <w:lang w:val="en-GB"/>
        </w:rPr>
        <w:t xml:space="preserve">  </w:t>
      </w:r>
      <w:r w:rsidRPr="00E112CD">
        <w:rPr>
          <w:rFonts w:hint="eastAsia"/>
          <w:lang w:val="en-GB"/>
        </w:rPr>
        <w:t>马来西亚的国有企业也通过实施企业社会责任项目</w:t>
      </w:r>
      <w:r w:rsidR="006E1330">
        <w:rPr>
          <w:rFonts w:hint="eastAsia"/>
          <w:lang w:val="en-GB"/>
        </w:rPr>
        <w:t>，</w:t>
      </w:r>
      <w:r w:rsidRPr="00E112CD">
        <w:rPr>
          <w:rFonts w:hint="eastAsia"/>
          <w:lang w:val="en-GB"/>
        </w:rPr>
        <w:t>在向弱势群体提供特别资助上发挥显著作用。譬如</w:t>
      </w:r>
      <w:r w:rsidR="006E1330">
        <w:rPr>
          <w:rFonts w:hint="eastAsia"/>
          <w:lang w:val="en-GB"/>
        </w:rPr>
        <w:t>，</w:t>
      </w:r>
      <w:r w:rsidRPr="00E112CD">
        <w:rPr>
          <w:rFonts w:hint="eastAsia"/>
          <w:lang w:val="en-GB"/>
        </w:rPr>
        <w:t>目前有</w:t>
      </w:r>
      <w:r w:rsidRPr="00E112CD">
        <w:rPr>
          <w:lang w:val="en-GB"/>
        </w:rPr>
        <w:t>50</w:t>
      </w:r>
      <w:r w:rsidRPr="00E112CD">
        <w:rPr>
          <w:rFonts w:hint="eastAsia"/>
          <w:lang w:val="en-GB"/>
        </w:rPr>
        <w:t>所由阿米尔基金会管理的信托学校</w:t>
      </w:r>
      <w:r w:rsidR="006E1330">
        <w:rPr>
          <w:lang w:val="en-GB"/>
        </w:rPr>
        <w:t>(</w:t>
      </w:r>
      <w:r w:rsidRPr="00E112CD">
        <w:rPr>
          <w:rFonts w:hint="eastAsia"/>
          <w:lang w:val="en-GB"/>
        </w:rPr>
        <w:t>公立学校</w:t>
      </w:r>
      <w:r w:rsidR="006E1330">
        <w:rPr>
          <w:lang w:val="en-GB"/>
        </w:rPr>
        <w:t>)</w:t>
      </w:r>
      <w:r w:rsidRPr="00E112CD">
        <w:rPr>
          <w:rFonts w:hint="eastAsia"/>
          <w:lang w:val="en-GB"/>
        </w:rPr>
        <w:t>。信托学校方案旨在缩小教育系统中高绩效学校与低绩效学校之间的差距。</w:t>
      </w:r>
    </w:p>
    <w:p w:rsidR="00E112CD" w:rsidRPr="00E112CD" w:rsidRDefault="00E112CD" w:rsidP="00E112CD">
      <w:pPr>
        <w:pStyle w:val="SingleTxtGC"/>
        <w:rPr>
          <w:lang w:val="en-GB"/>
        </w:rPr>
      </w:pPr>
      <w:r w:rsidRPr="00E112CD">
        <w:rPr>
          <w:lang w:val="en-GB"/>
        </w:rPr>
        <w:t>2</w:t>
      </w:r>
      <w:r w:rsidR="006E1330">
        <w:rPr>
          <w:lang w:val="en-GB"/>
        </w:rPr>
        <w:t>1.</w:t>
      </w:r>
      <w:r w:rsidR="005962CC">
        <w:rPr>
          <w:rFonts w:hint="eastAsia"/>
          <w:lang w:val="en-GB"/>
        </w:rPr>
        <w:t xml:space="preserve">  </w:t>
      </w:r>
      <w:r w:rsidRPr="00E112CD">
        <w:rPr>
          <w:rFonts w:hint="eastAsia"/>
          <w:lang w:val="en-GB"/>
        </w:rPr>
        <w:t>基础教育就讲至此</w:t>
      </w:r>
      <w:r w:rsidR="006E1330">
        <w:rPr>
          <w:rFonts w:hint="eastAsia"/>
          <w:lang w:val="en-GB"/>
        </w:rPr>
        <w:t>，</w:t>
      </w:r>
      <w:r w:rsidRPr="00E112CD">
        <w:rPr>
          <w:rFonts w:hint="eastAsia"/>
          <w:lang w:val="en-GB"/>
        </w:rPr>
        <w:t>现在讲高级教育。在马来西亚</w:t>
      </w:r>
      <w:r w:rsidR="006E1330">
        <w:rPr>
          <w:rFonts w:hint="eastAsia"/>
          <w:lang w:val="en-GB"/>
        </w:rPr>
        <w:t>，</w:t>
      </w:r>
      <w:r w:rsidRPr="00E112CD">
        <w:rPr>
          <w:rFonts w:hint="eastAsia"/>
          <w:lang w:val="en-GB"/>
        </w:rPr>
        <w:t>有</w:t>
      </w:r>
      <w:r w:rsidRPr="00E112CD">
        <w:rPr>
          <w:lang w:val="en-GB"/>
        </w:rPr>
        <w:t>20</w:t>
      </w:r>
      <w:r w:rsidRPr="00E112CD">
        <w:rPr>
          <w:rFonts w:hint="eastAsia"/>
          <w:lang w:val="en-GB"/>
        </w:rPr>
        <w:t>所公立大学、</w:t>
      </w:r>
      <w:r w:rsidRPr="00E112CD">
        <w:rPr>
          <w:lang w:val="en-GB"/>
        </w:rPr>
        <w:t>26</w:t>
      </w:r>
      <w:r w:rsidRPr="00E112CD">
        <w:rPr>
          <w:rFonts w:hint="eastAsia"/>
          <w:lang w:val="en-GB"/>
        </w:rPr>
        <w:t>所私立大学、</w:t>
      </w:r>
      <w:r w:rsidRPr="00E112CD">
        <w:rPr>
          <w:lang w:val="en-GB"/>
        </w:rPr>
        <w:t>22</w:t>
      </w:r>
      <w:r w:rsidRPr="00E112CD">
        <w:rPr>
          <w:rFonts w:hint="eastAsia"/>
          <w:lang w:val="en-GB"/>
        </w:rPr>
        <w:t>所附属于私立大学的学院及</w:t>
      </w:r>
      <w:r w:rsidRPr="00E112CD">
        <w:rPr>
          <w:lang w:val="en-GB"/>
        </w:rPr>
        <w:t>5</w:t>
      </w:r>
      <w:r w:rsidRPr="00E112CD">
        <w:rPr>
          <w:rFonts w:hint="eastAsia"/>
          <w:lang w:val="en-GB"/>
        </w:rPr>
        <w:t>所外国高校分校为</w:t>
      </w:r>
      <w:r w:rsidRPr="00E112CD">
        <w:rPr>
          <w:lang w:val="en-GB"/>
        </w:rPr>
        <w:t>74</w:t>
      </w:r>
      <w:r w:rsidRPr="00E112CD">
        <w:rPr>
          <w:rFonts w:hint="eastAsia"/>
          <w:lang w:val="en-GB"/>
        </w:rPr>
        <w:t>万多名学生提供高等教育</w:t>
      </w:r>
      <w:r w:rsidR="006E1330">
        <w:rPr>
          <w:rFonts w:hint="eastAsia"/>
          <w:lang w:val="en-GB"/>
        </w:rPr>
        <w:t>，</w:t>
      </w:r>
      <w:r w:rsidRPr="00E112CD">
        <w:rPr>
          <w:rFonts w:hint="eastAsia"/>
          <w:lang w:val="en-GB"/>
        </w:rPr>
        <w:t>其中包括</w:t>
      </w:r>
      <w:r w:rsidRPr="00E112CD">
        <w:rPr>
          <w:lang w:val="en-GB"/>
        </w:rPr>
        <w:t>6</w:t>
      </w:r>
      <w:r w:rsidR="006E1330">
        <w:rPr>
          <w:lang w:val="en-GB"/>
        </w:rPr>
        <w:t>0,</w:t>
      </w:r>
      <w:r w:rsidRPr="00E112CD">
        <w:rPr>
          <w:lang w:val="en-GB"/>
        </w:rPr>
        <w:t>098</w:t>
      </w:r>
      <w:r w:rsidRPr="00E112CD">
        <w:rPr>
          <w:rFonts w:hint="eastAsia"/>
          <w:lang w:val="en-GB"/>
        </w:rPr>
        <w:t>名外国学生。为了进一步提高公立大学的教学和研究质量</w:t>
      </w:r>
      <w:r w:rsidR="006E1330">
        <w:rPr>
          <w:rFonts w:hint="eastAsia"/>
          <w:lang w:val="en-GB"/>
        </w:rPr>
        <w:t>，</w:t>
      </w:r>
      <w:r w:rsidRPr="00E112CD">
        <w:rPr>
          <w:rFonts w:hint="eastAsia"/>
          <w:lang w:val="en-GB"/>
        </w:rPr>
        <w:t>政府决定将在研究型大学的有博士资格的教师数量增至占</w:t>
      </w:r>
      <w:r w:rsidRPr="00E112CD">
        <w:rPr>
          <w:lang w:val="en-GB"/>
        </w:rPr>
        <w:t>75</w:t>
      </w:r>
      <w:r w:rsidR="006E1330">
        <w:rPr>
          <w:lang w:val="en-GB"/>
        </w:rPr>
        <w:t>%</w:t>
      </w:r>
      <w:r w:rsidR="006E1330">
        <w:rPr>
          <w:rFonts w:hint="eastAsia"/>
          <w:lang w:val="en-GB"/>
        </w:rPr>
        <w:t>，</w:t>
      </w:r>
      <w:r w:rsidRPr="00E112CD">
        <w:rPr>
          <w:rFonts w:hint="eastAsia"/>
          <w:lang w:val="en-GB"/>
        </w:rPr>
        <w:t>在非研究型大学的有博士资格的教师数量增至占</w:t>
      </w:r>
      <w:r w:rsidRPr="00E112CD">
        <w:rPr>
          <w:lang w:val="en-GB"/>
        </w:rPr>
        <w:t>60</w:t>
      </w:r>
      <w:r w:rsidR="006E1330">
        <w:rPr>
          <w:lang w:val="en-GB"/>
        </w:rPr>
        <w:t>%</w:t>
      </w:r>
      <w:r w:rsidRPr="00E112CD">
        <w:rPr>
          <w:rFonts w:hint="eastAsia"/>
          <w:lang w:val="en-GB"/>
        </w:rPr>
        <w:t>。为了实现这些目标</w:t>
      </w:r>
      <w:r w:rsidR="006E1330">
        <w:rPr>
          <w:rFonts w:hint="eastAsia"/>
          <w:lang w:val="en-GB"/>
        </w:rPr>
        <w:t>，</w:t>
      </w:r>
      <w:r w:rsidRPr="00E112CD">
        <w:rPr>
          <w:rFonts w:hint="eastAsia"/>
          <w:lang w:val="en-GB"/>
        </w:rPr>
        <w:t>在</w:t>
      </w:r>
      <w:r w:rsidRPr="00E112CD">
        <w:rPr>
          <w:lang w:val="en-GB"/>
        </w:rPr>
        <w:t>2011</w:t>
      </w:r>
      <w:r w:rsidRPr="00E112CD">
        <w:rPr>
          <w:rFonts w:hint="eastAsia"/>
          <w:lang w:val="en-GB"/>
        </w:rPr>
        <w:t>年预算中为攻读博士学位的教师划拨了</w:t>
      </w:r>
      <w:r w:rsidRPr="00E112CD">
        <w:rPr>
          <w:lang w:val="en-GB"/>
        </w:rPr>
        <w:t>645</w:t>
      </w:r>
      <w:r w:rsidRPr="00E112CD">
        <w:rPr>
          <w:rFonts w:hint="eastAsia"/>
          <w:lang w:val="en-GB"/>
        </w:rPr>
        <w:t>万美元</w:t>
      </w:r>
      <w:r w:rsidR="006E1330">
        <w:rPr>
          <w:lang w:val="en-GB"/>
        </w:rPr>
        <w:t>(2,</w:t>
      </w:r>
      <w:r w:rsidRPr="00E112CD">
        <w:rPr>
          <w:lang w:val="en-GB"/>
        </w:rPr>
        <w:t>000</w:t>
      </w:r>
      <w:r w:rsidRPr="00E112CD">
        <w:rPr>
          <w:rFonts w:hint="eastAsia"/>
          <w:lang w:val="en-GB"/>
        </w:rPr>
        <w:t>万林吉特</w:t>
      </w:r>
      <w:r w:rsidR="006E1330">
        <w:rPr>
          <w:lang w:val="en-GB"/>
        </w:rPr>
        <w:t>)</w:t>
      </w:r>
      <w:r w:rsidRPr="00E112CD">
        <w:rPr>
          <w:rFonts w:hint="eastAsia"/>
          <w:lang w:val="en-GB"/>
        </w:rPr>
        <w:t>。此外</w:t>
      </w:r>
      <w:r w:rsidR="006E1330">
        <w:rPr>
          <w:rFonts w:hint="eastAsia"/>
          <w:lang w:val="en-GB"/>
        </w:rPr>
        <w:t>，</w:t>
      </w:r>
      <w:r w:rsidRPr="00E112CD">
        <w:rPr>
          <w:rFonts w:hint="eastAsia"/>
          <w:lang w:val="en-GB"/>
        </w:rPr>
        <w:t>为了增加失业的毕业生的就业能力</w:t>
      </w:r>
      <w:r w:rsidR="006E1330">
        <w:rPr>
          <w:rFonts w:hint="eastAsia"/>
          <w:lang w:val="en-GB"/>
        </w:rPr>
        <w:t>，</w:t>
      </w:r>
      <w:r w:rsidRPr="00E112CD">
        <w:rPr>
          <w:rFonts w:hint="eastAsia"/>
          <w:lang w:val="en-GB"/>
        </w:rPr>
        <w:t>几个国有企业</w:t>
      </w:r>
      <w:r w:rsidR="006E1330">
        <w:rPr>
          <w:rFonts w:hint="eastAsia"/>
          <w:lang w:val="en-GB"/>
        </w:rPr>
        <w:t>，</w:t>
      </w:r>
      <w:r w:rsidRPr="00E112CD">
        <w:rPr>
          <w:rFonts w:hint="eastAsia"/>
          <w:lang w:val="en-GB"/>
        </w:rPr>
        <w:t>包括马来亚银行有限公司、马来西亚机场公司控股有限公司、马来西亚国家石油公司、马来西亚电信有限公司及马来西亚国家公用电力有限公司</w:t>
      </w:r>
      <w:r w:rsidR="006E1330">
        <w:rPr>
          <w:rFonts w:hint="eastAsia"/>
          <w:lang w:val="en-GB"/>
        </w:rPr>
        <w:t>，</w:t>
      </w:r>
      <w:r w:rsidRPr="00E112CD">
        <w:rPr>
          <w:rFonts w:hint="eastAsia"/>
          <w:lang w:val="en-GB"/>
        </w:rPr>
        <w:t>参与实施马来西亚培训项目。约</w:t>
      </w:r>
      <w:r w:rsidR="006E1330">
        <w:rPr>
          <w:lang w:val="en-GB"/>
        </w:rPr>
        <w:t>3,</w:t>
      </w:r>
      <w:r w:rsidRPr="00E112CD">
        <w:rPr>
          <w:lang w:val="en-GB"/>
        </w:rPr>
        <w:t>000</w:t>
      </w:r>
      <w:r w:rsidRPr="00E112CD">
        <w:rPr>
          <w:rFonts w:hint="eastAsia"/>
          <w:lang w:val="en-GB"/>
        </w:rPr>
        <w:t>人从被称为</w:t>
      </w:r>
      <w:r w:rsidR="005962CC">
        <w:rPr>
          <w:rFonts w:hint="eastAsia"/>
          <w:lang w:val="en-GB"/>
        </w:rPr>
        <w:t>“</w:t>
      </w:r>
      <w:r w:rsidRPr="00E112CD">
        <w:rPr>
          <w:rFonts w:hint="eastAsia"/>
          <w:lang w:val="en-GB"/>
        </w:rPr>
        <w:t>企业社会责任”的项目中受益。联邦土地发展局每年为教育和培训划拨约</w:t>
      </w:r>
      <w:r w:rsidR="006E1330">
        <w:rPr>
          <w:lang w:val="en-GB"/>
        </w:rPr>
        <w:t>2,</w:t>
      </w:r>
      <w:r w:rsidRPr="00E112CD">
        <w:rPr>
          <w:lang w:val="en-GB"/>
        </w:rPr>
        <w:t>903</w:t>
      </w:r>
      <w:r w:rsidRPr="00E112CD">
        <w:rPr>
          <w:rFonts w:hint="eastAsia"/>
          <w:lang w:val="en-GB"/>
        </w:rPr>
        <w:t>万美元</w:t>
      </w:r>
      <w:r w:rsidR="006E1330">
        <w:rPr>
          <w:lang w:val="en-GB"/>
        </w:rPr>
        <w:t>(9,</w:t>
      </w:r>
      <w:r w:rsidRPr="00E112CD">
        <w:rPr>
          <w:lang w:val="en-GB"/>
        </w:rPr>
        <w:t>000</w:t>
      </w:r>
      <w:r w:rsidRPr="00E112CD">
        <w:rPr>
          <w:rFonts w:hint="eastAsia"/>
          <w:lang w:val="en-GB"/>
        </w:rPr>
        <w:t>万林吉特</w:t>
      </w:r>
      <w:r w:rsidR="006E1330">
        <w:rPr>
          <w:lang w:val="en-GB"/>
        </w:rPr>
        <w:t>)</w:t>
      </w:r>
      <w:r w:rsidRPr="00E112CD">
        <w:rPr>
          <w:rFonts w:hint="eastAsia"/>
          <w:lang w:val="en-GB"/>
        </w:rPr>
        <w:t>。目前约有</w:t>
      </w:r>
      <w:r w:rsidRPr="00E112CD">
        <w:rPr>
          <w:lang w:val="en-GB"/>
        </w:rPr>
        <w:t>370</w:t>
      </w:r>
      <w:r w:rsidRPr="00E112CD">
        <w:rPr>
          <w:rFonts w:hint="eastAsia"/>
          <w:lang w:val="en-GB"/>
        </w:rPr>
        <w:t>名学生在本地和海外攻读各种专业课程。</w:t>
      </w:r>
    </w:p>
    <w:p w:rsidR="00E112CD" w:rsidRPr="00E112CD" w:rsidRDefault="00E112CD" w:rsidP="00E112CD">
      <w:pPr>
        <w:pStyle w:val="SingleTxtGC"/>
        <w:rPr>
          <w:lang w:val="en-GB"/>
        </w:rPr>
      </w:pPr>
      <w:r w:rsidRPr="00E112CD">
        <w:rPr>
          <w:lang w:val="en-GB"/>
        </w:rPr>
        <w:t>2</w:t>
      </w:r>
      <w:r w:rsidR="006E1330">
        <w:rPr>
          <w:lang w:val="en-GB"/>
        </w:rPr>
        <w:t>2.</w:t>
      </w:r>
      <w:r w:rsidR="005962CC">
        <w:rPr>
          <w:rFonts w:hint="eastAsia"/>
          <w:lang w:val="en-GB"/>
        </w:rPr>
        <w:t xml:space="preserve">  </w:t>
      </w:r>
      <w:r w:rsidRPr="00E112CD">
        <w:rPr>
          <w:rFonts w:hint="eastAsia"/>
          <w:lang w:val="en-GB"/>
        </w:rPr>
        <w:t>尽管为确保普及教育提供了所有这些资源</w:t>
      </w:r>
      <w:r w:rsidR="006E1330">
        <w:rPr>
          <w:rFonts w:hint="eastAsia"/>
          <w:lang w:val="en-GB"/>
        </w:rPr>
        <w:t>，</w:t>
      </w:r>
      <w:r w:rsidRPr="00E112CD">
        <w:rPr>
          <w:rFonts w:hint="eastAsia"/>
          <w:lang w:val="en-GB"/>
        </w:rPr>
        <w:t>实施了方案和举措</w:t>
      </w:r>
      <w:r w:rsidR="006E1330">
        <w:rPr>
          <w:rFonts w:hint="eastAsia"/>
          <w:lang w:val="en-GB"/>
        </w:rPr>
        <w:t>，</w:t>
      </w:r>
      <w:r w:rsidRPr="00E112CD">
        <w:rPr>
          <w:rFonts w:hint="eastAsia"/>
          <w:lang w:val="en-GB"/>
        </w:rPr>
        <w:t>但是政府仍面临许多挑战。为了克服这些挑战</w:t>
      </w:r>
      <w:r w:rsidR="006E1330">
        <w:rPr>
          <w:rFonts w:hint="eastAsia"/>
          <w:lang w:val="en-GB"/>
        </w:rPr>
        <w:t>，</w:t>
      </w:r>
      <w:r w:rsidRPr="00E112CD">
        <w:rPr>
          <w:rFonts w:hint="eastAsia"/>
          <w:lang w:val="en-GB"/>
        </w:rPr>
        <w:t>满足当前和未来的需求</w:t>
      </w:r>
      <w:r w:rsidR="006E1330">
        <w:rPr>
          <w:rFonts w:hint="eastAsia"/>
          <w:lang w:val="en-GB"/>
        </w:rPr>
        <w:t>，</w:t>
      </w:r>
      <w:r w:rsidRPr="00E112CD">
        <w:rPr>
          <w:rFonts w:hint="eastAsia"/>
          <w:lang w:val="en-GB"/>
        </w:rPr>
        <w:t>解决在向所有人提供有关教育上存在的差距</w:t>
      </w:r>
      <w:r w:rsidR="006E1330">
        <w:rPr>
          <w:rFonts w:hint="eastAsia"/>
          <w:lang w:val="en-GB"/>
        </w:rPr>
        <w:t>，</w:t>
      </w:r>
      <w:r w:rsidRPr="00E112CD">
        <w:rPr>
          <w:rFonts w:hint="eastAsia"/>
          <w:lang w:val="en-GB"/>
        </w:rPr>
        <w:t>政府制订了两个主要计划。</w:t>
      </w:r>
    </w:p>
    <w:p w:rsidR="00E112CD" w:rsidRPr="00E112CD" w:rsidRDefault="00E112CD" w:rsidP="00E112CD">
      <w:pPr>
        <w:pStyle w:val="SingleTxtGC"/>
        <w:rPr>
          <w:lang w:val="en-GB"/>
        </w:rPr>
      </w:pPr>
      <w:r w:rsidRPr="00E112CD">
        <w:rPr>
          <w:lang w:val="en-GB"/>
        </w:rPr>
        <w:t>2</w:t>
      </w:r>
      <w:r w:rsidR="006E1330">
        <w:rPr>
          <w:lang w:val="en-GB"/>
        </w:rPr>
        <w:t>3.</w:t>
      </w:r>
      <w:r w:rsidR="005962CC">
        <w:rPr>
          <w:rFonts w:hint="eastAsia"/>
          <w:lang w:val="en-GB"/>
        </w:rPr>
        <w:t xml:space="preserve">  </w:t>
      </w:r>
      <w:r w:rsidRPr="00E112CD">
        <w:rPr>
          <w:rFonts w:hint="eastAsia"/>
          <w:lang w:val="en-GB"/>
        </w:rPr>
        <w:t>第一个计划是《教育发展总规划</w:t>
      </w:r>
      <w:r w:rsidR="006E1330">
        <w:rPr>
          <w:lang w:val="en-GB"/>
        </w:rPr>
        <w:t>(</w:t>
      </w:r>
      <w:r w:rsidRPr="00E112CD">
        <w:rPr>
          <w:lang w:val="en-GB"/>
        </w:rPr>
        <w:t>2006</w:t>
      </w:r>
      <w:r w:rsidRPr="00E112CD">
        <w:rPr>
          <w:rFonts w:hint="eastAsia"/>
          <w:lang w:val="en-GB"/>
        </w:rPr>
        <w:t>至</w:t>
      </w:r>
      <w:r w:rsidRPr="00E112CD">
        <w:rPr>
          <w:lang w:val="en-GB"/>
        </w:rPr>
        <w:t>2010</w:t>
      </w:r>
      <w:r w:rsidRPr="00E112CD">
        <w:rPr>
          <w:rFonts w:hint="eastAsia"/>
          <w:lang w:val="en-GB"/>
        </w:rPr>
        <w:t>年</w:t>
      </w:r>
      <w:r w:rsidR="006E1330">
        <w:rPr>
          <w:lang w:val="en-GB"/>
        </w:rPr>
        <w:t>)</w:t>
      </w:r>
      <w:r w:rsidRPr="00E112CD">
        <w:rPr>
          <w:rFonts w:hint="eastAsia"/>
          <w:lang w:val="en-GB"/>
        </w:rPr>
        <w:t>》。《教育发展总规划》是在实施先前的教育计划取得的成就的基础上制订的</w:t>
      </w:r>
      <w:r w:rsidR="006E1330">
        <w:rPr>
          <w:rFonts w:hint="eastAsia"/>
          <w:lang w:val="en-GB"/>
        </w:rPr>
        <w:t>，</w:t>
      </w:r>
      <w:r w:rsidRPr="00E112CD">
        <w:rPr>
          <w:rFonts w:hint="eastAsia"/>
          <w:lang w:val="en-GB"/>
        </w:rPr>
        <w:t>它继续以教育机会、公平和质量及教育管理系统的效率和效益为重点。《教育发展总规划》基于六大战略目标</w:t>
      </w:r>
      <w:r w:rsidR="006E1330">
        <w:rPr>
          <w:rFonts w:hint="eastAsia"/>
          <w:lang w:val="en-GB"/>
        </w:rPr>
        <w:t>，</w:t>
      </w:r>
      <w:r w:rsidRPr="00E112CD">
        <w:rPr>
          <w:rFonts w:hint="eastAsia"/>
          <w:lang w:val="en-GB"/>
        </w:rPr>
        <w:t>即“国家建设”、“开发人力资本”、“加强国家学校”、“缩小教育差距”、“提升教学流程”及“加速实现教育机构卓越”。</w:t>
      </w:r>
      <w:r w:rsidR="005962CC">
        <w:rPr>
          <w:rStyle w:val="FootnoteReference"/>
          <w:lang w:val="en-GB"/>
        </w:rPr>
        <w:footnoteReference w:id="7"/>
      </w:r>
    </w:p>
    <w:p w:rsidR="00E112CD" w:rsidRPr="00E112CD" w:rsidRDefault="00E112CD" w:rsidP="00E112CD">
      <w:pPr>
        <w:pStyle w:val="SingleTxtGC"/>
        <w:rPr>
          <w:rFonts w:hint="eastAsia"/>
          <w:lang w:val="en-GB"/>
        </w:rPr>
      </w:pPr>
      <w:r w:rsidRPr="00E112CD">
        <w:rPr>
          <w:lang w:val="en-GB"/>
        </w:rPr>
        <w:t>2</w:t>
      </w:r>
      <w:r w:rsidR="006E1330">
        <w:rPr>
          <w:lang w:val="en-GB"/>
        </w:rPr>
        <w:t>4.</w:t>
      </w:r>
      <w:r w:rsidR="005962CC">
        <w:rPr>
          <w:rFonts w:hint="eastAsia"/>
          <w:lang w:val="en-GB"/>
        </w:rPr>
        <w:t xml:space="preserve">  </w:t>
      </w:r>
      <w:r w:rsidRPr="00E112CD">
        <w:rPr>
          <w:rFonts w:hint="eastAsia"/>
          <w:lang w:val="en-GB"/>
        </w:rPr>
        <w:t>在马来西亚</w:t>
      </w:r>
      <w:r w:rsidR="006E1330">
        <w:rPr>
          <w:rFonts w:hint="eastAsia"/>
          <w:lang w:val="en-GB"/>
        </w:rPr>
        <w:t>，</w:t>
      </w:r>
      <w:r w:rsidRPr="00E112CD">
        <w:rPr>
          <w:rFonts w:hint="eastAsia"/>
          <w:lang w:val="en-GB"/>
        </w:rPr>
        <w:t>教育正在处于转型过程</w:t>
      </w:r>
      <w:r w:rsidR="006E1330">
        <w:rPr>
          <w:rFonts w:hint="eastAsia"/>
          <w:lang w:val="en-GB"/>
        </w:rPr>
        <w:t>，</w:t>
      </w:r>
      <w:r w:rsidRPr="00E112CD">
        <w:rPr>
          <w:rFonts w:hint="eastAsia"/>
          <w:lang w:val="en-GB"/>
        </w:rPr>
        <w:t>为在</w:t>
      </w:r>
      <w:r w:rsidRPr="00E112CD">
        <w:rPr>
          <w:lang w:val="en-GB"/>
        </w:rPr>
        <w:t>13</w:t>
      </w:r>
      <w:r w:rsidRPr="00E112CD">
        <w:rPr>
          <w:rFonts w:hint="eastAsia"/>
          <w:lang w:val="en-GB"/>
        </w:rPr>
        <w:t>年之内教育制度转型奠定基础。《马来西亚教育蓝图</w:t>
      </w:r>
      <w:r w:rsidR="006E1330">
        <w:rPr>
          <w:lang w:val="en-GB"/>
        </w:rPr>
        <w:t>(</w:t>
      </w:r>
      <w:r w:rsidRPr="00E112CD">
        <w:rPr>
          <w:lang w:val="en-GB"/>
        </w:rPr>
        <w:t>2013</w:t>
      </w:r>
      <w:r w:rsidRPr="00E112CD">
        <w:rPr>
          <w:rFonts w:hint="eastAsia"/>
          <w:lang w:val="en-GB"/>
        </w:rPr>
        <w:t>至</w:t>
      </w:r>
      <w:r w:rsidRPr="00E112CD">
        <w:rPr>
          <w:lang w:val="en-GB"/>
        </w:rPr>
        <w:t>2025</w:t>
      </w:r>
      <w:r w:rsidRPr="00E112CD">
        <w:rPr>
          <w:rFonts w:hint="eastAsia"/>
          <w:lang w:val="en-GB"/>
        </w:rPr>
        <w:t>年</w:t>
      </w:r>
      <w:r w:rsidR="006E1330">
        <w:rPr>
          <w:lang w:val="en-GB"/>
        </w:rPr>
        <w:t>)</w:t>
      </w:r>
      <w:r w:rsidRPr="00E112CD">
        <w:rPr>
          <w:rFonts w:hint="eastAsia"/>
          <w:lang w:val="en-GB"/>
        </w:rPr>
        <w:t>》有五大制度目标</w:t>
      </w:r>
      <w:r w:rsidR="005962CC" w:rsidRPr="005962CC">
        <w:rPr>
          <w:rFonts w:hint="eastAsia"/>
          <w:spacing w:val="-50"/>
          <w:lang w:val="en-GB"/>
        </w:rPr>
        <w:t>―</w:t>
      </w:r>
      <w:r w:rsidR="005962CC" w:rsidRPr="005962CC">
        <w:rPr>
          <w:rFonts w:hint="eastAsia"/>
          <w:lang w:val="en-GB"/>
        </w:rPr>
        <w:t>―</w:t>
      </w:r>
      <w:r w:rsidRPr="00E112CD">
        <w:rPr>
          <w:rFonts w:hint="eastAsia"/>
          <w:lang w:val="en-GB"/>
        </w:rPr>
        <w:t>教育机会</w:t>
      </w:r>
      <w:r w:rsidR="006E1330">
        <w:rPr>
          <w:rFonts w:hint="eastAsia"/>
          <w:lang w:val="en-GB"/>
        </w:rPr>
        <w:t>，</w:t>
      </w:r>
      <w:r w:rsidRPr="00E112CD">
        <w:rPr>
          <w:rFonts w:hint="eastAsia"/>
          <w:lang w:val="en-GB"/>
        </w:rPr>
        <w:t>质量</w:t>
      </w:r>
      <w:r w:rsidR="006E1330">
        <w:rPr>
          <w:rFonts w:hint="eastAsia"/>
          <w:lang w:val="en-GB"/>
        </w:rPr>
        <w:t>，</w:t>
      </w:r>
      <w:r w:rsidRPr="00E112CD">
        <w:rPr>
          <w:rFonts w:hint="eastAsia"/>
          <w:lang w:val="en-GB"/>
        </w:rPr>
        <w:t>公平</w:t>
      </w:r>
      <w:r w:rsidR="006E1330">
        <w:rPr>
          <w:rFonts w:hint="eastAsia"/>
          <w:lang w:val="en-GB"/>
        </w:rPr>
        <w:t>，</w:t>
      </w:r>
      <w:r w:rsidRPr="00E112CD">
        <w:rPr>
          <w:rFonts w:hint="eastAsia"/>
          <w:lang w:val="en-GB"/>
        </w:rPr>
        <w:t>统一及效率。这些目标由</w:t>
      </w:r>
      <w:r w:rsidRPr="00E112CD">
        <w:rPr>
          <w:lang w:val="en-GB"/>
        </w:rPr>
        <w:t>11</w:t>
      </w:r>
      <w:r w:rsidRPr="00E112CD">
        <w:rPr>
          <w:rFonts w:hint="eastAsia"/>
          <w:lang w:val="en-GB"/>
        </w:rPr>
        <w:t>个转变支持</w:t>
      </w:r>
      <w:r w:rsidR="006E1330">
        <w:rPr>
          <w:rFonts w:hint="eastAsia"/>
          <w:lang w:val="en-GB"/>
        </w:rPr>
        <w:t>，</w:t>
      </w:r>
      <w:r w:rsidRPr="00E112CD">
        <w:rPr>
          <w:lang w:val="en-GB"/>
        </w:rPr>
        <w:t>11</w:t>
      </w:r>
      <w:r w:rsidRPr="00E112CD">
        <w:rPr>
          <w:rFonts w:hint="eastAsia"/>
          <w:lang w:val="en-GB"/>
        </w:rPr>
        <w:t>个转变将为利益相关者与公众一致同意的共同关心的领域的改善提供一个公共平台。</w:t>
      </w:r>
      <w:r w:rsidRPr="00E112CD">
        <w:rPr>
          <w:lang w:val="en-GB"/>
        </w:rPr>
        <w:t>11</w:t>
      </w:r>
      <w:r w:rsidRPr="00E112CD">
        <w:rPr>
          <w:rFonts w:hint="eastAsia"/>
          <w:lang w:val="en-GB"/>
        </w:rPr>
        <w:t>个转变是</w:t>
      </w:r>
      <w:r w:rsidR="006E1330">
        <w:rPr>
          <w:rFonts w:hint="eastAsia"/>
          <w:lang w:val="en-GB"/>
        </w:rPr>
        <w:t>：</w:t>
      </w:r>
    </w:p>
    <w:p w:rsidR="00E112CD" w:rsidRPr="00E112CD" w:rsidRDefault="00E112CD" w:rsidP="00F3666B">
      <w:pPr>
        <w:pStyle w:val="SingleTxtGC"/>
        <w:numPr>
          <w:ilvl w:val="0"/>
          <w:numId w:val="10"/>
        </w:numPr>
        <w:tabs>
          <w:tab w:val="clear" w:pos="431"/>
          <w:tab w:val="clear" w:pos="1134"/>
          <w:tab w:val="clear" w:pos="1565"/>
          <w:tab w:val="clear" w:pos="1996"/>
          <w:tab w:val="clear" w:pos="2426"/>
        </w:tabs>
        <w:rPr>
          <w:lang w:val="en-GB"/>
        </w:rPr>
      </w:pPr>
      <w:r w:rsidRPr="00E112CD">
        <w:rPr>
          <w:rFonts w:hint="eastAsia"/>
          <w:lang w:val="en-GB"/>
        </w:rPr>
        <w:t>提供符合国际标准的优质教育的平等机会</w:t>
      </w:r>
      <w:r w:rsidR="006E1330">
        <w:rPr>
          <w:rFonts w:hint="eastAsia"/>
          <w:lang w:val="en-GB"/>
        </w:rPr>
        <w:t>；</w:t>
      </w:r>
    </w:p>
    <w:p w:rsidR="00E112CD" w:rsidRPr="005962CC" w:rsidRDefault="00E112CD" w:rsidP="00F3666B">
      <w:pPr>
        <w:pStyle w:val="SingleTxtGC"/>
        <w:numPr>
          <w:ilvl w:val="0"/>
          <w:numId w:val="10"/>
        </w:numPr>
        <w:tabs>
          <w:tab w:val="clear" w:pos="431"/>
          <w:tab w:val="clear" w:pos="1134"/>
          <w:tab w:val="clear" w:pos="1565"/>
          <w:tab w:val="clear" w:pos="1996"/>
          <w:tab w:val="clear" w:pos="2426"/>
        </w:tabs>
        <w:rPr>
          <w:lang w:val="en-GB"/>
        </w:rPr>
      </w:pPr>
      <w:r w:rsidRPr="005962CC">
        <w:rPr>
          <w:rFonts w:hint="eastAsia"/>
          <w:lang w:val="en-GB"/>
        </w:rPr>
        <w:t>确保每个儿童都熟练掌握马来语和英语</w:t>
      </w:r>
      <w:r w:rsidR="006E1330" w:rsidRPr="005962CC">
        <w:rPr>
          <w:rFonts w:hint="eastAsia"/>
          <w:lang w:val="en-GB"/>
        </w:rPr>
        <w:t>，</w:t>
      </w:r>
      <w:r w:rsidRPr="005962CC">
        <w:rPr>
          <w:rFonts w:hint="eastAsia"/>
          <w:lang w:val="en-GB"/>
        </w:rPr>
        <w:t>鼓励每个儿童再学习一门语言</w:t>
      </w:r>
      <w:r w:rsidR="006E1330" w:rsidRPr="005962CC">
        <w:rPr>
          <w:rFonts w:hint="eastAsia"/>
          <w:lang w:val="en-GB"/>
        </w:rPr>
        <w:t>；</w:t>
      </w:r>
    </w:p>
    <w:p w:rsidR="00E112CD" w:rsidRPr="00E112CD" w:rsidRDefault="00E112CD" w:rsidP="00F3666B">
      <w:pPr>
        <w:pStyle w:val="SingleTxtGC"/>
        <w:numPr>
          <w:ilvl w:val="0"/>
          <w:numId w:val="10"/>
        </w:numPr>
        <w:tabs>
          <w:tab w:val="clear" w:pos="431"/>
          <w:tab w:val="clear" w:pos="1134"/>
          <w:tab w:val="clear" w:pos="1565"/>
          <w:tab w:val="clear" w:pos="1996"/>
          <w:tab w:val="clear" w:pos="2426"/>
        </w:tabs>
        <w:rPr>
          <w:lang w:val="en-GB"/>
        </w:rPr>
      </w:pPr>
      <w:r w:rsidRPr="00E112CD">
        <w:rPr>
          <w:rFonts w:hint="eastAsia"/>
          <w:lang w:val="en-GB"/>
        </w:rPr>
        <w:t>培养价值驱动的马来西亚人</w:t>
      </w:r>
      <w:r w:rsidR="006E1330">
        <w:rPr>
          <w:rFonts w:hint="eastAsia"/>
          <w:lang w:val="en-GB"/>
        </w:rPr>
        <w:t>；</w:t>
      </w:r>
    </w:p>
    <w:p w:rsidR="00E112CD" w:rsidRPr="00E112CD" w:rsidRDefault="00E112CD" w:rsidP="00F3666B">
      <w:pPr>
        <w:pStyle w:val="SingleTxtGC"/>
        <w:numPr>
          <w:ilvl w:val="0"/>
          <w:numId w:val="10"/>
        </w:numPr>
        <w:tabs>
          <w:tab w:val="clear" w:pos="431"/>
          <w:tab w:val="clear" w:pos="1134"/>
          <w:tab w:val="clear" w:pos="1565"/>
          <w:tab w:val="clear" w:pos="1996"/>
          <w:tab w:val="clear" w:pos="2426"/>
        </w:tabs>
        <w:rPr>
          <w:lang w:val="en-GB"/>
        </w:rPr>
      </w:pPr>
      <w:r w:rsidRPr="00E112CD">
        <w:rPr>
          <w:rFonts w:hint="eastAsia"/>
          <w:lang w:val="en-GB"/>
        </w:rPr>
        <w:t>将教学改为选择职业</w:t>
      </w:r>
      <w:r w:rsidR="006E1330">
        <w:rPr>
          <w:rFonts w:hint="eastAsia"/>
          <w:lang w:val="en-GB"/>
        </w:rPr>
        <w:t>；</w:t>
      </w:r>
    </w:p>
    <w:p w:rsidR="00E112CD" w:rsidRPr="00E112CD" w:rsidRDefault="00E112CD" w:rsidP="00F3666B">
      <w:pPr>
        <w:pStyle w:val="SingleTxtGC"/>
        <w:numPr>
          <w:ilvl w:val="0"/>
          <w:numId w:val="10"/>
        </w:numPr>
        <w:tabs>
          <w:tab w:val="clear" w:pos="431"/>
          <w:tab w:val="clear" w:pos="1134"/>
          <w:tab w:val="clear" w:pos="1565"/>
          <w:tab w:val="clear" w:pos="1996"/>
          <w:tab w:val="clear" w:pos="2426"/>
        </w:tabs>
        <w:rPr>
          <w:lang w:val="en-GB"/>
        </w:rPr>
      </w:pPr>
      <w:r w:rsidRPr="00E112CD">
        <w:rPr>
          <w:rFonts w:hint="eastAsia"/>
          <w:lang w:val="en-GB"/>
        </w:rPr>
        <w:t>确保每所学校都有高水平的学校领导</w:t>
      </w:r>
      <w:r w:rsidR="006E1330">
        <w:rPr>
          <w:rFonts w:hint="eastAsia"/>
          <w:lang w:val="en-GB"/>
        </w:rPr>
        <w:t>；</w:t>
      </w:r>
    </w:p>
    <w:p w:rsidR="00E112CD" w:rsidRPr="00E112CD" w:rsidRDefault="00E112CD" w:rsidP="00F3666B">
      <w:pPr>
        <w:pStyle w:val="SingleTxtGC"/>
        <w:numPr>
          <w:ilvl w:val="0"/>
          <w:numId w:val="10"/>
        </w:numPr>
        <w:tabs>
          <w:tab w:val="clear" w:pos="431"/>
          <w:tab w:val="clear" w:pos="1134"/>
          <w:tab w:val="clear" w:pos="1565"/>
          <w:tab w:val="clear" w:pos="1996"/>
          <w:tab w:val="clear" w:pos="2426"/>
        </w:tabs>
        <w:rPr>
          <w:lang w:val="en-GB"/>
        </w:rPr>
      </w:pPr>
      <w:r w:rsidRPr="00E112CD">
        <w:rPr>
          <w:rFonts w:hint="eastAsia"/>
          <w:lang w:val="en-GB"/>
        </w:rPr>
        <w:t>赋予州教育部门、区教育部门及学校根据需求定制解决方案的权能</w:t>
      </w:r>
      <w:r w:rsidR="006E1330">
        <w:rPr>
          <w:rFonts w:hint="eastAsia"/>
          <w:lang w:val="en-GB"/>
        </w:rPr>
        <w:t>；</w:t>
      </w:r>
    </w:p>
    <w:p w:rsidR="00E112CD" w:rsidRPr="00E112CD" w:rsidRDefault="00E112CD" w:rsidP="00F3666B">
      <w:pPr>
        <w:pStyle w:val="SingleTxtGC"/>
        <w:numPr>
          <w:ilvl w:val="0"/>
          <w:numId w:val="10"/>
        </w:numPr>
        <w:tabs>
          <w:tab w:val="clear" w:pos="431"/>
          <w:tab w:val="clear" w:pos="1134"/>
          <w:tab w:val="clear" w:pos="1565"/>
          <w:tab w:val="clear" w:pos="1996"/>
          <w:tab w:val="clear" w:pos="2426"/>
        </w:tabs>
        <w:rPr>
          <w:lang w:val="en-GB"/>
        </w:rPr>
      </w:pPr>
      <w:r w:rsidRPr="00E112CD">
        <w:rPr>
          <w:rFonts w:hint="eastAsia"/>
          <w:lang w:val="en-GB"/>
        </w:rPr>
        <w:t>在整个马来西亚利用信息通信技术提高学习质量</w:t>
      </w:r>
      <w:r w:rsidR="006E1330">
        <w:rPr>
          <w:rFonts w:hint="eastAsia"/>
          <w:lang w:val="en-GB"/>
        </w:rPr>
        <w:t>；</w:t>
      </w:r>
    </w:p>
    <w:p w:rsidR="00E112CD" w:rsidRPr="00E112CD" w:rsidRDefault="00E112CD" w:rsidP="00F3666B">
      <w:pPr>
        <w:pStyle w:val="SingleTxtGC"/>
        <w:numPr>
          <w:ilvl w:val="0"/>
          <w:numId w:val="10"/>
        </w:numPr>
        <w:tabs>
          <w:tab w:val="clear" w:pos="431"/>
          <w:tab w:val="clear" w:pos="1134"/>
          <w:tab w:val="clear" w:pos="1565"/>
          <w:tab w:val="clear" w:pos="1996"/>
          <w:tab w:val="clear" w:pos="2426"/>
        </w:tabs>
        <w:rPr>
          <w:lang w:val="en-GB"/>
        </w:rPr>
      </w:pPr>
      <w:r w:rsidRPr="00E112CD">
        <w:rPr>
          <w:rFonts w:hint="eastAsia"/>
          <w:lang w:val="en-GB"/>
        </w:rPr>
        <w:t>提高教育部的交付功能和能力</w:t>
      </w:r>
      <w:r w:rsidR="006E1330">
        <w:rPr>
          <w:rFonts w:hint="eastAsia"/>
          <w:lang w:val="en-GB"/>
        </w:rPr>
        <w:t>；</w:t>
      </w:r>
    </w:p>
    <w:p w:rsidR="00E112CD" w:rsidRPr="00E112CD" w:rsidRDefault="00E112CD" w:rsidP="00F3666B">
      <w:pPr>
        <w:pStyle w:val="SingleTxtGC"/>
        <w:numPr>
          <w:ilvl w:val="0"/>
          <w:numId w:val="10"/>
        </w:numPr>
        <w:tabs>
          <w:tab w:val="clear" w:pos="431"/>
          <w:tab w:val="clear" w:pos="1134"/>
          <w:tab w:val="clear" w:pos="1565"/>
          <w:tab w:val="clear" w:pos="1996"/>
          <w:tab w:val="clear" w:pos="2426"/>
        </w:tabs>
        <w:rPr>
          <w:lang w:val="en-GB"/>
        </w:rPr>
      </w:pPr>
      <w:r w:rsidRPr="00E112CD">
        <w:rPr>
          <w:rFonts w:hint="eastAsia"/>
          <w:lang w:val="en-GB"/>
        </w:rPr>
        <w:t>与家长、团体及私营部门结为合作伙伴</w:t>
      </w:r>
      <w:r w:rsidR="006E1330">
        <w:rPr>
          <w:rFonts w:hint="eastAsia"/>
          <w:lang w:val="en-GB"/>
        </w:rPr>
        <w:t>；</w:t>
      </w:r>
    </w:p>
    <w:p w:rsidR="00E112CD" w:rsidRPr="00E112CD" w:rsidRDefault="00E112CD" w:rsidP="00F3666B">
      <w:pPr>
        <w:pStyle w:val="SingleTxtGC"/>
        <w:pageBreakBefore/>
        <w:numPr>
          <w:ilvl w:val="0"/>
          <w:numId w:val="10"/>
        </w:numPr>
        <w:tabs>
          <w:tab w:val="clear" w:pos="431"/>
          <w:tab w:val="clear" w:pos="1134"/>
          <w:tab w:val="clear" w:pos="1565"/>
          <w:tab w:val="clear" w:pos="1996"/>
          <w:tab w:val="clear" w:pos="2426"/>
        </w:tabs>
        <w:rPr>
          <w:lang w:val="en-GB"/>
        </w:rPr>
      </w:pPr>
      <w:r w:rsidRPr="00E112CD">
        <w:rPr>
          <w:rFonts w:hint="eastAsia"/>
          <w:lang w:val="en-GB"/>
        </w:rPr>
        <w:t>每个林吉特获得最大化的学生成果</w:t>
      </w:r>
      <w:r w:rsidR="006E1330">
        <w:rPr>
          <w:rFonts w:hint="eastAsia"/>
          <w:lang w:val="en-GB"/>
        </w:rPr>
        <w:t>；</w:t>
      </w:r>
      <w:r w:rsidRPr="00E112CD">
        <w:rPr>
          <w:rFonts w:hint="eastAsia"/>
          <w:lang w:val="en-GB"/>
        </w:rPr>
        <w:t>以及</w:t>
      </w:r>
    </w:p>
    <w:p w:rsidR="00E112CD" w:rsidRPr="00E112CD" w:rsidRDefault="00E112CD" w:rsidP="00F3666B">
      <w:pPr>
        <w:pStyle w:val="SingleTxtGC"/>
        <w:numPr>
          <w:ilvl w:val="0"/>
          <w:numId w:val="10"/>
        </w:numPr>
        <w:tabs>
          <w:tab w:val="clear" w:pos="431"/>
          <w:tab w:val="clear" w:pos="1134"/>
          <w:tab w:val="clear" w:pos="1565"/>
          <w:tab w:val="clear" w:pos="1996"/>
          <w:tab w:val="clear" w:pos="2426"/>
        </w:tabs>
        <w:rPr>
          <w:lang w:val="en-GB"/>
        </w:rPr>
      </w:pPr>
      <w:r w:rsidRPr="00E112CD">
        <w:rPr>
          <w:rFonts w:hint="eastAsia"/>
          <w:lang w:val="en-GB"/>
        </w:rPr>
        <w:t>增加直接公共问责制的透明度。</w:t>
      </w:r>
    </w:p>
    <w:p w:rsidR="00E112CD" w:rsidRPr="00E112CD" w:rsidRDefault="00E112CD" w:rsidP="00E112CD">
      <w:pPr>
        <w:pStyle w:val="SingleTxtGC"/>
        <w:rPr>
          <w:lang w:val="en-GB"/>
        </w:rPr>
      </w:pPr>
      <w:r w:rsidRPr="00E112CD">
        <w:rPr>
          <w:lang w:val="en-GB"/>
        </w:rPr>
        <w:t>2</w:t>
      </w:r>
      <w:r w:rsidR="006E1330">
        <w:rPr>
          <w:lang w:val="en-GB"/>
        </w:rPr>
        <w:t>5.</w:t>
      </w:r>
      <w:r w:rsidR="00F3666B">
        <w:rPr>
          <w:rFonts w:hint="eastAsia"/>
          <w:lang w:val="en-GB"/>
        </w:rPr>
        <w:t xml:space="preserve">  </w:t>
      </w:r>
      <w:r w:rsidRPr="00E112CD">
        <w:rPr>
          <w:rFonts w:hint="eastAsia"/>
          <w:lang w:val="en-GB"/>
        </w:rPr>
        <w:t>经过三个浪潮的转型过程</w:t>
      </w:r>
      <w:r w:rsidR="006E1330">
        <w:rPr>
          <w:rFonts w:hint="eastAsia"/>
          <w:lang w:val="en-GB"/>
        </w:rPr>
        <w:t>，</w:t>
      </w:r>
      <w:r w:rsidRPr="00E112CD">
        <w:rPr>
          <w:rFonts w:hint="eastAsia"/>
          <w:lang w:val="en-GB"/>
        </w:rPr>
        <w:t>清除原来制度造成的后果。质量将是所有转变的共同基础因素</w:t>
      </w:r>
      <w:r w:rsidR="006E1330">
        <w:rPr>
          <w:rFonts w:hint="eastAsia"/>
          <w:lang w:val="en-GB"/>
        </w:rPr>
        <w:t>，</w:t>
      </w:r>
      <w:r w:rsidRPr="00E112CD">
        <w:rPr>
          <w:rFonts w:hint="eastAsia"/>
          <w:lang w:val="en-GB"/>
        </w:rPr>
        <w:t>是一个需要最迫切关注的方面。有《马来西亚教育蓝图》</w:t>
      </w:r>
      <w:r w:rsidR="006E1330">
        <w:rPr>
          <w:rFonts w:hint="eastAsia"/>
          <w:lang w:val="en-GB"/>
        </w:rPr>
        <w:t>，</w:t>
      </w:r>
      <w:r w:rsidRPr="00E112CD">
        <w:rPr>
          <w:rFonts w:hint="eastAsia"/>
          <w:lang w:val="en-GB"/>
        </w:rPr>
        <w:t>马来西亚有望能够应对国际教育水平不断提高带来的挑战</w:t>
      </w:r>
      <w:r w:rsidR="006E1330">
        <w:rPr>
          <w:rFonts w:hint="eastAsia"/>
          <w:lang w:val="en-GB"/>
        </w:rPr>
        <w:t>，</w:t>
      </w:r>
      <w:r w:rsidRPr="00E112CD">
        <w:rPr>
          <w:rFonts w:hint="eastAsia"/>
          <w:lang w:val="en-GB"/>
        </w:rPr>
        <w:t>实现政府关于让马来西亚儿童为适应</w:t>
      </w:r>
      <w:r w:rsidRPr="00E112CD">
        <w:rPr>
          <w:lang w:val="en-GB"/>
        </w:rPr>
        <w:t>21</w:t>
      </w:r>
      <w:r w:rsidRPr="00E112CD">
        <w:rPr>
          <w:rFonts w:hint="eastAsia"/>
          <w:lang w:val="en-GB"/>
        </w:rPr>
        <w:t>世纪的需求做好准备的目标</w:t>
      </w:r>
      <w:r w:rsidR="006E1330">
        <w:rPr>
          <w:rFonts w:hint="eastAsia"/>
          <w:lang w:val="en-GB"/>
        </w:rPr>
        <w:t>，</w:t>
      </w:r>
      <w:r w:rsidRPr="00E112CD">
        <w:rPr>
          <w:rFonts w:hint="eastAsia"/>
          <w:lang w:val="en-GB"/>
        </w:rPr>
        <w:t>并提高公众和父母对马来西亚教育政策的期望。</w:t>
      </w:r>
    </w:p>
    <w:p w:rsidR="00E112CD" w:rsidRPr="00E112CD" w:rsidRDefault="00E112CD" w:rsidP="00F3666B">
      <w:pPr>
        <w:pStyle w:val="H23GC"/>
        <w:rPr>
          <w:lang w:val="en-GB"/>
        </w:rPr>
      </w:pPr>
      <w:r w:rsidRPr="00E112CD">
        <w:rPr>
          <w:lang w:val="en-GB"/>
        </w:rPr>
        <w:tab/>
      </w:r>
      <w:r w:rsidR="006E1330">
        <w:rPr>
          <w:lang w:val="en-GB"/>
        </w:rPr>
        <w:t>3.</w:t>
      </w:r>
      <w:r w:rsidRPr="00E112CD">
        <w:rPr>
          <w:lang w:val="en-GB"/>
        </w:rPr>
        <w:tab/>
      </w:r>
      <w:r w:rsidRPr="00F3666B">
        <w:rPr>
          <w:rFonts w:hint="eastAsia"/>
          <w:lang w:val="en-GB"/>
        </w:rPr>
        <w:t>医疗</w:t>
      </w:r>
    </w:p>
    <w:p w:rsidR="00E112CD" w:rsidRPr="00E112CD" w:rsidRDefault="00E112CD" w:rsidP="00F3666B">
      <w:pPr>
        <w:pStyle w:val="SingleTxtGC"/>
        <w:tabs>
          <w:tab w:val="clear" w:pos="1565"/>
        </w:tabs>
        <w:rPr>
          <w:lang w:val="en-GB"/>
        </w:rPr>
      </w:pPr>
      <w:r w:rsidRPr="00E112CD">
        <w:rPr>
          <w:lang w:val="en-GB"/>
        </w:rPr>
        <w:t>2</w:t>
      </w:r>
      <w:r w:rsidR="006E1330">
        <w:rPr>
          <w:lang w:val="en-GB"/>
        </w:rPr>
        <w:t>6.</w:t>
      </w:r>
      <w:r w:rsidR="00F3666B">
        <w:rPr>
          <w:rFonts w:hint="eastAsia"/>
          <w:lang w:val="en-GB"/>
        </w:rPr>
        <w:t xml:space="preserve">  </w:t>
      </w:r>
      <w:r w:rsidRPr="00E112CD">
        <w:rPr>
          <w:rFonts w:hint="eastAsia"/>
          <w:lang w:val="en-GB"/>
        </w:rPr>
        <w:t>人民的安康与优质医疗服务的可获得性密切相关。政府不断努力提供孕产妇和儿童的医疗保健服务及性健康和生殖健康服务</w:t>
      </w:r>
      <w:r w:rsidR="006E1330">
        <w:rPr>
          <w:rFonts w:hint="eastAsia"/>
          <w:lang w:val="en-GB"/>
        </w:rPr>
        <w:t>，</w:t>
      </w:r>
      <w:r w:rsidRPr="00E112CD">
        <w:rPr>
          <w:rFonts w:hint="eastAsia"/>
          <w:lang w:val="en-GB"/>
        </w:rPr>
        <w:t>包括性病和艾滋病毒</w:t>
      </w:r>
      <w:r w:rsidR="006E1330">
        <w:rPr>
          <w:lang w:val="en-GB"/>
        </w:rPr>
        <w:t>/</w:t>
      </w:r>
      <w:r w:rsidRPr="00E112CD">
        <w:rPr>
          <w:rFonts w:hint="eastAsia"/>
          <w:lang w:val="en-GB"/>
        </w:rPr>
        <w:t>艾滋病防治服务</w:t>
      </w:r>
      <w:r w:rsidR="006E1330">
        <w:rPr>
          <w:rFonts w:hint="eastAsia"/>
          <w:lang w:val="en-GB"/>
        </w:rPr>
        <w:t>，</w:t>
      </w:r>
      <w:r w:rsidRPr="00E112CD">
        <w:rPr>
          <w:rFonts w:hint="eastAsia"/>
          <w:lang w:val="en-GB"/>
        </w:rPr>
        <w:t>已经提高了计划生育服务、癌症预防方案及青少年健康方案的总体获得机会</w:t>
      </w:r>
      <w:r w:rsidR="006E1330">
        <w:rPr>
          <w:rFonts w:hint="eastAsia"/>
          <w:lang w:val="en-GB"/>
        </w:rPr>
        <w:t>，</w:t>
      </w:r>
      <w:r w:rsidRPr="00E112CD">
        <w:rPr>
          <w:rFonts w:hint="eastAsia"/>
          <w:lang w:val="en-GB"/>
        </w:rPr>
        <w:t>使人们更加健康。为了进一步改善公共医疗服务</w:t>
      </w:r>
      <w:r w:rsidR="006E1330">
        <w:rPr>
          <w:rFonts w:hint="eastAsia"/>
          <w:lang w:val="en-GB"/>
        </w:rPr>
        <w:t>，</w:t>
      </w:r>
      <w:r w:rsidRPr="00E112CD">
        <w:rPr>
          <w:rFonts w:hint="eastAsia"/>
          <w:lang w:val="en-GB"/>
        </w:rPr>
        <w:t>在</w:t>
      </w:r>
      <w:r w:rsidRPr="00E112CD">
        <w:rPr>
          <w:lang w:val="en-GB"/>
        </w:rPr>
        <w:t>2014</w:t>
      </w:r>
      <w:r w:rsidRPr="00E112CD">
        <w:rPr>
          <w:rFonts w:hint="eastAsia"/>
          <w:lang w:val="en-GB"/>
        </w:rPr>
        <w:t>年的预算中为建设和改造医院、增加医生和护士数量及增加药品和设备供应划拨了</w:t>
      </w:r>
      <w:r w:rsidRPr="00E112CD">
        <w:rPr>
          <w:lang w:val="en-GB"/>
        </w:rPr>
        <w:t>68</w:t>
      </w:r>
      <w:r w:rsidRPr="00E112CD">
        <w:rPr>
          <w:rFonts w:hint="eastAsia"/>
          <w:lang w:val="en-GB"/>
        </w:rPr>
        <w:t>亿美元</w:t>
      </w:r>
      <w:r w:rsidR="006E1330">
        <w:rPr>
          <w:lang w:val="en-GB"/>
        </w:rPr>
        <w:t>(</w:t>
      </w:r>
      <w:r w:rsidRPr="00E112CD">
        <w:rPr>
          <w:lang w:val="en-GB"/>
        </w:rPr>
        <w:t>22</w:t>
      </w:r>
      <w:r w:rsidR="006E1330">
        <w:rPr>
          <w:lang w:val="en-GB"/>
        </w:rPr>
        <w:t>1.</w:t>
      </w:r>
      <w:r w:rsidRPr="00E112CD">
        <w:rPr>
          <w:lang w:val="en-GB"/>
        </w:rPr>
        <w:t>6</w:t>
      </w:r>
      <w:r w:rsidRPr="00E112CD">
        <w:rPr>
          <w:rFonts w:hint="eastAsia"/>
          <w:lang w:val="en-GB"/>
        </w:rPr>
        <w:t>亿林吉特林吉特</w:t>
      </w:r>
      <w:r w:rsidR="006E1330">
        <w:rPr>
          <w:lang w:val="en-GB"/>
        </w:rPr>
        <w:t>)</w:t>
      </w:r>
      <w:r w:rsidRPr="00E112CD">
        <w:rPr>
          <w:rFonts w:hint="eastAsia"/>
          <w:lang w:val="en-GB"/>
        </w:rPr>
        <w:t>。随着政府努力改善医疗保健服务</w:t>
      </w:r>
      <w:r w:rsidR="006E1330">
        <w:rPr>
          <w:rFonts w:hint="eastAsia"/>
          <w:lang w:val="en-GB"/>
        </w:rPr>
        <w:t>，</w:t>
      </w:r>
      <w:r w:rsidRPr="00E112CD">
        <w:rPr>
          <w:rFonts w:hint="eastAsia"/>
          <w:lang w:val="en-GB"/>
        </w:rPr>
        <w:t>每个医生服务的人口数量得到改善</w:t>
      </w:r>
      <w:r w:rsidR="006E1330">
        <w:rPr>
          <w:rFonts w:hint="eastAsia"/>
          <w:lang w:val="en-GB"/>
        </w:rPr>
        <w:t>，</w:t>
      </w:r>
      <w:r w:rsidRPr="00E112CD">
        <w:rPr>
          <w:lang w:val="en-GB"/>
        </w:rPr>
        <w:t>2010</w:t>
      </w:r>
      <w:r w:rsidRPr="00E112CD">
        <w:rPr>
          <w:rFonts w:hint="eastAsia"/>
          <w:lang w:val="en-GB"/>
        </w:rPr>
        <w:t>年为</w:t>
      </w:r>
      <w:r w:rsidRPr="00E112CD">
        <w:rPr>
          <w:lang w:val="en-GB"/>
        </w:rPr>
        <w:t>886</w:t>
      </w:r>
      <w:r w:rsidRPr="00E112CD">
        <w:rPr>
          <w:rFonts w:hint="eastAsia"/>
          <w:lang w:val="en-GB"/>
        </w:rPr>
        <w:t>人</w:t>
      </w:r>
      <w:r w:rsidR="006E1330">
        <w:rPr>
          <w:rFonts w:hint="eastAsia"/>
          <w:lang w:val="en-GB"/>
        </w:rPr>
        <w:t>，</w:t>
      </w:r>
      <w:r w:rsidRPr="00E112CD">
        <w:rPr>
          <w:lang w:val="en-GB"/>
        </w:rPr>
        <w:t>2014</w:t>
      </w:r>
      <w:r w:rsidRPr="00E112CD">
        <w:rPr>
          <w:rFonts w:hint="eastAsia"/>
          <w:lang w:val="en-GB"/>
        </w:rPr>
        <w:t>年为</w:t>
      </w:r>
      <w:r w:rsidRPr="00E112CD">
        <w:rPr>
          <w:lang w:val="en-GB"/>
        </w:rPr>
        <w:t>630</w:t>
      </w:r>
      <w:r w:rsidRPr="00E112CD">
        <w:rPr>
          <w:rFonts w:hint="eastAsia"/>
          <w:lang w:val="en-GB"/>
        </w:rPr>
        <w:t>人。</w:t>
      </w:r>
    </w:p>
    <w:p w:rsidR="00E112CD" w:rsidRPr="00E112CD" w:rsidRDefault="00E112CD" w:rsidP="00F3666B">
      <w:pPr>
        <w:pStyle w:val="H23GC"/>
        <w:rPr>
          <w:lang w:val="en-GB"/>
        </w:rPr>
      </w:pPr>
      <w:r w:rsidRPr="00E112CD">
        <w:rPr>
          <w:lang w:val="en-GB"/>
        </w:rPr>
        <w:tab/>
      </w:r>
      <w:r w:rsidR="006E1330">
        <w:rPr>
          <w:lang w:val="en-GB"/>
        </w:rPr>
        <w:t>4.</w:t>
      </w:r>
      <w:r w:rsidRPr="00E112CD">
        <w:rPr>
          <w:lang w:val="en-GB"/>
        </w:rPr>
        <w:tab/>
      </w:r>
      <w:r w:rsidRPr="00E112CD">
        <w:rPr>
          <w:rFonts w:hint="eastAsia"/>
          <w:lang w:val="en-GB"/>
        </w:rPr>
        <w:t>劳动与就业</w:t>
      </w:r>
    </w:p>
    <w:p w:rsidR="00E112CD" w:rsidRPr="00E112CD" w:rsidRDefault="00E112CD" w:rsidP="00E112CD">
      <w:pPr>
        <w:pStyle w:val="SingleTxtGC"/>
        <w:rPr>
          <w:lang w:val="en-GB"/>
        </w:rPr>
      </w:pPr>
      <w:r w:rsidRPr="00E112CD">
        <w:rPr>
          <w:lang w:val="en-GB"/>
        </w:rPr>
        <w:t>2</w:t>
      </w:r>
      <w:r w:rsidR="006E1330">
        <w:rPr>
          <w:lang w:val="en-GB"/>
        </w:rPr>
        <w:t>7.</w:t>
      </w:r>
      <w:r w:rsidR="00F3666B">
        <w:rPr>
          <w:rFonts w:hint="eastAsia"/>
          <w:lang w:val="en-GB"/>
        </w:rPr>
        <w:t xml:space="preserve">  </w:t>
      </w:r>
      <w:r w:rsidRPr="00E112CD">
        <w:rPr>
          <w:lang w:val="en-GB"/>
        </w:rPr>
        <w:t>2014</w:t>
      </w:r>
      <w:r w:rsidRPr="00E112CD">
        <w:rPr>
          <w:rFonts w:hint="eastAsia"/>
          <w:lang w:val="en-GB"/>
        </w:rPr>
        <w:t>年</w:t>
      </w:r>
      <w:r w:rsidR="006E1330">
        <w:rPr>
          <w:rFonts w:hint="eastAsia"/>
          <w:lang w:val="en-GB"/>
        </w:rPr>
        <w:t>，</w:t>
      </w:r>
      <w:r w:rsidRPr="00E112CD">
        <w:rPr>
          <w:rFonts w:hint="eastAsia"/>
          <w:lang w:val="en-GB"/>
        </w:rPr>
        <w:t>马来西亚的劳动力总数</w:t>
      </w:r>
      <w:r w:rsidR="00F3666B">
        <w:rPr>
          <w:rStyle w:val="FootnoteReference"/>
          <w:lang w:val="en-GB"/>
        </w:rPr>
        <w:footnoteReference w:id="8"/>
      </w:r>
      <w:r w:rsidR="00F3666B" w:rsidRPr="00F3666B">
        <w:rPr>
          <w:rFonts w:hint="eastAsia"/>
          <w:vertAlign w:val="superscript"/>
          <w:lang w:val="en-GB"/>
        </w:rPr>
        <w:t xml:space="preserve"> </w:t>
      </w:r>
      <w:r w:rsidRPr="00E112CD">
        <w:rPr>
          <w:rFonts w:hint="eastAsia"/>
          <w:lang w:val="en-GB"/>
        </w:rPr>
        <w:t>为</w:t>
      </w:r>
      <w:r w:rsidR="006E1330">
        <w:rPr>
          <w:lang w:val="en-GB"/>
        </w:rPr>
        <w:t>1,</w:t>
      </w:r>
      <w:r w:rsidRPr="00E112CD">
        <w:rPr>
          <w:lang w:val="en-GB"/>
        </w:rPr>
        <w:t>390</w:t>
      </w:r>
      <w:r w:rsidRPr="00E112CD">
        <w:rPr>
          <w:rFonts w:hint="eastAsia"/>
          <w:lang w:val="en-GB"/>
        </w:rPr>
        <w:t>万。</w:t>
      </w:r>
      <w:r w:rsidRPr="00E112CD">
        <w:rPr>
          <w:lang w:val="en-GB"/>
        </w:rPr>
        <w:t>1990</w:t>
      </w:r>
      <w:r w:rsidRPr="00E112CD">
        <w:rPr>
          <w:rFonts w:hint="eastAsia"/>
          <w:lang w:val="en-GB"/>
        </w:rPr>
        <w:t>年</w:t>
      </w:r>
      <w:r w:rsidR="006E1330">
        <w:rPr>
          <w:rFonts w:hint="eastAsia"/>
          <w:lang w:val="en-GB"/>
        </w:rPr>
        <w:t>，</w:t>
      </w:r>
      <w:r w:rsidRPr="00E112CD">
        <w:rPr>
          <w:rFonts w:hint="eastAsia"/>
          <w:lang w:val="en-GB"/>
        </w:rPr>
        <w:t>失业率为</w:t>
      </w:r>
      <w:r w:rsidR="006E1330">
        <w:rPr>
          <w:lang w:val="en-GB"/>
        </w:rPr>
        <w:t>5.</w:t>
      </w:r>
      <w:r w:rsidRPr="00E112CD">
        <w:rPr>
          <w:lang w:val="en-GB"/>
        </w:rPr>
        <w:t>1</w:t>
      </w:r>
      <w:r w:rsidR="006E1330">
        <w:rPr>
          <w:lang w:val="en-GB"/>
        </w:rPr>
        <w:t>%</w:t>
      </w:r>
      <w:r w:rsidR="006E1330">
        <w:rPr>
          <w:rFonts w:hint="eastAsia"/>
          <w:lang w:val="en-GB"/>
        </w:rPr>
        <w:t>；</w:t>
      </w:r>
      <w:r w:rsidRPr="00E112CD">
        <w:rPr>
          <w:lang w:val="en-GB"/>
        </w:rPr>
        <w:t>2014</w:t>
      </w:r>
      <w:r w:rsidRPr="00E112CD">
        <w:rPr>
          <w:rFonts w:hint="eastAsia"/>
          <w:lang w:val="en-GB"/>
        </w:rPr>
        <w:t>年</w:t>
      </w:r>
      <w:r w:rsidR="006E1330">
        <w:rPr>
          <w:rFonts w:hint="eastAsia"/>
          <w:lang w:val="en-GB"/>
        </w:rPr>
        <w:t>，</w:t>
      </w:r>
      <w:r w:rsidRPr="00E112CD">
        <w:rPr>
          <w:rFonts w:hint="eastAsia"/>
          <w:lang w:val="en-GB"/>
        </w:rPr>
        <w:t>失业率降至</w:t>
      </w:r>
      <w:r w:rsidR="006E1330">
        <w:rPr>
          <w:lang w:val="en-GB"/>
        </w:rPr>
        <w:t>2.</w:t>
      </w:r>
      <w:r w:rsidRPr="00E112CD">
        <w:rPr>
          <w:lang w:val="en-GB"/>
        </w:rPr>
        <w:t>9</w:t>
      </w:r>
      <w:r w:rsidR="006E1330">
        <w:rPr>
          <w:lang w:val="en-GB"/>
        </w:rPr>
        <w:t>%</w:t>
      </w:r>
      <w:r w:rsidRPr="00E112CD">
        <w:rPr>
          <w:rFonts w:hint="eastAsia"/>
          <w:lang w:val="en-GB"/>
        </w:rPr>
        <w:t>。为了支持经济转型</w:t>
      </w:r>
      <w:r w:rsidR="006E1330">
        <w:rPr>
          <w:rFonts w:hint="eastAsia"/>
          <w:lang w:val="en-GB"/>
        </w:rPr>
        <w:t>，</w:t>
      </w:r>
      <w:r w:rsidRPr="00E112CD">
        <w:rPr>
          <w:rFonts w:hint="eastAsia"/>
          <w:lang w:val="en-GB"/>
        </w:rPr>
        <w:t>劳动力需要更高的技能和新技能</w:t>
      </w:r>
      <w:r w:rsidR="006E1330">
        <w:rPr>
          <w:rFonts w:hint="eastAsia"/>
          <w:lang w:val="en-GB"/>
        </w:rPr>
        <w:t>，</w:t>
      </w:r>
      <w:r w:rsidRPr="00E112CD">
        <w:rPr>
          <w:rFonts w:hint="eastAsia"/>
          <w:lang w:val="en-GB"/>
        </w:rPr>
        <w:t>才能受益于各种就业机会。</w:t>
      </w:r>
    </w:p>
    <w:p w:rsidR="00E112CD" w:rsidRPr="00E112CD" w:rsidRDefault="00E112CD" w:rsidP="00E112CD">
      <w:pPr>
        <w:pStyle w:val="SingleTxtGC"/>
        <w:rPr>
          <w:lang w:val="en-GB"/>
        </w:rPr>
      </w:pPr>
      <w:r w:rsidRPr="00E112CD">
        <w:rPr>
          <w:lang w:val="en-GB"/>
        </w:rPr>
        <w:t>2</w:t>
      </w:r>
      <w:r w:rsidR="006E1330">
        <w:rPr>
          <w:lang w:val="en-GB"/>
        </w:rPr>
        <w:t>8.</w:t>
      </w:r>
      <w:r w:rsidR="00F3666B">
        <w:rPr>
          <w:rFonts w:hint="eastAsia"/>
          <w:lang w:val="en-GB"/>
        </w:rPr>
        <w:t xml:space="preserve">  </w:t>
      </w:r>
      <w:r w:rsidRPr="00E112CD">
        <w:rPr>
          <w:rFonts w:hint="eastAsia"/>
          <w:lang w:val="en-GB"/>
        </w:rPr>
        <w:t>为确保员工获得公平报酬而采取的措施之一是</w:t>
      </w:r>
      <w:r w:rsidR="006E1330">
        <w:rPr>
          <w:rFonts w:hint="eastAsia"/>
          <w:lang w:val="en-GB"/>
        </w:rPr>
        <w:t>，</w:t>
      </w:r>
      <w:r w:rsidRPr="00E112CD">
        <w:rPr>
          <w:lang w:val="en-GB"/>
        </w:rPr>
        <w:t>2011</w:t>
      </w:r>
      <w:r w:rsidRPr="00E112CD">
        <w:rPr>
          <w:rFonts w:hint="eastAsia"/>
          <w:lang w:val="en-GB"/>
        </w:rPr>
        <w:t>年</w:t>
      </w:r>
      <w:r w:rsidRPr="00E112CD">
        <w:rPr>
          <w:lang w:val="en-GB"/>
        </w:rPr>
        <w:t>8</w:t>
      </w:r>
      <w:r w:rsidRPr="00E112CD">
        <w:rPr>
          <w:rFonts w:hint="eastAsia"/>
          <w:lang w:val="en-GB"/>
        </w:rPr>
        <w:t>月</w:t>
      </w:r>
      <w:r w:rsidRPr="00E112CD">
        <w:rPr>
          <w:lang w:val="en-GB"/>
        </w:rPr>
        <w:t>26</w:t>
      </w:r>
      <w:r w:rsidRPr="00E112CD">
        <w:rPr>
          <w:rFonts w:hint="eastAsia"/>
          <w:lang w:val="en-GB"/>
        </w:rPr>
        <w:t>日通过了</w:t>
      </w:r>
      <w:r w:rsidRPr="00E112CD">
        <w:rPr>
          <w:lang w:val="en-GB"/>
        </w:rPr>
        <w:t>2011</w:t>
      </w:r>
      <w:r w:rsidRPr="00E112CD">
        <w:rPr>
          <w:rFonts w:hint="eastAsia"/>
          <w:lang w:val="en-GB"/>
        </w:rPr>
        <w:t>年《国家工资协商委员会法》</w:t>
      </w:r>
      <w:r w:rsidR="006E1330">
        <w:rPr>
          <w:rFonts w:hint="eastAsia"/>
          <w:lang w:val="en-GB"/>
        </w:rPr>
        <w:t>，</w:t>
      </w:r>
      <w:r w:rsidRPr="00E112CD">
        <w:rPr>
          <w:rFonts w:hint="eastAsia"/>
          <w:lang w:val="en-GB"/>
        </w:rPr>
        <w:t>为建立国家工资协商委员会铺平了道路。除其他外</w:t>
      </w:r>
      <w:r w:rsidR="006E1330">
        <w:rPr>
          <w:rFonts w:hint="eastAsia"/>
          <w:lang w:val="en-GB"/>
        </w:rPr>
        <w:t>，</w:t>
      </w:r>
      <w:r w:rsidRPr="00E112CD">
        <w:rPr>
          <w:rFonts w:hint="eastAsia"/>
          <w:lang w:val="en-GB"/>
        </w:rPr>
        <w:t>该委员会的职责尤其包括在与最低工资有关的所有问题上向政府提建议</w:t>
      </w:r>
      <w:r w:rsidR="006E1330">
        <w:rPr>
          <w:rFonts w:hint="eastAsia"/>
          <w:lang w:val="en-GB"/>
        </w:rPr>
        <w:t>，</w:t>
      </w:r>
      <w:r w:rsidRPr="00E112CD">
        <w:rPr>
          <w:rFonts w:hint="eastAsia"/>
          <w:lang w:val="en-GB"/>
        </w:rPr>
        <w:t>包括国家的最低工资和覆盖范围。</w:t>
      </w:r>
    </w:p>
    <w:p w:rsidR="00E112CD" w:rsidRPr="00E112CD" w:rsidRDefault="00E112CD" w:rsidP="00E112CD">
      <w:pPr>
        <w:pStyle w:val="SingleTxtGC"/>
        <w:rPr>
          <w:lang w:val="en-GB"/>
        </w:rPr>
      </w:pPr>
      <w:r w:rsidRPr="00E112CD">
        <w:rPr>
          <w:lang w:val="en-GB"/>
        </w:rPr>
        <w:t>2</w:t>
      </w:r>
      <w:r w:rsidR="006E1330">
        <w:rPr>
          <w:lang w:val="en-GB"/>
        </w:rPr>
        <w:t>9.</w:t>
      </w:r>
      <w:r w:rsidR="00F3666B">
        <w:rPr>
          <w:rFonts w:hint="eastAsia"/>
          <w:lang w:val="en-GB"/>
        </w:rPr>
        <w:t xml:space="preserve">  </w:t>
      </w:r>
      <w:r w:rsidRPr="00E112CD">
        <w:rPr>
          <w:rFonts w:hint="eastAsia"/>
          <w:lang w:val="en-GB"/>
        </w:rPr>
        <w:t>国家工资协商委员会成立之后</w:t>
      </w:r>
      <w:r w:rsidR="006E1330">
        <w:rPr>
          <w:rFonts w:hint="eastAsia"/>
          <w:lang w:val="en-GB"/>
        </w:rPr>
        <w:t>，</w:t>
      </w:r>
      <w:r w:rsidRPr="00E112CD">
        <w:rPr>
          <w:rFonts w:hint="eastAsia"/>
          <w:lang w:val="en-GB"/>
        </w:rPr>
        <w:t>与社会合作伙伴进行了广泛的讨论和磋商</w:t>
      </w:r>
      <w:r w:rsidR="006E1330">
        <w:rPr>
          <w:rFonts w:hint="eastAsia"/>
          <w:lang w:val="en-GB"/>
        </w:rPr>
        <w:t>，</w:t>
      </w:r>
      <w:r w:rsidRPr="00E112CD">
        <w:rPr>
          <w:rFonts w:hint="eastAsia"/>
          <w:lang w:val="en-GB"/>
        </w:rPr>
        <w:t>对有关的社会经济信息进行了详尽的研究</w:t>
      </w:r>
      <w:r w:rsidR="006E1330">
        <w:rPr>
          <w:rFonts w:hint="eastAsia"/>
          <w:lang w:val="en-GB"/>
        </w:rPr>
        <w:t>，</w:t>
      </w:r>
      <w:r w:rsidRPr="00E112CD">
        <w:rPr>
          <w:rFonts w:hint="eastAsia"/>
          <w:lang w:val="en-GB"/>
        </w:rPr>
        <w:t>然后向政府提出了关于最低工资标准的建议。政府在公报上登载了“</w:t>
      </w:r>
      <w:r w:rsidRPr="00E112CD">
        <w:rPr>
          <w:lang w:val="en-GB"/>
        </w:rPr>
        <w:t>2012</w:t>
      </w:r>
      <w:r w:rsidRPr="00E112CD">
        <w:rPr>
          <w:rFonts w:hint="eastAsia"/>
          <w:lang w:val="en-GB"/>
        </w:rPr>
        <w:t>年最低工资命令”</w:t>
      </w:r>
      <w:r w:rsidR="006E1330">
        <w:rPr>
          <w:rFonts w:hint="eastAsia"/>
          <w:lang w:val="en-GB"/>
        </w:rPr>
        <w:t>，</w:t>
      </w:r>
      <w:r w:rsidRPr="00E112CD">
        <w:rPr>
          <w:rFonts w:hint="eastAsia"/>
          <w:lang w:val="en-GB"/>
        </w:rPr>
        <w:t>规定在马来西亚半岛最低工资为</w:t>
      </w:r>
      <w:r w:rsidRPr="00E112CD">
        <w:rPr>
          <w:lang w:val="en-GB"/>
        </w:rPr>
        <w:t>900</w:t>
      </w:r>
      <w:r w:rsidRPr="00E112CD">
        <w:rPr>
          <w:rFonts w:hint="eastAsia"/>
          <w:lang w:val="en-GB"/>
        </w:rPr>
        <w:t>林吉特</w:t>
      </w:r>
      <w:r w:rsidR="006E1330">
        <w:rPr>
          <w:rFonts w:hint="eastAsia"/>
          <w:lang w:val="en-GB"/>
        </w:rPr>
        <w:t>，</w:t>
      </w:r>
      <w:r w:rsidRPr="00E112CD">
        <w:rPr>
          <w:rFonts w:hint="eastAsia"/>
          <w:lang w:val="en-GB"/>
        </w:rPr>
        <w:t>在沙巴、沙捞越及纳闽联邦直辖区最低工资为</w:t>
      </w:r>
      <w:r w:rsidRPr="00E112CD">
        <w:rPr>
          <w:lang w:val="en-GB"/>
        </w:rPr>
        <w:t>800</w:t>
      </w:r>
      <w:r w:rsidRPr="00E112CD">
        <w:rPr>
          <w:rFonts w:hint="eastAsia"/>
          <w:lang w:val="en-GB"/>
        </w:rPr>
        <w:t>林吉特。对于雇用超过</w:t>
      </w:r>
      <w:r w:rsidRPr="00E112CD">
        <w:rPr>
          <w:lang w:val="en-GB"/>
        </w:rPr>
        <w:t>5</w:t>
      </w:r>
      <w:r w:rsidRPr="00E112CD">
        <w:rPr>
          <w:rFonts w:hint="eastAsia"/>
          <w:lang w:val="en-GB"/>
        </w:rPr>
        <w:t>个工人的雇主</w:t>
      </w:r>
      <w:r w:rsidR="006E1330">
        <w:rPr>
          <w:rFonts w:hint="eastAsia"/>
          <w:lang w:val="en-GB"/>
        </w:rPr>
        <w:t>，</w:t>
      </w:r>
      <w:r w:rsidRPr="00E112CD">
        <w:rPr>
          <w:rFonts w:hint="eastAsia"/>
          <w:lang w:val="en-GB"/>
        </w:rPr>
        <w:t>该命令的生效日期是</w:t>
      </w:r>
      <w:r w:rsidRPr="00E112CD">
        <w:rPr>
          <w:lang w:val="en-GB"/>
        </w:rPr>
        <w:t>2013</w:t>
      </w:r>
      <w:r w:rsidRPr="00E112CD">
        <w:rPr>
          <w:rFonts w:hint="eastAsia"/>
          <w:lang w:val="en-GB"/>
        </w:rPr>
        <w:t>年</w:t>
      </w:r>
      <w:r w:rsidRPr="00E112CD">
        <w:rPr>
          <w:lang w:val="en-GB"/>
        </w:rPr>
        <w:t>1</w:t>
      </w:r>
      <w:r w:rsidRPr="00E112CD">
        <w:rPr>
          <w:rFonts w:hint="eastAsia"/>
          <w:lang w:val="en-GB"/>
        </w:rPr>
        <w:t>月</w:t>
      </w:r>
      <w:r w:rsidRPr="00E112CD">
        <w:rPr>
          <w:lang w:val="en-GB"/>
        </w:rPr>
        <w:t>1</w:t>
      </w:r>
      <w:r w:rsidRPr="00E112CD">
        <w:rPr>
          <w:rFonts w:hint="eastAsia"/>
          <w:lang w:val="en-GB"/>
        </w:rPr>
        <w:t>日</w:t>
      </w:r>
      <w:r w:rsidR="006E1330">
        <w:rPr>
          <w:rFonts w:hint="eastAsia"/>
          <w:lang w:val="en-GB"/>
        </w:rPr>
        <w:t>；</w:t>
      </w:r>
      <w:r w:rsidRPr="00E112CD">
        <w:rPr>
          <w:rFonts w:hint="eastAsia"/>
          <w:lang w:val="en-GB"/>
        </w:rPr>
        <w:t>对于雇佣</w:t>
      </w:r>
      <w:r w:rsidRPr="00E112CD">
        <w:rPr>
          <w:lang w:val="en-GB"/>
        </w:rPr>
        <w:t>5</w:t>
      </w:r>
      <w:r w:rsidRPr="00E112CD">
        <w:rPr>
          <w:rFonts w:hint="eastAsia"/>
          <w:lang w:val="en-GB"/>
        </w:rPr>
        <w:t>个或</w:t>
      </w:r>
      <w:r w:rsidRPr="00E112CD">
        <w:rPr>
          <w:lang w:val="en-GB"/>
        </w:rPr>
        <w:t>5</w:t>
      </w:r>
      <w:r w:rsidRPr="00E112CD">
        <w:rPr>
          <w:rFonts w:hint="eastAsia"/>
          <w:lang w:val="en-GB"/>
        </w:rPr>
        <w:t>个以下工人的雇主</w:t>
      </w:r>
      <w:r w:rsidR="006E1330">
        <w:rPr>
          <w:rFonts w:hint="eastAsia"/>
          <w:lang w:val="en-GB"/>
        </w:rPr>
        <w:t>，</w:t>
      </w:r>
      <w:r w:rsidRPr="00E112CD">
        <w:rPr>
          <w:rFonts w:hint="eastAsia"/>
          <w:lang w:val="en-GB"/>
        </w:rPr>
        <w:t>不包括专业公司</w:t>
      </w:r>
      <w:r w:rsidR="006E1330">
        <w:rPr>
          <w:rFonts w:hint="eastAsia"/>
          <w:lang w:val="en-GB"/>
        </w:rPr>
        <w:t>，</w:t>
      </w:r>
      <w:r w:rsidRPr="00E112CD">
        <w:rPr>
          <w:rFonts w:hint="eastAsia"/>
          <w:lang w:val="en-GB"/>
        </w:rPr>
        <w:t>该命令的生效日期是</w:t>
      </w:r>
      <w:r w:rsidRPr="00E112CD">
        <w:rPr>
          <w:lang w:val="en-GB"/>
        </w:rPr>
        <w:t>2013</w:t>
      </w:r>
      <w:r w:rsidRPr="00E112CD">
        <w:rPr>
          <w:rFonts w:hint="eastAsia"/>
          <w:lang w:val="en-GB"/>
        </w:rPr>
        <w:t>年</w:t>
      </w:r>
      <w:r w:rsidRPr="00E112CD">
        <w:rPr>
          <w:lang w:val="en-GB"/>
        </w:rPr>
        <w:t>7</w:t>
      </w:r>
      <w:r w:rsidRPr="00E112CD">
        <w:rPr>
          <w:rFonts w:hint="eastAsia"/>
          <w:lang w:val="en-GB"/>
        </w:rPr>
        <w:t>月</w:t>
      </w:r>
      <w:r w:rsidRPr="00E112CD">
        <w:rPr>
          <w:lang w:val="en-GB"/>
        </w:rPr>
        <w:t>1</w:t>
      </w:r>
      <w:r w:rsidRPr="00E112CD">
        <w:rPr>
          <w:rFonts w:hint="eastAsia"/>
          <w:lang w:val="en-GB"/>
        </w:rPr>
        <w:t>日。“</w:t>
      </w:r>
      <w:r w:rsidRPr="00E112CD">
        <w:rPr>
          <w:lang w:val="en-GB"/>
        </w:rPr>
        <w:t>2012</w:t>
      </w:r>
      <w:r w:rsidRPr="00E112CD">
        <w:rPr>
          <w:rFonts w:hint="eastAsia"/>
          <w:lang w:val="en-GB"/>
        </w:rPr>
        <w:t>年最低工资命令”涵盖所有经济行业和所有职业类型的所有私营部门工人</w:t>
      </w:r>
      <w:r w:rsidR="006E1330">
        <w:rPr>
          <w:rFonts w:hint="eastAsia"/>
          <w:lang w:val="en-GB"/>
        </w:rPr>
        <w:t>，</w:t>
      </w:r>
      <w:r w:rsidRPr="00E112CD">
        <w:rPr>
          <w:rFonts w:hint="eastAsia"/>
          <w:lang w:val="en-GB"/>
        </w:rPr>
        <w:t>不包括家庭佣工。</w:t>
      </w:r>
    </w:p>
    <w:p w:rsidR="00E112CD" w:rsidRPr="00E112CD" w:rsidRDefault="00E112CD" w:rsidP="00E112CD">
      <w:pPr>
        <w:pStyle w:val="SingleTxtGC"/>
        <w:rPr>
          <w:lang w:val="en-GB"/>
        </w:rPr>
      </w:pPr>
      <w:r w:rsidRPr="00E112CD">
        <w:rPr>
          <w:lang w:val="en-GB"/>
        </w:rPr>
        <w:t>3</w:t>
      </w:r>
      <w:r w:rsidR="006E1330">
        <w:rPr>
          <w:lang w:val="en-GB"/>
        </w:rPr>
        <w:t>0.</w:t>
      </w:r>
      <w:r w:rsidR="00F3666B">
        <w:rPr>
          <w:rFonts w:hint="eastAsia"/>
          <w:lang w:val="en-GB"/>
        </w:rPr>
        <w:t xml:space="preserve">  </w:t>
      </w:r>
      <w:r w:rsidRPr="00E112CD">
        <w:rPr>
          <w:rFonts w:hint="eastAsia"/>
          <w:lang w:val="en-GB"/>
        </w:rPr>
        <w:t>根据《</w:t>
      </w:r>
      <w:r w:rsidRPr="00E112CD">
        <w:rPr>
          <w:lang w:val="en-GB"/>
        </w:rPr>
        <w:t>2011</w:t>
      </w:r>
      <w:r w:rsidRPr="00E112CD">
        <w:rPr>
          <w:rFonts w:hint="eastAsia"/>
          <w:lang w:val="en-GB"/>
        </w:rPr>
        <w:t>年国家工资协商委员会法》的规定</w:t>
      </w:r>
      <w:r w:rsidR="006E1330">
        <w:rPr>
          <w:rFonts w:hint="eastAsia"/>
          <w:lang w:val="en-GB"/>
        </w:rPr>
        <w:t>，</w:t>
      </w:r>
      <w:r w:rsidRPr="00E112CD">
        <w:rPr>
          <w:rFonts w:hint="eastAsia"/>
          <w:lang w:val="en-GB"/>
        </w:rPr>
        <w:t>对“</w:t>
      </w:r>
      <w:r w:rsidRPr="00E112CD">
        <w:rPr>
          <w:lang w:val="en-GB"/>
        </w:rPr>
        <w:t>2012</w:t>
      </w:r>
      <w:r w:rsidRPr="00E112CD">
        <w:rPr>
          <w:rFonts w:hint="eastAsia"/>
          <w:lang w:val="en-GB"/>
        </w:rPr>
        <w:t>年最低工资命令”进行了审查</w:t>
      </w:r>
      <w:r w:rsidR="006E1330">
        <w:rPr>
          <w:rFonts w:hint="eastAsia"/>
          <w:lang w:val="en-GB"/>
        </w:rPr>
        <w:t>，</w:t>
      </w:r>
      <w:r w:rsidRPr="00E112CD">
        <w:rPr>
          <w:rFonts w:hint="eastAsia"/>
          <w:lang w:val="en-GB"/>
        </w:rPr>
        <w:t>根据国家工资协商委员会的建议</w:t>
      </w:r>
      <w:r w:rsidR="006E1330">
        <w:rPr>
          <w:rFonts w:hint="eastAsia"/>
          <w:lang w:val="en-GB"/>
        </w:rPr>
        <w:t>，</w:t>
      </w:r>
      <w:r w:rsidRPr="00E112CD">
        <w:rPr>
          <w:rFonts w:hint="eastAsia"/>
          <w:lang w:val="en-GB"/>
        </w:rPr>
        <w:t>政府同意在马来西亚半岛将最低工资从每月</w:t>
      </w:r>
      <w:r w:rsidRPr="00E112CD">
        <w:rPr>
          <w:lang w:val="en-GB"/>
        </w:rPr>
        <w:t>900</w:t>
      </w:r>
      <w:r w:rsidRPr="00E112CD">
        <w:rPr>
          <w:rFonts w:hint="eastAsia"/>
          <w:lang w:val="en-GB"/>
        </w:rPr>
        <w:t>林吉特增至每月</w:t>
      </w:r>
      <w:r w:rsidR="006E1330">
        <w:rPr>
          <w:lang w:val="en-GB"/>
        </w:rPr>
        <w:t>1,</w:t>
      </w:r>
      <w:r w:rsidRPr="00E112CD">
        <w:rPr>
          <w:lang w:val="en-GB"/>
        </w:rPr>
        <w:t>000</w:t>
      </w:r>
      <w:r w:rsidRPr="00E112CD">
        <w:rPr>
          <w:rFonts w:hint="eastAsia"/>
          <w:lang w:val="en-GB"/>
        </w:rPr>
        <w:t>林吉特</w:t>
      </w:r>
      <w:r w:rsidR="006E1330">
        <w:rPr>
          <w:rFonts w:hint="eastAsia"/>
          <w:lang w:val="en-GB"/>
        </w:rPr>
        <w:t>，</w:t>
      </w:r>
      <w:r w:rsidRPr="00E112CD">
        <w:rPr>
          <w:rFonts w:hint="eastAsia"/>
          <w:lang w:val="en-GB"/>
        </w:rPr>
        <w:t>或者从每小时</w:t>
      </w:r>
      <w:r w:rsidR="006E1330">
        <w:rPr>
          <w:lang w:val="en-GB"/>
        </w:rPr>
        <w:t>4.</w:t>
      </w:r>
      <w:r w:rsidRPr="00E112CD">
        <w:rPr>
          <w:lang w:val="en-GB"/>
        </w:rPr>
        <w:t>33</w:t>
      </w:r>
      <w:r w:rsidRPr="00E112CD">
        <w:rPr>
          <w:rFonts w:hint="eastAsia"/>
          <w:lang w:val="en-GB"/>
        </w:rPr>
        <w:t>林吉特增至每小时</w:t>
      </w:r>
      <w:r w:rsidR="006E1330">
        <w:rPr>
          <w:lang w:val="en-GB"/>
        </w:rPr>
        <w:t>4.</w:t>
      </w:r>
      <w:r w:rsidRPr="00E112CD">
        <w:rPr>
          <w:lang w:val="en-GB"/>
        </w:rPr>
        <w:t>81</w:t>
      </w:r>
      <w:r w:rsidRPr="00E112CD">
        <w:rPr>
          <w:rFonts w:hint="eastAsia"/>
          <w:lang w:val="en-GB"/>
        </w:rPr>
        <w:t>林吉特</w:t>
      </w:r>
      <w:r w:rsidR="006E1330">
        <w:rPr>
          <w:rFonts w:hint="eastAsia"/>
          <w:lang w:val="en-GB"/>
        </w:rPr>
        <w:t>；</w:t>
      </w:r>
      <w:r w:rsidRPr="00E112CD">
        <w:rPr>
          <w:rFonts w:hint="eastAsia"/>
          <w:lang w:val="en-GB"/>
        </w:rPr>
        <w:t>在沙巴、沙捞越及纳闽联邦直辖区</w:t>
      </w:r>
      <w:r w:rsidR="006E1330">
        <w:rPr>
          <w:rFonts w:hint="eastAsia"/>
          <w:lang w:val="en-GB"/>
        </w:rPr>
        <w:t>，</w:t>
      </w:r>
      <w:r w:rsidRPr="00E112CD">
        <w:rPr>
          <w:rFonts w:hint="eastAsia"/>
          <w:lang w:val="en-GB"/>
        </w:rPr>
        <w:t>从每月</w:t>
      </w:r>
      <w:r w:rsidRPr="00E112CD">
        <w:rPr>
          <w:lang w:val="en-GB"/>
        </w:rPr>
        <w:t>800</w:t>
      </w:r>
      <w:r w:rsidRPr="00E112CD">
        <w:rPr>
          <w:rFonts w:hint="eastAsia"/>
          <w:lang w:val="en-GB"/>
        </w:rPr>
        <w:t>林吉特增至每月</w:t>
      </w:r>
      <w:r w:rsidRPr="00E112CD">
        <w:rPr>
          <w:lang w:val="en-GB"/>
        </w:rPr>
        <w:t>920</w:t>
      </w:r>
      <w:r w:rsidRPr="00E112CD">
        <w:rPr>
          <w:rFonts w:hint="eastAsia"/>
          <w:lang w:val="en-GB"/>
        </w:rPr>
        <w:t>林吉特</w:t>
      </w:r>
      <w:r w:rsidR="006E1330">
        <w:rPr>
          <w:rFonts w:hint="eastAsia"/>
          <w:lang w:val="en-GB"/>
        </w:rPr>
        <w:t>，</w:t>
      </w:r>
      <w:r w:rsidRPr="00E112CD">
        <w:rPr>
          <w:rFonts w:hint="eastAsia"/>
          <w:lang w:val="en-GB"/>
        </w:rPr>
        <w:t>或者从每小时</w:t>
      </w:r>
      <w:r w:rsidR="006E1330">
        <w:rPr>
          <w:lang w:val="en-GB"/>
        </w:rPr>
        <w:t>3.</w:t>
      </w:r>
      <w:r w:rsidRPr="00E112CD">
        <w:rPr>
          <w:lang w:val="en-GB"/>
        </w:rPr>
        <w:t>85</w:t>
      </w:r>
      <w:r w:rsidRPr="00E112CD">
        <w:rPr>
          <w:rFonts w:hint="eastAsia"/>
          <w:lang w:val="en-GB"/>
        </w:rPr>
        <w:t>林吉特增至每小时</w:t>
      </w:r>
      <w:r w:rsidR="006E1330">
        <w:rPr>
          <w:lang w:val="en-GB"/>
        </w:rPr>
        <w:t>4.</w:t>
      </w:r>
      <w:r w:rsidRPr="00E112CD">
        <w:rPr>
          <w:lang w:val="en-GB"/>
        </w:rPr>
        <w:t>42</w:t>
      </w:r>
      <w:r w:rsidRPr="00E112CD">
        <w:rPr>
          <w:rFonts w:hint="eastAsia"/>
          <w:lang w:val="en-GB"/>
        </w:rPr>
        <w:t>林吉特。上述新最低工资规定将于</w:t>
      </w:r>
      <w:r w:rsidRPr="00E112CD">
        <w:rPr>
          <w:lang w:val="en-GB"/>
        </w:rPr>
        <w:t>2016</w:t>
      </w:r>
      <w:r w:rsidRPr="00E112CD">
        <w:rPr>
          <w:rFonts w:hint="eastAsia"/>
          <w:lang w:val="en-GB"/>
        </w:rPr>
        <w:t>年</w:t>
      </w:r>
      <w:r w:rsidRPr="00E112CD">
        <w:rPr>
          <w:lang w:val="en-GB"/>
        </w:rPr>
        <w:t>7</w:t>
      </w:r>
      <w:r w:rsidRPr="00E112CD">
        <w:rPr>
          <w:rFonts w:hint="eastAsia"/>
          <w:lang w:val="en-GB"/>
        </w:rPr>
        <w:t>月</w:t>
      </w:r>
      <w:r w:rsidRPr="00E112CD">
        <w:rPr>
          <w:lang w:val="en-GB"/>
        </w:rPr>
        <w:t>1</w:t>
      </w:r>
      <w:r w:rsidRPr="00E112CD">
        <w:rPr>
          <w:rFonts w:hint="eastAsia"/>
          <w:lang w:val="en-GB"/>
        </w:rPr>
        <w:t>日生效。</w:t>
      </w:r>
    </w:p>
    <w:p w:rsidR="00E112CD" w:rsidRPr="00E112CD" w:rsidRDefault="00E112CD" w:rsidP="00F3666B">
      <w:pPr>
        <w:pStyle w:val="H23GC"/>
        <w:rPr>
          <w:lang w:val="en-GB"/>
        </w:rPr>
      </w:pPr>
      <w:r w:rsidRPr="00E112CD">
        <w:rPr>
          <w:lang w:val="en-GB"/>
        </w:rPr>
        <w:tab/>
      </w:r>
      <w:r w:rsidRPr="00E112CD">
        <w:rPr>
          <w:lang w:val="en-GB"/>
        </w:rPr>
        <w:tab/>
      </w:r>
      <w:r w:rsidRPr="00E112CD">
        <w:rPr>
          <w:rFonts w:hint="eastAsia"/>
          <w:lang w:val="en-GB"/>
        </w:rPr>
        <w:t>保护外国女工</w:t>
      </w:r>
    </w:p>
    <w:p w:rsidR="00E112CD" w:rsidRPr="00E112CD" w:rsidRDefault="00E112CD" w:rsidP="00E112CD">
      <w:pPr>
        <w:pStyle w:val="SingleTxtGC"/>
        <w:rPr>
          <w:lang w:val="en-GB"/>
        </w:rPr>
      </w:pPr>
      <w:r w:rsidRPr="00E112CD">
        <w:rPr>
          <w:lang w:val="en-GB"/>
        </w:rPr>
        <w:t>3</w:t>
      </w:r>
      <w:r w:rsidR="006E1330">
        <w:rPr>
          <w:lang w:val="en-GB"/>
        </w:rPr>
        <w:t>1.</w:t>
      </w:r>
      <w:r w:rsidR="00F3666B">
        <w:rPr>
          <w:rFonts w:hint="eastAsia"/>
          <w:lang w:val="en-GB"/>
        </w:rPr>
        <w:t xml:space="preserve">  </w:t>
      </w:r>
      <w:r w:rsidRPr="00E112CD">
        <w:rPr>
          <w:lang w:val="en-GB"/>
        </w:rPr>
        <w:t>1955</w:t>
      </w:r>
      <w:r w:rsidRPr="00E112CD">
        <w:rPr>
          <w:rFonts w:hint="eastAsia"/>
          <w:lang w:val="en-GB"/>
        </w:rPr>
        <w:t>年《就业法》第</w:t>
      </w:r>
      <w:r w:rsidRPr="00E112CD">
        <w:rPr>
          <w:lang w:val="en-GB"/>
        </w:rPr>
        <w:t>69</w:t>
      </w:r>
      <w:r w:rsidRPr="00E112CD">
        <w:rPr>
          <w:rFonts w:hint="eastAsia"/>
          <w:lang w:val="en-GB"/>
        </w:rPr>
        <w:t>条规定</w:t>
      </w:r>
      <w:r w:rsidR="006E1330">
        <w:rPr>
          <w:rFonts w:hint="eastAsia"/>
          <w:lang w:val="en-GB"/>
        </w:rPr>
        <w:t>，</w:t>
      </w:r>
      <w:r w:rsidRPr="00E112CD">
        <w:rPr>
          <w:rFonts w:hint="eastAsia"/>
          <w:lang w:val="en-GB"/>
        </w:rPr>
        <w:t>本地和外国工人可以就他们的就业提出申诉和劳工案件。此外</w:t>
      </w:r>
      <w:r w:rsidR="006E1330">
        <w:rPr>
          <w:rFonts w:hint="eastAsia"/>
          <w:lang w:val="en-GB"/>
        </w:rPr>
        <w:t>，</w:t>
      </w:r>
      <w:r w:rsidRPr="00E112CD">
        <w:rPr>
          <w:lang w:val="en-GB"/>
        </w:rPr>
        <w:t>1952</w:t>
      </w:r>
      <w:r w:rsidRPr="00E112CD">
        <w:rPr>
          <w:rFonts w:hint="eastAsia"/>
          <w:lang w:val="en-GB"/>
        </w:rPr>
        <w:t>年《工人补偿法》规定</w:t>
      </w:r>
      <w:r w:rsidR="006E1330">
        <w:rPr>
          <w:rFonts w:hint="eastAsia"/>
          <w:lang w:val="en-GB"/>
        </w:rPr>
        <w:t>，</w:t>
      </w:r>
      <w:r w:rsidRPr="00E112CD">
        <w:rPr>
          <w:rFonts w:hint="eastAsia"/>
          <w:lang w:val="en-GB"/>
        </w:rPr>
        <w:t>如果在就业中发生事故</w:t>
      </w:r>
      <w:r w:rsidR="006E1330">
        <w:rPr>
          <w:rFonts w:hint="eastAsia"/>
          <w:lang w:val="en-GB"/>
        </w:rPr>
        <w:t>，</w:t>
      </w:r>
      <w:r w:rsidRPr="00E112CD">
        <w:rPr>
          <w:rFonts w:hint="eastAsia"/>
          <w:lang w:val="en-GB"/>
        </w:rPr>
        <w:t>应对外国工人提供补偿。</w:t>
      </w:r>
    </w:p>
    <w:p w:rsidR="00E112CD" w:rsidRPr="00E112CD" w:rsidRDefault="00E112CD" w:rsidP="00F3666B">
      <w:pPr>
        <w:pStyle w:val="H1GC"/>
        <w:rPr>
          <w:lang w:val="en-GB"/>
        </w:rPr>
      </w:pPr>
      <w:r w:rsidRPr="00E112CD">
        <w:rPr>
          <w:lang w:val="en-GB"/>
        </w:rPr>
        <w:tab/>
        <w:t>B.</w:t>
      </w:r>
      <w:r w:rsidRPr="00E112CD">
        <w:rPr>
          <w:lang w:val="en-GB"/>
        </w:rPr>
        <w:tab/>
      </w:r>
      <w:r w:rsidRPr="00E112CD">
        <w:rPr>
          <w:rFonts w:hint="eastAsia"/>
          <w:lang w:val="en-GB"/>
        </w:rPr>
        <w:t>宪法、政治和法律结构</w:t>
      </w:r>
    </w:p>
    <w:p w:rsidR="00E112CD" w:rsidRPr="00E112CD" w:rsidRDefault="00E112CD" w:rsidP="00E112CD">
      <w:pPr>
        <w:pStyle w:val="SingleTxtGC"/>
        <w:rPr>
          <w:lang w:val="en-GB"/>
        </w:rPr>
      </w:pPr>
      <w:r w:rsidRPr="00E112CD">
        <w:rPr>
          <w:lang w:val="en-GB"/>
        </w:rPr>
        <w:t>3</w:t>
      </w:r>
      <w:r w:rsidR="006E1330">
        <w:rPr>
          <w:lang w:val="en-GB"/>
        </w:rPr>
        <w:t>2.</w:t>
      </w:r>
      <w:r w:rsidR="00F3666B">
        <w:rPr>
          <w:rFonts w:hint="eastAsia"/>
          <w:lang w:val="en-GB"/>
        </w:rPr>
        <w:t xml:space="preserve">  </w:t>
      </w:r>
      <w:r w:rsidRPr="00E112CD">
        <w:rPr>
          <w:rFonts w:hint="eastAsia"/>
          <w:lang w:val="en-GB"/>
        </w:rPr>
        <w:t>马来西亚《联邦宪法》是马来西亚的最高法律</w:t>
      </w:r>
      <w:r w:rsidR="006E1330">
        <w:rPr>
          <w:rFonts w:hint="eastAsia"/>
          <w:lang w:val="en-GB"/>
        </w:rPr>
        <w:t>，</w:t>
      </w:r>
      <w:r w:rsidRPr="00E112CD">
        <w:rPr>
          <w:rFonts w:hint="eastAsia"/>
          <w:lang w:val="en-GB"/>
        </w:rPr>
        <w:t>它为法律、立法、法院及其他法律管理方面提供了法律框架。联邦的最高首脑是马来西亚最高元首</w:t>
      </w:r>
      <w:r w:rsidR="006E1330">
        <w:rPr>
          <w:rFonts w:hint="eastAsia"/>
          <w:lang w:val="en-GB"/>
        </w:rPr>
        <w:t>，</w:t>
      </w:r>
      <w:r w:rsidRPr="00E112CD">
        <w:rPr>
          <w:rFonts w:hint="eastAsia"/>
          <w:lang w:val="en-GB"/>
        </w:rPr>
        <w:t>最高元首陛下的地位高于包括马来西亚九个州的统治者在内的所有人。其他四个州</w:t>
      </w:r>
      <w:r w:rsidR="006E1330">
        <w:rPr>
          <w:rFonts w:hint="eastAsia"/>
          <w:lang w:val="en-GB"/>
        </w:rPr>
        <w:t>，</w:t>
      </w:r>
      <w:r w:rsidRPr="00E112CD">
        <w:rPr>
          <w:rFonts w:hint="eastAsia"/>
          <w:lang w:val="en-GB"/>
        </w:rPr>
        <w:t>即槟榔屿、马六甲</w:t>
      </w:r>
      <w:r w:rsidR="006E1330">
        <w:rPr>
          <w:rFonts w:hint="eastAsia"/>
          <w:lang w:val="en-GB"/>
        </w:rPr>
        <w:t>，</w:t>
      </w:r>
      <w:r w:rsidRPr="00E112CD">
        <w:rPr>
          <w:rFonts w:hint="eastAsia"/>
          <w:lang w:val="en-GB"/>
        </w:rPr>
        <w:t>沙巴及沙捞越</w:t>
      </w:r>
      <w:r w:rsidR="006E1330">
        <w:rPr>
          <w:rFonts w:hint="eastAsia"/>
          <w:lang w:val="en-GB"/>
        </w:rPr>
        <w:t>，</w:t>
      </w:r>
      <w:r w:rsidRPr="00E112CD">
        <w:rPr>
          <w:rFonts w:hint="eastAsia"/>
          <w:lang w:val="en-GB"/>
        </w:rPr>
        <w:t>由州长领导。州长行使州元首的职能</w:t>
      </w:r>
      <w:r w:rsidR="006E1330">
        <w:rPr>
          <w:rFonts w:hint="eastAsia"/>
          <w:lang w:val="en-GB"/>
        </w:rPr>
        <w:t>，</w:t>
      </w:r>
      <w:r w:rsidRPr="00E112CD">
        <w:rPr>
          <w:rFonts w:hint="eastAsia"/>
          <w:lang w:val="en-GB"/>
        </w:rPr>
        <w:t>但没有资格被选为统治者。马来西亚最高元首是由统治者会议在九个州统治者之中选举产生的</w:t>
      </w:r>
      <w:r w:rsidR="006E1330">
        <w:rPr>
          <w:rFonts w:hint="eastAsia"/>
          <w:lang w:val="en-GB"/>
        </w:rPr>
        <w:t>，</w:t>
      </w:r>
      <w:r w:rsidRPr="00E112CD">
        <w:rPr>
          <w:rFonts w:hint="eastAsia"/>
          <w:lang w:val="en-GB"/>
        </w:rPr>
        <w:t>任期为五年。</w:t>
      </w:r>
    </w:p>
    <w:p w:rsidR="00E112CD" w:rsidRPr="00E112CD" w:rsidRDefault="00E112CD" w:rsidP="00E112CD">
      <w:pPr>
        <w:pStyle w:val="SingleTxtGC"/>
        <w:rPr>
          <w:lang w:val="en-GB"/>
        </w:rPr>
      </w:pPr>
      <w:r w:rsidRPr="00E112CD">
        <w:rPr>
          <w:lang w:val="en-GB"/>
        </w:rPr>
        <w:t>3</w:t>
      </w:r>
      <w:r w:rsidR="006E1330">
        <w:rPr>
          <w:lang w:val="en-GB"/>
        </w:rPr>
        <w:t>3.</w:t>
      </w:r>
      <w:r w:rsidR="00F3666B">
        <w:rPr>
          <w:rFonts w:hint="eastAsia"/>
          <w:lang w:val="en-GB"/>
        </w:rPr>
        <w:t xml:space="preserve">  </w:t>
      </w:r>
      <w:r w:rsidRPr="00E112CD">
        <w:rPr>
          <w:rFonts w:hint="eastAsia"/>
          <w:lang w:val="en-GB"/>
        </w:rPr>
        <w:t>联邦的行政权力属于马来西亚最高元首</w:t>
      </w:r>
      <w:r w:rsidR="006E1330">
        <w:rPr>
          <w:rFonts w:hint="eastAsia"/>
          <w:lang w:val="en-GB"/>
        </w:rPr>
        <w:t>，</w:t>
      </w:r>
      <w:r w:rsidRPr="00E112CD">
        <w:rPr>
          <w:rFonts w:hint="eastAsia"/>
          <w:lang w:val="en-GB"/>
        </w:rPr>
        <w:t>由最高元首陛下或内阁或内阁授权的任何部长根据《联邦宪法》行使。从下议院议员中任命首相</w:t>
      </w:r>
      <w:r w:rsidR="006E1330">
        <w:rPr>
          <w:rFonts w:hint="eastAsia"/>
          <w:lang w:val="en-GB"/>
        </w:rPr>
        <w:t>，</w:t>
      </w:r>
      <w:r w:rsidRPr="00E112CD">
        <w:rPr>
          <w:rFonts w:hint="eastAsia"/>
          <w:lang w:val="en-GB"/>
        </w:rPr>
        <w:t>他必须享有下议院大多数议员的信任。其他内阁成员和副部长由马来西亚最高元首根据首相的建议任命。</w:t>
      </w:r>
    </w:p>
    <w:p w:rsidR="00E112CD" w:rsidRPr="00E112CD" w:rsidRDefault="00E112CD" w:rsidP="00E112CD">
      <w:pPr>
        <w:pStyle w:val="SingleTxtGC"/>
        <w:rPr>
          <w:lang w:val="en-GB"/>
        </w:rPr>
      </w:pPr>
      <w:r w:rsidRPr="00E112CD">
        <w:rPr>
          <w:lang w:val="en-GB"/>
        </w:rPr>
        <w:t>3</w:t>
      </w:r>
      <w:r w:rsidR="006E1330">
        <w:rPr>
          <w:lang w:val="en-GB"/>
        </w:rPr>
        <w:t>4.</w:t>
      </w:r>
      <w:r w:rsidR="00F3666B">
        <w:rPr>
          <w:rFonts w:hint="eastAsia"/>
          <w:lang w:val="en-GB"/>
        </w:rPr>
        <w:t xml:space="preserve">  </w:t>
      </w:r>
      <w:r w:rsidRPr="00E112CD">
        <w:rPr>
          <w:rFonts w:hint="eastAsia"/>
          <w:lang w:val="en-GB"/>
        </w:rPr>
        <w:t>议会拥有联邦的立法权力</w:t>
      </w:r>
      <w:r w:rsidR="006E1330">
        <w:rPr>
          <w:rFonts w:hint="eastAsia"/>
          <w:lang w:val="en-GB"/>
        </w:rPr>
        <w:t>，</w:t>
      </w:r>
      <w:r w:rsidRPr="00E112CD">
        <w:rPr>
          <w:rFonts w:hint="eastAsia"/>
          <w:lang w:val="en-GB"/>
        </w:rPr>
        <w:t>议会是选举产生的</w:t>
      </w:r>
      <w:r w:rsidR="006E1330">
        <w:rPr>
          <w:rFonts w:hint="eastAsia"/>
          <w:lang w:val="en-GB"/>
        </w:rPr>
        <w:t>，</w:t>
      </w:r>
      <w:r w:rsidRPr="00E112CD">
        <w:rPr>
          <w:rFonts w:hint="eastAsia"/>
          <w:lang w:val="en-GB"/>
        </w:rPr>
        <w:t>最长任期为五年</w:t>
      </w:r>
      <w:r w:rsidR="006E1330">
        <w:rPr>
          <w:rFonts w:hint="eastAsia"/>
          <w:lang w:val="en-GB"/>
        </w:rPr>
        <w:t>，</w:t>
      </w:r>
      <w:r w:rsidRPr="00E112CD">
        <w:rPr>
          <w:rFonts w:hint="eastAsia"/>
          <w:lang w:val="en-GB"/>
        </w:rPr>
        <w:t>由马来西亚最高元首、上议院及下议院组成。下议院议员由人民选举产生</w:t>
      </w:r>
      <w:r w:rsidR="006E1330">
        <w:rPr>
          <w:rFonts w:hint="eastAsia"/>
          <w:lang w:val="en-GB"/>
        </w:rPr>
        <w:t>，</w:t>
      </w:r>
      <w:r w:rsidRPr="00E112CD">
        <w:rPr>
          <w:rFonts w:hint="eastAsia"/>
          <w:lang w:val="en-GB"/>
        </w:rPr>
        <w:t>上议院议员由马来西亚最高元首任命。马来西亚议会和州议会都可以在《联邦宪法》规定的事项上制订法律。</w:t>
      </w:r>
    </w:p>
    <w:p w:rsidR="00E112CD" w:rsidRPr="00E112CD" w:rsidRDefault="00E112CD" w:rsidP="00E112CD">
      <w:pPr>
        <w:pStyle w:val="SingleTxtGC"/>
        <w:rPr>
          <w:lang w:val="en-GB"/>
        </w:rPr>
      </w:pPr>
      <w:r w:rsidRPr="00E112CD">
        <w:rPr>
          <w:lang w:val="en-GB"/>
        </w:rPr>
        <w:t>3</w:t>
      </w:r>
      <w:r w:rsidR="006E1330">
        <w:rPr>
          <w:lang w:val="en-GB"/>
        </w:rPr>
        <w:t>5.</w:t>
      </w:r>
      <w:r w:rsidR="00F3666B">
        <w:rPr>
          <w:rFonts w:hint="eastAsia"/>
          <w:lang w:val="en-GB"/>
        </w:rPr>
        <w:t xml:space="preserve">  </w:t>
      </w:r>
      <w:r w:rsidRPr="00E112CD">
        <w:rPr>
          <w:rFonts w:hint="eastAsia"/>
          <w:lang w:val="en-GB"/>
        </w:rPr>
        <w:t>司法系统由高级法院和下级法庭组成。联邦法院、上诉法院及最高法院是高级法院</w:t>
      </w:r>
      <w:r w:rsidR="006E1330">
        <w:rPr>
          <w:rFonts w:hint="eastAsia"/>
          <w:lang w:val="en-GB"/>
        </w:rPr>
        <w:t>，</w:t>
      </w:r>
      <w:r w:rsidRPr="00E112CD">
        <w:rPr>
          <w:rFonts w:hint="eastAsia"/>
          <w:lang w:val="en-GB"/>
        </w:rPr>
        <w:t>地方法庭、治安法庭及儿童法庭是下级法庭。司法系统的首脑被称为联邦法院首席大法官。</w:t>
      </w:r>
    </w:p>
    <w:p w:rsidR="00E112CD" w:rsidRPr="00E112CD" w:rsidRDefault="00E112CD" w:rsidP="00E112CD">
      <w:pPr>
        <w:pStyle w:val="SingleTxtGC"/>
        <w:rPr>
          <w:lang w:val="en-GB"/>
        </w:rPr>
      </w:pPr>
      <w:r w:rsidRPr="00E112CD">
        <w:rPr>
          <w:lang w:val="en-GB"/>
        </w:rPr>
        <w:t>3</w:t>
      </w:r>
      <w:r w:rsidR="006E1330">
        <w:rPr>
          <w:lang w:val="en-GB"/>
        </w:rPr>
        <w:t>6.</w:t>
      </w:r>
      <w:r w:rsidR="00F3666B">
        <w:rPr>
          <w:rFonts w:hint="eastAsia"/>
          <w:lang w:val="en-GB"/>
        </w:rPr>
        <w:t xml:space="preserve">  </w:t>
      </w:r>
      <w:r w:rsidRPr="00E112CD">
        <w:rPr>
          <w:rFonts w:hint="eastAsia"/>
          <w:lang w:val="en-GB"/>
        </w:rPr>
        <w:t>联邦总检察长由马来西亚最高元首根据首相的建议任命。总检察长职责是在法律事务上向马来西亚最高元首或内阁或任何部长提建议</w:t>
      </w:r>
      <w:r w:rsidR="006E1330">
        <w:rPr>
          <w:rFonts w:hint="eastAsia"/>
          <w:lang w:val="en-GB"/>
        </w:rPr>
        <w:t>，</w:t>
      </w:r>
      <w:r w:rsidRPr="00E112CD">
        <w:rPr>
          <w:rFonts w:hint="eastAsia"/>
          <w:lang w:val="en-GB"/>
        </w:rPr>
        <w:t>执行《联邦宪法》第</w:t>
      </w:r>
      <w:r w:rsidRPr="00E112CD">
        <w:rPr>
          <w:lang w:val="en-GB"/>
        </w:rPr>
        <w:t>145</w:t>
      </w:r>
      <w:r w:rsidRPr="00E112CD">
        <w:rPr>
          <w:rFonts w:hint="eastAsia"/>
          <w:lang w:val="en-GB"/>
        </w:rPr>
        <w:t>条的规定的这些人交给或委派给他的具有法律性质的任务。</w:t>
      </w:r>
    </w:p>
    <w:p w:rsidR="00E112CD" w:rsidRPr="00E112CD" w:rsidRDefault="00E112CD" w:rsidP="00E112CD">
      <w:pPr>
        <w:pStyle w:val="SingleTxtGC"/>
        <w:rPr>
          <w:lang w:val="en-GB"/>
        </w:rPr>
      </w:pPr>
      <w:r w:rsidRPr="00E112CD">
        <w:rPr>
          <w:lang w:val="en-GB"/>
        </w:rPr>
        <w:t>3</w:t>
      </w:r>
      <w:r w:rsidR="006E1330">
        <w:rPr>
          <w:lang w:val="en-GB"/>
        </w:rPr>
        <w:t>7.</w:t>
      </w:r>
      <w:r w:rsidR="00F3666B">
        <w:rPr>
          <w:rFonts w:hint="eastAsia"/>
          <w:lang w:val="en-GB"/>
        </w:rPr>
        <w:t xml:space="preserve">  </w:t>
      </w:r>
      <w:r w:rsidRPr="00E112CD">
        <w:rPr>
          <w:rFonts w:hint="eastAsia"/>
          <w:lang w:val="en-GB"/>
        </w:rPr>
        <w:t>根据《刑事诉讼法》</w:t>
      </w:r>
      <w:r w:rsidR="006E1330">
        <w:rPr>
          <w:lang w:val="en-GB"/>
        </w:rPr>
        <w:t>(</w:t>
      </w:r>
      <w:r w:rsidRPr="00E112CD">
        <w:rPr>
          <w:rFonts w:hint="eastAsia"/>
          <w:lang w:val="en-GB"/>
        </w:rPr>
        <w:t>《第</w:t>
      </w:r>
      <w:r w:rsidRPr="00E112CD">
        <w:rPr>
          <w:lang w:val="en-GB"/>
        </w:rPr>
        <w:t>593</w:t>
      </w:r>
      <w:r w:rsidRPr="00E112CD">
        <w:rPr>
          <w:rFonts w:hint="eastAsia"/>
          <w:lang w:val="en-GB"/>
        </w:rPr>
        <w:t>号法》</w:t>
      </w:r>
      <w:r w:rsidR="006E1330">
        <w:rPr>
          <w:lang w:val="en-GB"/>
        </w:rPr>
        <w:t>)</w:t>
      </w:r>
      <w:r w:rsidRPr="00E112CD">
        <w:rPr>
          <w:rFonts w:hint="eastAsia"/>
          <w:lang w:val="en-GB"/>
        </w:rPr>
        <w:t>第</w:t>
      </w:r>
      <w:r w:rsidRPr="00E112CD">
        <w:rPr>
          <w:lang w:val="en-GB"/>
        </w:rPr>
        <w:t>376</w:t>
      </w:r>
      <w:r w:rsidRPr="00E112CD">
        <w:rPr>
          <w:rFonts w:hint="eastAsia"/>
          <w:lang w:val="en-GB"/>
        </w:rPr>
        <w:t>条规定</w:t>
      </w:r>
      <w:r w:rsidR="006E1330">
        <w:rPr>
          <w:rFonts w:hint="eastAsia"/>
          <w:lang w:val="en-GB"/>
        </w:rPr>
        <w:t>，</w:t>
      </w:r>
      <w:r w:rsidRPr="00E112CD">
        <w:rPr>
          <w:rFonts w:hint="eastAsia"/>
          <w:lang w:val="en-GB"/>
        </w:rPr>
        <w:t>总检察长也是检察官</w:t>
      </w:r>
      <w:r w:rsidR="006E1330">
        <w:rPr>
          <w:rFonts w:hint="eastAsia"/>
          <w:lang w:val="en-GB"/>
        </w:rPr>
        <w:t>，</w:t>
      </w:r>
      <w:r w:rsidRPr="00E112CD">
        <w:rPr>
          <w:rFonts w:hint="eastAsia"/>
          <w:lang w:val="en-GB"/>
        </w:rPr>
        <w:t>对所有刑事起诉和诉讼进行全面控制和指导。此外</w:t>
      </w:r>
      <w:r w:rsidR="006E1330">
        <w:rPr>
          <w:rFonts w:hint="eastAsia"/>
          <w:lang w:val="en-GB"/>
        </w:rPr>
        <w:t>，</w:t>
      </w:r>
      <w:r w:rsidRPr="00E112CD">
        <w:rPr>
          <w:rFonts w:hint="eastAsia"/>
          <w:lang w:val="en-GB"/>
        </w:rPr>
        <w:t>他有启动、进行或停止关于犯罪的任何诉讼程序的自由裁量权</w:t>
      </w:r>
      <w:r w:rsidR="006E1330">
        <w:rPr>
          <w:rFonts w:hint="eastAsia"/>
          <w:lang w:val="en-GB"/>
        </w:rPr>
        <w:t>，</w:t>
      </w:r>
      <w:r w:rsidRPr="00E112CD">
        <w:rPr>
          <w:rFonts w:hint="eastAsia"/>
          <w:lang w:val="en-GB"/>
        </w:rPr>
        <w:t>伊斯兰教法庭、专为土著人设立的法庭或军事法庭的诉讼程序除外。</w:t>
      </w:r>
    </w:p>
    <w:p w:rsidR="00E112CD" w:rsidRPr="00E112CD" w:rsidRDefault="00E112CD" w:rsidP="00F3666B">
      <w:pPr>
        <w:pStyle w:val="HChGC"/>
        <w:rPr>
          <w:lang w:val="en-GB"/>
        </w:rPr>
      </w:pPr>
      <w:r w:rsidRPr="00E112CD">
        <w:rPr>
          <w:lang w:val="en-GB"/>
        </w:rPr>
        <w:tab/>
      </w:r>
      <w:r w:rsidRPr="00E112CD">
        <w:rPr>
          <w:rFonts w:hint="eastAsia"/>
          <w:lang w:val="en-GB"/>
        </w:rPr>
        <w:t>二</w:t>
      </w:r>
      <w:r w:rsidRPr="00E112CD">
        <w:rPr>
          <w:lang w:val="en-GB"/>
        </w:rPr>
        <w:t>.</w:t>
      </w:r>
      <w:r w:rsidRPr="00E112CD">
        <w:rPr>
          <w:lang w:val="en-GB"/>
        </w:rPr>
        <w:tab/>
      </w:r>
      <w:r w:rsidRPr="00E112CD">
        <w:rPr>
          <w:rFonts w:hint="eastAsia"/>
          <w:lang w:val="en-GB"/>
        </w:rPr>
        <w:t>保护人权的总框架</w:t>
      </w:r>
    </w:p>
    <w:p w:rsidR="00E112CD" w:rsidRPr="00E112CD" w:rsidRDefault="00E112CD" w:rsidP="00F3666B">
      <w:pPr>
        <w:pStyle w:val="H1GC"/>
        <w:rPr>
          <w:lang w:val="en-GB"/>
        </w:rPr>
      </w:pPr>
      <w:r w:rsidRPr="00E112CD">
        <w:rPr>
          <w:lang w:val="en-GB"/>
        </w:rPr>
        <w:tab/>
        <w:t>A.</w:t>
      </w:r>
      <w:r w:rsidRPr="00E112CD">
        <w:rPr>
          <w:lang w:val="en-GB"/>
        </w:rPr>
        <w:tab/>
      </w:r>
      <w:r w:rsidRPr="00E112CD">
        <w:rPr>
          <w:rFonts w:hint="eastAsia"/>
          <w:lang w:val="en-GB"/>
        </w:rPr>
        <w:t>接受国际人权规范</w:t>
      </w:r>
    </w:p>
    <w:p w:rsidR="00E112CD" w:rsidRPr="00E112CD" w:rsidRDefault="00E112CD" w:rsidP="00E112CD">
      <w:pPr>
        <w:pStyle w:val="SingleTxtGC"/>
        <w:rPr>
          <w:lang w:val="en-GB"/>
        </w:rPr>
      </w:pPr>
      <w:r w:rsidRPr="00E112CD">
        <w:rPr>
          <w:lang w:val="en-GB"/>
        </w:rPr>
        <w:t>3</w:t>
      </w:r>
      <w:r w:rsidR="006E1330">
        <w:rPr>
          <w:lang w:val="en-GB"/>
        </w:rPr>
        <w:t>8.</w:t>
      </w:r>
      <w:r w:rsidR="00F3666B">
        <w:rPr>
          <w:rFonts w:hint="eastAsia"/>
          <w:lang w:val="en-GB"/>
        </w:rPr>
        <w:t xml:space="preserve">  </w:t>
      </w:r>
      <w:r w:rsidRPr="00E112CD">
        <w:rPr>
          <w:rFonts w:hint="eastAsia"/>
          <w:lang w:val="en-GB"/>
        </w:rPr>
        <w:t>马来西亚是三个核心国际人权公约的缔约国。它们是</w:t>
      </w:r>
      <w:r w:rsidR="006E1330">
        <w:rPr>
          <w:rFonts w:hint="eastAsia"/>
          <w:lang w:val="en-GB"/>
        </w:rPr>
        <w:t>：</w:t>
      </w:r>
      <w:r w:rsidRPr="00E112CD">
        <w:rPr>
          <w:rFonts w:hint="eastAsia"/>
          <w:lang w:val="en-GB"/>
        </w:rPr>
        <w:t>《儿童权利公约》</w:t>
      </w:r>
      <w:r w:rsidR="006E1330">
        <w:rPr>
          <w:rFonts w:hint="eastAsia"/>
          <w:lang w:val="en-GB"/>
        </w:rPr>
        <w:t>，</w:t>
      </w:r>
      <w:r w:rsidRPr="00E112CD">
        <w:rPr>
          <w:rFonts w:hint="eastAsia"/>
          <w:lang w:val="en-GB"/>
        </w:rPr>
        <w:t>马来西亚</w:t>
      </w:r>
      <w:r w:rsidRPr="00E112CD">
        <w:rPr>
          <w:lang w:val="en-GB"/>
        </w:rPr>
        <w:t>1995</w:t>
      </w:r>
      <w:r w:rsidRPr="00E112CD">
        <w:rPr>
          <w:rFonts w:hint="eastAsia"/>
          <w:lang w:val="en-GB"/>
        </w:rPr>
        <w:t>年</w:t>
      </w:r>
      <w:r w:rsidRPr="00E112CD">
        <w:rPr>
          <w:lang w:val="en-GB"/>
        </w:rPr>
        <w:t>2</w:t>
      </w:r>
      <w:r w:rsidRPr="00E112CD">
        <w:rPr>
          <w:rFonts w:hint="eastAsia"/>
          <w:lang w:val="en-GB"/>
        </w:rPr>
        <w:t>月</w:t>
      </w:r>
      <w:r w:rsidRPr="00E112CD">
        <w:rPr>
          <w:lang w:val="en-GB"/>
        </w:rPr>
        <w:t>17</w:t>
      </w:r>
      <w:r w:rsidRPr="00E112CD">
        <w:rPr>
          <w:rFonts w:hint="eastAsia"/>
          <w:lang w:val="en-GB"/>
        </w:rPr>
        <w:t>日加入</w:t>
      </w:r>
      <w:r w:rsidR="006E1330">
        <w:rPr>
          <w:rFonts w:hint="eastAsia"/>
          <w:lang w:val="en-GB"/>
        </w:rPr>
        <w:t>；</w:t>
      </w:r>
      <w:r w:rsidRPr="00E112CD">
        <w:rPr>
          <w:rFonts w:hint="eastAsia"/>
          <w:lang w:val="en-GB"/>
        </w:rPr>
        <w:t>《消除对妇女一切形式歧视公约》</w:t>
      </w:r>
      <w:r w:rsidR="006E1330">
        <w:rPr>
          <w:rFonts w:hint="eastAsia"/>
          <w:lang w:val="en-GB"/>
        </w:rPr>
        <w:t>，</w:t>
      </w:r>
      <w:r w:rsidRPr="00E112CD">
        <w:rPr>
          <w:lang w:val="en-GB"/>
        </w:rPr>
        <w:t>1995</w:t>
      </w:r>
      <w:r w:rsidRPr="00E112CD">
        <w:rPr>
          <w:rFonts w:hint="eastAsia"/>
          <w:lang w:val="en-GB"/>
        </w:rPr>
        <w:t>年</w:t>
      </w:r>
      <w:r w:rsidRPr="00E112CD">
        <w:rPr>
          <w:lang w:val="en-GB"/>
        </w:rPr>
        <w:t>7</w:t>
      </w:r>
      <w:r w:rsidRPr="00E112CD">
        <w:rPr>
          <w:rFonts w:hint="eastAsia"/>
          <w:lang w:val="en-GB"/>
        </w:rPr>
        <w:t>月</w:t>
      </w:r>
      <w:r w:rsidRPr="00E112CD">
        <w:rPr>
          <w:lang w:val="en-GB"/>
        </w:rPr>
        <w:t>5</w:t>
      </w:r>
      <w:r w:rsidRPr="00E112CD">
        <w:rPr>
          <w:rFonts w:hint="eastAsia"/>
          <w:lang w:val="en-GB"/>
        </w:rPr>
        <w:t>日加入</w:t>
      </w:r>
      <w:r w:rsidR="006E1330">
        <w:rPr>
          <w:rFonts w:hint="eastAsia"/>
          <w:lang w:val="en-GB"/>
        </w:rPr>
        <w:t>；</w:t>
      </w:r>
      <w:r w:rsidRPr="00E112CD">
        <w:rPr>
          <w:rFonts w:hint="eastAsia"/>
          <w:lang w:val="en-GB"/>
        </w:rPr>
        <w:t>《残疾人权利公约》</w:t>
      </w:r>
      <w:r w:rsidR="006E1330">
        <w:rPr>
          <w:rFonts w:hint="eastAsia"/>
          <w:lang w:val="en-GB"/>
        </w:rPr>
        <w:t>，</w:t>
      </w:r>
      <w:r w:rsidRPr="00E112CD">
        <w:rPr>
          <w:lang w:val="en-GB"/>
        </w:rPr>
        <w:t>2010</w:t>
      </w:r>
      <w:r w:rsidRPr="00E112CD">
        <w:rPr>
          <w:rFonts w:hint="eastAsia"/>
          <w:lang w:val="en-GB"/>
        </w:rPr>
        <w:t>年</w:t>
      </w:r>
      <w:r w:rsidRPr="00E112CD">
        <w:rPr>
          <w:lang w:val="en-GB"/>
        </w:rPr>
        <w:t>7</w:t>
      </w:r>
      <w:r w:rsidRPr="00E112CD">
        <w:rPr>
          <w:rFonts w:hint="eastAsia"/>
          <w:lang w:val="en-GB"/>
        </w:rPr>
        <w:t>月</w:t>
      </w:r>
      <w:r w:rsidRPr="00E112CD">
        <w:rPr>
          <w:lang w:val="en-GB"/>
        </w:rPr>
        <w:t>19</w:t>
      </w:r>
      <w:r w:rsidRPr="00E112CD">
        <w:rPr>
          <w:rFonts w:hint="eastAsia"/>
          <w:lang w:val="en-GB"/>
        </w:rPr>
        <w:t>日批准。马来西亚</w:t>
      </w:r>
      <w:r w:rsidRPr="00E112CD">
        <w:rPr>
          <w:lang w:val="en-GB"/>
        </w:rPr>
        <w:t>2012</w:t>
      </w:r>
      <w:r w:rsidRPr="00E112CD">
        <w:rPr>
          <w:rFonts w:hint="eastAsia"/>
          <w:lang w:val="en-GB"/>
        </w:rPr>
        <w:t>年</w:t>
      </w:r>
      <w:r w:rsidRPr="00E112CD">
        <w:rPr>
          <w:lang w:val="en-GB"/>
        </w:rPr>
        <w:t>4</w:t>
      </w:r>
      <w:r w:rsidRPr="00E112CD">
        <w:rPr>
          <w:rFonts w:hint="eastAsia"/>
          <w:lang w:val="en-GB"/>
        </w:rPr>
        <w:t>月</w:t>
      </w:r>
      <w:r w:rsidRPr="00E112CD">
        <w:rPr>
          <w:lang w:val="en-GB"/>
        </w:rPr>
        <w:t>12</w:t>
      </w:r>
      <w:r w:rsidRPr="00E112CD">
        <w:rPr>
          <w:rFonts w:hint="eastAsia"/>
          <w:lang w:val="en-GB"/>
        </w:rPr>
        <w:t>日也加入了《</w:t>
      </w:r>
      <w:r w:rsidRPr="00E112CD">
        <w:rPr>
          <w:lang w:val="en-GB"/>
        </w:rPr>
        <w:t>&lt;</w:t>
      </w:r>
      <w:r w:rsidRPr="00E112CD">
        <w:rPr>
          <w:rFonts w:hint="eastAsia"/>
          <w:lang w:val="en-GB"/>
        </w:rPr>
        <w:t>儿童权利公约</w:t>
      </w:r>
      <w:r w:rsidRPr="00E112CD">
        <w:rPr>
          <w:lang w:val="en-GB"/>
        </w:rPr>
        <w:t>&gt;</w:t>
      </w:r>
      <w:r w:rsidRPr="00E112CD">
        <w:rPr>
          <w:rFonts w:hint="eastAsia"/>
          <w:lang w:val="en-GB"/>
        </w:rPr>
        <w:t>关于买卖儿童、儿童卖淫和儿童色情制品问题的任择议定书》和《</w:t>
      </w:r>
      <w:r w:rsidRPr="00E112CD">
        <w:rPr>
          <w:lang w:val="en-GB"/>
        </w:rPr>
        <w:t>&lt;</w:t>
      </w:r>
      <w:r w:rsidRPr="00E112CD">
        <w:rPr>
          <w:rFonts w:hint="eastAsia"/>
          <w:lang w:val="en-GB"/>
        </w:rPr>
        <w:t>儿童权利公约</w:t>
      </w:r>
      <w:r w:rsidRPr="00E112CD">
        <w:rPr>
          <w:lang w:val="en-GB"/>
        </w:rPr>
        <w:t>&gt;</w:t>
      </w:r>
      <w:r w:rsidRPr="00E112CD">
        <w:rPr>
          <w:rFonts w:hint="eastAsia"/>
          <w:lang w:val="en-GB"/>
        </w:rPr>
        <w:t>关于儿童卷入武装冲突问题的任择议定书》。</w:t>
      </w:r>
    </w:p>
    <w:p w:rsidR="00E112CD" w:rsidRPr="00E112CD" w:rsidRDefault="00E112CD" w:rsidP="00F3666B">
      <w:pPr>
        <w:pStyle w:val="SingleTxtGC"/>
        <w:tabs>
          <w:tab w:val="clear" w:pos="1565"/>
          <w:tab w:val="clear" w:pos="1996"/>
        </w:tabs>
        <w:rPr>
          <w:lang w:val="en-GB"/>
        </w:rPr>
      </w:pPr>
      <w:r w:rsidRPr="00E112CD">
        <w:rPr>
          <w:lang w:val="en-GB"/>
        </w:rPr>
        <w:t>3</w:t>
      </w:r>
      <w:r w:rsidR="006E1330">
        <w:rPr>
          <w:lang w:val="en-GB"/>
        </w:rPr>
        <w:t>9.</w:t>
      </w:r>
      <w:r w:rsidR="00F3666B">
        <w:rPr>
          <w:rFonts w:hint="eastAsia"/>
          <w:lang w:val="en-GB"/>
        </w:rPr>
        <w:t xml:space="preserve">  </w:t>
      </w:r>
      <w:r w:rsidRPr="00E112CD">
        <w:rPr>
          <w:rFonts w:hint="eastAsia"/>
          <w:lang w:val="en-GB"/>
        </w:rPr>
        <w:t>马来西亚也是若干与人权有关的公约的缔约国</w:t>
      </w:r>
      <w:r w:rsidR="006E1330">
        <w:rPr>
          <w:rFonts w:hint="eastAsia"/>
          <w:lang w:val="en-GB"/>
        </w:rPr>
        <w:t>，</w:t>
      </w:r>
      <w:r w:rsidRPr="00E112CD">
        <w:rPr>
          <w:rFonts w:hint="eastAsia"/>
          <w:lang w:val="en-GB"/>
        </w:rPr>
        <w:t>譬如</w:t>
      </w:r>
      <w:r w:rsidR="006E1330">
        <w:rPr>
          <w:rFonts w:hint="eastAsia"/>
          <w:lang w:val="en-GB"/>
        </w:rPr>
        <w:t>，</w:t>
      </w:r>
      <w:r w:rsidRPr="00E112CD">
        <w:rPr>
          <w:lang w:val="en-GB"/>
        </w:rPr>
        <w:t>1957</w:t>
      </w:r>
      <w:r w:rsidRPr="00E112CD">
        <w:rPr>
          <w:rFonts w:hint="eastAsia"/>
          <w:lang w:val="en-GB"/>
        </w:rPr>
        <w:t>年</w:t>
      </w:r>
      <w:r w:rsidRPr="00E112CD">
        <w:rPr>
          <w:lang w:val="en-GB"/>
        </w:rPr>
        <w:t>11</w:t>
      </w:r>
      <w:r w:rsidRPr="00E112CD">
        <w:rPr>
          <w:rFonts w:hint="eastAsia"/>
          <w:lang w:val="en-GB"/>
        </w:rPr>
        <w:t>月</w:t>
      </w:r>
      <w:r w:rsidRPr="00E112CD">
        <w:rPr>
          <w:lang w:val="en-GB"/>
        </w:rPr>
        <w:t>18</w:t>
      </w:r>
      <w:r w:rsidRPr="00E112CD">
        <w:rPr>
          <w:rFonts w:hint="eastAsia"/>
          <w:lang w:val="en-GB"/>
        </w:rPr>
        <w:t>日批准了《废止奴隶制、奴隶贩卖及类似奴隶制的制度与习俗补充公约》</w:t>
      </w:r>
      <w:r w:rsidR="006E1330">
        <w:rPr>
          <w:rFonts w:hint="eastAsia"/>
          <w:lang w:val="en-GB"/>
        </w:rPr>
        <w:t>，</w:t>
      </w:r>
      <w:r w:rsidRPr="00E112CD">
        <w:rPr>
          <w:lang w:val="en-GB"/>
        </w:rPr>
        <w:t>1959</w:t>
      </w:r>
      <w:r w:rsidRPr="00E112CD">
        <w:rPr>
          <w:rFonts w:hint="eastAsia"/>
          <w:lang w:val="en-GB"/>
        </w:rPr>
        <w:t>年</w:t>
      </w:r>
      <w:r w:rsidRPr="00E112CD">
        <w:rPr>
          <w:lang w:val="en-GB"/>
        </w:rPr>
        <w:t>2</w:t>
      </w:r>
      <w:r w:rsidRPr="00E112CD">
        <w:rPr>
          <w:rFonts w:hint="eastAsia"/>
          <w:lang w:val="en-GB"/>
        </w:rPr>
        <w:t>月</w:t>
      </w:r>
      <w:r w:rsidRPr="00E112CD">
        <w:rPr>
          <w:lang w:val="en-GB"/>
        </w:rPr>
        <w:t>24</w:t>
      </w:r>
      <w:r w:rsidRPr="00E112CD">
        <w:rPr>
          <w:rFonts w:hint="eastAsia"/>
          <w:lang w:val="en-GB"/>
        </w:rPr>
        <w:t>日加入了《已婚妇女国籍公约》</w:t>
      </w:r>
      <w:r w:rsidR="006E1330">
        <w:rPr>
          <w:rFonts w:hint="eastAsia"/>
          <w:lang w:val="en-GB"/>
        </w:rPr>
        <w:t>，</w:t>
      </w:r>
      <w:r w:rsidRPr="00E112CD">
        <w:rPr>
          <w:lang w:val="en-GB"/>
        </w:rPr>
        <w:t>1994</w:t>
      </w:r>
      <w:r w:rsidRPr="00E112CD">
        <w:rPr>
          <w:rFonts w:hint="eastAsia"/>
          <w:lang w:val="en-GB"/>
        </w:rPr>
        <w:t>年</w:t>
      </w:r>
      <w:r w:rsidRPr="00E112CD">
        <w:rPr>
          <w:lang w:val="en-GB"/>
        </w:rPr>
        <w:t>12</w:t>
      </w:r>
      <w:r w:rsidRPr="00E112CD">
        <w:rPr>
          <w:rFonts w:hint="eastAsia"/>
          <w:lang w:val="en-GB"/>
        </w:rPr>
        <w:t>月</w:t>
      </w:r>
      <w:r w:rsidRPr="00E112CD">
        <w:rPr>
          <w:lang w:val="en-GB"/>
        </w:rPr>
        <w:t>20</w:t>
      </w:r>
      <w:r w:rsidRPr="00E112CD">
        <w:rPr>
          <w:rFonts w:hint="eastAsia"/>
          <w:lang w:val="en-GB"/>
        </w:rPr>
        <w:t>日加入了《防止及惩治灭绝种族罪公约》。</w:t>
      </w:r>
    </w:p>
    <w:p w:rsidR="00E112CD" w:rsidRPr="00E112CD" w:rsidRDefault="00E112CD" w:rsidP="00E112CD">
      <w:pPr>
        <w:pStyle w:val="SingleTxtGC"/>
        <w:rPr>
          <w:lang w:val="en-GB"/>
        </w:rPr>
      </w:pPr>
      <w:r w:rsidRPr="00E112CD">
        <w:rPr>
          <w:lang w:val="en-GB"/>
        </w:rPr>
        <w:t>4</w:t>
      </w:r>
      <w:r w:rsidR="006E1330">
        <w:rPr>
          <w:lang w:val="en-GB"/>
        </w:rPr>
        <w:t>0.</w:t>
      </w:r>
      <w:r w:rsidR="00F3666B">
        <w:rPr>
          <w:rFonts w:hint="eastAsia"/>
          <w:lang w:val="en-GB"/>
        </w:rPr>
        <w:t xml:space="preserve">  </w:t>
      </w:r>
      <w:r w:rsidRPr="00E112CD">
        <w:rPr>
          <w:rFonts w:hint="eastAsia"/>
          <w:lang w:val="en-GB"/>
        </w:rPr>
        <w:t>马来西亚</w:t>
      </w:r>
      <w:r w:rsidRPr="00E112CD">
        <w:rPr>
          <w:lang w:val="en-GB"/>
        </w:rPr>
        <w:t>2004</w:t>
      </w:r>
      <w:r w:rsidRPr="00E112CD">
        <w:rPr>
          <w:rFonts w:hint="eastAsia"/>
          <w:lang w:val="en-GB"/>
        </w:rPr>
        <w:t>还加入了《打击跨国有组织犯罪公约》</w:t>
      </w:r>
      <w:r w:rsidR="006E1330">
        <w:rPr>
          <w:rFonts w:hint="eastAsia"/>
          <w:lang w:val="en-GB"/>
        </w:rPr>
        <w:t>，</w:t>
      </w:r>
      <w:r w:rsidRPr="00E112CD">
        <w:rPr>
          <w:lang w:val="en-GB"/>
        </w:rPr>
        <w:t>2009</w:t>
      </w:r>
      <w:r w:rsidRPr="00E112CD">
        <w:rPr>
          <w:rFonts w:hint="eastAsia"/>
          <w:lang w:val="en-GB"/>
        </w:rPr>
        <w:t>年加入了《关于预防、禁止和惩治贩运人口特别是妇女和儿童行为的补充议定书》。马来西亚自</w:t>
      </w:r>
      <w:r w:rsidRPr="00E112CD">
        <w:rPr>
          <w:lang w:val="en-GB"/>
        </w:rPr>
        <w:t>1957</w:t>
      </w:r>
      <w:r w:rsidRPr="00E112CD">
        <w:rPr>
          <w:rFonts w:hint="eastAsia"/>
          <w:lang w:val="en-GB"/>
        </w:rPr>
        <w:t>年以来一直是国际劳工大会成员</w:t>
      </w:r>
      <w:r w:rsidR="006E1330">
        <w:rPr>
          <w:rFonts w:hint="eastAsia"/>
          <w:lang w:val="en-GB"/>
        </w:rPr>
        <w:t>，</w:t>
      </w:r>
      <w:r w:rsidRPr="00E112CD">
        <w:rPr>
          <w:rFonts w:hint="eastAsia"/>
          <w:lang w:val="en-GB"/>
        </w:rPr>
        <w:t>批准了</w:t>
      </w:r>
      <w:r w:rsidRPr="00E112CD">
        <w:rPr>
          <w:lang w:val="en-GB"/>
        </w:rPr>
        <w:t>17</w:t>
      </w:r>
      <w:r w:rsidRPr="00E112CD">
        <w:rPr>
          <w:rFonts w:hint="eastAsia"/>
          <w:lang w:val="en-GB"/>
        </w:rPr>
        <w:t>个国际劳工组织公约。</w:t>
      </w:r>
      <w:r w:rsidR="00F3666B">
        <w:rPr>
          <w:rStyle w:val="FootnoteReference"/>
          <w:lang w:val="en-GB"/>
        </w:rPr>
        <w:footnoteReference w:id="9"/>
      </w:r>
    </w:p>
    <w:p w:rsidR="00E112CD" w:rsidRPr="00E112CD" w:rsidRDefault="00E112CD" w:rsidP="00E112CD">
      <w:pPr>
        <w:pStyle w:val="SingleTxtGC"/>
        <w:rPr>
          <w:lang w:val="en-GB"/>
        </w:rPr>
      </w:pPr>
      <w:r w:rsidRPr="00E112CD">
        <w:rPr>
          <w:lang w:val="en-GB"/>
        </w:rPr>
        <w:t>4</w:t>
      </w:r>
      <w:r w:rsidR="006E1330">
        <w:rPr>
          <w:lang w:val="en-GB"/>
        </w:rPr>
        <w:t>1.</w:t>
      </w:r>
      <w:r w:rsidR="00F3666B">
        <w:rPr>
          <w:rFonts w:hint="eastAsia"/>
          <w:lang w:val="en-GB"/>
        </w:rPr>
        <w:t xml:space="preserve">  </w:t>
      </w:r>
      <w:r w:rsidRPr="00E112CD">
        <w:rPr>
          <w:rFonts w:hint="eastAsia"/>
          <w:lang w:val="en-GB"/>
        </w:rPr>
        <w:t>马来西亚批准了在联合国教科文组织主持下制订的下列文书</w:t>
      </w:r>
      <w:r w:rsidR="006E1330">
        <w:rPr>
          <w:rFonts w:hint="eastAsia"/>
          <w:lang w:val="en-GB"/>
        </w:rPr>
        <w:t>：</w:t>
      </w:r>
      <w:r w:rsidRPr="00E112CD">
        <w:rPr>
          <w:rFonts w:hint="eastAsia"/>
          <w:lang w:val="en-GB"/>
        </w:rPr>
        <w:t>《关于教育、科学和文化物品的进口的协定》及其《附录</w:t>
      </w:r>
      <w:r w:rsidRPr="00E112CD">
        <w:rPr>
          <w:lang w:val="en-GB"/>
        </w:rPr>
        <w:t>A</w:t>
      </w:r>
      <w:r w:rsidRPr="00E112CD">
        <w:rPr>
          <w:rFonts w:hint="eastAsia"/>
          <w:lang w:val="en-GB"/>
        </w:rPr>
        <w:t>至附录</w:t>
      </w:r>
      <w:r w:rsidRPr="00E112CD">
        <w:rPr>
          <w:lang w:val="en-GB"/>
        </w:rPr>
        <w:t>E</w:t>
      </w:r>
      <w:r w:rsidRPr="00E112CD">
        <w:rPr>
          <w:rFonts w:hint="eastAsia"/>
          <w:lang w:val="en-GB"/>
        </w:rPr>
        <w:t>》和《议定书》</w:t>
      </w:r>
      <w:r w:rsidR="006E1330">
        <w:rPr>
          <w:rFonts w:hint="eastAsia"/>
          <w:lang w:val="en-GB"/>
        </w:rPr>
        <w:t>；</w:t>
      </w:r>
      <w:r w:rsidRPr="00E112CD">
        <w:rPr>
          <w:rFonts w:hint="eastAsia"/>
          <w:lang w:val="en-GB"/>
        </w:rPr>
        <w:t>《关于发生武装冲突时保护文化财产的公约》及《公约实施条例》</w:t>
      </w:r>
      <w:r w:rsidR="006E1330">
        <w:rPr>
          <w:rFonts w:hint="eastAsia"/>
          <w:lang w:val="en-GB"/>
        </w:rPr>
        <w:t>；</w:t>
      </w:r>
      <w:r w:rsidRPr="00E112CD">
        <w:rPr>
          <w:rFonts w:hint="eastAsia"/>
          <w:lang w:val="en-GB"/>
        </w:rPr>
        <w:t>《</w:t>
      </w:r>
      <w:r w:rsidRPr="00E112CD">
        <w:rPr>
          <w:lang w:val="en-GB"/>
        </w:rPr>
        <w:t>&lt;</w:t>
      </w:r>
      <w:r w:rsidRPr="00E112CD">
        <w:rPr>
          <w:rFonts w:hint="eastAsia"/>
          <w:lang w:val="en-GB"/>
        </w:rPr>
        <w:t>关于发生武装冲突时保护文化财产的公约</w:t>
      </w:r>
      <w:r w:rsidRPr="00E112CD">
        <w:rPr>
          <w:lang w:val="en-GB"/>
        </w:rPr>
        <w:t>&gt;</w:t>
      </w:r>
      <w:r w:rsidRPr="00E112CD">
        <w:rPr>
          <w:rFonts w:hint="eastAsia"/>
          <w:lang w:val="en-GB"/>
        </w:rPr>
        <w:t>议定书》</w:t>
      </w:r>
      <w:r w:rsidR="006E1330">
        <w:rPr>
          <w:rFonts w:hint="eastAsia"/>
          <w:lang w:val="en-GB"/>
        </w:rPr>
        <w:t>；</w:t>
      </w:r>
      <w:r w:rsidRPr="00E112CD">
        <w:rPr>
          <w:rFonts w:hint="eastAsia"/>
          <w:lang w:val="en-GB"/>
        </w:rPr>
        <w:t>《保护世界文化和自然遗产公约》</w:t>
      </w:r>
      <w:r w:rsidR="006E1330">
        <w:rPr>
          <w:rFonts w:hint="eastAsia"/>
          <w:lang w:val="en-GB"/>
        </w:rPr>
        <w:t>；</w:t>
      </w:r>
      <w:r w:rsidRPr="00E112CD">
        <w:rPr>
          <w:rFonts w:hint="eastAsia"/>
          <w:lang w:val="en-GB"/>
        </w:rPr>
        <w:t>《关于特别是作为水禽栖息地的国际重要湿地公约》</w:t>
      </w:r>
      <w:r w:rsidR="006E1330">
        <w:rPr>
          <w:rFonts w:hint="eastAsia"/>
          <w:lang w:val="en-GB"/>
        </w:rPr>
        <w:t>；</w:t>
      </w:r>
      <w:r w:rsidRPr="00E112CD">
        <w:rPr>
          <w:rFonts w:hint="eastAsia"/>
          <w:lang w:val="en-GB"/>
        </w:rPr>
        <w:t>以及《反对在体育运动中使用兴奋剂国际公约》。</w:t>
      </w:r>
    </w:p>
    <w:p w:rsidR="00E112CD" w:rsidRPr="00E112CD" w:rsidRDefault="00E112CD" w:rsidP="00E112CD">
      <w:pPr>
        <w:pStyle w:val="SingleTxtGC"/>
        <w:rPr>
          <w:lang w:val="en-GB"/>
        </w:rPr>
      </w:pPr>
      <w:r w:rsidRPr="00E112CD">
        <w:rPr>
          <w:lang w:val="en-GB"/>
        </w:rPr>
        <w:t>4</w:t>
      </w:r>
      <w:r w:rsidR="006E1330">
        <w:rPr>
          <w:lang w:val="en-GB"/>
        </w:rPr>
        <w:t>2.</w:t>
      </w:r>
      <w:r w:rsidR="00F3666B">
        <w:rPr>
          <w:rFonts w:hint="eastAsia"/>
          <w:lang w:val="en-GB"/>
        </w:rPr>
        <w:t xml:space="preserve">  </w:t>
      </w:r>
      <w:r w:rsidRPr="00E112CD">
        <w:rPr>
          <w:rFonts w:hint="eastAsia"/>
          <w:lang w:val="en-GB"/>
        </w:rPr>
        <w:t>马来西亚是东南亚国家联盟创始成员国。马来西亚签署了《东盟宪章》</w:t>
      </w:r>
      <w:r w:rsidR="006E1330">
        <w:rPr>
          <w:rFonts w:hint="eastAsia"/>
          <w:lang w:val="en-GB"/>
        </w:rPr>
        <w:t>，</w:t>
      </w:r>
      <w:r w:rsidRPr="00E112CD">
        <w:rPr>
          <w:rFonts w:hint="eastAsia"/>
          <w:lang w:val="en-GB"/>
        </w:rPr>
        <w:t>《东盟宪章》将东盟从地区集团转为基于规则的组织。《东盟宪章》体现了东盟承诺实行良政和法治原则</w:t>
      </w:r>
      <w:r w:rsidR="006E1330">
        <w:rPr>
          <w:rFonts w:hint="eastAsia"/>
          <w:lang w:val="en-GB"/>
        </w:rPr>
        <w:t>，</w:t>
      </w:r>
      <w:r w:rsidRPr="00E112CD">
        <w:rPr>
          <w:rFonts w:hint="eastAsia"/>
          <w:lang w:val="en-GB"/>
        </w:rPr>
        <w:t>规定建立区域人权机构。</w:t>
      </w:r>
    </w:p>
    <w:p w:rsidR="00E112CD" w:rsidRPr="00E112CD" w:rsidRDefault="00E112CD" w:rsidP="00E112CD">
      <w:pPr>
        <w:pStyle w:val="SingleTxtGC"/>
        <w:rPr>
          <w:lang w:val="en-GB"/>
        </w:rPr>
      </w:pPr>
      <w:r w:rsidRPr="00E112CD">
        <w:rPr>
          <w:lang w:val="en-GB"/>
        </w:rPr>
        <w:t>4</w:t>
      </w:r>
      <w:r w:rsidR="006E1330">
        <w:rPr>
          <w:lang w:val="en-GB"/>
        </w:rPr>
        <w:t>3.</w:t>
      </w:r>
      <w:r w:rsidR="00F3666B">
        <w:rPr>
          <w:rFonts w:hint="eastAsia"/>
          <w:lang w:val="en-GB"/>
        </w:rPr>
        <w:t xml:space="preserve">  </w:t>
      </w:r>
      <w:r w:rsidRPr="00E112CD">
        <w:rPr>
          <w:rFonts w:hint="eastAsia"/>
          <w:lang w:val="en-GB"/>
        </w:rPr>
        <w:t>批准《东盟宪章》进一步加强了马来西亚对在东盟主持下处理与人权有关的事项的承诺</w:t>
      </w:r>
      <w:r w:rsidR="006E1330">
        <w:rPr>
          <w:rFonts w:hint="eastAsia"/>
          <w:lang w:val="en-GB"/>
        </w:rPr>
        <w:t>，</w:t>
      </w:r>
      <w:r w:rsidRPr="00E112CD">
        <w:rPr>
          <w:rFonts w:hint="eastAsia"/>
          <w:lang w:val="en-GB"/>
        </w:rPr>
        <w:t>《东盟宪章》体现了东盟尊重基本自由、促进和保护人权及促进社会公正的原则及建立东盟人权机构。</w:t>
      </w:r>
    </w:p>
    <w:p w:rsidR="00E112CD" w:rsidRPr="00E112CD" w:rsidRDefault="00E112CD" w:rsidP="00E112CD">
      <w:pPr>
        <w:pStyle w:val="SingleTxtGC"/>
        <w:rPr>
          <w:lang w:val="en-GB"/>
        </w:rPr>
      </w:pPr>
      <w:r w:rsidRPr="00E112CD">
        <w:rPr>
          <w:lang w:val="en-GB"/>
        </w:rPr>
        <w:t>4</w:t>
      </w:r>
      <w:r w:rsidR="006E1330">
        <w:rPr>
          <w:lang w:val="en-GB"/>
        </w:rPr>
        <w:t>4.</w:t>
      </w:r>
      <w:r w:rsidR="00F3666B">
        <w:rPr>
          <w:rFonts w:hint="eastAsia"/>
          <w:lang w:val="en-GB"/>
        </w:rPr>
        <w:t xml:space="preserve">  </w:t>
      </w:r>
      <w:r w:rsidRPr="00E112CD">
        <w:rPr>
          <w:rFonts w:hint="eastAsia"/>
          <w:lang w:val="en-GB"/>
        </w:rPr>
        <w:t>东盟领导人</w:t>
      </w:r>
      <w:r w:rsidRPr="00E112CD">
        <w:rPr>
          <w:lang w:val="en-GB"/>
        </w:rPr>
        <w:t>2012</w:t>
      </w:r>
      <w:r w:rsidRPr="00E112CD">
        <w:rPr>
          <w:rFonts w:hint="eastAsia"/>
          <w:lang w:val="en-GB"/>
        </w:rPr>
        <w:t>年</w:t>
      </w:r>
      <w:r w:rsidRPr="00E112CD">
        <w:rPr>
          <w:lang w:val="en-GB"/>
        </w:rPr>
        <w:t>11</w:t>
      </w:r>
      <w:r w:rsidRPr="00E112CD">
        <w:rPr>
          <w:rFonts w:hint="eastAsia"/>
          <w:lang w:val="en-GB"/>
        </w:rPr>
        <w:t>月</w:t>
      </w:r>
      <w:r w:rsidRPr="00E112CD">
        <w:rPr>
          <w:lang w:val="en-GB"/>
        </w:rPr>
        <w:t>18</w:t>
      </w:r>
      <w:r w:rsidRPr="00E112CD">
        <w:rPr>
          <w:rFonts w:hint="eastAsia"/>
          <w:lang w:val="en-GB"/>
        </w:rPr>
        <w:t>日签署的《东盟人权宣言》是一个区域人权文书</w:t>
      </w:r>
      <w:r w:rsidR="006E1330">
        <w:rPr>
          <w:rFonts w:hint="eastAsia"/>
          <w:lang w:val="en-GB"/>
        </w:rPr>
        <w:t>，</w:t>
      </w:r>
      <w:r w:rsidRPr="00E112CD">
        <w:rPr>
          <w:rFonts w:hint="eastAsia"/>
          <w:lang w:val="en-GB"/>
        </w:rPr>
        <w:t>它补充了现有的国际人权标准</w:t>
      </w:r>
      <w:r w:rsidR="006E1330">
        <w:rPr>
          <w:rFonts w:hint="eastAsia"/>
          <w:lang w:val="en-GB"/>
        </w:rPr>
        <w:t>，</w:t>
      </w:r>
      <w:r w:rsidRPr="00E112CD">
        <w:rPr>
          <w:rFonts w:hint="eastAsia"/>
          <w:lang w:val="en-GB"/>
        </w:rPr>
        <w:t>包括与妇女有关的人权标准。根据《东盟人权宣言》</w:t>
      </w:r>
      <w:r w:rsidR="006E1330">
        <w:rPr>
          <w:rFonts w:hint="eastAsia"/>
          <w:lang w:val="en-GB"/>
        </w:rPr>
        <w:t>，</w:t>
      </w:r>
      <w:r w:rsidRPr="00E112CD">
        <w:rPr>
          <w:rFonts w:hint="eastAsia"/>
          <w:lang w:val="en-GB"/>
        </w:rPr>
        <w:t>宣布对《关于提高东盟地区妇女地位的宣言》和《关于在东盟地区消除暴力侵害妇女行为的宣言》进行了增值性重申。此外</w:t>
      </w:r>
      <w:r w:rsidR="006E1330">
        <w:rPr>
          <w:rFonts w:hint="eastAsia"/>
          <w:lang w:val="en-GB"/>
        </w:rPr>
        <w:t>，</w:t>
      </w:r>
      <w:r w:rsidRPr="00E112CD">
        <w:rPr>
          <w:rFonts w:hint="eastAsia"/>
          <w:lang w:val="en-GB"/>
        </w:rPr>
        <w:t>在《东盟人权宣言》的“总原则”中还特别提及妇女的权利是人权和基本自由必不可少的、不可剥夺的、不可分割的一部分。</w:t>
      </w:r>
    </w:p>
    <w:p w:rsidR="00E112CD" w:rsidRPr="00E112CD" w:rsidRDefault="00E112CD" w:rsidP="00E112CD">
      <w:pPr>
        <w:pStyle w:val="SingleTxtGC"/>
        <w:rPr>
          <w:lang w:val="en-GB"/>
        </w:rPr>
      </w:pPr>
      <w:r w:rsidRPr="00E112CD">
        <w:rPr>
          <w:lang w:val="en-GB"/>
        </w:rPr>
        <w:t>4</w:t>
      </w:r>
      <w:r w:rsidR="006E1330">
        <w:rPr>
          <w:lang w:val="en-GB"/>
        </w:rPr>
        <w:t>5.</w:t>
      </w:r>
      <w:r w:rsidR="00F3666B">
        <w:rPr>
          <w:rFonts w:hint="eastAsia"/>
          <w:lang w:val="en-GB"/>
        </w:rPr>
        <w:t xml:space="preserve">  </w:t>
      </w:r>
      <w:r w:rsidRPr="00E112CD">
        <w:rPr>
          <w:rFonts w:hint="eastAsia"/>
          <w:lang w:val="en-GB"/>
        </w:rPr>
        <w:t>东盟促进和保护妇女儿童权利委员会是东盟的一个咨询性政府间机构</w:t>
      </w:r>
      <w:r w:rsidR="006E1330">
        <w:rPr>
          <w:rFonts w:hint="eastAsia"/>
          <w:lang w:val="en-GB"/>
        </w:rPr>
        <w:t>，</w:t>
      </w:r>
      <w:r w:rsidRPr="00E112CD">
        <w:rPr>
          <w:rFonts w:hint="eastAsia"/>
          <w:lang w:val="en-GB"/>
        </w:rPr>
        <w:t>是在举行第十六届东盟峰会之际于</w:t>
      </w:r>
      <w:r w:rsidRPr="00E112CD">
        <w:rPr>
          <w:lang w:val="en-GB"/>
        </w:rPr>
        <w:t>2010</w:t>
      </w:r>
      <w:r w:rsidRPr="00E112CD">
        <w:rPr>
          <w:rFonts w:hint="eastAsia"/>
          <w:lang w:val="en-GB"/>
        </w:rPr>
        <w:t>年</w:t>
      </w:r>
      <w:r w:rsidRPr="00E112CD">
        <w:rPr>
          <w:lang w:val="en-GB"/>
        </w:rPr>
        <w:t>4</w:t>
      </w:r>
      <w:r w:rsidRPr="00E112CD">
        <w:rPr>
          <w:rFonts w:hint="eastAsia"/>
          <w:lang w:val="en-GB"/>
        </w:rPr>
        <w:t>月</w:t>
      </w:r>
      <w:r w:rsidRPr="00E112CD">
        <w:rPr>
          <w:lang w:val="en-GB"/>
        </w:rPr>
        <w:t>7</w:t>
      </w:r>
      <w:r w:rsidRPr="00E112CD">
        <w:rPr>
          <w:rFonts w:hint="eastAsia"/>
          <w:lang w:val="en-GB"/>
        </w:rPr>
        <w:t>日在越南河内成立的。东盟促进和保护妇女儿童权利委员会由东盟成员国负责妇女权利和儿童权利的</w:t>
      </w:r>
      <w:r w:rsidRPr="00E112CD">
        <w:rPr>
          <w:lang w:val="en-GB"/>
        </w:rPr>
        <w:t>20</w:t>
      </w:r>
      <w:r w:rsidRPr="00E112CD">
        <w:rPr>
          <w:rFonts w:hint="eastAsia"/>
          <w:lang w:val="en-GB"/>
        </w:rPr>
        <w:t>名代表组成。东盟促进和保护妇女儿童权利委员会的职责和功能</w:t>
      </w:r>
      <w:r w:rsidR="006E1330">
        <w:rPr>
          <w:rFonts w:hint="eastAsia"/>
          <w:lang w:val="en-GB"/>
        </w:rPr>
        <w:t>，</w:t>
      </w:r>
      <w:r w:rsidRPr="00E112CD">
        <w:rPr>
          <w:rFonts w:hint="eastAsia"/>
          <w:lang w:val="en-GB"/>
        </w:rPr>
        <w:t>包括制订旨在促进和保护妇女和儿童的权利的政策、规划和创新战略</w:t>
      </w:r>
      <w:r w:rsidR="006E1330">
        <w:rPr>
          <w:rFonts w:hint="eastAsia"/>
          <w:lang w:val="en-GB"/>
        </w:rPr>
        <w:t>，</w:t>
      </w:r>
      <w:r w:rsidRPr="00E112CD">
        <w:rPr>
          <w:rFonts w:hint="eastAsia"/>
          <w:lang w:val="en-GB"/>
        </w:rPr>
        <w:t>是对东盟共同体机构的补充。马来西亚由妇女、家庭及社会发展部秘书长代表。作为东盟促进和保护妇女儿童权利委员会的成员国</w:t>
      </w:r>
      <w:r w:rsidR="006E1330">
        <w:rPr>
          <w:rFonts w:hint="eastAsia"/>
          <w:lang w:val="en-GB"/>
        </w:rPr>
        <w:t>，</w:t>
      </w:r>
      <w:r w:rsidRPr="00E112CD">
        <w:rPr>
          <w:rFonts w:hint="eastAsia"/>
          <w:lang w:val="en-GB"/>
        </w:rPr>
        <w:t>马来西亚一直积极参与东盟促进和保护妇女儿童权利委员会的《</w:t>
      </w:r>
      <w:r w:rsidRPr="00E112CD">
        <w:rPr>
          <w:lang w:val="en-GB"/>
        </w:rPr>
        <w:t>2012</w:t>
      </w:r>
      <w:r w:rsidRPr="00E112CD">
        <w:rPr>
          <w:rFonts w:hint="eastAsia"/>
          <w:lang w:val="en-GB"/>
        </w:rPr>
        <w:t>年至</w:t>
      </w:r>
      <w:r w:rsidRPr="00E112CD">
        <w:rPr>
          <w:lang w:val="en-GB"/>
        </w:rPr>
        <w:t>2016</w:t>
      </w:r>
      <w:r w:rsidRPr="00E112CD">
        <w:rPr>
          <w:rFonts w:hint="eastAsia"/>
          <w:lang w:val="en-GB"/>
        </w:rPr>
        <w:t>年工作计划》</w:t>
      </w:r>
      <w:r w:rsidR="006E1330">
        <w:rPr>
          <w:rFonts w:hint="eastAsia"/>
          <w:lang w:val="en-GB"/>
        </w:rPr>
        <w:t>，</w:t>
      </w:r>
      <w:r w:rsidRPr="00E112CD">
        <w:rPr>
          <w:rFonts w:hint="eastAsia"/>
          <w:lang w:val="en-GB"/>
        </w:rPr>
        <w:t>带头实施了在下列主题领域的</w:t>
      </w:r>
      <w:r w:rsidRPr="00E112CD">
        <w:rPr>
          <w:lang w:val="en-GB"/>
        </w:rPr>
        <w:t>4</w:t>
      </w:r>
      <w:r w:rsidRPr="00E112CD">
        <w:rPr>
          <w:rFonts w:hint="eastAsia"/>
          <w:lang w:val="en-GB"/>
        </w:rPr>
        <w:t>个项目</w:t>
      </w:r>
      <w:r w:rsidR="006E1330">
        <w:rPr>
          <w:rFonts w:hint="eastAsia"/>
          <w:lang w:val="en-GB"/>
        </w:rPr>
        <w:t>：</w:t>
      </w:r>
      <w:r w:rsidRPr="00E112CD">
        <w:rPr>
          <w:rFonts w:hint="eastAsia"/>
          <w:lang w:val="en-GB"/>
        </w:rPr>
        <w:t>消除侵害妇女和儿童的暴力</w:t>
      </w:r>
      <w:r w:rsidR="006E1330">
        <w:rPr>
          <w:rFonts w:hint="eastAsia"/>
          <w:lang w:val="en-GB"/>
        </w:rPr>
        <w:t>；</w:t>
      </w:r>
      <w:r w:rsidRPr="00E112CD">
        <w:rPr>
          <w:rFonts w:hint="eastAsia"/>
          <w:lang w:val="en-GB"/>
        </w:rPr>
        <w:t>儿童早期保育和优质教育权利</w:t>
      </w:r>
      <w:r w:rsidR="006E1330">
        <w:rPr>
          <w:rFonts w:hint="eastAsia"/>
          <w:lang w:val="en-GB"/>
        </w:rPr>
        <w:t>；</w:t>
      </w:r>
      <w:r w:rsidRPr="00E112CD">
        <w:rPr>
          <w:rFonts w:hint="eastAsia"/>
          <w:lang w:val="en-GB"/>
        </w:rPr>
        <w:t>针对贫穷女性化</w:t>
      </w:r>
      <w:r w:rsidR="006E1330">
        <w:rPr>
          <w:rFonts w:hint="eastAsia"/>
          <w:lang w:val="en-GB"/>
        </w:rPr>
        <w:t>，</w:t>
      </w:r>
      <w:r w:rsidRPr="00E112CD">
        <w:rPr>
          <w:rFonts w:hint="eastAsia"/>
          <w:lang w:val="en-GB"/>
        </w:rPr>
        <w:t>增强妇女的经济权利</w:t>
      </w:r>
      <w:r w:rsidR="006E1330">
        <w:rPr>
          <w:rFonts w:hint="eastAsia"/>
          <w:lang w:val="en-GB"/>
        </w:rPr>
        <w:t>；</w:t>
      </w:r>
      <w:r w:rsidRPr="00E112CD">
        <w:rPr>
          <w:rFonts w:hint="eastAsia"/>
          <w:lang w:val="en-GB"/>
        </w:rPr>
        <w:t>妇女的土地和财产权利</w:t>
      </w:r>
      <w:r w:rsidR="006E1330">
        <w:rPr>
          <w:rFonts w:hint="eastAsia"/>
          <w:lang w:val="en-GB"/>
        </w:rPr>
        <w:t>；</w:t>
      </w:r>
      <w:r w:rsidRPr="00E112CD">
        <w:rPr>
          <w:rFonts w:hint="eastAsia"/>
          <w:lang w:val="en-GB"/>
        </w:rPr>
        <w:t>以及将性别平等主流化。</w:t>
      </w:r>
    </w:p>
    <w:p w:rsidR="00E112CD" w:rsidRPr="00E112CD" w:rsidRDefault="00E112CD" w:rsidP="00F3666B">
      <w:pPr>
        <w:pStyle w:val="H1GC"/>
        <w:rPr>
          <w:lang w:val="en-GB"/>
        </w:rPr>
      </w:pPr>
      <w:r w:rsidRPr="00E112CD">
        <w:rPr>
          <w:lang w:val="en-GB"/>
        </w:rPr>
        <w:tab/>
        <w:t>B.</w:t>
      </w:r>
      <w:r w:rsidRPr="00E112CD">
        <w:rPr>
          <w:lang w:val="en-GB"/>
        </w:rPr>
        <w:tab/>
      </w:r>
      <w:r w:rsidRPr="00E112CD">
        <w:rPr>
          <w:rFonts w:hint="eastAsia"/>
          <w:lang w:val="en-GB"/>
        </w:rPr>
        <w:t>国家一级保护人权的法律框架</w:t>
      </w:r>
    </w:p>
    <w:p w:rsidR="00E112CD" w:rsidRPr="00E112CD" w:rsidRDefault="00E112CD" w:rsidP="00F3666B">
      <w:pPr>
        <w:pStyle w:val="H23GC"/>
        <w:rPr>
          <w:lang w:val="en-GB"/>
        </w:rPr>
      </w:pPr>
      <w:r w:rsidRPr="00E112CD">
        <w:rPr>
          <w:lang w:val="en-GB"/>
        </w:rPr>
        <w:tab/>
      </w:r>
      <w:r w:rsidR="006E1330">
        <w:rPr>
          <w:lang w:val="en-GB"/>
        </w:rPr>
        <w:t>1.</w:t>
      </w:r>
      <w:r w:rsidRPr="00E112CD">
        <w:rPr>
          <w:lang w:val="en-GB"/>
        </w:rPr>
        <w:tab/>
      </w:r>
      <w:r w:rsidRPr="00E112CD">
        <w:rPr>
          <w:rFonts w:hint="eastAsia"/>
          <w:lang w:val="en-GB"/>
        </w:rPr>
        <w:t>宪法保障基本人权</w:t>
      </w:r>
    </w:p>
    <w:p w:rsidR="00E112CD" w:rsidRPr="00E112CD" w:rsidRDefault="00E112CD" w:rsidP="00E112CD">
      <w:pPr>
        <w:pStyle w:val="SingleTxtGC"/>
        <w:rPr>
          <w:lang w:val="en-GB"/>
        </w:rPr>
      </w:pPr>
      <w:r w:rsidRPr="00E112CD">
        <w:rPr>
          <w:lang w:val="en-GB"/>
        </w:rPr>
        <w:t>4</w:t>
      </w:r>
      <w:r w:rsidR="006E1330">
        <w:rPr>
          <w:lang w:val="en-GB"/>
        </w:rPr>
        <w:t>6.</w:t>
      </w:r>
      <w:r w:rsidR="00F3666B">
        <w:rPr>
          <w:rFonts w:hint="eastAsia"/>
          <w:lang w:val="en-GB"/>
        </w:rPr>
        <w:t xml:space="preserve">  </w:t>
      </w:r>
      <w:r w:rsidRPr="00E112CD">
        <w:rPr>
          <w:rFonts w:hint="eastAsia"/>
          <w:lang w:val="en-GB"/>
        </w:rPr>
        <w:t>马来西亚《联邦宪法》第二部分第</w:t>
      </w:r>
      <w:r w:rsidRPr="00E112CD">
        <w:rPr>
          <w:lang w:val="en-GB"/>
        </w:rPr>
        <w:t>5</w:t>
      </w:r>
      <w:r w:rsidRPr="00E112CD">
        <w:rPr>
          <w:rFonts w:hint="eastAsia"/>
          <w:lang w:val="en-GB"/>
        </w:rPr>
        <w:t>至</w:t>
      </w:r>
      <w:r w:rsidRPr="00E112CD">
        <w:rPr>
          <w:lang w:val="en-GB"/>
        </w:rPr>
        <w:t>13</w:t>
      </w:r>
      <w:r w:rsidRPr="00E112CD">
        <w:rPr>
          <w:rFonts w:hint="eastAsia"/>
          <w:lang w:val="en-GB"/>
        </w:rPr>
        <w:t>条对基本权利和基本自由作出了规定</w:t>
      </w:r>
      <w:r w:rsidR="006E1330">
        <w:rPr>
          <w:rFonts w:hint="eastAsia"/>
          <w:lang w:val="en-GB"/>
        </w:rPr>
        <w:t>，</w:t>
      </w:r>
      <w:r w:rsidRPr="00E112CD">
        <w:rPr>
          <w:rFonts w:hint="eastAsia"/>
          <w:lang w:val="en-GB"/>
        </w:rPr>
        <w:t>其中包括</w:t>
      </w:r>
      <w:r w:rsidR="006E1330">
        <w:rPr>
          <w:rFonts w:hint="eastAsia"/>
          <w:lang w:val="en-GB"/>
        </w:rPr>
        <w:t>：</w:t>
      </w:r>
      <w:r w:rsidRPr="00E112CD">
        <w:rPr>
          <w:rFonts w:hint="eastAsia"/>
          <w:lang w:val="en-GB"/>
        </w:rPr>
        <w:t>个人自由、禁止奴役和强迫劳动的权利</w:t>
      </w:r>
      <w:r w:rsidR="006E1330">
        <w:rPr>
          <w:rFonts w:hint="eastAsia"/>
          <w:lang w:val="en-GB"/>
        </w:rPr>
        <w:t>；</w:t>
      </w:r>
      <w:r w:rsidRPr="00E112CD">
        <w:rPr>
          <w:rFonts w:hint="eastAsia"/>
          <w:lang w:val="en-GB"/>
        </w:rPr>
        <w:t>受法律平等保护的权利</w:t>
      </w:r>
      <w:r w:rsidR="006E1330">
        <w:rPr>
          <w:rFonts w:hint="eastAsia"/>
          <w:lang w:val="en-GB"/>
        </w:rPr>
        <w:t>；</w:t>
      </w:r>
      <w:r w:rsidRPr="00E112CD">
        <w:rPr>
          <w:rFonts w:hint="eastAsia"/>
          <w:lang w:val="en-GB"/>
        </w:rPr>
        <w:t>禁止驱逐与移徙自由</w:t>
      </w:r>
      <w:r w:rsidR="006E1330">
        <w:rPr>
          <w:rFonts w:hint="eastAsia"/>
          <w:lang w:val="en-GB"/>
        </w:rPr>
        <w:t>；</w:t>
      </w:r>
      <w:r w:rsidRPr="00E112CD">
        <w:rPr>
          <w:rFonts w:hint="eastAsia"/>
          <w:lang w:val="en-GB"/>
        </w:rPr>
        <w:t>言论、集会和结社自由</w:t>
      </w:r>
      <w:r w:rsidR="006E1330">
        <w:rPr>
          <w:rFonts w:hint="eastAsia"/>
          <w:lang w:val="en-GB"/>
        </w:rPr>
        <w:t>；</w:t>
      </w:r>
      <w:r w:rsidRPr="00E112CD">
        <w:rPr>
          <w:rFonts w:hint="eastAsia"/>
          <w:lang w:val="en-GB"/>
        </w:rPr>
        <w:t>宗教自由</w:t>
      </w:r>
      <w:r w:rsidR="006E1330">
        <w:rPr>
          <w:rFonts w:hint="eastAsia"/>
          <w:lang w:val="en-GB"/>
        </w:rPr>
        <w:t>；</w:t>
      </w:r>
      <w:r w:rsidRPr="00E112CD">
        <w:rPr>
          <w:rFonts w:hint="eastAsia"/>
          <w:lang w:val="en-GB"/>
        </w:rPr>
        <w:t>受教育的权利</w:t>
      </w:r>
      <w:r w:rsidR="006E1330">
        <w:rPr>
          <w:rFonts w:hint="eastAsia"/>
          <w:lang w:val="en-GB"/>
        </w:rPr>
        <w:t>；</w:t>
      </w:r>
      <w:r w:rsidRPr="00E112CD">
        <w:rPr>
          <w:rFonts w:hint="eastAsia"/>
          <w:lang w:val="en-GB"/>
        </w:rPr>
        <w:t>以及产权。《联邦宪法》规定在法律面前人人平等</w:t>
      </w:r>
      <w:r w:rsidR="006E1330">
        <w:rPr>
          <w:rFonts w:hint="eastAsia"/>
          <w:lang w:val="en-GB"/>
        </w:rPr>
        <w:t>，</w:t>
      </w:r>
      <w:r w:rsidRPr="00E112CD">
        <w:rPr>
          <w:rFonts w:hint="eastAsia"/>
          <w:lang w:val="en-GB"/>
        </w:rPr>
        <w:t>所有人受到法律的平等保护。《联邦宪法》第</w:t>
      </w:r>
      <w:r w:rsidRPr="00E112CD">
        <w:rPr>
          <w:lang w:val="en-GB"/>
        </w:rPr>
        <w:t>8</w:t>
      </w:r>
      <w:r w:rsidRPr="00E112CD">
        <w:rPr>
          <w:rFonts w:hint="eastAsia"/>
          <w:lang w:val="en-GB"/>
        </w:rPr>
        <w:t>条第</w:t>
      </w:r>
      <w:r w:rsidRPr="00E112CD">
        <w:rPr>
          <w:lang w:val="en-GB"/>
        </w:rPr>
        <w:t>1</w:t>
      </w:r>
      <w:r w:rsidRPr="00E112CD">
        <w:rPr>
          <w:rFonts w:hint="eastAsia"/>
          <w:lang w:val="en-GB"/>
        </w:rPr>
        <w:t>款规定</w:t>
      </w:r>
      <w:r w:rsidR="006E1330">
        <w:rPr>
          <w:rFonts w:hint="eastAsia"/>
          <w:lang w:val="en-GB"/>
        </w:rPr>
        <w:t>，</w:t>
      </w:r>
      <w:r w:rsidRPr="00E112CD">
        <w:rPr>
          <w:rFonts w:hint="eastAsia"/>
          <w:lang w:val="en-GB"/>
        </w:rPr>
        <w:t>在法律面前人人平等</w:t>
      </w:r>
      <w:r w:rsidR="006E1330">
        <w:rPr>
          <w:rFonts w:hint="eastAsia"/>
          <w:lang w:val="en-GB"/>
        </w:rPr>
        <w:t>，</w:t>
      </w:r>
      <w:r w:rsidRPr="00E112CD">
        <w:rPr>
          <w:rFonts w:hint="eastAsia"/>
          <w:lang w:val="en-GB"/>
        </w:rPr>
        <w:t>所有人享有受法律平等保护的权利。这意味着</w:t>
      </w:r>
      <w:r w:rsidR="006E1330">
        <w:rPr>
          <w:rFonts w:hint="eastAsia"/>
          <w:lang w:val="en-GB"/>
        </w:rPr>
        <w:t>，</w:t>
      </w:r>
      <w:r w:rsidRPr="00E112CD">
        <w:rPr>
          <w:rFonts w:hint="eastAsia"/>
          <w:lang w:val="en-GB"/>
        </w:rPr>
        <w:t>每个人受法律的平等保护</w:t>
      </w:r>
      <w:r w:rsidR="006E1330">
        <w:rPr>
          <w:rFonts w:hint="eastAsia"/>
          <w:lang w:val="en-GB"/>
        </w:rPr>
        <w:t>，</w:t>
      </w:r>
      <w:r w:rsidRPr="00E112CD">
        <w:rPr>
          <w:rFonts w:hint="eastAsia"/>
          <w:lang w:val="en-GB"/>
        </w:rPr>
        <w:t>无论是否是公民。</w:t>
      </w:r>
    </w:p>
    <w:p w:rsidR="00E112CD" w:rsidRPr="00E112CD" w:rsidRDefault="00E112CD" w:rsidP="00E112CD">
      <w:pPr>
        <w:pStyle w:val="SingleTxtGC"/>
        <w:rPr>
          <w:lang w:val="en-GB"/>
        </w:rPr>
      </w:pPr>
      <w:r w:rsidRPr="00E112CD">
        <w:rPr>
          <w:lang w:val="en-GB"/>
        </w:rPr>
        <w:t>4</w:t>
      </w:r>
      <w:r w:rsidR="006E1330">
        <w:rPr>
          <w:lang w:val="en-GB"/>
        </w:rPr>
        <w:t>7.</w:t>
      </w:r>
      <w:r w:rsidR="00F3666B">
        <w:rPr>
          <w:rFonts w:hint="eastAsia"/>
          <w:lang w:val="en-GB"/>
        </w:rPr>
        <w:t xml:space="preserve">  </w:t>
      </w:r>
      <w:r w:rsidRPr="00E112CD">
        <w:rPr>
          <w:rFonts w:hint="eastAsia"/>
          <w:lang w:val="en-GB"/>
        </w:rPr>
        <w:t>根据《联邦宪法》第</w:t>
      </w:r>
      <w:r w:rsidRPr="00E112CD">
        <w:rPr>
          <w:lang w:val="en-GB"/>
        </w:rPr>
        <w:t>8</w:t>
      </w:r>
      <w:r w:rsidRPr="00E112CD">
        <w:rPr>
          <w:rFonts w:hint="eastAsia"/>
          <w:lang w:val="en-GB"/>
        </w:rPr>
        <w:t>条第</w:t>
      </w:r>
      <w:r w:rsidRPr="00E112CD">
        <w:rPr>
          <w:lang w:val="en-GB"/>
        </w:rPr>
        <w:t>2</w:t>
      </w:r>
      <w:r w:rsidRPr="00E112CD">
        <w:rPr>
          <w:rFonts w:hint="eastAsia"/>
          <w:lang w:val="en-GB"/>
        </w:rPr>
        <w:t>款</w:t>
      </w:r>
      <w:r w:rsidR="006E1330">
        <w:rPr>
          <w:rFonts w:hint="eastAsia"/>
          <w:lang w:val="en-GB"/>
        </w:rPr>
        <w:t>，</w:t>
      </w:r>
      <w:r w:rsidRPr="00E112CD">
        <w:rPr>
          <w:rFonts w:hint="eastAsia"/>
          <w:lang w:val="en-GB"/>
        </w:rPr>
        <w:t>在任何法律中</w:t>
      </w:r>
      <w:r w:rsidR="006E1330">
        <w:rPr>
          <w:rFonts w:hint="eastAsia"/>
          <w:lang w:val="en-GB"/>
        </w:rPr>
        <w:t>，</w:t>
      </w:r>
      <w:r w:rsidRPr="00E112CD">
        <w:rPr>
          <w:rFonts w:hint="eastAsia"/>
          <w:lang w:val="en-GB"/>
        </w:rPr>
        <w:t>或者在公共管理部门任何职位的任命或聘用上</w:t>
      </w:r>
      <w:r w:rsidR="006E1330">
        <w:rPr>
          <w:rFonts w:hint="eastAsia"/>
          <w:lang w:val="en-GB"/>
        </w:rPr>
        <w:t>，</w:t>
      </w:r>
      <w:r w:rsidRPr="00E112CD">
        <w:rPr>
          <w:rFonts w:hint="eastAsia"/>
          <w:lang w:val="en-GB"/>
        </w:rPr>
        <w:t>或者在与收购、持有或处置财产有关的任何法律的司法部门</w:t>
      </w:r>
      <w:r w:rsidR="006E1330">
        <w:rPr>
          <w:rFonts w:hint="eastAsia"/>
          <w:lang w:val="en-GB"/>
        </w:rPr>
        <w:t>，</w:t>
      </w:r>
      <w:r w:rsidRPr="00E112CD">
        <w:rPr>
          <w:rFonts w:hint="eastAsia"/>
          <w:lang w:val="en-GB"/>
        </w:rPr>
        <w:t>或者在建立或进行任何贸易、商业、专业、职业或就业上</w:t>
      </w:r>
      <w:r w:rsidR="006E1330">
        <w:rPr>
          <w:rFonts w:hint="eastAsia"/>
          <w:lang w:val="en-GB"/>
        </w:rPr>
        <w:t>，</w:t>
      </w:r>
      <w:r w:rsidRPr="00E112CD">
        <w:rPr>
          <w:rFonts w:hint="eastAsia"/>
          <w:lang w:val="en-GB"/>
        </w:rPr>
        <w:t>不得仅仅基于宗教、种族、血统、出生地或性别歧视公民。《联邦宪法》第</w:t>
      </w:r>
      <w:r w:rsidRPr="00E112CD">
        <w:rPr>
          <w:lang w:val="en-GB"/>
        </w:rPr>
        <w:t>8</w:t>
      </w:r>
      <w:r w:rsidRPr="00E112CD">
        <w:rPr>
          <w:rFonts w:hint="eastAsia"/>
          <w:lang w:val="en-GB"/>
        </w:rPr>
        <w:t>条第</w:t>
      </w:r>
      <w:r w:rsidRPr="00E112CD">
        <w:rPr>
          <w:lang w:val="en-GB"/>
        </w:rPr>
        <w:t>5</w:t>
      </w:r>
      <w:r w:rsidRPr="00E112CD">
        <w:rPr>
          <w:rFonts w:hint="eastAsia"/>
          <w:lang w:val="en-GB"/>
        </w:rPr>
        <w:t>款规定</w:t>
      </w:r>
      <w:r w:rsidR="006E1330">
        <w:rPr>
          <w:rFonts w:hint="eastAsia"/>
          <w:lang w:val="en-GB"/>
        </w:rPr>
        <w:t>，</w:t>
      </w:r>
      <w:r w:rsidRPr="00E112CD">
        <w:rPr>
          <w:rFonts w:hint="eastAsia"/>
          <w:lang w:val="en-GB"/>
        </w:rPr>
        <w:t>上述规定并不使下列法规失效或并不禁止下列法规</w:t>
      </w:r>
      <w:r w:rsidR="006E1330">
        <w:rPr>
          <w:rFonts w:hint="eastAsia"/>
          <w:lang w:val="en-GB"/>
        </w:rPr>
        <w:t>：</w:t>
      </w:r>
    </w:p>
    <w:p w:rsidR="00E112CD" w:rsidRPr="00E112CD" w:rsidRDefault="00E112CD" w:rsidP="00F3666B">
      <w:pPr>
        <w:pStyle w:val="SingleTxtGC"/>
        <w:numPr>
          <w:ilvl w:val="0"/>
          <w:numId w:val="11"/>
        </w:numPr>
        <w:tabs>
          <w:tab w:val="clear" w:pos="431"/>
          <w:tab w:val="clear" w:pos="1134"/>
          <w:tab w:val="clear" w:pos="1565"/>
          <w:tab w:val="clear" w:pos="1996"/>
          <w:tab w:val="clear" w:pos="2426"/>
        </w:tabs>
        <w:rPr>
          <w:lang w:val="en-GB"/>
        </w:rPr>
      </w:pPr>
      <w:r w:rsidRPr="00E112CD">
        <w:rPr>
          <w:rFonts w:hint="eastAsia"/>
          <w:lang w:val="en-GB"/>
        </w:rPr>
        <w:t>规范属人法的任何法规</w:t>
      </w:r>
      <w:r w:rsidR="006E1330">
        <w:rPr>
          <w:rFonts w:hint="eastAsia"/>
          <w:lang w:val="en-GB"/>
        </w:rPr>
        <w:t>；</w:t>
      </w:r>
    </w:p>
    <w:p w:rsidR="00E112CD" w:rsidRPr="00E112CD" w:rsidRDefault="00E112CD" w:rsidP="00F3666B">
      <w:pPr>
        <w:pStyle w:val="SingleTxtGC"/>
        <w:numPr>
          <w:ilvl w:val="0"/>
          <w:numId w:val="11"/>
        </w:numPr>
        <w:tabs>
          <w:tab w:val="clear" w:pos="431"/>
          <w:tab w:val="clear" w:pos="1134"/>
          <w:tab w:val="clear" w:pos="1565"/>
          <w:tab w:val="clear" w:pos="1996"/>
          <w:tab w:val="clear" w:pos="2426"/>
        </w:tabs>
        <w:rPr>
          <w:lang w:val="en-GB"/>
        </w:rPr>
      </w:pPr>
      <w:r w:rsidRPr="00E112CD">
        <w:rPr>
          <w:rFonts w:hint="eastAsia"/>
          <w:lang w:val="en-GB"/>
        </w:rPr>
        <w:t>限制信仰任何宗教的人在与该宗教事务或与信仰该宗教的团体管理的机构的事务有关的办公室任职或工作的任何法规或做法</w:t>
      </w:r>
      <w:r w:rsidR="006E1330">
        <w:rPr>
          <w:rFonts w:hint="eastAsia"/>
          <w:lang w:val="en-GB"/>
        </w:rPr>
        <w:t>；</w:t>
      </w:r>
    </w:p>
    <w:p w:rsidR="00E112CD" w:rsidRPr="00E112CD" w:rsidRDefault="00E112CD" w:rsidP="00F3666B">
      <w:pPr>
        <w:pStyle w:val="SingleTxtGC"/>
        <w:numPr>
          <w:ilvl w:val="0"/>
          <w:numId w:val="11"/>
        </w:numPr>
        <w:tabs>
          <w:tab w:val="clear" w:pos="431"/>
          <w:tab w:val="clear" w:pos="1134"/>
          <w:tab w:val="clear" w:pos="1565"/>
          <w:tab w:val="clear" w:pos="1996"/>
          <w:tab w:val="clear" w:pos="2426"/>
        </w:tabs>
        <w:rPr>
          <w:lang w:val="en-GB"/>
        </w:rPr>
      </w:pPr>
      <w:r w:rsidRPr="00E112CD">
        <w:rPr>
          <w:rFonts w:hint="eastAsia"/>
          <w:lang w:val="en-GB"/>
        </w:rPr>
        <w:t>关于马来半岛土著人民的保护、安康或提高地位的任何法规</w:t>
      </w:r>
      <w:r w:rsidR="006E1330">
        <w:rPr>
          <w:rFonts w:hint="eastAsia"/>
          <w:lang w:val="en-GB"/>
        </w:rPr>
        <w:t>；</w:t>
      </w:r>
    </w:p>
    <w:p w:rsidR="00E112CD" w:rsidRPr="00E112CD" w:rsidRDefault="00E112CD" w:rsidP="00F3666B">
      <w:pPr>
        <w:pStyle w:val="SingleTxtGC"/>
        <w:numPr>
          <w:ilvl w:val="0"/>
          <w:numId w:val="11"/>
        </w:numPr>
        <w:tabs>
          <w:tab w:val="clear" w:pos="431"/>
          <w:tab w:val="clear" w:pos="1134"/>
          <w:tab w:val="clear" w:pos="1565"/>
          <w:tab w:val="clear" w:pos="1996"/>
          <w:tab w:val="clear" w:pos="2426"/>
        </w:tabs>
        <w:rPr>
          <w:lang w:val="en-GB"/>
        </w:rPr>
      </w:pPr>
      <w:r w:rsidRPr="00E112CD">
        <w:rPr>
          <w:rFonts w:hint="eastAsia"/>
          <w:lang w:val="en-GB"/>
        </w:rPr>
        <w:t>规定将在一个州居住作为参加选举或被任命为任何管理机构成员或在这种选举中投票的资格的任何法规</w:t>
      </w:r>
      <w:r w:rsidR="006E1330">
        <w:rPr>
          <w:rFonts w:hint="eastAsia"/>
          <w:lang w:val="en-GB"/>
        </w:rPr>
        <w:t>；</w:t>
      </w:r>
    </w:p>
    <w:p w:rsidR="00E112CD" w:rsidRPr="00E112CD" w:rsidRDefault="00E112CD" w:rsidP="00F3666B">
      <w:pPr>
        <w:pStyle w:val="SingleTxtGC"/>
        <w:numPr>
          <w:ilvl w:val="0"/>
          <w:numId w:val="11"/>
        </w:numPr>
        <w:tabs>
          <w:tab w:val="clear" w:pos="431"/>
          <w:tab w:val="clear" w:pos="1134"/>
          <w:tab w:val="clear" w:pos="1565"/>
          <w:tab w:val="clear" w:pos="1996"/>
          <w:tab w:val="clear" w:pos="2426"/>
        </w:tabs>
        <w:rPr>
          <w:lang w:val="en-GB"/>
        </w:rPr>
      </w:pPr>
      <w:r w:rsidRPr="00E112CD">
        <w:rPr>
          <w:rFonts w:hint="eastAsia"/>
          <w:lang w:val="en-GB"/>
        </w:rPr>
        <w:t>州《宪法》中的任何条款</w:t>
      </w:r>
      <w:r w:rsidR="006E1330">
        <w:rPr>
          <w:rFonts w:hint="eastAsia"/>
          <w:lang w:val="en-GB"/>
        </w:rPr>
        <w:t>；</w:t>
      </w:r>
      <w:r w:rsidRPr="00E112CD">
        <w:rPr>
          <w:rFonts w:hint="eastAsia"/>
          <w:lang w:val="en-GB"/>
        </w:rPr>
        <w:t>以及</w:t>
      </w:r>
    </w:p>
    <w:p w:rsidR="00E112CD" w:rsidRPr="00E112CD" w:rsidRDefault="00E112CD" w:rsidP="00F3666B">
      <w:pPr>
        <w:pStyle w:val="SingleTxtGC"/>
        <w:numPr>
          <w:ilvl w:val="0"/>
          <w:numId w:val="11"/>
        </w:numPr>
        <w:tabs>
          <w:tab w:val="clear" w:pos="431"/>
          <w:tab w:val="clear" w:pos="1134"/>
          <w:tab w:val="clear" w:pos="1565"/>
          <w:tab w:val="clear" w:pos="1996"/>
          <w:tab w:val="clear" w:pos="2426"/>
        </w:tabs>
        <w:rPr>
          <w:lang w:val="en-GB"/>
        </w:rPr>
      </w:pPr>
      <w:r w:rsidRPr="00E112CD">
        <w:rPr>
          <w:rFonts w:hint="eastAsia"/>
          <w:lang w:val="en-GB"/>
        </w:rPr>
        <w:t>限制马来人加入马来军团的任何法规。</w:t>
      </w:r>
    </w:p>
    <w:p w:rsidR="00E112CD" w:rsidRPr="00E112CD" w:rsidRDefault="00E112CD" w:rsidP="00E112CD">
      <w:pPr>
        <w:pStyle w:val="SingleTxtGC"/>
        <w:rPr>
          <w:lang w:val="en-GB"/>
        </w:rPr>
      </w:pPr>
      <w:r w:rsidRPr="00E112CD">
        <w:rPr>
          <w:lang w:val="en-GB"/>
        </w:rPr>
        <w:t>4</w:t>
      </w:r>
      <w:r w:rsidR="006E1330">
        <w:rPr>
          <w:lang w:val="en-GB"/>
        </w:rPr>
        <w:t>8.</w:t>
      </w:r>
      <w:r w:rsidR="00F3666B">
        <w:rPr>
          <w:rFonts w:hint="eastAsia"/>
          <w:lang w:val="en-GB"/>
        </w:rPr>
        <w:t xml:space="preserve">  </w:t>
      </w:r>
      <w:r w:rsidRPr="00E112CD">
        <w:rPr>
          <w:rFonts w:hint="eastAsia"/>
          <w:lang w:val="en-GB"/>
        </w:rPr>
        <w:t>《联邦宪法》也规定了确保提高马来人、土著人民及沙巴和沙捞越土著人的地位的某些措施。这些措施旨在确保这些群体平等地享有人权和基本自由。《联邦宪法》第</w:t>
      </w:r>
      <w:r w:rsidRPr="00E112CD">
        <w:rPr>
          <w:lang w:val="en-GB"/>
        </w:rPr>
        <w:t>153</w:t>
      </w:r>
      <w:r w:rsidRPr="00E112CD">
        <w:rPr>
          <w:rFonts w:hint="eastAsia"/>
          <w:lang w:val="en-GB"/>
        </w:rPr>
        <w:t>条规定了马来西亚最高元首维护马来人及沙巴和沙捞越州土著人的特别地位和其他群体的合法权益的责任。</w:t>
      </w:r>
    </w:p>
    <w:p w:rsidR="00E112CD" w:rsidRPr="00E112CD" w:rsidRDefault="00E112CD" w:rsidP="00E112CD">
      <w:pPr>
        <w:pStyle w:val="SingleTxtGC"/>
        <w:rPr>
          <w:lang w:val="en-GB"/>
        </w:rPr>
      </w:pPr>
      <w:r w:rsidRPr="00E112CD">
        <w:rPr>
          <w:lang w:val="en-GB"/>
        </w:rPr>
        <w:t>4</w:t>
      </w:r>
      <w:r w:rsidR="006E1330">
        <w:rPr>
          <w:lang w:val="en-GB"/>
        </w:rPr>
        <w:t>9.</w:t>
      </w:r>
      <w:r w:rsidR="00F3666B">
        <w:rPr>
          <w:rFonts w:hint="eastAsia"/>
          <w:lang w:val="en-GB"/>
        </w:rPr>
        <w:t xml:space="preserve">  </w:t>
      </w:r>
      <w:r w:rsidRPr="00E112CD">
        <w:rPr>
          <w:rFonts w:hint="eastAsia"/>
          <w:lang w:val="en-GB"/>
        </w:rPr>
        <w:t>政府</w:t>
      </w:r>
      <w:r w:rsidRPr="00E112CD">
        <w:rPr>
          <w:lang w:val="en-GB"/>
        </w:rPr>
        <w:t>2011</w:t>
      </w:r>
      <w:r w:rsidRPr="00E112CD">
        <w:rPr>
          <w:rFonts w:hint="eastAsia"/>
          <w:lang w:val="en-GB"/>
        </w:rPr>
        <w:t>年</w:t>
      </w:r>
      <w:r w:rsidRPr="00E112CD">
        <w:rPr>
          <w:lang w:val="en-GB"/>
        </w:rPr>
        <w:t>9</w:t>
      </w:r>
      <w:r w:rsidRPr="00E112CD">
        <w:rPr>
          <w:rFonts w:hint="eastAsia"/>
          <w:lang w:val="en-GB"/>
        </w:rPr>
        <w:t>月</w:t>
      </w:r>
      <w:r w:rsidRPr="00E112CD">
        <w:rPr>
          <w:lang w:val="en-GB"/>
        </w:rPr>
        <w:t>15</w:t>
      </w:r>
      <w:r w:rsidRPr="00E112CD">
        <w:rPr>
          <w:rFonts w:hint="eastAsia"/>
          <w:lang w:val="en-GB"/>
        </w:rPr>
        <w:t>日宣布实行法律和政治转型</w:t>
      </w:r>
      <w:r w:rsidR="006E1330">
        <w:rPr>
          <w:rFonts w:hint="eastAsia"/>
          <w:lang w:val="en-GB"/>
        </w:rPr>
        <w:t>，</w:t>
      </w:r>
      <w:r w:rsidRPr="00E112CD">
        <w:rPr>
          <w:rFonts w:hint="eastAsia"/>
          <w:lang w:val="en-GB"/>
        </w:rPr>
        <w:t>除其他外</w:t>
      </w:r>
      <w:r w:rsidR="006E1330">
        <w:rPr>
          <w:rFonts w:hint="eastAsia"/>
          <w:lang w:val="en-GB"/>
        </w:rPr>
        <w:t>，</w:t>
      </w:r>
      <w:r w:rsidRPr="00E112CD">
        <w:rPr>
          <w:rFonts w:hint="eastAsia"/>
          <w:lang w:val="en-GB"/>
        </w:rPr>
        <w:t>这尤其涉及废除</w:t>
      </w:r>
      <w:bookmarkStart w:id="5" w:name="OLE_LINK9"/>
      <w:bookmarkStart w:id="6" w:name="OLE_LINK10"/>
      <w:r w:rsidRPr="00E112CD">
        <w:rPr>
          <w:rFonts w:hint="eastAsia"/>
          <w:lang w:val="en-GB"/>
        </w:rPr>
        <w:t>《三个紧急状态公告</w:t>
      </w:r>
      <w:bookmarkEnd w:id="5"/>
      <w:bookmarkEnd w:id="6"/>
      <w:r w:rsidRPr="00E112CD">
        <w:rPr>
          <w:rFonts w:hint="eastAsia"/>
          <w:lang w:val="en-GB"/>
        </w:rPr>
        <w:t>》</w:t>
      </w:r>
      <w:r w:rsidR="00F3666B">
        <w:rPr>
          <w:rStyle w:val="FootnoteReference"/>
          <w:lang w:val="en-GB"/>
        </w:rPr>
        <w:footnoteReference w:id="10"/>
      </w:r>
      <w:r w:rsidRPr="00E112CD">
        <w:rPr>
          <w:rFonts w:hint="eastAsia"/>
          <w:lang w:val="en-GB"/>
        </w:rPr>
        <w:t>、废除</w:t>
      </w:r>
      <w:r w:rsidRPr="00E112CD">
        <w:rPr>
          <w:lang w:val="en-GB"/>
        </w:rPr>
        <w:t>1960</w:t>
      </w:r>
      <w:r w:rsidRPr="00E112CD">
        <w:rPr>
          <w:rFonts w:hint="eastAsia"/>
          <w:lang w:val="en-GB"/>
        </w:rPr>
        <w:t>年《内部安全法》、废除</w:t>
      </w:r>
      <w:r w:rsidRPr="00E112CD">
        <w:rPr>
          <w:lang w:val="en-GB"/>
        </w:rPr>
        <w:t>1959</w:t>
      </w:r>
      <w:r w:rsidRPr="00E112CD">
        <w:rPr>
          <w:rFonts w:hint="eastAsia"/>
          <w:lang w:val="en-GB"/>
        </w:rPr>
        <w:t>年《驱逐法》和</w:t>
      </w:r>
      <w:r w:rsidRPr="00E112CD">
        <w:rPr>
          <w:lang w:val="en-GB"/>
        </w:rPr>
        <w:t>1933</w:t>
      </w:r>
      <w:r w:rsidRPr="00E112CD">
        <w:rPr>
          <w:rFonts w:hint="eastAsia"/>
          <w:lang w:val="en-GB"/>
        </w:rPr>
        <w:t>年《限制居住法》</w:t>
      </w:r>
      <w:r w:rsidR="006E1330">
        <w:rPr>
          <w:rFonts w:hint="eastAsia"/>
          <w:lang w:val="en-GB"/>
        </w:rPr>
        <w:t>，</w:t>
      </w:r>
      <w:r w:rsidRPr="00E112CD">
        <w:rPr>
          <w:rFonts w:hint="eastAsia"/>
          <w:lang w:val="en-GB"/>
        </w:rPr>
        <w:t>以及为了修订或废除</w:t>
      </w:r>
      <w:r w:rsidRPr="00E112CD">
        <w:rPr>
          <w:lang w:val="en-GB"/>
        </w:rPr>
        <w:t>1967</w:t>
      </w:r>
      <w:r w:rsidRPr="00E112CD">
        <w:rPr>
          <w:rFonts w:hint="eastAsia"/>
          <w:lang w:val="en-GB"/>
        </w:rPr>
        <w:t>年《警察法》第</w:t>
      </w:r>
      <w:r w:rsidRPr="00E112CD">
        <w:rPr>
          <w:lang w:val="en-GB"/>
        </w:rPr>
        <w:t>27</w:t>
      </w:r>
      <w:r w:rsidRPr="00E112CD">
        <w:rPr>
          <w:rFonts w:hint="eastAsia"/>
          <w:lang w:val="en-GB"/>
        </w:rPr>
        <w:t>条及一些其他法律而对这些法律进行审查。废除《紧急状态公告》是政府为了确保这个国家在不再处于紧急状态上向前迈出的一步</w:t>
      </w:r>
      <w:r w:rsidR="006E1330">
        <w:rPr>
          <w:rFonts w:hint="eastAsia"/>
          <w:lang w:val="en-GB"/>
        </w:rPr>
        <w:t>，</w:t>
      </w:r>
      <w:r w:rsidRPr="00E112CD">
        <w:rPr>
          <w:rFonts w:hint="eastAsia"/>
          <w:lang w:val="en-GB"/>
        </w:rPr>
        <w:t>也是为了在马来西亚加强法治和基本自由上向前迈出的一步。此外</w:t>
      </w:r>
      <w:r w:rsidR="006E1330">
        <w:rPr>
          <w:rFonts w:hint="eastAsia"/>
          <w:lang w:val="en-GB"/>
        </w:rPr>
        <w:t>，</w:t>
      </w:r>
      <w:r w:rsidRPr="00E112CD">
        <w:rPr>
          <w:rFonts w:hint="eastAsia"/>
          <w:lang w:val="en-GB"/>
        </w:rPr>
        <w:t>它确保马来西亚在许多方面</w:t>
      </w:r>
      <w:r w:rsidR="006E1330">
        <w:rPr>
          <w:rFonts w:hint="eastAsia"/>
          <w:lang w:val="en-GB"/>
        </w:rPr>
        <w:t>，</w:t>
      </w:r>
      <w:r w:rsidRPr="00E112CD">
        <w:rPr>
          <w:rFonts w:hint="eastAsia"/>
          <w:lang w:val="en-GB"/>
        </w:rPr>
        <w:t>尤其是在政治和法律制度方面</w:t>
      </w:r>
      <w:r w:rsidR="006E1330">
        <w:rPr>
          <w:rFonts w:hint="eastAsia"/>
          <w:lang w:val="en-GB"/>
        </w:rPr>
        <w:t>，</w:t>
      </w:r>
      <w:r w:rsidRPr="00E112CD">
        <w:rPr>
          <w:rFonts w:hint="eastAsia"/>
          <w:lang w:val="en-GB"/>
        </w:rPr>
        <w:t>继续前进。</w:t>
      </w:r>
    </w:p>
    <w:p w:rsidR="00E112CD" w:rsidRPr="00E112CD" w:rsidRDefault="00E112CD" w:rsidP="00E112CD">
      <w:pPr>
        <w:pStyle w:val="SingleTxtGC"/>
        <w:rPr>
          <w:lang w:val="en-GB"/>
        </w:rPr>
      </w:pPr>
      <w:r w:rsidRPr="00E112CD">
        <w:rPr>
          <w:lang w:val="en-GB"/>
        </w:rPr>
        <w:t>5</w:t>
      </w:r>
      <w:r w:rsidR="006E1330">
        <w:rPr>
          <w:lang w:val="en-GB"/>
        </w:rPr>
        <w:t>0.</w:t>
      </w:r>
      <w:r w:rsidR="00F3666B">
        <w:rPr>
          <w:rFonts w:hint="eastAsia"/>
          <w:lang w:val="en-GB"/>
        </w:rPr>
        <w:t xml:space="preserve">  </w:t>
      </w:r>
      <w:r w:rsidRPr="00E112CD">
        <w:rPr>
          <w:rFonts w:hint="eastAsia"/>
          <w:lang w:val="en-GB"/>
        </w:rPr>
        <w:t>为了重申公民在不使用武力的情况下和平地组织集会和参与集会的权利</w:t>
      </w:r>
      <w:r w:rsidR="006E1330">
        <w:rPr>
          <w:rFonts w:hint="eastAsia"/>
          <w:lang w:val="en-GB"/>
        </w:rPr>
        <w:t>，</w:t>
      </w:r>
      <w:r w:rsidRPr="00E112CD">
        <w:rPr>
          <w:rFonts w:hint="eastAsia"/>
          <w:lang w:val="en-GB"/>
        </w:rPr>
        <w:t>颁布了</w:t>
      </w:r>
      <w:r w:rsidRPr="00E112CD">
        <w:rPr>
          <w:lang w:val="en-GB"/>
        </w:rPr>
        <w:t>2012</w:t>
      </w:r>
      <w:r w:rsidRPr="00E112CD">
        <w:rPr>
          <w:rFonts w:hint="eastAsia"/>
          <w:lang w:val="en-GB"/>
        </w:rPr>
        <w:t>年《和平集会法》</w:t>
      </w:r>
      <w:r w:rsidR="006E1330">
        <w:rPr>
          <w:rFonts w:hint="eastAsia"/>
          <w:lang w:val="en-GB"/>
        </w:rPr>
        <w:t>，</w:t>
      </w:r>
      <w:r w:rsidRPr="00E112CD">
        <w:rPr>
          <w:rFonts w:hint="eastAsia"/>
          <w:lang w:val="en-GB"/>
        </w:rPr>
        <w:t>行使该权利只受视为维护联盟或联盟的任何部分的安全或公共秩序的利益、包括保护其他人的权利和自由所必需的或适宜的限制。</w:t>
      </w:r>
      <w:r w:rsidR="00F3666B">
        <w:rPr>
          <w:rStyle w:val="FootnoteReference"/>
          <w:lang w:val="en-GB"/>
        </w:rPr>
        <w:footnoteReference w:id="11"/>
      </w:r>
    </w:p>
    <w:p w:rsidR="00E112CD" w:rsidRPr="00E112CD" w:rsidRDefault="00E112CD" w:rsidP="00E112CD">
      <w:pPr>
        <w:pStyle w:val="SingleTxtGC"/>
        <w:rPr>
          <w:lang w:val="en-GB"/>
        </w:rPr>
      </w:pPr>
      <w:r w:rsidRPr="00E112CD">
        <w:rPr>
          <w:lang w:val="en-GB"/>
        </w:rPr>
        <w:t>5</w:t>
      </w:r>
      <w:r w:rsidR="006E1330">
        <w:rPr>
          <w:lang w:val="en-GB"/>
        </w:rPr>
        <w:t>1.</w:t>
      </w:r>
      <w:r w:rsidR="00F3666B">
        <w:rPr>
          <w:rFonts w:hint="eastAsia"/>
          <w:lang w:val="en-GB"/>
        </w:rPr>
        <w:t xml:space="preserve">  </w:t>
      </w:r>
      <w:r w:rsidRPr="00E112CD">
        <w:rPr>
          <w:rFonts w:hint="eastAsia"/>
          <w:lang w:val="en-GB"/>
        </w:rPr>
        <w:t>马来西亚废除了</w:t>
      </w:r>
      <w:r w:rsidRPr="00E112CD">
        <w:rPr>
          <w:lang w:val="en-GB"/>
        </w:rPr>
        <w:t>1959</w:t>
      </w:r>
      <w:r w:rsidRPr="00E112CD">
        <w:rPr>
          <w:rFonts w:hint="eastAsia"/>
          <w:lang w:val="en-GB"/>
        </w:rPr>
        <w:t>年《驱逐法》</w:t>
      </w:r>
      <w:r w:rsidR="006E1330">
        <w:rPr>
          <w:rFonts w:hint="eastAsia"/>
          <w:lang w:val="en-GB"/>
        </w:rPr>
        <w:t>，</w:t>
      </w:r>
      <w:r w:rsidRPr="00E112CD">
        <w:rPr>
          <w:rFonts w:hint="eastAsia"/>
          <w:lang w:val="en-GB"/>
        </w:rPr>
        <w:t>该法规定从马来西亚驱逐和逐出不是马来西亚公民的人</w:t>
      </w:r>
      <w:r w:rsidR="006E1330">
        <w:rPr>
          <w:rFonts w:hint="eastAsia"/>
          <w:lang w:val="en-GB"/>
        </w:rPr>
        <w:t>，</w:t>
      </w:r>
      <w:r w:rsidRPr="00E112CD">
        <w:rPr>
          <w:rFonts w:hint="eastAsia"/>
          <w:lang w:val="en-GB"/>
        </w:rPr>
        <w:t>废除该法符合国际规范和标准。</w:t>
      </w:r>
      <w:r w:rsidRPr="00E112CD">
        <w:rPr>
          <w:lang w:val="en-GB"/>
        </w:rPr>
        <w:t>2011</w:t>
      </w:r>
      <w:r w:rsidRPr="00E112CD">
        <w:rPr>
          <w:rFonts w:hint="eastAsia"/>
          <w:lang w:val="en-GB"/>
        </w:rPr>
        <w:t>年</w:t>
      </w:r>
      <w:r w:rsidR="006E1330">
        <w:rPr>
          <w:rFonts w:hint="eastAsia"/>
          <w:lang w:val="en-GB"/>
        </w:rPr>
        <w:t>，</w:t>
      </w:r>
      <w:r w:rsidRPr="00E112CD">
        <w:rPr>
          <w:rFonts w:hint="eastAsia"/>
          <w:lang w:val="en-GB"/>
        </w:rPr>
        <w:t>废除了</w:t>
      </w:r>
      <w:r w:rsidRPr="00E112CD">
        <w:rPr>
          <w:lang w:val="en-GB"/>
        </w:rPr>
        <w:t>1933</w:t>
      </w:r>
      <w:r w:rsidRPr="00E112CD">
        <w:rPr>
          <w:rFonts w:hint="eastAsia"/>
          <w:lang w:val="en-GB"/>
        </w:rPr>
        <w:t>年《限制居住法》</w:t>
      </w:r>
      <w:r w:rsidR="006E1330">
        <w:rPr>
          <w:rFonts w:hint="eastAsia"/>
          <w:lang w:val="en-GB"/>
        </w:rPr>
        <w:t>，</w:t>
      </w:r>
      <w:r w:rsidRPr="00E112CD">
        <w:rPr>
          <w:rFonts w:hint="eastAsia"/>
          <w:lang w:val="en-GB"/>
        </w:rPr>
        <w:t>因为该法已经过时</w:t>
      </w:r>
      <w:r w:rsidR="006E1330">
        <w:rPr>
          <w:rFonts w:hint="eastAsia"/>
          <w:lang w:val="en-GB"/>
        </w:rPr>
        <w:t>，</w:t>
      </w:r>
      <w:r w:rsidRPr="00E112CD">
        <w:rPr>
          <w:rFonts w:hint="eastAsia"/>
          <w:lang w:val="en-GB"/>
        </w:rPr>
        <w:t>已经失去作用。马来西亚基于两个重要因素</w:t>
      </w:r>
      <w:r w:rsidR="006E1330">
        <w:rPr>
          <w:rFonts w:hint="eastAsia"/>
          <w:lang w:val="en-GB"/>
        </w:rPr>
        <w:t>，</w:t>
      </w:r>
      <w:r w:rsidRPr="00E112CD">
        <w:rPr>
          <w:rFonts w:hint="eastAsia"/>
          <w:lang w:val="en-GB"/>
        </w:rPr>
        <w:t>即个人言论自由原则和倾诉权</w:t>
      </w:r>
      <w:r w:rsidR="006E1330">
        <w:rPr>
          <w:rFonts w:hint="eastAsia"/>
          <w:lang w:val="en-GB"/>
        </w:rPr>
        <w:t>，</w:t>
      </w:r>
      <w:r w:rsidRPr="00E112CD">
        <w:rPr>
          <w:rFonts w:hint="eastAsia"/>
          <w:lang w:val="en-GB"/>
        </w:rPr>
        <w:t>也修订了</w:t>
      </w:r>
      <w:r w:rsidRPr="00E112CD">
        <w:rPr>
          <w:lang w:val="en-GB"/>
        </w:rPr>
        <w:t>1984</w:t>
      </w:r>
      <w:r w:rsidRPr="00E112CD">
        <w:rPr>
          <w:rFonts w:hint="eastAsia"/>
          <w:lang w:val="en-GB"/>
        </w:rPr>
        <w:t>年《印刷和出版法》。</w:t>
      </w:r>
      <w:r w:rsidR="00F3666B">
        <w:rPr>
          <w:rStyle w:val="FootnoteReference"/>
          <w:lang w:val="en-GB"/>
        </w:rPr>
        <w:footnoteReference w:id="12"/>
      </w:r>
    </w:p>
    <w:p w:rsidR="00E112CD" w:rsidRPr="00E112CD" w:rsidRDefault="00E112CD" w:rsidP="00E112CD">
      <w:pPr>
        <w:pStyle w:val="SingleTxtGC"/>
        <w:rPr>
          <w:lang w:val="en-GB"/>
        </w:rPr>
      </w:pPr>
      <w:r w:rsidRPr="00E112CD">
        <w:rPr>
          <w:lang w:val="en-GB"/>
        </w:rPr>
        <w:t>5</w:t>
      </w:r>
      <w:r w:rsidR="006E1330">
        <w:rPr>
          <w:lang w:val="en-GB"/>
        </w:rPr>
        <w:t>2.</w:t>
      </w:r>
      <w:r w:rsidR="00F3666B">
        <w:rPr>
          <w:rFonts w:hint="eastAsia"/>
          <w:lang w:val="en-GB"/>
        </w:rPr>
        <w:t xml:space="preserve">  </w:t>
      </w:r>
      <w:r w:rsidRPr="00E112CD">
        <w:rPr>
          <w:rFonts w:hint="eastAsia"/>
          <w:lang w:val="en-GB"/>
        </w:rPr>
        <w:t>马来西亚也废除了为了遏制诸如颠覆或有害公共秩序的行动等行为而颁布的</w:t>
      </w:r>
      <w:r w:rsidRPr="00E112CD">
        <w:rPr>
          <w:lang w:val="en-GB"/>
        </w:rPr>
        <w:t>1972</w:t>
      </w:r>
      <w:r w:rsidRPr="00E112CD">
        <w:rPr>
          <w:rFonts w:hint="eastAsia"/>
          <w:lang w:val="en-GB"/>
        </w:rPr>
        <w:t>年《国内安全法》</w:t>
      </w:r>
      <w:r w:rsidR="006E1330">
        <w:rPr>
          <w:rFonts w:hint="eastAsia"/>
          <w:lang w:val="en-GB"/>
        </w:rPr>
        <w:t>，</w:t>
      </w:r>
      <w:r w:rsidRPr="00E112CD">
        <w:rPr>
          <w:rFonts w:hint="eastAsia"/>
          <w:lang w:val="en-GB"/>
        </w:rPr>
        <w:t>取而代之的是</w:t>
      </w:r>
      <w:r w:rsidRPr="00E112CD">
        <w:rPr>
          <w:lang w:val="en-GB"/>
        </w:rPr>
        <w:t>2012</w:t>
      </w:r>
      <w:r w:rsidRPr="00E112CD">
        <w:rPr>
          <w:rFonts w:hint="eastAsia"/>
          <w:lang w:val="en-GB"/>
        </w:rPr>
        <w:t>年《安全罪行</w:t>
      </w:r>
      <w:r w:rsidR="006E1330">
        <w:rPr>
          <w:lang w:val="en-GB"/>
        </w:rPr>
        <w:t>(</w:t>
      </w:r>
      <w:r w:rsidRPr="00E112CD">
        <w:rPr>
          <w:rFonts w:hint="eastAsia"/>
          <w:lang w:val="en-GB"/>
        </w:rPr>
        <w:t>特别措施</w:t>
      </w:r>
      <w:r w:rsidR="006E1330">
        <w:rPr>
          <w:lang w:val="en-GB"/>
        </w:rPr>
        <w:t>)</w:t>
      </w:r>
      <w:r w:rsidRPr="00E112CD">
        <w:rPr>
          <w:rFonts w:hint="eastAsia"/>
          <w:lang w:val="en-GB"/>
        </w:rPr>
        <w:t>法》</w:t>
      </w:r>
      <w:r w:rsidR="006E1330">
        <w:rPr>
          <w:rFonts w:hint="eastAsia"/>
          <w:lang w:val="en-GB"/>
        </w:rPr>
        <w:t>，</w:t>
      </w:r>
      <w:r w:rsidRPr="00E112CD">
        <w:rPr>
          <w:rFonts w:hint="eastAsia"/>
          <w:lang w:val="en-GB"/>
        </w:rPr>
        <w:t>该法规定可以对该法定义的安全罪行采取特别措施。《安全罪行</w:t>
      </w:r>
      <w:r w:rsidR="006E1330">
        <w:rPr>
          <w:lang w:val="en-GB"/>
        </w:rPr>
        <w:t>(</w:t>
      </w:r>
      <w:r w:rsidRPr="00E112CD">
        <w:rPr>
          <w:rFonts w:hint="eastAsia"/>
          <w:lang w:val="en-GB"/>
        </w:rPr>
        <w:t>特别措施</w:t>
      </w:r>
      <w:r w:rsidR="006E1330">
        <w:rPr>
          <w:lang w:val="en-GB"/>
        </w:rPr>
        <w:t>)</w:t>
      </w:r>
      <w:r w:rsidRPr="00E112CD">
        <w:rPr>
          <w:rFonts w:hint="eastAsia"/>
          <w:lang w:val="en-GB"/>
        </w:rPr>
        <w:t>法》是一个程序法</w:t>
      </w:r>
      <w:r w:rsidR="006E1330">
        <w:rPr>
          <w:rFonts w:hint="eastAsia"/>
          <w:lang w:val="en-GB"/>
        </w:rPr>
        <w:t>，</w:t>
      </w:r>
      <w:r w:rsidRPr="00E112CD">
        <w:rPr>
          <w:rFonts w:hint="eastAsia"/>
          <w:lang w:val="en-GB"/>
        </w:rPr>
        <w:t>专门颁布该法是为了规定在从侦查阶段一直到上诉阶段整个过程中对安全罪行可以采取的特别措施</w:t>
      </w:r>
      <w:r w:rsidR="006E1330">
        <w:rPr>
          <w:rFonts w:hint="eastAsia"/>
          <w:lang w:val="en-GB"/>
        </w:rPr>
        <w:t>，</w:t>
      </w:r>
      <w:r w:rsidRPr="00E112CD">
        <w:rPr>
          <w:rFonts w:hint="eastAsia"/>
          <w:lang w:val="en-GB"/>
        </w:rPr>
        <w:t>而不是针对罪行本身。《安全罪行</w:t>
      </w:r>
      <w:r w:rsidR="006E1330">
        <w:rPr>
          <w:lang w:val="en-GB"/>
        </w:rPr>
        <w:t>(</w:t>
      </w:r>
      <w:r w:rsidRPr="00E112CD">
        <w:rPr>
          <w:rFonts w:hint="eastAsia"/>
          <w:lang w:val="en-GB"/>
        </w:rPr>
        <w:t>特别措施</w:t>
      </w:r>
      <w:r w:rsidR="006E1330">
        <w:rPr>
          <w:lang w:val="en-GB"/>
        </w:rPr>
        <w:t>)</w:t>
      </w:r>
      <w:r w:rsidRPr="00E112CD">
        <w:rPr>
          <w:rFonts w:hint="eastAsia"/>
          <w:lang w:val="en-GB"/>
        </w:rPr>
        <w:t>法》作为一项程序法</w:t>
      </w:r>
      <w:r w:rsidR="006E1330">
        <w:rPr>
          <w:rFonts w:hint="eastAsia"/>
          <w:lang w:val="en-GB"/>
        </w:rPr>
        <w:t>，</w:t>
      </w:r>
      <w:r w:rsidRPr="00E112CD">
        <w:rPr>
          <w:rFonts w:hint="eastAsia"/>
          <w:lang w:val="en-GB"/>
        </w:rPr>
        <w:t>必须与《刑法》一并解读</w:t>
      </w:r>
      <w:r w:rsidR="006E1330">
        <w:rPr>
          <w:rFonts w:hint="eastAsia"/>
          <w:lang w:val="en-GB"/>
        </w:rPr>
        <w:t>，</w:t>
      </w:r>
      <w:r w:rsidRPr="00E112CD">
        <w:rPr>
          <w:rFonts w:hint="eastAsia"/>
          <w:lang w:val="en-GB"/>
        </w:rPr>
        <w:t>其适用必须与《安全罪行</w:t>
      </w:r>
      <w:r w:rsidR="006E1330">
        <w:rPr>
          <w:lang w:val="en-GB"/>
        </w:rPr>
        <w:t>(</w:t>
      </w:r>
      <w:r w:rsidRPr="00E112CD">
        <w:rPr>
          <w:rFonts w:hint="eastAsia"/>
          <w:lang w:val="en-GB"/>
        </w:rPr>
        <w:t>特别措施</w:t>
      </w:r>
      <w:r w:rsidR="006E1330">
        <w:rPr>
          <w:lang w:val="en-GB"/>
        </w:rPr>
        <w:t>)</w:t>
      </w:r>
      <w:r w:rsidRPr="00E112CD">
        <w:rPr>
          <w:rFonts w:hint="eastAsia"/>
          <w:lang w:val="en-GB"/>
        </w:rPr>
        <w:t>法》第一章所列的安全罪行相关</w:t>
      </w:r>
      <w:r w:rsidR="006E1330">
        <w:rPr>
          <w:rFonts w:hint="eastAsia"/>
          <w:lang w:val="en-GB"/>
        </w:rPr>
        <w:t>，</w:t>
      </w:r>
      <w:r w:rsidRPr="00E112CD">
        <w:rPr>
          <w:rFonts w:hint="eastAsia"/>
          <w:lang w:val="en-GB"/>
        </w:rPr>
        <w:t>即与《刑法》第六章</w:t>
      </w:r>
      <w:r w:rsidR="006E1330">
        <w:rPr>
          <w:lang w:val="en-GB"/>
        </w:rPr>
        <w:t>(</w:t>
      </w:r>
      <w:r w:rsidRPr="00E112CD">
        <w:rPr>
          <w:rFonts w:hint="eastAsia"/>
          <w:lang w:val="en-GB"/>
        </w:rPr>
        <w:t>反国家罪</w:t>
      </w:r>
      <w:r w:rsidR="006E1330">
        <w:rPr>
          <w:lang w:val="en-GB"/>
        </w:rPr>
        <w:t>)</w:t>
      </w:r>
      <w:r w:rsidRPr="00E112CD">
        <w:rPr>
          <w:rFonts w:hint="eastAsia"/>
          <w:lang w:val="en-GB"/>
        </w:rPr>
        <w:t>和第六</w:t>
      </w:r>
      <w:r w:rsidRPr="00E112CD">
        <w:rPr>
          <w:lang w:val="en-GB"/>
        </w:rPr>
        <w:t>A</w:t>
      </w:r>
      <w:r w:rsidRPr="00E112CD">
        <w:rPr>
          <w:rFonts w:hint="eastAsia"/>
          <w:lang w:val="en-GB"/>
        </w:rPr>
        <w:t>章</w:t>
      </w:r>
      <w:r w:rsidR="006E1330">
        <w:rPr>
          <w:lang w:val="en-GB"/>
        </w:rPr>
        <w:t>(</w:t>
      </w:r>
      <w:r w:rsidRPr="00E112CD">
        <w:rPr>
          <w:rFonts w:hint="eastAsia"/>
          <w:lang w:val="en-GB"/>
        </w:rPr>
        <w:t>与恐怖主义有关的罪行</w:t>
      </w:r>
      <w:r w:rsidR="006E1330">
        <w:rPr>
          <w:lang w:val="en-GB"/>
        </w:rPr>
        <w:t>)</w:t>
      </w:r>
      <w:r w:rsidRPr="00E112CD">
        <w:rPr>
          <w:rFonts w:hint="eastAsia"/>
          <w:lang w:val="en-GB"/>
        </w:rPr>
        <w:t>规定的实质性罪行相关。然而</w:t>
      </w:r>
      <w:r w:rsidR="006E1330">
        <w:rPr>
          <w:rFonts w:hint="eastAsia"/>
          <w:lang w:val="en-GB"/>
        </w:rPr>
        <w:t>，</w:t>
      </w:r>
      <w:r w:rsidRPr="00E112CD">
        <w:rPr>
          <w:rFonts w:hint="eastAsia"/>
          <w:lang w:val="en-GB"/>
        </w:rPr>
        <w:t>《安全罪行</w:t>
      </w:r>
      <w:r w:rsidR="006E1330">
        <w:rPr>
          <w:lang w:val="en-GB"/>
        </w:rPr>
        <w:t>(</w:t>
      </w:r>
      <w:r w:rsidRPr="00E112CD">
        <w:rPr>
          <w:rFonts w:hint="eastAsia"/>
          <w:lang w:val="en-GB"/>
        </w:rPr>
        <w:t>特别措施</w:t>
      </w:r>
      <w:r w:rsidR="006E1330">
        <w:rPr>
          <w:lang w:val="en-GB"/>
        </w:rPr>
        <w:t>)</w:t>
      </w:r>
      <w:r w:rsidRPr="00E112CD">
        <w:rPr>
          <w:rFonts w:hint="eastAsia"/>
          <w:lang w:val="en-GB"/>
        </w:rPr>
        <w:t>法》仍然包含不是安全罪行的罪行</w:t>
      </w:r>
      <w:r w:rsidR="006E1330">
        <w:rPr>
          <w:rFonts w:hint="eastAsia"/>
          <w:lang w:val="en-GB"/>
        </w:rPr>
        <w:t>，</w:t>
      </w:r>
      <w:r w:rsidRPr="00E112CD">
        <w:rPr>
          <w:rFonts w:hint="eastAsia"/>
          <w:lang w:val="en-GB"/>
        </w:rPr>
        <w:t>譬如</w:t>
      </w:r>
      <w:r w:rsidR="006E1330">
        <w:rPr>
          <w:rFonts w:hint="eastAsia"/>
          <w:lang w:val="en-GB"/>
        </w:rPr>
        <w:t>，</w:t>
      </w:r>
      <w:r w:rsidRPr="00E112CD">
        <w:rPr>
          <w:rFonts w:hint="eastAsia"/>
          <w:lang w:val="en-GB"/>
        </w:rPr>
        <w:t>未能遵守电子监控设备的条款和条件</w:t>
      </w:r>
      <w:r w:rsidR="006E1330">
        <w:rPr>
          <w:rFonts w:hint="eastAsia"/>
          <w:lang w:val="en-GB"/>
        </w:rPr>
        <w:t>，</w:t>
      </w:r>
      <w:r w:rsidRPr="00E112CD">
        <w:rPr>
          <w:rFonts w:hint="eastAsia"/>
          <w:lang w:val="en-GB"/>
        </w:rPr>
        <w:t>修改或破坏电子监控设备</w:t>
      </w:r>
      <w:r w:rsidR="006E1330">
        <w:rPr>
          <w:rFonts w:hint="eastAsia"/>
          <w:lang w:val="en-GB"/>
        </w:rPr>
        <w:t>，</w:t>
      </w:r>
      <w:r w:rsidRPr="00E112CD">
        <w:rPr>
          <w:rFonts w:hint="eastAsia"/>
          <w:lang w:val="en-GB"/>
        </w:rPr>
        <w:t>以及披露受保护的证人的身份。</w:t>
      </w:r>
    </w:p>
    <w:p w:rsidR="00E112CD" w:rsidRPr="00E112CD" w:rsidRDefault="00E112CD" w:rsidP="00E112CD">
      <w:pPr>
        <w:pStyle w:val="SingleTxtGC"/>
        <w:rPr>
          <w:lang w:val="en-GB"/>
        </w:rPr>
      </w:pPr>
      <w:r w:rsidRPr="00E112CD">
        <w:rPr>
          <w:lang w:val="en-GB"/>
        </w:rPr>
        <w:t>5</w:t>
      </w:r>
      <w:r w:rsidR="006E1330">
        <w:rPr>
          <w:lang w:val="en-GB"/>
        </w:rPr>
        <w:t>3.</w:t>
      </w:r>
      <w:r w:rsidR="00F3666B">
        <w:rPr>
          <w:rFonts w:hint="eastAsia"/>
          <w:lang w:val="en-GB"/>
        </w:rPr>
        <w:t xml:space="preserve">  </w:t>
      </w:r>
      <w:r w:rsidRPr="00E112CD">
        <w:rPr>
          <w:lang w:val="en-GB"/>
        </w:rPr>
        <w:t>2008</w:t>
      </w:r>
      <w:r w:rsidRPr="00E112CD">
        <w:rPr>
          <w:rFonts w:hint="eastAsia"/>
          <w:lang w:val="en-GB"/>
        </w:rPr>
        <w:t>年《残疾人法》于</w:t>
      </w:r>
      <w:r w:rsidRPr="00E112CD">
        <w:rPr>
          <w:lang w:val="en-GB"/>
        </w:rPr>
        <w:t>2008</w:t>
      </w:r>
      <w:r w:rsidRPr="00E112CD">
        <w:rPr>
          <w:rFonts w:hint="eastAsia"/>
          <w:lang w:val="en-GB"/>
        </w:rPr>
        <w:t>年</w:t>
      </w:r>
      <w:r w:rsidRPr="00E112CD">
        <w:rPr>
          <w:lang w:val="en-GB"/>
        </w:rPr>
        <w:t>7</w:t>
      </w:r>
      <w:r w:rsidRPr="00E112CD">
        <w:rPr>
          <w:rFonts w:hint="eastAsia"/>
          <w:lang w:val="en-GB"/>
        </w:rPr>
        <w:t>月</w:t>
      </w:r>
      <w:r w:rsidRPr="00E112CD">
        <w:rPr>
          <w:lang w:val="en-GB"/>
        </w:rPr>
        <w:t>7</w:t>
      </w:r>
      <w:r w:rsidRPr="00E112CD">
        <w:rPr>
          <w:rFonts w:hint="eastAsia"/>
          <w:lang w:val="en-GB"/>
        </w:rPr>
        <w:t>日生效</w:t>
      </w:r>
      <w:r w:rsidR="006E1330">
        <w:rPr>
          <w:rFonts w:hint="eastAsia"/>
          <w:lang w:val="en-GB"/>
        </w:rPr>
        <w:t>，</w:t>
      </w:r>
      <w:r w:rsidRPr="00E112CD">
        <w:rPr>
          <w:rFonts w:hint="eastAsia"/>
          <w:lang w:val="en-GB"/>
        </w:rPr>
        <w:t>该法是根据《残疾人权利公约》起草的。马来西亚也致力于打击人口贩运</w:t>
      </w:r>
      <w:r w:rsidR="006E1330">
        <w:rPr>
          <w:rFonts w:hint="eastAsia"/>
          <w:lang w:val="en-GB"/>
        </w:rPr>
        <w:t>，</w:t>
      </w:r>
      <w:r w:rsidRPr="00E112CD">
        <w:rPr>
          <w:rFonts w:hint="eastAsia"/>
          <w:lang w:val="en-GB"/>
        </w:rPr>
        <w:t>制定了</w:t>
      </w:r>
      <w:r w:rsidRPr="00E112CD">
        <w:rPr>
          <w:lang w:val="en-GB"/>
        </w:rPr>
        <w:t>2007</w:t>
      </w:r>
      <w:r w:rsidRPr="00E112CD">
        <w:rPr>
          <w:rFonts w:hint="eastAsia"/>
          <w:lang w:val="en-GB"/>
        </w:rPr>
        <w:t>年《打击人口贩运和打击偷运移民法》</w:t>
      </w:r>
      <w:r w:rsidR="006E1330">
        <w:rPr>
          <w:rFonts w:hint="eastAsia"/>
          <w:lang w:val="en-GB"/>
        </w:rPr>
        <w:t>，</w:t>
      </w:r>
      <w:r w:rsidRPr="00E112CD">
        <w:rPr>
          <w:rFonts w:hint="eastAsia"/>
          <w:lang w:val="en-GB"/>
        </w:rPr>
        <w:t>该法赋予当局调查和逮捕人口贩运者以及救助和保护受害者的责任。这项法律特别是对于处理为了诸如性剥削、强迫劳动或服务、奴役或类似于奴役的做法、劳役或任何非法活动等剥削之目的而贩运妇女或女童案件是至关重要的。</w:t>
      </w:r>
    </w:p>
    <w:p w:rsidR="00E112CD" w:rsidRPr="00E112CD" w:rsidRDefault="00E112CD" w:rsidP="00F3666B">
      <w:pPr>
        <w:pStyle w:val="H23GC"/>
        <w:rPr>
          <w:lang w:val="en-GB"/>
        </w:rPr>
      </w:pPr>
      <w:r w:rsidRPr="00E112CD">
        <w:rPr>
          <w:lang w:val="en-GB"/>
        </w:rPr>
        <w:tab/>
      </w:r>
      <w:r w:rsidRPr="00E112CD">
        <w:rPr>
          <w:lang w:val="en-GB"/>
        </w:rPr>
        <w:tab/>
      </w:r>
      <w:r w:rsidRPr="00E112CD">
        <w:rPr>
          <w:rFonts w:hint="eastAsia"/>
          <w:lang w:val="en-GB"/>
        </w:rPr>
        <w:t>伊斯兰法社群</w:t>
      </w:r>
    </w:p>
    <w:p w:rsidR="00E112CD" w:rsidRPr="00E112CD" w:rsidRDefault="00E112CD" w:rsidP="00E112CD">
      <w:pPr>
        <w:pStyle w:val="SingleTxtGC"/>
        <w:rPr>
          <w:lang w:val="en-GB"/>
        </w:rPr>
      </w:pPr>
      <w:r w:rsidRPr="00E112CD">
        <w:rPr>
          <w:lang w:val="en-GB"/>
        </w:rPr>
        <w:t>5</w:t>
      </w:r>
      <w:r w:rsidR="006E1330">
        <w:rPr>
          <w:lang w:val="en-GB"/>
        </w:rPr>
        <w:t>4.</w:t>
      </w:r>
      <w:r w:rsidR="00F3666B">
        <w:rPr>
          <w:rFonts w:hint="eastAsia"/>
          <w:lang w:val="en-GB"/>
        </w:rPr>
        <w:t xml:space="preserve">  </w:t>
      </w:r>
      <w:r w:rsidRPr="00E112CD">
        <w:rPr>
          <w:rFonts w:hint="eastAsia"/>
          <w:lang w:val="en-GB"/>
        </w:rPr>
        <w:t>伊斯兰法社群成立于</w:t>
      </w:r>
      <w:r w:rsidRPr="00E112CD">
        <w:rPr>
          <w:lang w:val="en-GB"/>
        </w:rPr>
        <w:t>2005</w:t>
      </w:r>
      <w:r w:rsidRPr="00E112CD">
        <w:rPr>
          <w:rFonts w:hint="eastAsia"/>
          <w:lang w:val="en-GB"/>
        </w:rPr>
        <w:t>年</w:t>
      </w:r>
      <w:r w:rsidRPr="00E112CD">
        <w:rPr>
          <w:lang w:val="en-GB"/>
        </w:rPr>
        <w:t>12</w:t>
      </w:r>
      <w:r w:rsidRPr="00E112CD">
        <w:rPr>
          <w:rFonts w:hint="eastAsia"/>
          <w:lang w:val="en-GB"/>
        </w:rPr>
        <w:t>月</w:t>
      </w:r>
      <w:r w:rsidRPr="00E112CD">
        <w:rPr>
          <w:lang w:val="en-GB"/>
        </w:rPr>
        <w:t>5</w:t>
      </w:r>
      <w:r w:rsidRPr="00E112CD">
        <w:rPr>
          <w:rFonts w:hint="eastAsia"/>
          <w:lang w:val="en-GB"/>
        </w:rPr>
        <w:t>日。从本质上讲</w:t>
      </w:r>
      <w:r w:rsidR="006E1330">
        <w:rPr>
          <w:rFonts w:hint="eastAsia"/>
          <w:lang w:val="en-GB"/>
        </w:rPr>
        <w:t>，</w:t>
      </w:r>
      <w:r w:rsidRPr="00E112CD">
        <w:rPr>
          <w:rFonts w:hint="eastAsia"/>
          <w:lang w:val="en-GB"/>
        </w:rPr>
        <w:t>它是一个由马来西亚伊斯兰法和民法专家组成的智能网络</w:t>
      </w:r>
      <w:r w:rsidR="006E1330">
        <w:rPr>
          <w:rFonts w:hint="eastAsia"/>
          <w:lang w:val="en-GB"/>
        </w:rPr>
        <w:t>，</w:t>
      </w:r>
      <w:r w:rsidRPr="00E112CD">
        <w:rPr>
          <w:rFonts w:hint="eastAsia"/>
          <w:lang w:val="en-GB"/>
        </w:rPr>
        <w:t>除其他外</w:t>
      </w:r>
      <w:r w:rsidR="006E1330">
        <w:rPr>
          <w:rFonts w:hint="eastAsia"/>
          <w:lang w:val="en-GB"/>
        </w:rPr>
        <w:t>，</w:t>
      </w:r>
      <w:r w:rsidRPr="00E112CD">
        <w:rPr>
          <w:rFonts w:hint="eastAsia"/>
          <w:lang w:val="en-GB"/>
        </w:rPr>
        <w:t>其中尤其包括政府部委、联邦和州伊斯兰主管机构的专家、法学者、伊斯兰法院法官、伊斯兰法和民法从业者、学术界人士及非政府组织。除其他外</w:t>
      </w:r>
      <w:r w:rsidR="006E1330">
        <w:rPr>
          <w:rFonts w:hint="eastAsia"/>
          <w:lang w:val="en-GB"/>
        </w:rPr>
        <w:t>，</w:t>
      </w:r>
      <w:r w:rsidRPr="00E112CD">
        <w:rPr>
          <w:rFonts w:hint="eastAsia"/>
          <w:lang w:val="en-GB"/>
        </w:rPr>
        <w:t>伊斯兰法社群尤其促进了关于民法与伊斯兰法之间的法律冲突问题的研究</w:t>
      </w:r>
      <w:r w:rsidR="006E1330">
        <w:rPr>
          <w:rFonts w:hint="eastAsia"/>
          <w:lang w:val="en-GB"/>
        </w:rPr>
        <w:t>，</w:t>
      </w:r>
      <w:r w:rsidRPr="00E112CD">
        <w:rPr>
          <w:rFonts w:hint="eastAsia"/>
          <w:lang w:val="en-GB"/>
        </w:rPr>
        <w:t>提出了皈依或脱离伊斯兰教引起的种种问题的解决方案</w:t>
      </w:r>
      <w:r w:rsidR="006E1330">
        <w:rPr>
          <w:rFonts w:hint="eastAsia"/>
          <w:lang w:val="en-GB"/>
        </w:rPr>
        <w:t>，</w:t>
      </w:r>
      <w:r w:rsidRPr="00E112CD">
        <w:rPr>
          <w:rFonts w:hint="eastAsia"/>
          <w:lang w:val="en-GB"/>
        </w:rPr>
        <w:t>譬如</w:t>
      </w:r>
      <w:r w:rsidR="006E1330">
        <w:rPr>
          <w:rFonts w:hint="eastAsia"/>
          <w:lang w:val="en-GB"/>
        </w:rPr>
        <w:t>，</w:t>
      </w:r>
      <w:r w:rsidRPr="00E112CD">
        <w:rPr>
          <w:rFonts w:hint="eastAsia"/>
          <w:lang w:val="en-GB"/>
        </w:rPr>
        <w:t>离婚问题</w:t>
      </w:r>
      <w:r w:rsidR="006E1330">
        <w:rPr>
          <w:rFonts w:hint="eastAsia"/>
          <w:lang w:val="en-GB"/>
        </w:rPr>
        <w:t>，</w:t>
      </w:r>
      <w:r w:rsidRPr="00E112CD">
        <w:rPr>
          <w:rFonts w:hint="eastAsia"/>
          <w:lang w:val="en-GB"/>
        </w:rPr>
        <w:t>妻子和子女的抚养费及子女监护问题</w:t>
      </w:r>
      <w:r w:rsidR="006E1330">
        <w:rPr>
          <w:rFonts w:hint="eastAsia"/>
          <w:lang w:val="en-GB"/>
        </w:rPr>
        <w:t>，</w:t>
      </w:r>
      <w:r w:rsidRPr="00E112CD">
        <w:rPr>
          <w:rFonts w:hint="eastAsia"/>
          <w:lang w:val="en-GB"/>
        </w:rPr>
        <w:t>根据伊斯兰家庭法律法规保护妇女权利问题</w:t>
      </w:r>
      <w:r w:rsidR="006E1330">
        <w:rPr>
          <w:rFonts w:hint="eastAsia"/>
          <w:lang w:val="en-GB"/>
        </w:rPr>
        <w:t>，</w:t>
      </w:r>
      <w:r w:rsidRPr="00E112CD">
        <w:rPr>
          <w:rFonts w:hint="eastAsia"/>
          <w:lang w:val="en-GB"/>
        </w:rPr>
        <w:t>以及民法与伊斯兰法之间的协调问题。取得的结果是</w:t>
      </w:r>
      <w:r w:rsidR="006E1330">
        <w:rPr>
          <w:rFonts w:hint="eastAsia"/>
          <w:lang w:val="en-GB"/>
        </w:rPr>
        <w:t>，</w:t>
      </w:r>
      <w:r w:rsidRPr="00E112CD">
        <w:rPr>
          <w:rFonts w:hint="eastAsia"/>
          <w:lang w:val="en-GB"/>
        </w:rPr>
        <w:t>就</w:t>
      </w:r>
      <w:r w:rsidRPr="00E112CD">
        <w:rPr>
          <w:lang w:val="en-GB"/>
        </w:rPr>
        <w:t>1976</w:t>
      </w:r>
      <w:r w:rsidRPr="00E112CD">
        <w:rPr>
          <w:rFonts w:hint="eastAsia"/>
          <w:lang w:val="en-GB"/>
        </w:rPr>
        <w:t>年《法律改革</w:t>
      </w:r>
      <w:r w:rsidR="006E1330">
        <w:rPr>
          <w:lang w:val="en-GB"/>
        </w:rPr>
        <w:t>(</w:t>
      </w:r>
      <w:r w:rsidRPr="00E112CD">
        <w:rPr>
          <w:rFonts w:hint="eastAsia"/>
          <w:lang w:val="en-GB"/>
        </w:rPr>
        <w:t>结婚和离婚</w:t>
      </w:r>
      <w:r w:rsidR="006E1330">
        <w:rPr>
          <w:lang w:val="en-GB"/>
        </w:rPr>
        <w:t>)</w:t>
      </w:r>
      <w:r w:rsidRPr="00E112CD">
        <w:rPr>
          <w:rFonts w:hint="eastAsia"/>
          <w:lang w:val="en-GB"/>
        </w:rPr>
        <w:t>法》、</w:t>
      </w:r>
      <w:r w:rsidRPr="00E112CD">
        <w:rPr>
          <w:lang w:val="en-GB"/>
        </w:rPr>
        <w:t>1984</w:t>
      </w:r>
      <w:r w:rsidRPr="00E112CD">
        <w:rPr>
          <w:rFonts w:hint="eastAsia"/>
          <w:lang w:val="en-GB"/>
        </w:rPr>
        <w:t>年《伊斯兰家庭法</w:t>
      </w:r>
      <w:r w:rsidR="006E1330">
        <w:rPr>
          <w:lang w:val="en-GB"/>
        </w:rPr>
        <w:t>(</w:t>
      </w:r>
      <w:r w:rsidRPr="00E112CD">
        <w:rPr>
          <w:rFonts w:hint="eastAsia"/>
          <w:lang w:val="en-GB"/>
        </w:rPr>
        <w:t>联邦领土</w:t>
      </w:r>
      <w:r w:rsidR="006E1330">
        <w:rPr>
          <w:lang w:val="en-GB"/>
        </w:rPr>
        <w:t>)</w:t>
      </w:r>
      <w:r w:rsidRPr="00E112CD">
        <w:rPr>
          <w:rFonts w:hint="eastAsia"/>
          <w:lang w:val="en-GB"/>
        </w:rPr>
        <w:t>法》及</w:t>
      </w:r>
      <w:r w:rsidRPr="00E112CD">
        <w:rPr>
          <w:lang w:val="en-GB"/>
        </w:rPr>
        <w:t>1993</w:t>
      </w:r>
      <w:r w:rsidRPr="00E112CD">
        <w:rPr>
          <w:rFonts w:hint="eastAsia"/>
          <w:lang w:val="en-GB"/>
        </w:rPr>
        <w:t>年《伊斯兰法管理</w:t>
      </w:r>
      <w:r w:rsidR="006E1330">
        <w:rPr>
          <w:lang w:val="en-GB"/>
        </w:rPr>
        <w:t>(</w:t>
      </w:r>
      <w:r w:rsidRPr="00E112CD">
        <w:rPr>
          <w:rFonts w:hint="eastAsia"/>
          <w:lang w:val="en-GB"/>
        </w:rPr>
        <w:t>联邦领土</w:t>
      </w:r>
      <w:r w:rsidR="006E1330">
        <w:rPr>
          <w:lang w:val="en-GB"/>
        </w:rPr>
        <w:t>)</w:t>
      </w:r>
      <w:r w:rsidRPr="00E112CD">
        <w:rPr>
          <w:rFonts w:hint="eastAsia"/>
          <w:lang w:val="en-GB"/>
        </w:rPr>
        <w:t>法》提出了一些关于法律范本的建议和提案。在这个过程中</w:t>
      </w:r>
      <w:r w:rsidR="006E1330">
        <w:rPr>
          <w:rFonts w:hint="eastAsia"/>
          <w:lang w:val="en-GB"/>
        </w:rPr>
        <w:t>，</w:t>
      </w:r>
      <w:r w:rsidRPr="00E112CD">
        <w:rPr>
          <w:rFonts w:hint="eastAsia"/>
          <w:lang w:val="en-GB"/>
        </w:rPr>
        <w:t>伊斯兰法社群只是促进协调过程</w:t>
      </w:r>
      <w:r w:rsidR="006E1330">
        <w:rPr>
          <w:rFonts w:hint="eastAsia"/>
          <w:lang w:val="en-GB"/>
        </w:rPr>
        <w:t>，</w:t>
      </w:r>
      <w:r w:rsidRPr="00E112CD">
        <w:rPr>
          <w:rFonts w:hint="eastAsia"/>
          <w:lang w:val="en-GB"/>
        </w:rPr>
        <w:t>宪法规定在马来西亚在伊斯兰法上独家行使权力的州政府将作适当决定</w:t>
      </w:r>
      <w:r w:rsidR="006E1330">
        <w:rPr>
          <w:rFonts w:hint="eastAsia"/>
          <w:lang w:val="en-GB"/>
        </w:rPr>
        <w:t>，</w:t>
      </w:r>
      <w:r w:rsidRPr="00E112CD">
        <w:rPr>
          <w:rFonts w:hint="eastAsia"/>
          <w:lang w:val="en-GB"/>
        </w:rPr>
        <w:t>包括基于伊斯兰法社群建议的法律范本进行必要的立法。</w:t>
      </w:r>
    </w:p>
    <w:p w:rsidR="00E112CD" w:rsidRPr="00E112CD" w:rsidRDefault="00E112CD" w:rsidP="00F3666B">
      <w:pPr>
        <w:pStyle w:val="H1GC"/>
        <w:rPr>
          <w:lang w:val="en-GB"/>
        </w:rPr>
      </w:pPr>
      <w:r w:rsidRPr="00E112CD">
        <w:rPr>
          <w:lang w:val="en-GB"/>
        </w:rPr>
        <w:tab/>
        <w:t>C.</w:t>
      </w:r>
      <w:r w:rsidRPr="00E112CD">
        <w:rPr>
          <w:lang w:val="en-GB"/>
        </w:rPr>
        <w:tab/>
      </w:r>
      <w:r w:rsidRPr="00E112CD">
        <w:rPr>
          <w:rFonts w:hint="eastAsia"/>
          <w:lang w:val="en-GB"/>
        </w:rPr>
        <w:t>国家一级促进人权的框架</w:t>
      </w:r>
    </w:p>
    <w:p w:rsidR="00E112CD" w:rsidRPr="00E112CD" w:rsidRDefault="00E112CD" w:rsidP="00E112CD">
      <w:pPr>
        <w:pStyle w:val="SingleTxtGC"/>
        <w:rPr>
          <w:lang w:val="en-GB"/>
        </w:rPr>
      </w:pPr>
      <w:r w:rsidRPr="00E112CD">
        <w:rPr>
          <w:lang w:val="en-GB"/>
        </w:rPr>
        <w:t>5</w:t>
      </w:r>
      <w:r w:rsidR="006E1330">
        <w:rPr>
          <w:lang w:val="en-GB"/>
        </w:rPr>
        <w:t>5.</w:t>
      </w:r>
      <w:r w:rsidR="00F3666B">
        <w:rPr>
          <w:rFonts w:hint="eastAsia"/>
          <w:lang w:val="en-GB"/>
        </w:rPr>
        <w:t xml:space="preserve">  </w:t>
      </w:r>
      <w:r w:rsidRPr="00E112CD">
        <w:rPr>
          <w:rFonts w:hint="eastAsia"/>
          <w:lang w:val="en-GB"/>
        </w:rPr>
        <w:t>不断为政府官员、特别是政策制定者和执行者举办人权宣传培训和实施人权宣传项目</w:t>
      </w:r>
      <w:r w:rsidR="006E1330">
        <w:rPr>
          <w:rFonts w:hint="eastAsia"/>
          <w:lang w:val="en-GB"/>
        </w:rPr>
        <w:t>，</w:t>
      </w:r>
      <w:r w:rsidRPr="00E112CD">
        <w:rPr>
          <w:rFonts w:hint="eastAsia"/>
          <w:lang w:val="en-GB"/>
        </w:rPr>
        <w:t>以确保将人权观念纳入政策制定和执行的主流。这些培训和项目包括两性平等、普及法律知识及侵害妇女的暴力行为等问题。经常实施性别平等议程</w:t>
      </w:r>
      <w:r w:rsidR="006E1330">
        <w:rPr>
          <w:rFonts w:hint="eastAsia"/>
          <w:lang w:val="en-GB"/>
        </w:rPr>
        <w:t>，</w:t>
      </w:r>
      <w:r w:rsidRPr="00E112CD">
        <w:rPr>
          <w:rFonts w:hint="eastAsia"/>
          <w:lang w:val="en-GB"/>
        </w:rPr>
        <w:t>包括在国家和地区两级。</w:t>
      </w:r>
    </w:p>
    <w:p w:rsidR="00E112CD" w:rsidRPr="00E112CD" w:rsidRDefault="00E112CD" w:rsidP="00F3666B">
      <w:pPr>
        <w:pStyle w:val="H1GC"/>
        <w:rPr>
          <w:lang w:val="en-GB"/>
        </w:rPr>
      </w:pPr>
      <w:r w:rsidRPr="00E112CD">
        <w:rPr>
          <w:lang w:val="en-GB"/>
        </w:rPr>
        <w:tab/>
        <w:t>D.</w:t>
      </w:r>
      <w:r w:rsidRPr="00E112CD">
        <w:rPr>
          <w:lang w:val="en-GB"/>
        </w:rPr>
        <w:tab/>
      </w:r>
      <w:r w:rsidRPr="00E112CD">
        <w:rPr>
          <w:rFonts w:hint="eastAsia"/>
          <w:lang w:val="en-GB"/>
        </w:rPr>
        <w:t>国家一级报告程序</w:t>
      </w:r>
    </w:p>
    <w:p w:rsidR="00E112CD" w:rsidRPr="00E112CD" w:rsidRDefault="00E112CD" w:rsidP="00E112CD">
      <w:pPr>
        <w:pStyle w:val="SingleTxtGC"/>
        <w:rPr>
          <w:lang w:val="en-GB"/>
        </w:rPr>
      </w:pPr>
      <w:r w:rsidRPr="00E112CD">
        <w:rPr>
          <w:lang w:val="en-GB"/>
        </w:rPr>
        <w:t>5</w:t>
      </w:r>
      <w:r w:rsidR="006E1330">
        <w:rPr>
          <w:lang w:val="en-GB"/>
        </w:rPr>
        <w:t>6.</w:t>
      </w:r>
      <w:r w:rsidR="00F3666B">
        <w:rPr>
          <w:rFonts w:hint="eastAsia"/>
          <w:lang w:val="en-GB"/>
        </w:rPr>
        <w:t xml:space="preserve">  </w:t>
      </w:r>
      <w:r w:rsidRPr="00E112CD">
        <w:rPr>
          <w:rFonts w:hint="eastAsia"/>
          <w:lang w:val="en-GB"/>
        </w:rPr>
        <w:t>马来西亚根据《第</w:t>
      </w:r>
      <w:r w:rsidRPr="00E112CD">
        <w:rPr>
          <w:lang w:val="en-GB"/>
        </w:rPr>
        <w:t>HRI</w:t>
      </w:r>
      <w:r w:rsidR="006E1330">
        <w:rPr>
          <w:lang w:val="en-GB"/>
        </w:rPr>
        <w:t>/</w:t>
      </w:r>
      <w:r w:rsidRPr="00E112CD">
        <w:rPr>
          <w:lang w:val="en-GB"/>
        </w:rPr>
        <w:t>GEN</w:t>
      </w:r>
      <w:r w:rsidR="006E1330">
        <w:rPr>
          <w:lang w:val="en-GB"/>
        </w:rPr>
        <w:t>/</w:t>
      </w:r>
      <w:r w:rsidRPr="00E112CD">
        <w:rPr>
          <w:lang w:val="en-GB"/>
        </w:rPr>
        <w:t>2</w:t>
      </w:r>
      <w:r w:rsidR="006E1330">
        <w:rPr>
          <w:lang w:val="en-GB"/>
        </w:rPr>
        <w:t>/</w:t>
      </w:r>
      <w:r w:rsidRPr="00E112CD">
        <w:rPr>
          <w:lang w:val="en-GB"/>
        </w:rPr>
        <w:t>Rev.6</w:t>
      </w:r>
      <w:r w:rsidRPr="00E112CD">
        <w:rPr>
          <w:rFonts w:hint="eastAsia"/>
          <w:lang w:val="en-GB"/>
        </w:rPr>
        <w:t>号文件》所载</w:t>
      </w:r>
      <w:r w:rsidR="00A660FB">
        <w:rPr>
          <w:rFonts w:hint="eastAsia"/>
          <w:lang w:val="en-GB"/>
        </w:rPr>
        <w:t>“</w:t>
      </w:r>
      <w:r w:rsidRPr="00E112CD">
        <w:rPr>
          <w:rFonts w:hint="eastAsia"/>
          <w:lang w:val="en-GB"/>
        </w:rPr>
        <w:t>国际人权条约缔约国提交报告的形式和内容准则汇编</w:t>
      </w:r>
      <w:r w:rsidR="00A660FB">
        <w:rPr>
          <w:rFonts w:hint="eastAsia"/>
          <w:lang w:val="en-GB"/>
        </w:rPr>
        <w:t>”</w:t>
      </w:r>
      <w:r w:rsidRPr="00E112CD">
        <w:rPr>
          <w:rFonts w:hint="eastAsia"/>
          <w:lang w:val="en-GB"/>
        </w:rPr>
        <w:t>为此次审议编写了国家报告。国家报告涵盖了马来西亚的所有州和联邦领土。</w:t>
      </w:r>
    </w:p>
    <w:p w:rsidR="00E112CD" w:rsidRPr="00E112CD" w:rsidRDefault="00E112CD" w:rsidP="00E112CD">
      <w:pPr>
        <w:pStyle w:val="SingleTxtGC"/>
        <w:rPr>
          <w:lang w:val="en-GB"/>
        </w:rPr>
      </w:pPr>
      <w:r w:rsidRPr="00E112CD">
        <w:rPr>
          <w:lang w:val="en-GB"/>
        </w:rPr>
        <w:t>5</w:t>
      </w:r>
      <w:r w:rsidR="006E1330">
        <w:rPr>
          <w:lang w:val="en-GB"/>
        </w:rPr>
        <w:t>7.</w:t>
      </w:r>
      <w:r w:rsidR="00F3666B">
        <w:rPr>
          <w:rFonts w:hint="eastAsia"/>
          <w:lang w:val="en-GB"/>
        </w:rPr>
        <w:t xml:space="preserve">  </w:t>
      </w:r>
      <w:r w:rsidRPr="00E112CD">
        <w:rPr>
          <w:rFonts w:hint="eastAsia"/>
          <w:lang w:val="en-GB"/>
        </w:rPr>
        <w:t>马来西亚所有相关政府机构都参与了报告的起草工作</w:t>
      </w:r>
      <w:r w:rsidR="006E1330">
        <w:rPr>
          <w:rFonts w:hint="eastAsia"/>
          <w:lang w:val="en-GB"/>
        </w:rPr>
        <w:t>，</w:t>
      </w:r>
      <w:r w:rsidRPr="00E112CD">
        <w:rPr>
          <w:rFonts w:hint="eastAsia"/>
          <w:lang w:val="en-GB"/>
        </w:rPr>
        <w:t>由妇女、家庭及社会发展部对起草工作进行协调。在报告编写过程中</w:t>
      </w:r>
      <w:r w:rsidR="006E1330">
        <w:rPr>
          <w:rFonts w:hint="eastAsia"/>
          <w:lang w:val="en-GB"/>
        </w:rPr>
        <w:t>，</w:t>
      </w:r>
      <w:r w:rsidRPr="00E112CD">
        <w:rPr>
          <w:rFonts w:hint="eastAsia"/>
          <w:lang w:val="en-GB"/>
        </w:rPr>
        <w:t>政府与马来西亚人权委员会、众多的积极促进人权的非政府组织、民间社会成员及人权专家进行了磋商。</w:t>
      </w:r>
    </w:p>
    <w:p w:rsidR="00E112CD" w:rsidRPr="00E112CD" w:rsidRDefault="00E112CD" w:rsidP="00F3666B">
      <w:pPr>
        <w:pStyle w:val="HChGC"/>
        <w:rPr>
          <w:lang w:val="en-GB"/>
        </w:rPr>
      </w:pPr>
      <w:r w:rsidRPr="00E112CD">
        <w:rPr>
          <w:lang w:val="en-GB"/>
        </w:rPr>
        <w:tab/>
      </w:r>
      <w:r w:rsidRPr="00E112CD">
        <w:rPr>
          <w:rFonts w:hint="eastAsia"/>
          <w:lang w:val="en-GB"/>
        </w:rPr>
        <w:t>三</w:t>
      </w:r>
      <w:r w:rsidRPr="00E112CD">
        <w:rPr>
          <w:lang w:val="en-GB"/>
        </w:rPr>
        <w:t>.</w:t>
      </w:r>
      <w:r w:rsidRPr="00E112CD">
        <w:rPr>
          <w:lang w:val="en-GB"/>
        </w:rPr>
        <w:tab/>
      </w:r>
      <w:r w:rsidRPr="00E112CD">
        <w:rPr>
          <w:rFonts w:hint="eastAsia"/>
          <w:lang w:val="en-GB"/>
        </w:rPr>
        <w:t>关于不歧视与平等及有效补救的信息</w:t>
      </w:r>
    </w:p>
    <w:p w:rsidR="00E112CD" w:rsidRPr="00E112CD" w:rsidRDefault="00E112CD" w:rsidP="00E112CD">
      <w:pPr>
        <w:pStyle w:val="SingleTxtGC"/>
        <w:rPr>
          <w:lang w:val="en-GB"/>
        </w:rPr>
      </w:pPr>
      <w:r w:rsidRPr="00E112CD">
        <w:rPr>
          <w:lang w:val="en-GB"/>
        </w:rPr>
        <w:t>5</w:t>
      </w:r>
      <w:r w:rsidR="006E1330">
        <w:rPr>
          <w:lang w:val="en-GB"/>
        </w:rPr>
        <w:t>8.</w:t>
      </w:r>
      <w:r w:rsidR="00F3666B">
        <w:rPr>
          <w:rFonts w:hint="eastAsia"/>
          <w:lang w:val="en-GB"/>
        </w:rPr>
        <w:t xml:space="preserve">  </w:t>
      </w:r>
      <w:r w:rsidRPr="00E112CD">
        <w:rPr>
          <w:rFonts w:hint="eastAsia"/>
          <w:lang w:val="en-GB"/>
        </w:rPr>
        <w:t>政府承认妇女是国家社会政治和经济发展的宝贵资源。国家的政策和发展计划显示了马来西亚政府承认妇女的贡献和作用。为了提高妇女在各领域的社会地位</w:t>
      </w:r>
      <w:r w:rsidR="006E1330">
        <w:rPr>
          <w:rFonts w:hint="eastAsia"/>
          <w:lang w:val="en-GB"/>
        </w:rPr>
        <w:t>，</w:t>
      </w:r>
      <w:r w:rsidRPr="00E112CD">
        <w:rPr>
          <w:rFonts w:hint="eastAsia"/>
          <w:lang w:val="en-GB"/>
        </w:rPr>
        <w:t>已实施了各种促进性别平等的举措。政府采取了多方面的措施</w:t>
      </w:r>
      <w:r w:rsidR="006E1330">
        <w:rPr>
          <w:lang w:val="en-GB"/>
        </w:rPr>
        <w:t>，</w:t>
      </w:r>
      <w:r w:rsidRPr="00E112CD">
        <w:rPr>
          <w:rFonts w:hint="eastAsia"/>
          <w:lang w:val="en-GB"/>
        </w:rPr>
        <w:t>在发展过程中</w:t>
      </w:r>
      <w:r w:rsidR="006E1330">
        <w:rPr>
          <w:rFonts w:hint="eastAsia"/>
          <w:lang w:val="en-GB"/>
        </w:rPr>
        <w:t>，</w:t>
      </w:r>
      <w:r w:rsidRPr="00E112CD">
        <w:rPr>
          <w:rFonts w:hint="eastAsia"/>
          <w:lang w:val="en-GB"/>
        </w:rPr>
        <w:t>包括在制订相关政策、审查涉及妇女的法律、增强国家机构将妇女的意见纳入发展过程的能力、增加受教育的机会、加强培训及改进医疗服务中</w:t>
      </w:r>
      <w:r w:rsidR="006E1330">
        <w:rPr>
          <w:rFonts w:hint="eastAsia"/>
          <w:lang w:val="en-GB"/>
        </w:rPr>
        <w:t>，</w:t>
      </w:r>
      <w:r w:rsidRPr="00E112CD">
        <w:rPr>
          <w:rFonts w:hint="eastAsia"/>
          <w:lang w:val="en-GB"/>
        </w:rPr>
        <w:t>将性别平等视角主流化。</w:t>
      </w:r>
    </w:p>
    <w:p w:rsidR="00E112CD" w:rsidRPr="00E112CD" w:rsidRDefault="00E112CD" w:rsidP="00E112CD">
      <w:pPr>
        <w:pStyle w:val="SingleTxtGC"/>
        <w:rPr>
          <w:lang w:val="en-GB"/>
        </w:rPr>
      </w:pPr>
      <w:r w:rsidRPr="00E112CD">
        <w:rPr>
          <w:lang w:val="en-GB"/>
        </w:rPr>
        <w:t>5</w:t>
      </w:r>
      <w:r w:rsidR="006E1330">
        <w:rPr>
          <w:lang w:val="en-GB"/>
        </w:rPr>
        <w:t>9.</w:t>
      </w:r>
      <w:r w:rsidR="00F3666B">
        <w:rPr>
          <w:rFonts w:hint="eastAsia"/>
          <w:lang w:val="en-GB"/>
        </w:rPr>
        <w:t xml:space="preserve">  </w:t>
      </w:r>
      <w:r w:rsidRPr="00E112CD">
        <w:rPr>
          <w:rFonts w:hint="eastAsia"/>
          <w:lang w:val="en-GB"/>
        </w:rPr>
        <w:t>马来西亚妇女参与了国家的社会和经济发展</w:t>
      </w:r>
      <w:r w:rsidR="006E1330">
        <w:rPr>
          <w:rFonts w:hint="eastAsia"/>
          <w:lang w:val="en-GB"/>
        </w:rPr>
        <w:t>，</w:t>
      </w:r>
      <w:r w:rsidRPr="00E112CD">
        <w:rPr>
          <w:rFonts w:hint="eastAsia"/>
          <w:lang w:val="en-GB"/>
        </w:rPr>
        <w:t>并为此做出了贡献。这之所以成为可能</w:t>
      </w:r>
      <w:r w:rsidR="006E1330">
        <w:rPr>
          <w:rFonts w:hint="eastAsia"/>
          <w:lang w:val="en-GB"/>
        </w:rPr>
        <w:t>，</w:t>
      </w:r>
      <w:r w:rsidRPr="00E112CD">
        <w:rPr>
          <w:rFonts w:hint="eastAsia"/>
          <w:lang w:val="en-GB"/>
        </w:rPr>
        <w:t>是因为政府采取关于妇女是可以为实现国家发展议程而调动的重要资源池的政策立场。为此</w:t>
      </w:r>
      <w:r w:rsidR="006E1330">
        <w:rPr>
          <w:rFonts w:hint="eastAsia"/>
          <w:lang w:val="en-GB"/>
        </w:rPr>
        <w:t>，</w:t>
      </w:r>
      <w:r w:rsidRPr="00E112CD">
        <w:rPr>
          <w:rFonts w:hint="eastAsia"/>
          <w:lang w:val="en-GB"/>
        </w:rPr>
        <w:t>政府采取了各种措施</w:t>
      </w:r>
      <w:r w:rsidR="006E1330">
        <w:rPr>
          <w:rFonts w:hint="eastAsia"/>
          <w:lang w:val="en-GB"/>
        </w:rPr>
        <w:t>，</w:t>
      </w:r>
      <w:r w:rsidRPr="00E112CD">
        <w:rPr>
          <w:rFonts w:hint="eastAsia"/>
          <w:lang w:val="en-GB"/>
        </w:rPr>
        <w:t>确保通过立法、政策、教育、培训、医疗保健及实施项目</w:t>
      </w:r>
      <w:r w:rsidR="006E1330">
        <w:rPr>
          <w:rFonts w:hint="eastAsia"/>
          <w:lang w:val="en-GB"/>
        </w:rPr>
        <w:t>，</w:t>
      </w:r>
      <w:r w:rsidRPr="00E112CD">
        <w:rPr>
          <w:rFonts w:hint="eastAsia"/>
          <w:lang w:val="en-GB"/>
        </w:rPr>
        <w:t>保护妇女的权利。</w:t>
      </w:r>
    </w:p>
    <w:p w:rsidR="00E112CD" w:rsidRPr="00E112CD" w:rsidRDefault="00E112CD" w:rsidP="00F3666B">
      <w:pPr>
        <w:pStyle w:val="H23GC"/>
        <w:rPr>
          <w:lang w:val="en-GB"/>
        </w:rPr>
      </w:pPr>
      <w:r w:rsidRPr="00E112CD">
        <w:rPr>
          <w:lang w:val="en-GB"/>
        </w:rPr>
        <w:tab/>
      </w:r>
      <w:r w:rsidRPr="00E112CD">
        <w:rPr>
          <w:lang w:val="en-GB"/>
        </w:rPr>
        <w:tab/>
      </w:r>
      <w:r w:rsidRPr="00E112CD">
        <w:rPr>
          <w:rFonts w:hint="eastAsia"/>
          <w:lang w:val="en-GB"/>
        </w:rPr>
        <w:t>国家妇女政策与提高妇女地位的行动计划</w:t>
      </w:r>
    </w:p>
    <w:p w:rsidR="00E112CD" w:rsidRPr="00E112CD" w:rsidRDefault="00E112CD" w:rsidP="00F3666B">
      <w:pPr>
        <w:pStyle w:val="SingleTxtGC"/>
        <w:tabs>
          <w:tab w:val="clear" w:pos="1565"/>
        </w:tabs>
        <w:rPr>
          <w:lang w:val="en-GB"/>
        </w:rPr>
      </w:pPr>
      <w:r w:rsidRPr="00E112CD">
        <w:rPr>
          <w:lang w:val="en-GB"/>
        </w:rPr>
        <w:t>6</w:t>
      </w:r>
      <w:r w:rsidR="006E1330">
        <w:rPr>
          <w:lang w:val="en-GB"/>
        </w:rPr>
        <w:t>0.</w:t>
      </w:r>
      <w:r w:rsidR="00F3666B">
        <w:rPr>
          <w:rFonts w:hint="eastAsia"/>
          <w:lang w:val="en-GB"/>
        </w:rPr>
        <w:t xml:space="preserve">  </w:t>
      </w:r>
      <w:r w:rsidRPr="00E112CD">
        <w:rPr>
          <w:lang w:val="en-GB"/>
        </w:rPr>
        <w:t>1989</w:t>
      </w:r>
      <w:r w:rsidRPr="00E112CD">
        <w:rPr>
          <w:rFonts w:hint="eastAsia"/>
          <w:lang w:val="en-GB"/>
        </w:rPr>
        <w:t>年</w:t>
      </w:r>
      <w:r w:rsidR="006E1330">
        <w:rPr>
          <w:rFonts w:hint="eastAsia"/>
          <w:lang w:val="en-GB"/>
        </w:rPr>
        <w:t>，</w:t>
      </w:r>
      <w:r w:rsidRPr="00E112CD">
        <w:rPr>
          <w:rFonts w:hint="eastAsia"/>
          <w:lang w:val="en-GB"/>
        </w:rPr>
        <w:t>制订了《第一个国家妇女政策》。</w:t>
      </w:r>
      <w:r w:rsidRPr="00E112CD">
        <w:rPr>
          <w:lang w:val="en-GB"/>
        </w:rPr>
        <w:t>2009</w:t>
      </w:r>
      <w:r w:rsidRPr="00E112CD">
        <w:rPr>
          <w:rFonts w:hint="eastAsia"/>
          <w:lang w:val="en-GB"/>
        </w:rPr>
        <w:t>年</w:t>
      </w:r>
      <w:r w:rsidR="006E1330">
        <w:rPr>
          <w:rFonts w:hint="eastAsia"/>
          <w:lang w:val="en-GB"/>
        </w:rPr>
        <w:t>，</w:t>
      </w:r>
      <w:r w:rsidRPr="00E112CD">
        <w:rPr>
          <w:rFonts w:hint="eastAsia"/>
          <w:lang w:val="en-GB"/>
        </w:rPr>
        <w:t>出台了《第二个国家妇女政策》</w:t>
      </w:r>
      <w:r w:rsidR="006E1330">
        <w:rPr>
          <w:rFonts w:hint="eastAsia"/>
          <w:lang w:val="en-GB"/>
        </w:rPr>
        <w:t>，</w:t>
      </w:r>
      <w:r w:rsidRPr="00E112CD">
        <w:rPr>
          <w:rFonts w:hint="eastAsia"/>
          <w:lang w:val="en-GB"/>
        </w:rPr>
        <w:t>确定了下列目标</w:t>
      </w:r>
      <w:r w:rsidR="006E1330">
        <w:rPr>
          <w:rFonts w:hint="eastAsia"/>
          <w:lang w:val="en-GB"/>
        </w:rPr>
        <w:t>：</w:t>
      </w:r>
    </w:p>
    <w:p w:rsidR="00E112CD" w:rsidRPr="00E112CD" w:rsidRDefault="00E112CD" w:rsidP="00F3666B">
      <w:pPr>
        <w:pStyle w:val="SingleTxtGC"/>
        <w:numPr>
          <w:ilvl w:val="0"/>
          <w:numId w:val="12"/>
        </w:numPr>
        <w:tabs>
          <w:tab w:val="clear" w:pos="431"/>
          <w:tab w:val="clear" w:pos="1134"/>
          <w:tab w:val="clear" w:pos="1565"/>
          <w:tab w:val="clear" w:pos="1996"/>
          <w:tab w:val="clear" w:pos="2426"/>
        </w:tabs>
        <w:rPr>
          <w:lang w:val="en-GB"/>
        </w:rPr>
      </w:pPr>
      <w:r w:rsidRPr="00E112CD">
        <w:rPr>
          <w:rFonts w:hint="eastAsia"/>
          <w:lang w:val="en-GB"/>
        </w:rPr>
        <w:t>确保男性和女性公平地分享资源、信息、机会及发展收益。必须把平等和公平目标定为发展政策的要素</w:t>
      </w:r>
      <w:r w:rsidR="006E1330">
        <w:rPr>
          <w:rFonts w:hint="eastAsia"/>
          <w:lang w:val="en-GB"/>
        </w:rPr>
        <w:t>，</w:t>
      </w:r>
      <w:r w:rsidRPr="00E112CD">
        <w:rPr>
          <w:rFonts w:hint="eastAsia"/>
          <w:lang w:val="en-GB"/>
        </w:rPr>
        <w:t>发展政策必须以人为重点</w:t>
      </w:r>
      <w:r w:rsidR="006E1330">
        <w:rPr>
          <w:rFonts w:hint="eastAsia"/>
          <w:lang w:val="en-GB"/>
        </w:rPr>
        <w:t>，</w:t>
      </w:r>
      <w:r w:rsidRPr="00E112CD">
        <w:rPr>
          <w:rFonts w:hint="eastAsia"/>
          <w:lang w:val="en-GB"/>
        </w:rPr>
        <w:t>以使占全国人口一半的妇女可以最好地增强和实现她们的潜力</w:t>
      </w:r>
      <w:r w:rsidR="006E1330">
        <w:rPr>
          <w:rFonts w:hint="eastAsia"/>
          <w:lang w:val="en-GB"/>
        </w:rPr>
        <w:t>；</w:t>
      </w:r>
      <w:r w:rsidRPr="00E112CD">
        <w:rPr>
          <w:rFonts w:hint="eastAsia"/>
          <w:lang w:val="en-GB"/>
        </w:rPr>
        <w:t>以及</w:t>
      </w:r>
    </w:p>
    <w:p w:rsidR="00E112CD" w:rsidRPr="00E112CD" w:rsidRDefault="00E112CD" w:rsidP="00F3666B">
      <w:pPr>
        <w:pStyle w:val="SingleTxtGC"/>
        <w:numPr>
          <w:ilvl w:val="0"/>
          <w:numId w:val="12"/>
        </w:numPr>
        <w:tabs>
          <w:tab w:val="clear" w:pos="431"/>
          <w:tab w:val="clear" w:pos="1134"/>
          <w:tab w:val="clear" w:pos="1565"/>
          <w:tab w:val="clear" w:pos="1996"/>
          <w:tab w:val="clear" w:pos="2426"/>
        </w:tabs>
        <w:rPr>
          <w:lang w:val="en-GB"/>
        </w:rPr>
      </w:pPr>
      <w:r w:rsidRPr="00E112CD">
        <w:rPr>
          <w:rFonts w:hint="eastAsia"/>
          <w:lang w:val="en-GB"/>
        </w:rPr>
        <w:t>根据妇女的能力和需求</w:t>
      </w:r>
      <w:r w:rsidR="006E1330">
        <w:rPr>
          <w:rFonts w:hint="eastAsia"/>
          <w:lang w:val="en-GB"/>
        </w:rPr>
        <w:t>，</w:t>
      </w:r>
      <w:r w:rsidRPr="00E112CD">
        <w:rPr>
          <w:rFonts w:hint="eastAsia"/>
          <w:lang w:val="en-GB"/>
        </w:rPr>
        <w:t>让妇女参与发展的各个方面</w:t>
      </w:r>
      <w:r w:rsidR="006E1330">
        <w:rPr>
          <w:rFonts w:hint="eastAsia"/>
          <w:lang w:val="en-GB"/>
        </w:rPr>
        <w:t>，</w:t>
      </w:r>
      <w:r w:rsidRPr="00E112CD">
        <w:rPr>
          <w:rFonts w:hint="eastAsia"/>
          <w:lang w:val="en-GB"/>
        </w:rPr>
        <w:t>提高她们的生活质量</w:t>
      </w:r>
      <w:r w:rsidR="006E1330">
        <w:rPr>
          <w:rFonts w:hint="eastAsia"/>
          <w:lang w:val="en-GB"/>
        </w:rPr>
        <w:t>，</w:t>
      </w:r>
      <w:r w:rsidRPr="00E112CD">
        <w:rPr>
          <w:rFonts w:hint="eastAsia"/>
          <w:lang w:val="en-GB"/>
        </w:rPr>
        <w:t>消除贫困、无知及文盲</w:t>
      </w:r>
      <w:r w:rsidR="006E1330">
        <w:rPr>
          <w:rFonts w:hint="eastAsia"/>
          <w:lang w:val="en-GB"/>
        </w:rPr>
        <w:t>，</w:t>
      </w:r>
      <w:r w:rsidRPr="00E112CD">
        <w:rPr>
          <w:rFonts w:hint="eastAsia"/>
          <w:lang w:val="en-GB"/>
        </w:rPr>
        <w:t>确保国家和平繁荣。</w:t>
      </w:r>
    </w:p>
    <w:p w:rsidR="00E112CD" w:rsidRPr="00E112CD" w:rsidRDefault="00E112CD" w:rsidP="00E112CD">
      <w:pPr>
        <w:pStyle w:val="SingleTxtGC"/>
        <w:rPr>
          <w:lang w:val="en-GB"/>
        </w:rPr>
      </w:pPr>
      <w:r w:rsidRPr="00E112CD">
        <w:rPr>
          <w:lang w:val="en-GB"/>
        </w:rPr>
        <w:t>6</w:t>
      </w:r>
      <w:r w:rsidR="006E1330">
        <w:rPr>
          <w:lang w:val="en-GB"/>
        </w:rPr>
        <w:t>1.</w:t>
      </w:r>
      <w:r w:rsidR="00F3666B">
        <w:rPr>
          <w:rFonts w:hint="eastAsia"/>
          <w:lang w:val="en-GB"/>
        </w:rPr>
        <w:t xml:space="preserve">  </w:t>
      </w:r>
      <w:r w:rsidRPr="00E112CD">
        <w:rPr>
          <w:rFonts w:hint="eastAsia"/>
          <w:lang w:val="en-GB"/>
        </w:rPr>
        <w:t>《提高妇女地位行动计划》源于《第二个国家妇女政策》</w:t>
      </w:r>
      <w:r w:rsidR="006E1330">
        <w:rPr>
          <w:rFonts w:hint="eastAsia"/>
          <w:lang w:val="en-GB"/>
        </w:rPr>
        <w:t>，</w:t>
      </w:r>
      <w:r w:rsidRPr="00E112CD">
        <w:rPr>
          <w:rFonts w:hint="eastAsia"/>
          <w:lang w:val="en-GB"/>
        </w:rPr>
        <w:t>《行动计划》概述了在实施妇女参与发展的方案中遵循的总指导原则。实施《行动计划》中建议的行动</w:t>
      </w:r>
      <w:r w:rsidR="006E1330">
        <w:rPr>
          <w:rFonts w:hint="eastAsia"/>
          <w:lang w:val="en-GB"/>
        </w:rPr>
        <w:t>，</w:t>
      </w:r>
      <w:r w:rsidRPr="00E112CD">
        <w:rPr>
          <w:rFonts w:hint="eastAsia"/>
          <w:lang w:val="en-GB"/>
        </w:rPr>
        <w:t>将确保马来西亚妇女在参加和参与建设一个更杰出的马来西亚上获得平等的机会。马来西亚妇女和男子都是国家的重要资产</w:t>
      </w:r>
      <w:r w:rsidR="006E1330">
        <w:rPr>
          <w:rFonts w:hint="eastAsia"/>
          <w:lang w:val="en-GB"/>
        </w:rPr>
        <w:t>，</w:t>
      </w:r>
      <w:r w:rsidRPr="00E112CD">
        <w:rPr>
          <w:rFonts w:hint="eastAsia"/>
          <w:lang w:val="en-GB"/>
        </w:rPr>
        <w:t>为了实现国家关于建设一个在经济发展、社会文化及人文等方面稳定的马来西亚国家的构想</w:t>
      </w:r>
      <w:r w:rsidR="006E1330">
        <w:rPr>
          <w:rFonts w:hint="eastAsia"/>
          <w:lang w:val="en-GB"/>
        </w:rPr>
        <w:t>，</w:t>
      </w:r>
      <w:r w:rsidRPr="00E112CD">
        <w:rPr>
          <w:rFonts w:hint="eastAsia"/>
          <w:lang w:val="en-GB"/>
        </w:rPr>
        <w:t>必须对这一资产进行培育和发展</w:t>
      </w:r>
      <w:r w:rsidR="006E1330">
        <w:rPr>
          <w:rFonts w:hint="eastAsia"/>
          <w:lang w:val="en-GB"/>
        </w:rPr>
        <w:t>，</w:t>
      </w:r>
      <w:r w:rsidRPr="00E112CD">
        <w:rPr>
          <w:rFonts w:hint="eastAsia"/>
          <w:lang w:val="en-GB"/>
        </w:rPr>
        <w:t>即发展的本质是基于我们自己的模式。</w:t>
      </w:r>
    </w:p>
    <w:p w:rsidR="00E112CD" w:rsidRPr="00E112CD" w:rsidRDefault="00E112CD" w:rsidP="00E112CD">
      <w:pPr>
        <w:pStyle w:val="SingleTxtGC"/>
        <w:rPr>
          <w:lang w:val="en-GB"/>
        </w:rPr>
      </w:pPr>
      <w:r w:rsidRPr="00E112CD">
        <w:rPr>
          <w:lang w:val="en-GB"/>
        </w:rPr>
        <w:t>6</w:t>
      </w:r>
      <w:r w:rsidR="006E1330">
        <w:rPr>
          <w:lang w:val="en-GB"/>
        </w:rPr>
        <w:t>2.</w:t>
      </w:r>
      <w:r w:rsidR="00F3666B">
        <w:rPr>
          <w:rFonts w:hint="eastAsia"/>
          <w:lang w:val="en-GB"/>
        </w:rPr>
        <w:t xml:space="preserve">  </w:t>
      </w:r>
      <w:r w:rsidRPr="00E112CD">
        <w:rPr>
          <w:rFonts w:hint="eastAsia"/>
          <w:lang w:val="en-GB"/>
        </w:rPr>
        <w:t>为了简化和更好地协调马来西亚对根据人权条约承担的法律义务的回应、遵守及履行</w:t>
      </w:r>
      <w:r w:rsidR="006E1330">
        <w:rPr>
          <w:rFonts w:hint="eastAsia"/>
          <w:lang w:val="en-GB"/>
        </w:rPr>
        <w:t>，</w:t>
      </w:r>
      <w:r w:rsidRPr="00E112CD">
        <w:rPr>
          <w:rFonts w:hint="eastAsia"/>
          <w:lang w:val="en-GB"/>
        </w:rPr>
        <w:t>建立了各种委员会。</w:t>
      </w:r>
      <w:r w:rsidRPr="00E112CD">
        <w:rPr>
          <w:lang w:val="en-GB"/>
        </w:rPr>
        <w:t>2004</w:t>
      </w:r>
      <w:r w:rsidRPr="00E112CD">
        <w:rPr>
          <w:rFonts w:hint="eastAsia"/>
          <w:lang w:val="en-GB"/>
        </w:rPr>
        <w:t>年</w:t>
      </w:r>
      <w:r w:rsidRPr="00E112CD">
        <w:rPr>
          <w:lang w:val="en-GB"/>
        </w:rPr>
        <w:t>12</w:t>
      </w:r>
      <w:r w:rsidRPr="00E112CD">
        <w:rPr>
          <w:rFonts w:hint="eastAsia"/>
          <w:lang w:val="en-GB"/>
        </w:rPr>
        <w:t>月建立了由总理担任主席的内阁性别平等委员会</w:t>
      </w:r>
      <w:r w:rsidR="006E1330">
        <w:rPr>
          <w:rFonts w:hint="eastAsia"/>
          <w:lang w:val="en-GB"/>
        </w:rPr>
        <w:t>，</w:t>
      </w:r>
      <w:r w:rsidRPr="00E112CD">
        <w:rPr>
          <w:rFonts w:hint="eastAsia"/>
          <w:lang w:val="en-GB"/>
        </w:rPr>
        <w:t>对与妇女和家庭发展有关的活动进行政策指导和监测。委员会也是妇女、家庭及社会发展部强调妇女问题的另一途径。</w:t>
      </w:r>
      <w:r w:rsidRPr="00E112CD">
        <w:rPr>
          <w:lang w:val="en-GB"/>
        </w:rPr>
        <w:t>2009</w:t>
      </w:r>
      <w:r w:rsidRPr="00E112CD">
        <w:rPr>
          <w:rFonts w:hint="eastAsia"/>
          <w:lang w:val="en-GB"/>
        </w:rPr>
        <w:t>年</w:t>
      </w:r>
      <w:r w:rsidR="006E1330">
        <w:rPr>
          <w:rFonts w:hint="eastAsia"/>
          <w:lang w:val="en-GB"/>
        </w:rPr>
        <w:t>，</w:t>
      </w:r>
      <w:r w:rsidRPr="00E112CD">
        <w:rPr>
          <w:rFonts w:hint="eastAsia"/>
          <w:lang w:val="en-GB"/>
        </w:rPr>
        <w:t>将内阁性别平等委员会并入国家社会委员会。这是与政府为了有一个平衡的社会发展而努力创建管理机构和更有效地实施和强调物质和经济发展相一致的。</w:t>
      </w:r>
    </w:p>
    <w:p w:rsidR="00E112CD" w:rsidRPr="00E112CD" w:rsidRDefault="00E112CD" w:rsidP="00F3666B">
      <w:pPr>
        <w:pStyle w:val="H23GC"/>
        <w:rPr>
          <w:lang w:val="en-GB"/>
        </w:rPr>
      </w:pPr>
      <w:r w:rsidRPr="00E112CD">
        <w:rPr>
          <w:lang w:val="en-GB"/>
        </w:rPr>
        <w:tab/>
      </w:r>
      <w:r w:rsidRPr="00E112CD">
        <w:rPr>
          <w:lang w:val="en-GB"/>
        </w:rPr>
        <w:tab/>
      </w:r>
      <w:r w:rsidRPr="00E112CD">
        <w:rPr>
          <w:rFonts w:hint="eastAsia"/>
          <w:lang w:val="en-GB"/>
        </w:rPr>
        <w:t>国家儿童政策及行动计划</w:t>
      </w:r>
    </w:p>
    <w:p w:rsidR="00E112CD" w:rsidRPr="00E112CD" w:rsidRDefault="00E112CD" w:rsidP="00E112CD">
      <w:pPr>
        <w:pStyle w:val="SingleTxtGC"/>
        <w:rPr>
          <w:lang w:val="en-GB"/>
        </w:rPr>
      </w:pPr>
      <w:r w:rsidRPr="00E112CD">
        <w:rPr>
          <w:lang w:val="en-GB"/>
        </w:rPr>
        <w:t>6</w:t>
      </w:r>
      <w:r w:rsidR="006E1330">
        <w:rPr>
          <w:lang w:val="en-GB"/>
        </w:rPr>
        <w:t>3.</w:t>
      </w:r>
      <w:r w:rsidR="00F3666B">
        <w:rPr>
          <w:rFonts w:hint="eastAsia"/>
          <w:lang w:val="en-GB"/>
        </w:rPr>
        <w:t xml:space="preserve">  </w:t>
      </w:r>
      <w:r w:rsidRPr="00E112CD">
        <w:rPr>
          <w:lang w:val="en-GB"/>
        </w:rPr>
        <w:t>2009</w:t>
      </w:r>
      <w:r w:rsidRPr="00E112CD">
        <w:rPr>
          <w:rFonts w:hint="eastAsia"/>
          <w:lang w:val="en-GB"/>
        </w:rPr>
        <w:t>年《国家儿童政策及行动计划》是与儿童的福利和安康相关的</w:t>
      </w:r>
      <w:r w:rsidR="006E1330">
        <w:rPr>
          <w:rFonts w:hint="eastAsia"/>
          <w:lang w:val="en-GB"/>
        </w:rPr>
        <w:t>，</w:t>
      </w:r>
      <w:r w:rsidRPr="00E112CD">
        <w:rPr>
          <w:rFonts w:hint="eastAsia"/>
          <w:lang w:val="en-GB"/>
        </w:rPr>
        <w:t>它支持《</w:t>
      </w:r>
      <w:r w:rsidRPr="00E112CD">
        <w:rPr>
          <w:lang w:val="en-GB"/>
        </w:rPr>
        <w:t>2020</w:t>
      </w:r>
      <w:r w:rsidRPr="00E112CD">
        <w:rPr>
          <w:rFonts w:hint="eastAsia"/>
          <w:lang w:val="en-GB"/>
        </w:rPr>
        <w:t>年国家愿景使命》</w:t>
      </w:r>
      <w:r w:rsidR="006E1330">
        <w:rPr>
          <w:lang w:val="en-GB"/>
        </w:rPr>
        <w:t>(</w:t>
      </w:r>
      <w:r w:rsidRPr="00E112CD">
        <w:rPr>
          <w:rFonts w:hint="eastAsia"/>
          <w:lang w:val="en-GB"/>
        </w:rPr>
        <w:t>《</w:t>
      </w:r>
      <w:r w:rsidRPr="00E112CD">
        <w:rPr>
          <w:lang w:val="en-GB"/>
        </w:rPr>
        <w:t>2020</w:t>
      </w:r>
      <w:r w:rsidRPr="00E112CD">
        <w:rPr>
          <w:rFonts w:hint="eastAsia"/>
          <w:lang w:val="en-GB"/>
        </w:rPr>
        <w:t>年愿景》</w:t>
      </w:r>
      <w:r w:rsidR="006E1330">
        <w:rPr>
          <w:lang w:val="en-GB"/>
        </w:rPr>
        <w:t>)</w:t>
      </w:r>
      <w:r w:rsidRPr="00E112CD">
        <w:rPr>
          <w:rFonts w:hint="eastAsia"/>
          <w:lang w:val="en-GB"/>
        </w:rPr>
        <w:t>的目标和战略。该政策强调了儿童的生存、保护、发育及参与权利</w:t>
      </w:r>
      <w:r w:rsidR="006E1330">
        <w:rPr>
          <w:rFonts w:hint="eastAsia"/>
          <w:lang w:val="en-GB"/>
        </w:rPr>
        <w:t>，</w:t>
      </w:r>
      <w:r w:rsidRPr="00E112CD">
        <w:rPr>
          <w:rFonts w:hint="eastAsia"/>
          <w:lang w:val="en-GB"/>
        </w:rPr>
        <w:t>强调了有利于儿童全面发育的环境的重要性。该政策的重点是</w:t>
      </w:r>
      <w:r w:rsidR="006E1330">
        <w:rPr>
          <w:rFonts w:hint="eastAsia"/>
          <w:lang w:val="en-GB"/>
        </w:rPr>
        <w:t>，</w:t>
      </w:r>
      <w:r w:rsidRPr="00E112CD">
        <w:rPr>
          <w:rFonts w:hint="eastAsia"/>
          <w:lang w:val="en-GB"/>
        </w:rPr>
        <w:t>各方加强在各个领域优先考虑儿童利益的承诺和社会责任。</w:t>
      </w:r>
    </w:p>
    <w:p w:rsidR="00E112CD" w:rsidRPr="00E112CD" w:rsidRDefault="00E112CD" w:rsidP="00E112CD">
      <w:pPr>
        <w:pStyle w:val="SingleTxtGC"/>
        <w:rPr>
          <w:lang w:val="en-GB"/>
        </w:rPr>
      </w:pPr>
      <w:r w:rsidRPr="00E112CD">
        <w:rPr>
          <w:lang w:val="en-GB"/>
        </w:rPr>
        <w:t>6</w:t>
      </w:r>
      <w:r w:rsidR="006E1330">
        <w:rPr>
          <w:lang w:val="en-GB"/>
        </w:rPr>
        <w:t>4.</w:t>
      </w:r>
      <w:r w:rsidR="00F3666B">
        <w:rPr>
          <w:rFonts w:hint="eastAsia"/>
          <w:lang w:val="en-GB"/>
        </w:rPr>
        <w:t xml:space="preserve">  </w:t>
      </w:r>
      <w:r w:rsidRPr="00E112CD">
        <w:rPr>
          <w:rFonts w:hint="eastAsia"/>
          <w:lang w:val="en-GB"/>
        </w:rPr>
        <w:t>此外</w:t>
      </w:r>
      <w:r w:rsidR="006E1330">
        <w:rPr>
          <w:rFonts w:hint="eastAsia"/>
          <w:lang w:val="en-GB"/>
        </w:rPr>
        <w:t>，</w:t>
      </w:r>
      <w:r w:rsidRPr="00E112CD">
        <w:rPr>
          <w:rFonts w:hint="eastAsia"/>
          <w:lang w:val="en-GB"/>
        </w:rPr>
        <w:t>政府</w:t>
      </w:r>
      <w:r w:rsidRPr="00E112CD">
        <w:rPr>
          <w:lang w:val="en-GB"/>
        </w:rPr>
        <w:t>2009</w:t>
      </w:r>
      <w:r w:rsidRPr="00E112CD">
        <w:rPr>
          <w:rFonts w:hint="eastAsia"/>
          <w:lang w:val="en-GB"/>
        </w:rPr>
        <w:t>年</w:t>
      </w:r>
      <w:r w:rsidRPr="00E112CD">
        <w:rPr>
          <w:lang w:val="en-GB"/>
        </w:rPr>
        <w:t>7</w:t>
      </w:r>
      <w:r w:rsidRPr="00E112CD">
        <w:rPr>
          <w:rFonts w:hint="eastAsia"/>
          <w:lang w:val="en-GB"/>
        </w:rPr>
        <w:t>月</w:t>
      </w:r>
      <w:r w:rsidRPr="00E112CD">
        <w:rPr>
          <w:lang w:val="en-GB"/>
        </w:rPr>
        <w:t>29</w:t>
      </w:r>
      <w:r w:rsidRPr="00E112CD">
        <w:rPr>
          <w:rFonts w:hint="eastAsia"/>
          <w:lang w:val="en-GB"/>
        </w:rPr>
        <w:t>日制订了《国家儿童保护政策及行动计划》</w:t>
      </w:r>
      <w:r w:rsidR="006E1330">
        <w:rPr>
          <w:rFonts w:hint="eastAsia"/>
          <w:lang w:val="en-GB"/>
        </w:rPr>
        <w:t>，</w:t>
      </w:r>
      <w:r w:rsidRPr="00E112CD">
        <w:rPr>
          <w:rFonts w:hint="eastAsia"/>
          <w:lang w:val="en-GB"/>
        </w:rPr>
        <w:t>以确保儿童免受各种形式的忽视、虐待、暴力及剥削。此外</w:t>
      </w:r>
      <w:r w:rsidR="006E1330">
        <w:rPr>
          <w:rFonts w:hint="eastAsia"/>
          <w:lang w:val="en-GB"/>
        </w:rPr>
        <w:t>，</w:t>
      </w:r>
      <w:r w:rsidRPr="00E112CD">
        <w:rPr>
          <w:rFonts w:hint="eastAsia"/>
          <w:lang w:val="en-GB"/>
        </w:rPr>
        <w:t>它鼓励从事儿童工作的所有组织制订儿童保护指南。该政策的重点是在保护儿童上的预防、宣传、干预、报告及提供支持服务等方面。《行动计划》规定了在保护儿童有关的领域中的标准指导原则和程序。该政策确定了以下七个主要目标</w:t>
      </w:r>
      <w:r w:rsidR="006E1330">
        <w:rPr>
          <w:rFonts w:hint="eastAsia"/>
          <w:lang w:val="en-GB"/>
        </w:rPr>
        <w:t>：</w:t>
      </w:r>
    </w:p>
    <w:p w:rsidR="00E112CD" w:rsidRPr="00E112CD" w:rsidRDefault="00E112CD" w:rsidP="00F3666B">
      <w:pPr>
        <w:pStyle w:val="SingleTxtGC"/>
        <w:numPr>
          <w:ilvl w:val="0"/>
          <w:numId w:val="13"/>
        </w:numPr>
        <w:tabs>
          <w:tab w:val="clear" w:pos="431"/>
          <w:tab w:val="clear" w:pos="1134"/>
          <w:tab w:val="clear" w:pos="1565"/>
          <w:tab w:val="clear" w:pos="1996"/>
          <w:tab w:val="clear" w:pos="2426"/>
        </w:tabs>
        <w:rPr>
          <w:lang w:val="en-GB"/>
        </w:rPr>
      </w:pPr>
      <w:r w:rsidRPr="00E112CD">
        <w:rPr>
          <w:rFonts w:hint="eastAsia"/>
          <w:lang w:val="en-GB"/>
        </w:rPr>
        <w:t>提高各方对努力保护儿童是共同责任的认识和承诺</w:t>
      </w:r>
      <w:r w:rsidR="006E1330">
        <w:rPr>
          <w:rFonts w:hint="eastAsia"/>
          <w:lang w:val="en-GB"/>
        </w:rPr>
        <w:t>；</w:t>
      </w:r>
    </w:p>
    <w:p w:rsidR="00E112CD" w:rsidRPr="00E112CD" w:rsidRDefault="00E112CD" w:rsidP="00F3666B">
      <w:pPr>
        <w:pStyle w:val="SingleTxtGC"/>
        <w:numPr>
          <w:ilvl w:val="0"/>
          <w:numId w:val="13"/>
        </w:numPr>
        <w:tabs>
          <w:tab w:val="clear" w:pos="431"/>
          <w:tab w:val="clear" w:pos="1134"/>
          <w:tab w:val="clear" w:pos="1565"/>
          <w:tab w:val="clear" w:pos="1996"/>
          <w:tab w:val="clear" w:pos="2426"/>
        </w:tabs>
        <w:rPr>
          <w:lang w:val="en-GB"/>
        </w:rPr>
      </w:pPr>
      <w:r w:rsidRPr="00E112CD">
        <w:rPr>
          <w:rFonts w:hint="eastAsia"/>
          <w:lang w:val="en-GB"/>
        </w:rPr>
        <w:t>创建一个安全的有利于儿童的环境</w:t>
      </w:r>
      <w:r w:rsidR="006E1330">
        <w:rPr>
          <w:rFonts w:hint="eastAsia"/>
          <w:lang w:val="en-GB"/>
        </w:rPr>
        <w:t>；</w:t>
      </w:r>
    </w:p>
    <w:p w:rsidR="00E112CD" w:rsidRPr="00E112CD" w:rsidRDefault="00E112CD" w:rsidP="00F3666B">
      <w:pPr>
        <w:pStyle w:val="SingleTxtGC"/>
        <w:numPr>
          <w:ilvl w:val="0"/>
          <w:numId w:val="13"/>
        </w:numPr>
        <w:tabs>
          <w:tab w:val="clear" w:pos="431"/>
          <w:tab w:val="clear" w:pos="1134"/>
          <w:tab w:val="clear" w:pos="1565"/>
          <w:tab w:val="clear" w:pos="1996"/>
          <w:tab w:val="clear" w:pos="2426"/>
        </w:tabs>
        <w:rPr>
          <w:lang w:val="en-GB"/>
        </w:rPr>
      </w:pPr>
      <w:r w:rsidRPr="00E112CD">
        <w:rPr>
          <w:rFonts w:hint="eastAsia"/>
          <w:lang w:val="en-GB"/>
        </w:rPr>
        <w:t>鼓励直接或间接从事儿童工作的组织制订自己的儿童保护政策</w:t>
      </w:r>
      <w:r w:rsidR="006E1330">
        <w:rPr>
          <w:rFonts w:hint="eastAsia"/>
          <w:lang w:val="en-GB"/>
        </w:rPr>
        <w:t>；</w:t>
      </w:r>
    </w:p>
    <w:p w:rsidR="00E112CD" w:rsidRPr="00E112CD" w:rsidRDefault="00E112CD" w:rsidP="00F3666B">
      <w:pPr>
        <w:pStyle w:val="SingleTxtGC"/>
        <w:numPr>
          <w:ilvl w:val="0"/>
          <w:numId w:val="13"/>
        </w:numPr>
        <w:tabs>
          <w:tab w:val="clear" w:pos="431"/>
          <w:tab w:val="clear" w:pos="1134"/>
          <w:tab w:val="clear" w:pos="1565"/>
          <w:tab w:val="clear" w:pos="1996"/>
          <w:tab w:val="clear" w:pos="2426"/>
        </w:tabs>
        <w:rPr>
          <w:lang w:val="en-GB"/>
        </w:rPr>
      </w:pPr>
      <w:r w:rsidRPr="00E112CD">
        <w:rPr>
          <w:rFonts w:hint="eastAsia"/>
          <w:lang w:val="en-GB"/>
        </w:rPr>
        <w:t>保护每个儿童免受任何形式的忽视、虐待、暴力及剥削</w:t>
      </w:r>
      <w:r w:rsidR="006E1330">
        <w:rPr>
          <w:rFonts w:hint="eastAsia"/>
          <w:lang w:val="en-GB"/>
        </w:rPr>
        <w:t>；</w:t>
      </w:r>
    </w:p>
    <w:p w:rsidR="00E112CD" w:rsidRPr="00E112CD" w:rsidRDefault="00E112CD" w:rsidP="00F3666B">
      <w:pPr>
        <w:pStyle w:val="SingleTxtGC"/>
        <w:numPr>
          <w:ilvl w:val="0"/>
          <w:numId w:val="13"/>
        </w:numPr>
        <w:tabs>
          <w:tab w:val="clear" w:pos="431"/>
          <w:tab w:val="clear" w:pos="1134"/>
          <w:tab w:val="clear" w:pos="1565"/>
          <w:tab w:val="clear" w:pos="1996"/>
          <w:tab w:val="clear" w:pos="2426"/>
        </w:tabs>
        <w:rPr>
          <w:lang w:val="en-GB"/>
        </w:rPr>
      </w:pPr>
      <w:r w:rsidRPr="00E112CD">
        <w:rPr>
          <w:rFonts w:hint="eastAsia"/>
          <w:lang w:val="en-GB"/>
        </w:rPr>
        <w:t>规定只有合适的人才可以直接从事儿童工作</w:t>
      </w:r>
      <w:r w:rsidR="006E1330">
        <w:rPr>
          <w:rFonts w:hint="eastAsia"/>
          <w:lang w:val="en-GB"/>
        </w:rPr>
        <w:t>；</w:t>
      </w:r>
    </w:p>
    <w:p w:rsidR="00E112CD" w:rsidRPr="00E112CD" w:rsidRDefault="00E112CD" w:rsidP="00F3666B">
      <w:pPr>
        <w:pStyle w:val="SingleTxtGC"/>
        <w:numPr>
          <w:ilvl w:val="0"/>
          <w:numId w:val="13"/>
        </w:numPr>
        <w:tabs>
          <w:tab w:val="clear" w:pos="431"/>
          <w:tab w:val="clear" w:pos="1134"/>
          <w:tab w:val="clear" w:pos="1565"/>
          <w:tab w:val="clear" w:pos="1996"/>
          <w:tab w:val="clear" w:pos="2426"/>
        </w:tabs>
        <w:rPr>
          <w:lang w:val="en-GB"/>
        </w:rPr>
      </w:pPr>
      <w:r w:rsidRPr="00E112CD">
        <w:rPr>
          <w:rFonts w:hint="eastAsia"/>
          <w:lang w:val="en-GB"/>
        </w:rPr>
        <w:t>加强支持服务</w:t>
      </w:r>
      <w:r w:rsidR="006E1330">
        <w:rPr>
          <w:rFonts w:hint="eastAsia"/>
          <w:lang w:val="en-GB"/>
        </w:rPr>
        <w:t>，</w:t>
      </w:r>
      <w:r w:rsidRPr="00E112CD">
        <w:rPr>
          <w:rFonts w:hint="eastAsia"/>
          <w:lang w:val="en-GB"/>
        </w:rPr>
        <w:t>消除对儿童的忽视、虐待、暴力及剥削</w:t>
      </w:r>
      <w:r w:rsidR="006E1330">
        <w:rPr>
          <w:rFonts w:hint="eastAsia"/>
          <w:lang w:val="en-GB"/>
        </w:rPr>
        <w:t>；</w:t>
      </w:r>
      <w:r w:rsidRPr="00E112CD">
        <w:rPr>
          <w:rFonts w:hint="eastAsia"/>
          <w:lang w:val="en-GB"/>
        </w:rPr>
        <w:t>以及</w:t>
      </w:r>
    </w:p>
    <w:p w:rsidR="00E112CD" w:rsidRPr="00E112CD" w:rsidRDefault="00E112CD" w:rsidP="00F3666B">
      <w:pPr>
        <w:pStyle w:val="SingleTxtGC"/>
        <w:numPr>
          <w:ilvl w:val="0"/>
          <w:numId w:val="13"/>
        </w:numPr>
        <w:tabs>
          <w:tab w:val="clear" w:pos="431"/>
          <w:tab w:val="clear" w:pos="1134"/>
          <w:tab w:val="clear" w:pos="1565"/>
          <w:tab w:val="clear" w:pos="1996"/>
          <w:tab w:val="clear" w:pos="2426"/>
        </w:tabs>
        <w:rPr>
          <w:lang w:val="en-GB"/>
        </w:rPr>
      </w:pPr>
      <w:r w:rsidRPr="00E112CD">
        <w:rPr>
          <w:rFonts w:hint="eastAsia"/>
          <w:lang w:val="en-GB"/>
        </w:rPr>
        <w:t>加强研究和开发</w:t>
      </w:r>
      <w:r w:rsidR="006E1330">
        <w:rPr>
          <w:rFonts w:hint="eastAsia"/>
          <w:lang w:val="en-GB"/>
        </w:rPr>
        <w:t>，</w:t>
      </w:r>
      <w:r w:rsidRPr="00E112CD">
        <w:rPr>
          <w:rFonts w:hint="eastAsia"/>
          <w:lang w:val="en-GB"/>
        </w:rPr>
        <w:t>改进对儿童的保护。</w:t>
      </w:r>
    </w:p>
    <w:p w:rsidR="00E112CD" w:rsidRPr="00E112CD" w:rsidRDefault="00E112CD" w:rsidP="00F3666B">
      <w:pPr>
        <w:pStyle w:val="H23GC"/>
        <w:rPr>
          <w:lang w:val="en-GB"/>
        </w:rPr>
      </w:pPr>
      <w:r w:rsidRPr="00E112CD">
        <w:rPr>
          <w:lang w:val="en-GB"/>
        </w:rPr>
        <w:tab/>
      </w:r>
      <w:r w:rsidRPr="00E112CD">
        <w:rPr>
          <w:lang w:val="en-GB"/>
        </w:rPr>
        <w:tab/>
      </w:r>
      <w:r w:rsidRPr="00E112CD">
        <w:rPr>
          <w:rFonts w:hint="eastAsia"/>
          <w:lang w:val="en-GB"/>
        </w:rPr>
        <w:t>生殖健康和社会教育国家政策和行动计划</w:t>
      </w:r>
    </w:p>
    <w:p w:rsidR="00E112CD" w:rsidRPr="00E112CD" w:rsidRDefault="00E112CD" w:rsidP="00E112CD">
      <w:pPr>
        <w:pStyle w:val="SingleTxtGC"/>
        <w:rPr>
          <w:lang w:val="en-GB"/>
        </w:rPr>
      </w:pPr>
      <w:r w:rsidRPr="00E112CD">
        <w:rPr>
          <w:lang w:val="en-GB"/>
        </w:rPr>
        <w:t>6</w:t>
      </w:r>
      <w:r w:rsidR="006E1330">
        <w:rPr>
          <w:lang w:val="en-GB"/>
        </w:rPr>
        <w:t>5.</w:t>
      </w:r>
      <w:r w:rsidR="00F3666B">
        <w:rPr>
          <w:rFonts w:hint="eastAsia"/>
          <w:lang w:val="en-GB"/>
        </w:rPr>
        <w:t xml:space="preserve">  </w:t>
      </w:r>
      <w:r w:rsidRPr="00E112CD">
        <w:rPr>
          <w:rFonts w:hint="eastAsia"/>
          <w:lang w:val="en-GB"/>
        </w:rPr>
        <w:t>为了使个人增加关于生殖健康和社会教育的知识</w:t>
      </w:r>
      <w:r w:rsidR="006E1330">
        <w:rPr>
          <w:rFonts w:hint="eastAsia"/>
          <w:lang w:val="en-GB"/>
        </w:rPr>
        <w:t>，</w:t>
      </w:r>
      <w:r w:rsidRPr="00E112CD">
        <w:rPr>
          <w:rFonts w:hint="eastAsia"/>
          <w:lang w:val="en-GB"/>
        </w:rPr>
        <w:t>培养人们对生殖健康和社会教育积极的态度</w:t>
      </w:r>
      <w:r w:rsidR="006E1330">
        <w:rPr>
          <w:rFonts w:hint="eastAsia"/>
          <w:lang w:val="en-GB"/>
        </w:rPr>
        <w:t>，</w:t>
      </w:r>
      <w:r w:rsidRPr="00E112CD">
        <w:rPr>
          <w:rFonts w:hint="eastAsia"/>
          <w:lang w:val="en-GB"/>
        </w:rPr>
        <w:t>政府</w:t>
      </w:r>
      <w:r w:rsidRPr="00E112CD">
        <w:rPr>
          <w:lang w:val="en-GB"/>
        </w:rPr>
        <w:t>2009</w:t>
      </w:r>
      <w:r w:rsidRPr="00E112CD">
        <w:rPr>
          <w:rFonts w:hint="eastAsia"/>
          <w:lang w:val="en-GB"/>
        </w:rPr>
        <w:t>年</w:t>
      </w:r>
      <w:r w:rsidRPr="00E112CD">
        <w:rPr>
          <w:lang w:val="en-GB"/>
        </w:rPr>
        <w:t>11</w:t>
      </w:r>
      <w:r w:rsidRPr="00E112CD">
        <w:rPr>
          <w:rFonts w:hint="eastAsia"/>
          <w:lang w:val="en-GB"/>
        </w:rPr>
        <w:t>月</w:t>
      </w:r>
      <w:r w:rsidRPr="00E112CD">
        <w:rPr>
          <w:lang w:val="en-GB"/>
        </w:rPr>
        <w:t>6</w:t>
      </w:r>
      <w:r w:rsidRPr="00E112CD">
        <w:rPr>
          <w:rFonts w:hint="eastAsia"/>
          <w:lang w:val="en-GB"/>
        </w:rPr>
        <w:t>日批准了《生殖健康和社会教育国家政策和行动计划》。执行此政策旨在实现下述目标</w:t>
      </w:r>
      <w:r w:rsidR="006E1330">
        <w:rPr>
          <w:rFonts w:hint="eastAsia"/>
          <w:lang w:val="en-GB"/>
        </w:rPr>
        <w:t>：</w:t>
      </w:r>
    </w:p>
    <w:p w:rsidR="00E112CD" w:rsidRPr="00E112CD" w:rsidRDefault="00E112CD" w:rsidP="00F3666B">
      <w:pPr>
        <w:pStyle w:val="SingleTxtGC"/>
        <w:numPr>
          <w:ilvl w:val="0"/>
          <w:numId w:val="14"/>
        </w:numPr>
        <w:tabs>
          <w:tab w:val="clear" w:pos="431"/>
          <w:tab w:val="clear" w:pos="1134"/>
          <w:tab w:val="clear" w:pos="1565"/>
          <w:tab w:val="clear" w:pos="1996"/>
          <w:tab w:val="clear" w:pos="2426"/>
        </w:tabs>
        <w:rPr>
          <w:lang w:val="en-GB"/>
        </w:rPr>
      </w:pPr>
      <w:r w:rsidRPr="00E112CD">
        <w:rPr>
          <w:rFonts w:hint="eastAsia"/>
          <w:lang w:val="en-GB"/>
        </w:rPr>
        <w:t>提高公众对生殖健康和社会教育重要性的认识</w:t>
      </w:r>
      <w:r w:rsidR="006E1330">
        <w:rPr>
          <w:rFonts w:hint="eastAsia"/>
          <w:lang w:val="en-GB"/>
        </w:rPr>
        <w:t>；</w:t>
      </w:r>
    </w:p>
    <w:p w:rsidR="00E112CD" w:rsidRPr="00E112CD" w:rsidRDefault="00E112CD" w:rsidP="00F3666B">
      <w:pPr>
        <w:pStyle w:val="SingleTxtGC"/>
        <w:numPr>
          <w:ilvl w:val="0"/>
          <w:numId w:val="14"/>
        </w:numPr>
        <w:tabs>
          <w:tab w:val="clear" w:pos="431"/>
          <w:tab w:val="clear" w:pos="1134"/>
          <w:tab w:val="clear" w:pos="1565"/>
          <w:tab w:val="clear" w:pos="1996"/>
          <w:tab w:val="clear" w:pos="2426"/>
        </w:tabs>
        <w:rPr>
          <w:lang w:val="en-GB"/>
        </w:rPr>
      </w:pPr>
      <w:r w:rsidRPr="00E112CD">
        <w:rPr>
          <w:rFonts w:hint="eastAsia"/>
          <w:lang w:val="en-GB"/>
        </w:rPr>
        <w:t>增加公众关于生殖健康和社会教育的专业知识</w:t>
      </w:r>
      <w:r w:rsidR="006E1330">
        <w:rPr>
          <w:rFonts w:hint="eastAsia"/>
          <w:lang w:val="en-GB"/>
        </w:rPr>
        <w:t>；</w:t>
      </w:r>
    </w:p>
    <w:p w:rsidR="00E112CD" w:rsidRPr="00E112CD" w:rsidRDefault="00E112CD" w:rsidP="00F3666B">
      <w:pPr>
        <w:pStyle w:val="SingleTxtGC"/>
        <w:numPr>
          <w:ilvl w:val="0"/>
          <w:numId w:val="14"/>
        </w:numPr>
        <w:tabs>
          <w:tab w:val="clear" w:pos="431"/>
          <w:tab w:val="clear" w:pos="1134"/>
          <w:tab w:val="clear" w:pos="1565"/>
          <w:tab w:val="clear" w:pos="1996"/>
          <w:tab w:val="clear" w:pos="2426"/>
        </w:tabs>
        <w:rPr>
          <w:lang w:val="en-GB"/>
        </w:rPr>
      </w:pPr>
      <w:r w:rsidRPr="00E112CD">
        <w:rPr>
          <w:rFonts w:hint="eastAsia"/>
          <w:lang w:val="en-GB"/>
        </w:rPr>
        <w:t>加强研究和开发</w:t>
      </w:r>
      <w:r w:rsidR="006E1330">
        <w:rPr>
          <w:rFonts w:hint="eastAsia"/>
          <w:lang w:val="en-GB"/>
        </w:rPr>
        <w:t>，</w:t>
      </w:r>
      <w:r w:rsidRPr="00E112CD">
        <w:rPr>
          <w:rFonts w:hint="eastAsia"/>
          <w:lang w:val="en-GB"/>
        </w:rPr>
        <w:t>改进现有的生殖健康和社会教育系统</w:t>
      </w:r>
      <w:r w:rsidR="006E1330">
        <w:rPr>
          <w:rFonts w:hint="eastAsia"/>
          <w:lang w:val="en-GB"/>
        </w:rPr>
        <w:t>；</w:t>
      </w:r>
      <w:r w:rsidRPr="00E112CD">
        <w:rPr>
          <w:rFonts w:hint="eastAsia"/>
          <w:lang w:val="en-GB"/>
        </w:rPr>
        <w:t>以及</w:t>
      </w:r>
    </w:p>
    <w:p w:rsidR="00E112CD" w:rsidRPr="00E112CD" w:rsidRDefault="00E112CD" w:rsidP="00F3666B">
      <w:pPr>
        <w:pStyle w:val="SingleTxtGC"/>
        <w:numPr>
          <w:ilvl w:val="0"/>
          <w:numId w:val="14"/>
        </w:numPr>
        <w:tabs>
          <w:tab w:val="clear" w:pos="431"/>
          <w:tab w:val="clear" w:pos="1134"/>
          <w:tab w:val="clear" w:pos="1565"/>
          <w:tab w:val="clear" w:pos="1996"/>
          <w:tab w:val="clear" w:pos="2426"/>
        </w:tabs>
        <w:rPr>
          <w:lang w:val="en-GB"/>
        </w:rPr>
      </w:pPr>
      <w:r w:rsidRPr="00E112CD">
        <w:rPr>
          <w:rFonts w:hint="eastAsia"/>
          <w:lang w:val="en-GB"/>
        </w:rPr>
        <w:t>提高实施生殖健康和社会教育的效益。</w:t>
      </w:r>
    </w:p>
    <w:p w:rsidR="00E112CD" w:rsidRPr="00E112CD" w:rsidRDefault="00E112CD" w:rsidP="00F3666B">
      <w:pPr>
        <w:pStyle w:val="H23GC"/>
        <w:rPr>
          <w:lang w:val="en-GB"/>
        </w:rPr>
      </w:pPr>
      <w:r w:rsidRPr="00E112CD">
        <w:rPr>
          <w:lang w:val="en-GB"/>
        </w:rPr>
        <w:tab/>
      </w:r>
      <w:r w:rsidRPr="00E112CD">
        <w:rPr>
          <w:lang w:val="en-GB"/>
        </w:rPr>
        <w:tab/>
      </w:r>
      <w:r w:rsidRPr="00E112CD">
        <w:rPr>
          <w:rFonts w:hint="eastAsia"/>
          <w:lang w:val="en-GB"/>
        </w:rPr>
        <w:t>残疾人国家政策及行动计划</w:t>
      </w:r>
    </w:p>
    <w:p w:rsidR="00652500" w:rsidRDefault="00E112CD" w:rsidP="00E112CD">
      <w:pPr>
        <w:pStyle w:val="SingleTxtGC"/>
        <w:rPr>
          <w:rFonts w:hint="eastAsia"/>
          <w:lang w:val="en-GB"/>
        </w:rPr>
      </w:pPr>
      <w:r w:rsidRPr="00E112CD">
        <w:rPr>
          <w:lang w:val="en-GB"/>
        </w:rPr>
        <w:t>6</w:t>
      </w:r>
      <w:r w:rsidR="006E1330">
        <w:rPr>
          <w:lang w:val="en-GB"/>
        </w:rPr>
        <w:t>6.</w:t>
      </w:r>
      <w:r w:rsidR="00F3666B">
        <w:rPr>
          <w:rFonts w:hint="eastAsia"/>
          <w:lang w:val="en-GB"/>
        </w:rPr>
        <w:t xml:space="preserve">  </w:t>
      </w:r>
      <w:r w:rsidRPr="00E112CD">
        <w:rPr>
          <w:rFonts w:hint="eastAsia"/>
          <w:lang w:val="en-GB"/>
        </w:rPr>
        <w:t>政府</w:t>
      </w:r>
      <w:r w:rsidRPr="00E112CD">
        <w:rPr>
          <w:lang w:val="en-GB"/>
        </w:rPr>
        <w:t>2007</w:t>
      </w:r>
      <w:r w:rsidRPr="00E112CD">
        <w:rPr>
          <w:rFonts w:hint="eastAsia"/>
          <w:lang w:val="en-GB"/>
        </w:rPr>
        <w:t>年</w:t>
      </w:r>
      <w:r w:rsidRPr="00E112CD">
        <w:rPr>
          <w:lang w:val="en-GB"/>
        </w:rPr>
        <w:t>11</w:t>
      </w:r>
      <w:r w:rsidRPr="00E112CD">
        <w:rPr>
          <w:rFonts w:hint="eastAsia"/>
          <w:lang w:val="en-GB"/>
        </w:rPr>
        <w:t>月</w:t>
      </w:r>
      <w:r w:rsidRPr="00E112CD">
        <w:rPr>
          <w:lang w:val="en-GB"/>
        </w:rPr>
        <w:t>21</w:t>
      </w:r>
      <w:r w:rsidRPr="00E112CD">
        <w:rPr>
          <w:rFonts w:hint="eastAsia"/>
          <w:lang w:val="en-GB"/>
        </w:rPr>
        <w:t>日批准了《残疾人国家政策及行动计划》。将《残疾人国家政策及行动计划》作为基础</w:t>
      </w:r>
      <w:r w:rsidR="006E1330">
        <w:rPr>
          <w:rFonts w:hint="eastAsia"/>
          <w:lang w:val="en-GB"/>
        </w:rPr>
        <w:t>，</w:t>
      </w:r>
      <w:r w:rsidRPr="00E112CD">
        <w:rPr>
          <w:rFonts w:hint="eastAsia"/>
          <w:lang w:val="en-GB"/>
        </w:rPr>
        <w:t>用以确保残疾人在与他人平等的基础上充分和有效地参与社会</w:t>
      </w:r>
      <w:r w:rsidR="006E1330">
        <w:rPr>
          <w:rFonts w:hint="eastAsia"/>
          <w:lang w:val="en-GB"/>
        </w:rPr>
        <w:t>，</w:t>
      </w:r>
      <w:r w:rsidRPr="00E112CD">
        <w:rPr>
          <w:rFonts w:hint="eastAsia"/>
          <w:lang w:val="en-GB"/>
        </w:rPr>
        <w:t>无论性别。《行动计划》规定了各个利益有关方在马来西亚为残疾人规划项目的指导原则。此外</w:t>
      </w:r>
      <w:r w:rsidR="006E1330">
        <w:rPr>
          <w:rFonts w:hint="eastAsia"/>
          <w:lang w:val="en-GB"/>
        </w:rPr>
        <w:t>，</w:t>
      </w:r>
      <w:r w:rsidRPr="00E112CD">
        <w:rPr>
          <w:rFonts w:hint="eastAsia"/>
          <w:lang w:val="en-GB"/>
        </w:rPr>
        <w:t>相关机构在制订各自的年度预算时、以及在确定优先顺序时、特别是从政府获得财政拨款时</w:t>
      </w:r>
      <w:r w:rsidR="006E1330">
        <w:rPr>
          <w:rFonts w:hint="eastAsia"/>
          <w:lang w:val="en-GB"/>
        </w:rPr>
        <w:t>，</w:t>
      </w:r>
      <w:r w:rsidRPr="00E112CD">
        <w:rPr>
          <w:rFonts w:hint="eastAsia"/>
          <w:lang w:val="en-GB"/>
        </w:rPr>
        <w:t>以《行动计划》为指导。</w:t>
      </w:r>
    </w:p>
    <w:p w:rsidR="00E112CD" w:rsidRDefault="00E112CD" w:rsidP="00E112CD">
      <w:pPr>
        <w:pStyle w:val="SingleTxtGC"/>
        <w:rPr>
          <w:rFonts w:hint="eastAsia"/>
          <w:lang w:val="en-GB"/>
        </w:rPr>
      </w:pPr>
    </w:p>
    <w:p w:rsidR="00E112CD" w:rsidRPr="002D6A9C" w:rsidRDefault="00E112C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112CD" w:rsidRPr="002D6A9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323" w:rsidRPr="00E017BC" w:rsidRDefault="00CE7323" w:rsidP="00E017BC">
      <w:pPr>
        <w:spacing w:after="240"/>
        <w:ind w:left="907"/>
        <w:rPr>
          <w:rFonts w:eastAsia="KaiTi_GB2312" w:hint="eastAsia"/>
          <w:szCs w:val="21"/>
        </w:rPr>
      </w:pPr>
      <w:r>
        <w:rPr>
          <w:rFonts w:eastAsia="KaiTi_GB2312" w:hint="eastAsia"/>
          <w:szCs w:val="21"/>
        </w:rPr>
        <w:t>注</w:t>
      </w:r>
    </w:p>
  </w:endnote>
  <w:endnote w:type="continuationSeparator" w:id="0">
    <w:p w:rsidR="00CE7323" w:rsidRPr="00E017BC" w:rsidRDefault="00CE7323" w:rsidP="00E017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3B" w:rsidRPr="001318D3" w:rsidRDefault="00E6083B" w:rsidP="00EB570D">
    <w:pPr>
      <w:tabs>
        <w:tab w:val="clear" w:pos="431"/>
        <w:tab w:val="right" w:pos="9639"/>
      </w:tabs>
      <w:rPr>
        <w:rStyle w:val="FooterChar"/>
        <w:rFonts w:hint="eastAsia"/>
        <w:lang w:eastAsia="zh-CN"/>
      </w:rPr>
    </w:pPr>
    <w:r>
      <w:rPr>
        <w:rStyle w:val="PageNumber"/>
      </w:rPr>
      <w:fldChar w:fldCharType="begin"/>
    </w:r>
    <w:r>
      <w:rPr>
        <w:rStyle w:val="PageNumber"/>
      </w:rPr>
      <w:instrText xml:space="preserve"> PAGE </w:instrText>
    </w:r>
    <w:r>
      <w:rPr>
        <w:rStyle w:val="PageNumber"/>
      </w:rPr>
      <w:fldChar w:fldCharType="separate"/>
    </w:r>
    <w:r w:rsidR="00494329">
      <w:rPr>
        <w:rStyle w:val="PageNumber"/>
        <w:noProof/>
      </w:rPr>
      <w:t>16</w:t>
    </w:r>
    <w:r>
      <w:rPr>
        <w:rStyle w:val="PageNumber"/>
      </w:rPr>
      <w:fldChar w:fldCharType="end"/>
    </w:r>
    <w:r>
      <w:rPr>
        <w:rStyle w:val="PageNumber"/>
        <w:rFonts w:hint="eastAsia"/>
      </w:rPr>
      <w:tab/>
    </w:r>
    <w:r w:rsidRPr="001318D3">
      <w:rPr>
        <w:rStyle w:val="FooterChar"/>
      </w:rPr>
      <w:t>GE.16-16815</w:t>
    </w:r>
    <w:r>
      <w:rPr>
        <w:rStyle w:val="FooterChar"/>
        <w:rFonts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3B" w:rsidRDefault="00E6083B">
    <w:pPr>
      <w:tabs>
        <w:tab w:val="right" w:pos="9639"/>
      </w:tabs>
    </w:pPr>
    <w:r w:rsidRPr="001318D3">
      <w:rPr>
        <w:rStyle w:val="FooterChar"/>
      </w:rPr>
      <w:t>GE.16-16815</w:t>
    </w:r>
    <w:r>
      <w:rPr>
        <w:rStyle w:val="FooterChar"/>
        <w:rFonts w:hint="eastAsia"/>
        <w:lang w:eastAsia="zh-CN"/>
      </w:rPr>
      <w:t xml:space="preserve"> (EXT)</w:t>
    </w:r>
    <w:r>
      <w:tab/>
    </w:r>
    <w:r>
      <w:rPr>
        <w:rStyle w:val="PageNumber"/>
      </w:rPr>
      <w:fldChar w:fldCharType="begin"/>
    </w:r>
    <w:r>
      <w:rPr>
        <w:rStyle w:val="PageNumber"/>
      </w:rPr>
      <w:instrText xml:space="preserve"> PAGE </w:instrText>
    </w:r>
    <w:r>
      <w:rPr>
        <w:rStyle w:val="PageNumber"/>
      </w:rPr>
      <w:fldChar w:fldCharType="separate"/>
    </w:r>
    <w:r w:rsidR="00494329">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3B" w:rsidRDefault="00E6083B" w:rsidP="006B07A0">
    <w:pPr>
      <w:pStyle w:val="Footer"/>
      <w:tabs>
        <w:tab w:val="left" w:pos="1701"/>
        <w:tab w:val="left" w:pos="2552"/>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6&amp;Size=2&amp;Lang=C"/>
          <w10:wrap type="square"/>
        </v:shape>
      </w:pict>
    </w:r>
    <w:r>
      <w:rPr>
        <w:sz w:val="20"/>
        <w:lang w:eastAsia="zh-CN"/>
      </w:rPr>
      <w:t>GE.</w:t>
    </w:r>
    <w:r>
      <w:rPr>
        <w:rFonts w:hint="eastAsia"/>
        <w:sz w:val="20"/>
        <w:lang w:eastAsia="zh-CN"/>
      </w:rPr>
      <w:t>16</w:t>
    </w:r>
    <w:r>
      <w:rPr>
        <w:sz w:val="20"/>
        <w:lang w:eastAsia="zh-CN"/>
      </w:rPr>
      <w:t>-</w:t>
    </w:r>
    <w:r>
      <w:rPr>
        <w:rFonts w:hint="eastAsia"/>
        <w:sz w:val="20"/>
        <w:lang w:eastAsia="zh-CN"/>
      </w:rPr>
      <w:t>16815</w:t>
    </w:r>
    <w:r>
      <w:rPr>
        <w:sz w:val="20"/>
        <w:lang w:eastAsia="zh-CN"/>
      </w:rPr>
      <w:t xml:space="preserve"> (</w:t>
    </w:r>
    <w:r>
      <w:rPr>
        <w:rFonts w:hint="eastAsia"/>
        <w:sz w:val="20"/>
        <w:lang w:eastAsia="zh-CN"/>
      </w:rPr>
      <w:t>EXT</w:t>
    </w:r>
    <w:r w:rsidRPr="00EE277A">
      <w:rPr>
        <w:sz w:val="20"/>
        <w:lang w:eastAsia="zh-CN"/>
      </w:rPr>
      <w:t>)</w:t>
    </w:r>
  </w:p>
  <w:p w:rsidR="00E6083B" w:rsidRPr="00E04D00" w:rsidRDefault="00E6083B" w:rsidP="00B7405F">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Pr>
        <w:rFonts w:ascii="C39T30Lfz" w:hAnsi="C39T30Lfz"/>
        <w:sz w:val="56"/>
        <w:szCs w:val="56"/>
        <w:lang w:eastAsia="zh-CN"/>
      </w:rPr>
      <w:t></w:t>
    </w:r>
    <w:r w:rsidRPr="001318D3">
      <w:rPr>
        <w:rFonts w:ascii="C39T30Lfz" w:hAnsi="C39T30Lfz"/>
        <w:sz w:val="56"/>
        <w:szCs w:val="56"/>
        <w:lang w:eastAsia="zh-CN"/>
      </w:rPr>
      <w:t></w:t>
    </w:r>
    <w:r w:rsidRPr="001318D3">
      <w:rPr>
        <w:rFonts w:ascii="C39T30Lfz" w:hAnsi="C39T30Lfz"/>
        <w:sz w:val="56"/>
        <w:szCs w:val="56"/>
        <w:lang w:eastAsia="zh-CN"/>
      </w:rPr>
      <w:t></w:t>
    </w:r>
    <w:r w:rsidRPr="001318D3">
      <w:rPr>
        <w:rFonts w:ascii="C39T30Lfz" w:hAnsi="C39T30Lfz"/>
        <w:sz w:val="56"/>
        <w:szCs w:val="56"/>
        <w:lang w:eastAsia="zh-CN"/>
      </w:rPr>
      <w:t></w:t>
    </w:r>
    <w:r w:rsidRPr="001318D3">
      <w:rPr>
        <w:rFonts w:ascii="C39T30Lfz" w:hAnsi="C39T30Lfz"/>
        <w:sz w:val="56"/>
        <w:szCs w:val="56"/>
        <w:lang w:eastAsia="zh-CN"/>
      </w:rPr>
      <w:t></w:t>
    </w:r>
    <w:r w:rsidRPr="001318D3">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27"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323" w:rsidRDefault="00CE7323"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CE7323" w:rsidRDefault="00CE7323"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E6083B" w:rsidRPr="001318D3" w:rsidRDefault="00E6083B" w:rsidP="006B07A0">
      <w:pPr>
        <w:pStyle w:val="EndnoteText"/>
        <w:rPr>
          <w:rFonts w:hint="eastAsia"/>
        </w:rPr>
      </w:pPr>
      <w:r>
        <w:rPr>
          <w:rFonts w:hint="eastAsia"/>
        </w:rPr>
        <w:tab/>
      </w:r>
      <w:r w:rsidRPr="00AF2A89">
        <w:rPr>
          <w:rStyle w:val="FootnoteReference"/>
          <w:vertAlign w:val="baseline"/>
        </w:rPr>
        <w:t>*</w:t>
      </w:r>
      <w:r>
        <w:rPr>
          <w:rFonts w:hint="eastAsia"/>
        </w:rPr>
        <w:tab/>
      </w:r>
      <w:r w:rsidRPr="001318D3">
        <w:rPr>
          <w:rFonts w:hint="eastAsia"/>
        </w:rPr>
        <w:t>本文件在送交前未经正式编辑。</w:t>
      </w:r>
    </w:p>
  </w:footnote>
  <w:footnote w:id="2">
    <w:p w:rsidR="00E6083B" w:rsidRPr="005962CC" w:rsidRDefault="00E6083B">
      <w:pPr>
        <w:pStyle w:val="FootnoteText"/>
      </w:pPr>
      <w:r>
        <w:tab/>
      </w:r>
      <w:r>
        <w:rPr>
          <w:rStyle w:val="FootnoteReference"/>
        </w:rPr>
        <w:footnoteRef/>
      </w:r>
      <w:r>
        <w:tab/>
      </w:r>
      <w:r w:rsidRPr="005962CC">
        <w:rPr>
          <w:rFonts w:hint="eastAsia"/>
        </w:rPr>
        <w:t>包括布特拉再也联邦直辖区。</w:t>
      </w:r>
    </w:p>
  </w:footnote>
  <w:footnote w:id="3">
    <w:p w:rsidR="00E6083B" w:rsidRPr="005962CC" w:rsidRDefault="00E6083B">
      <w:pPr>
        <w:pStyle w:val="FootnoteText"/>
      </w:pPr>
      <w:r>
        <w:tab/>
      </w:r>
      <w:r>
        <w:rPr>
          <w:rStyle w:val="FootnoteReference"/>
        </w:rPr>
        <w:footnoteRef/>
      </w:r>
      <w:r>
        <w:tab/>
      </w:r>
      <w:r w:rsidRPr="005962CC">
        <w:rPr>
          <w:rFonts w:hint="eastAsia"/>
        </w:rPr>
        <w:t>资料来源：统计局</w:t>
      </w:r>
      <w:r w:rsidRPr="005962CC">
        <w:rPr>
          <w:rFonts w:hint="eastAsia"/>
        </w:rPr>
        <w:t>(www.statistics.gov.my)</w:t>
      </w:r>
      <w:r w:rsidRPr="005962CC">
        <w:rPr>
          <w:rFonts w:hint="eastAsia"/>
        </w:rPr>
        <w:t>。</w:t>
      </w:r>
    </w:p>
  </w:footnote>
  <w:footnote w:id="4">
    <w:p w:rsidR="00E6083B" w:rsidRDefault="00E6083B" w:rsidP="005962CC">
      <w:pPr>
        <w:pStyle w:val="FootnoteText"/>
        <w:rPr>
          <w:rFonts w:hint="eastAsia"/>
        </w:rPr>
      </w:pPr>
      <w:r>
        <w:tab/>
      </w:r>
      <w:r>
        <w:rPr>
          <w:rStyle w:val="FootnoteReference"/>
        </w:rPr>
        <w:footnoteRef/>
      </w:r>
      <w:r>
        <w:tab/>
      </w:r>
      <w:r>
        <w:rPr>
          <w:rFonts w:hint="eastAsia"/>
        </w:rPr>
        <w:t>《政府转型计划</w:t>
      </w:r>
      <w:r>
        <w:rPr>
          <w:rFonts w:hint="eastAsia"/>
        </w:rPr>
        <w:t>2012</w:t>
      </w:r>
      <w:r>
        <w:rPr>
          <w:rFonts w:hint="eastAsia"/>
        </w:rPr>
        <w:t>年年度报告》</w:t>
      </w:r>
      <w:r>
        <w:rPr>
          <w:rFonts w:hint="eastAsia"/>
        </w:rPr>
        <w:t>(http://www.pemandu.gov.my/gtp/annualreport2012/upload/ Eng_GTP2012_AR_Full.pdf)</w:t>
      </w:r>
      <w:r>
        <w:rPr>
          <w:rFonts w:hint="eastAsia"/>
        </w:rPr>
        <w:t>。</w:t>
      </w:r>
    </w:p>
  </w:footnote>
  <w:footnote w:id="5">
    <w:p w:rsidR="00E6083B" w:rsidRPr="005962CC" w:rsidRDefault="00E6083B">
      <w:pPr>
        <w:pStyle w:val="FootnoteText"/>
      </w:pPr>
      <w:r>
        <w:tab/>
      </w:r>
      <w:r>
        <w:rPr>
          <w:rStyle w:val="FootnoteReference"/>
        </w:rPr>
        <w:footnoteRef/>
      </w:r>
      <w:r>
        <w:tab/>
      </w:r>
      <w:r w:rsidRPr="005962CC">
        <w:rPr>
          <w:rFonts w:hint="eastAsia"/>
        </w:rPr>
        <w:t>资料来源：经济规划股，财政部，马来西亚中央银行，以及《经济转型计划</w:t>
      </w:r>
      <w:r w:rsidRPr="005962CC">
        <w:rPr>
          <w:rFonts w:hint="eastAsia"/>
        </w:rPr>
        <w:t>2012</w:t>
      </w:r>
      <w:r w:rsidRPr="005962CC">
        <w:rPr>
          <w:rFonts w:hint="eastAsia"/>
        </w:rPr>
        <w:t>年年度报告》。</w:t>
      </w:r>
    </w:p>
  </w:footnote>
  <w:footnote w:id="6">
    <w:p w:rsidR="00E6083B" w:rsidRPr="005962CC" w:rsidRDefault="00E6083B">
      <w:pPr>
        <w:pStyle w:val="FootnoteText"/>
      </w:pPr>
      <w:r>
        <w:tab/>
      </w:r>
      <w:r>
        <w:rPr>
          <w:rStyle w:val="FootnoteReference"/>
        </w:rPr>
        <w:footnoteRef/>
      </w:r>
      <w:r>
        <w:tab/>
      </w:r>
      <w:r w:rsidRPr="005962CC">
        <w:rPr>
          <w:rFonts w:hint="eastAsia"/>
        </w:rPr>
        <w:t>2011</w:t>
      </w:r>
      <w:r w:rsidRPr="005962CC">
        <w:rPr>
          <w:rFonts w:hint="eastAsia"/>
        </w:rPr>
        <w:t>年《马来西亚经济报告》</w:t>
      </w:r>
      <w:r w:rsidRPr="005962CC">
        <w:rPr>
          <w:rFonts w:hint="eastAsia"/>
        </w:rPr>
        <w:t>(http</w:t>
      </w:r>
      <w:r>
        <w:rPr>
          <w:rFonts w:hint="eastAsia"/>
        </w:rPr>
        <w:t>:</w:t>
      </w:r>
      <w:r w:rsidRPr="005962CC">
        <w:rPr>
          <w:rFonts w:hint="eastAsia"/>
        </w:rPr>
        <w:t>//www.treasury.gov.my/pdf/ekonomi/le/1112/bab2.pdf)</w:t>
      </w:r>
      <w:r w:rsidRPr="005962CC">
        <w:rPr>
          <w:rFonts w:hint="eastAsia"/>
        </w:rPr>
        <w:t>。</w:t>
      </w:r>
    </w:p>
  </w:footnote>
  <w:footnote w:id="7">
    <w:p w:rsidR="00E6083B" w:rsidRPr="005962CC" w:rsidRDefault="00E6083B">
      <w:pPr>
        <w:pStyle w:val="FootnoteText"/>
      </w:pPr>
      <w:r>
        <w:tab/>
      </w:r>
      <w:r>
        <w:rPr>
          <w:rStyle w:val="FootnoteReference"/>
        </w:rPr>
        <w:footnoteRef/>
      </w:r>
      <w:r>
        <w:tab/>
      </w:r>
      <w:r w:rsidRPr="005962CC">
        <w:rPr>
          <w:rFonts w:hint="eastAsia"/>
        </w:rPr>
        <w:t>关于这六大战略目标的详细信息，可查阅：</w:t>
      </w:r>
      <w:r w:rsidRPr="005962CC">
        <w:rPr>
          <w:rFonts w:hint="eastAsia"/>
        </w:rPr>
        <w:t>http</w:t>
      </w:r>
      <w:r>
        <w:rPr>
          <w:rFonts w:hint="eastAsia"/>
        </w:rPr>
        <w:t>:</w:t>
      </w:r>
      <w:r w:rsidRPr="005962CC">
        <w:rPr>
          <w:rFonts w:hint="eastAsia"/>
        </w:rPr>
        <w:t>//www.moe.gov.my</w:t>
      </w:r>
      <w:r w:rsidRPr="005962CC">
        <w:rPr>
          <w:rFonts w:hint="eastAsia"/>
        </w:rPr>
        <w:t>。</w:t>
      </w:r>
    </w:p>
  </w:footnote>
  <w:footnote w:id="8">
    <w:p w:rsidR="00E6083B" w:rsidRPr="00F3666B" w:rsidRDefault="00E6083B">
      <w:pPr>
        <w:pStyle w:val="FootnoteText"/>
      </w:pPr>
      <w:r>
        <w:tab/>
      </w:r>
      <w:r>
        <w:rPr>
          <w:rStyle w:val="FootnoteReference"/>
        </w:rPr>
        <w:footnoteRef/>
      </w:r>
      <w:r>
        <w:tab/>
      </w:r>
      <w:r w:rsidRPr="00F3666B">
        <w:rPr>
          <w:rFonts w:hint="eastAsia"/>
        </w:rPr>
        <w:t>劳动力是指在参照周属于</w:t>
      </w:r>
      <w:r w:rsidRPr="00F3666B">
        <w:rPr>
          <w:rFonts w:hint="eastAsia"/>
        </w:rPr>
        <w:t>15</w:t>
      </w:r>
      <w:r w:rsidRPr="00F3666B">
        <w:rPr>
          <w:rFonts w:hint="eastAsia"/>
        </w:rPr>
        <w:t>至</w:t>
      </w:r>
      <w:r w:rsidRPr="00F3666B">
        <w:rPr>
          <w:rFonts w:hint="eastAsia"/>
        </w:rPr>
        <w:t>64</w:t>
      </w:r>
      <w:r w:rsidRPr="00F3666B">
        <w:rPr>
          <w:rFonts w:hint="eastAsia"/>
        </w:rPr>
        <w:t>岁年龄段的人，他们或就业或失业。</w:t>
      </w:r>
    </w:p>
  </w:footnote>
  <w:footnote w:id="9">
    <w:p w:rsidR="00E6083B" w:rsidRPr="00F3666B" w:rsidRDefault="00E6083B">
      <w:pPr>
        <w:pStyle w:val="FootnoteText"/>
      </w:pPr>
      <w:r>
        <w:tab/>
      </w:r>
      <w:r>
        <w:rPr>
          <w:rStyle w:val="FootnoteReference"/>
        </w:rPr>
        <w:footnoteRef/>
      </w:r>
      <w:r>
        <w:tab/>
      </w:r>
      <w:r w:rsidRPr="00F3666B">
        <w:rPr>
          <w:rFonts w:hint="eastAsia"/>
        </w:rPr>
        <w:t>《强迫劳动公约》</w:t>
      </w:r>
      <w:r w:rsidRPr="00F3666B">
        <w:rPr>
          <w:rFonts w:hint="eastAsia"/>
        </w:rPr>
        <w:t>(</w:t>
      </w:r>
      <w:r w:rsidRPr="00F3666B">
        <w:rPr>
          <w:rFonts w:hint="eastAsia"/>
        </w:rPr>
        <w:t>第</w:t>
      </w:r>
      <w:r w:rsidRPr="00F3666B">
        <w:rPr>
          <w:rFonts w:hint="eastAsia"/>
        </w:rPr>
        <w:t>29</w:t>
      </w:r>
      <w:r w:rsidRPr="00F3666B">
        <w:rPr>
          <w:rFonts w:hint="eastAsia"/>
        </w:rPr>
        <w:t>号</w:t>
      </w:r>
      <w:r w:rsidRPr="00F3666B">
        <w:rPr>
          <w:rFonts w:hint="eastAsia"/>
        </w:rPr>
        <w:t>)</w:t>
      </w:r>
      <w:r w:rsidRPr="00F3666B">
        <w:rPr>
          <w:rFonts w:hint="eastAsia"/>
        </w:rPr>
        <w:t>：《组织和集体谈判权利公约》</w:t>
      </w:r>
      <w:r w:rsidRPr="00F3666B">
        <w:rPr>
          <w:rFonts w:hint="eastAsia"/>
        </w:rPr>
        <w:t>(</w:t>
      </w:r>
      <w:r w:rsidRPr="00F3666B">
        <w:rPr>
          <w:rFonts w:hint="eastAsia"/>
        </w:rPr>
        <w:t>第</w:t>
      </w:r>
      <w:r w:rsidRPr="00F3666B">
        <w:rPr>
          <w:rFonts w:hint="eastAsia"/>
        </w:rPr>
        <w:t>98</w:t>
      </w:r>
      <w:r w:rsidRPr="00F3666B">
        <w:rPr>
          <w:rFonts w:hint="eastAsia"/>
        </w:rPr>
        <w:t>号</w:t>
      </w:r>
      <w:r w:rsidRPr="00F3666B">
        <w:rPr>
          <w:rFonts w:hint="eastAsia"/>
        </w:rPr>
        <w:t>)</w:t>
      </w:r>
      <w:r w:rsidRPr="00F3666B">
        <w:rPr>
          <w:rFonts w:hint="eastAsia"/>
        </w:rPr>
        <w:t>：《同工同酬公约》</w:t>
      </w:r>
      <w:r w:rsidRPr="00F3666B">
        <w:rPr>
          <w:rFonts w:hint="eastAsia"/>
        </w:rPr>
        <w:t>(</w:t>
      </w:r>
      <w:r w:rsidRPr="00F3666B">
        <w:rPr>
          <w:rFonts w:hint="eastAsia"/>
        </w:rPr>
        <w:t>第</w:t>
      </w:r>
      <w:r w:rsidRPr="00F3666B">
        <w:rPr>
          <w:rFonts w:hint="eastAsia"/>
        </w:rPr>
        <w:t>100</w:t>
      </w:r>
      <w:r w:rsidRPr="00F3666B">
        <w:rPr>
          <w:rFonts w:hint="eastAsia"/>
        </w:rPr>
        <w:t>号</w:t>
      </w:r>
      <w:r w:rsidRPr="00F3666B">
        <w:rPr>
          <w:rFonts w:hint="eastAsia"/>
        </w:rPr>
        <w:t>)</w:t>
      </w:r>
      <w:r w:rsidRPr="00F3666B">
        <w:rPr>
          <w:rFonts w:hint="eastAsia"/>
        </w:rPr>
        <w:t>；《最低就业年龄公约》</w:t>
      </w:r>
      <w:r w:rsidRPr="00F3666B">
        <w:rPr>
          <w:rFonts w:hint="eastAsia"/>
        </w:rPr>
        <w:t>(</w:t>
      </w:r>
      <w:r w:rsidRPr="00F3666B">
        <w:rPr>
          <w:rFonts w:hint="eastAsia"/>
        </w:rPr>
        <w:t>第</w:t>
      </w:r>
      <w:r w:rsidRPr="00F3666B">
        <w:rPr>
          <w:rFonts w:hint="eastAsia"/>
        </w:rPr>
        <w:t>138</w:t>
      </w:r>
      <w:r w:rsidRPr="00F3666B">
        <w:rPr>
          <w:rFonts w:hint="eastAsia"/>
        </w:rPr>
        <w:t>号</w:t>
      </w:r>
      <w:r w:rsidRPr="00F3666B">
        <w:rPr>
          <w:rFonts w:hint="eastAsia"/>
        </w:rPr>
        <w:t>)</w:t>
      </w:r>
      <w:r w:rsidRPr="00F3666B">
        <w:rPr>
          <w:rFonts w:hint="eastAsia"/>
        </w:rPr>
        <w:t>；《禁止和立即行动消除最恶劣形式的童工劳动公约》</w:t>
      </w:r>
      <w:r w:rsidRPr="00F3666B">
        <w:rPr>
          <w:rFonts w:hint="eastAsia"/>
        </w:rPr>
        <w:t>(</w:t>
      </w:r>
      <w:r w:rsidRPr="00F3666B">
        <w:rPr>
          <w:rFonts w:hint="eastAsia"/>
        </w:rPr>
        <w:t>第</w:t>
      </w:r>
      <w:r w:rsidRPr="00F3666B">
        <w:rPr>
          <w:rFonts w:hint="eastAsia"/>
        </w:rPr>
        <w:t>182</w:t>
      </w:r>
      <w:r w:rsidRPr="00F3666B">
        <w:rPr>
          <w:rFonts w:hint="eastAsia"/>
        </w:rPr>
        <w:t>号</w:t>
      </w:r>
      <w:r w:rsidRPr="00F3666B">
        <w:rPr>
          <w:rFonts w:hint="eastAsia"/>
        </w:rPr>
        <w:t>)</w:t>
      </w:r>
      <w:r w:rsidRPr="00F3666B">
        <w:rPr>
          <w:rFonts w:hint="eastAsia"/>
        </w:rPr>
        <w:t>；《工商业劳动监察公约》</w:t>
      </w:r>
      <w:r w:rsidRPr="00F3666B">
        <w:rPr>
          <w:rFonts w:hint="eastAsia"/>
        </w:rPr>
        <w:t>(</w:t>
      </w:r>
      <w:r w:rsidRPr="00F3666B">
        <w:rPr>
          <w:rFonts w:hint="eastAsia"/>
        </w:rPr>
        <w:t>第</w:t>
      </w:r>
      <w:r w:rsidRPr="00F3666B">
        <w:rPr>
          <w:rFonts w:hint="eastAsia"/>
        </w:rPr>
        <w:t>81</w:t>
      </w:r>
      <w:r w:rsidRPr="00F3666B">
        <w:rPr>
          <w:rFonts w:hint="eastAsia"/>
        </w:rPr>
        <w:t>号</w:t>
      </w:r>
      <w:r w:rsidRPr="00F3666B">
        <w:rPr>
          <w:rFonts w:hint="eastAsia"/>
        </w:rPr>
        <w:t>)</w:t>
      </w:r>
      <w:r w:rsidRPr="00F3666B">
        <w:rPr>
          <w:rFonts w:hint="eastAsia"/>
        </w:rPr>
        <w:t>；《三方协商促进履行国际劳工标准公约》</w:t>
      </w:r>
      <w:r w:rsidRPr="00F3666B">
        <w:rPr>
          <w:rFonts w:hint="eastAsia"/>
        </w:rPr>
        <w:t>(</w:t>
      </w:r>
      <w:r w:rsidRPr="00F3666B">
        <w:rPr>
          <w:rFonts w:hint="eastAsia"/>
        </w:rPr>
        <w:t>第</w:t>
      </w:r>
      <w:r w:rsidRPr="00F3666B">
        <w:rPr>
          <w:rFonts w:hint="eastAsia"/>
        </w:rPr>
        <w:t>144</w:t>
      </w:r>
      <w:r w:rsidRPr="00F3666B">
        <w:rPr>
          <w:rFonts w:hint="eastAsia"/>
        </w:rPr>
        <w:t>号</w:t>
      </w:r>
      <w:r w:rsidRPr="00F3666B">
        <w:rPr>
          <w:rFonts w:hint="eastAsia"/>
        </w:rPr>
        <w:t>)</w:t>
      </w:r>
      <w:r w:rsidRPr="00F3666B">
        <w:rPr>
          <w:rFonts w:hint="eastAsia"/>
        </w:rPr>
        <w:t>；《职业介绍设施公约》</w:t>
      </w:r>
      <w:r w:rsidRPr="00F3666B">
        <w:rPr>
          <w:rFonts w:hint="eastAsia"/>
        </w:rPr>
        <w:t>(</w:t>
      </w:r>
      <w:r w:rsidRPr="00F3666B">
        <w:rPr>
          <w:rFonts w:hint="eastAsia"/>
        </w:rPr>
        <w:t>第</w:t>
      </w:r>
      <w:r w:rsidRPr="00F3666B">
        <w:rPr>
          <w:rFonts w:hint="eastAsia"/>
        </w:rPr>
        <w:t>88</w:t>
      </w:r>
      <w:r w:rsidRPr="00F3666B">
        <w:rPr>
          <w:rFonts w:hint="eastAsia"/>
        </w:rPr>
        <w:t>号</w:t>
      </w:r>
      <w:r w:rsidRPr="00F3666B">
        <w:rPr>
          <w:rFonts w:hint="eastAsia"/>
        </w:rPr>
        <w:t>)</w:t>
      </w:r>
      <w:r w:rsidRPr="00F3666B">
        <w:rPr>
          <w:rFonts w:hint="eastAsia"/>
        </w:rPr>
        <w:t>；《保护工资公约》</w:t>
      </w:r>
      <w:r w:rsidRPr="00F3666B">
        <w:rPr>
          <w:rFonts w:hint="eastAsia"/>
        </w:rPr>
        <w:t>(</w:t>
      </w:r>
      <w:r w:rsidRPr="00F3666B">
        <w:rPr>
          <w:rFonts w:hint="eastAsia"/>
        </w:rPr>
        <w:t>第</w:t>
      </w:r>
      <w:r w:rsidRPr="00F3666B">
        <w:rPr>
          <w:rFonts w:hint="eastAsia"/>
        </w:rPr>
        <w:t>95</w:t>
      </w:r>
      <w:r w:rsidRPr="00F3666B">
        <w:rPr>
          <w:rFonts w:hint="eastAsia"/>
        </w:rPr>
        <w:t>号</w:t>
      </w:r>
      <w:r w:rsidRPr="00F3666B">
        <w:rPr>
          <w:rFonts w:hint="eastAsia"/>
        </w:rPr>
        <w:t>)</w:t>
      </w:r>
      <w:r w:rsidRPr="00F3666B">
        <w:rPr>
          <w:rFonts w:hint="eastAsia"/>
        </w:rPr>
        <w:t>；《机器防护公约》</w:t>
      </w:r>
      <w:r w:rsidRPr="00F3666B">
        <w:rPr>
          <w:rFonts w:hint="eastAsia"/>
        </w:rPr>
        <w:t>(</w:t>
      </w:r>
      <w:r w:rsidRPr="00F3666B">
        <w:rPr>
          <w:rFonts w:hint="eastAsia"/>
        </w:rPr>
        <w:t>第</w:t>
      </w:r>
      <w:r w:rsidRPr="00F3666B">
        <w:rPr>
          <w:rFonts w:hint="eastAsia"/>
        </w:rPr>
        <w:t>119</w:t>
      </w:r>
      <w:r w:rsidRPr="00F3666B">
        <w:rPr>
          <w:rFonts w:hint="eastAsia"/>
        </w:rPr>
        <w:t>号</w:t>
      </w:r>
      <w:r w:rsidRPr="00F3666B">
        <w:rPr>
          <w:rFonts w:hint="eastAsia"/>
        </w:rPr>
        <w:t>)</w:t>
      </w:r>
      <w:r w:rsidRPr="00F3666B">
        <w:rPr>
          <w:rFonts w:hint="eastAsia"/>
        </w:rPr>
        <w:t>；《矿山井下工作最低许可年龄公约》</w:t>
      </w:r>
      <w:r w:rsidRPr="00F3666B">
        <w:rPr>
          <w:rFonts w:hint="eastAsia"/>
        </w:rPr>
        <w:t>(</w:t>
      </w:r>
      <w:r w:rsidRPr="00F3666B">
        <w:rPr>
          <w:rFonts w:hint="eastAsia"/>
        </w:rPr>
        <w:t>第</w:t>
      </w:r>
      <w:r w:rsidRPr="00F3666B">
        <w:rPr>
          <w:rFonts w:hint="eastAsia"/>
        </w:rPr>
        <w:t>123</w:t>
      </w:r>
      <w:r w:rsidRPr="00F3666B">
        <w:rPr>
          <w:rFonts w:hint="eastAsia"/>
        </w:rPr>
        <w:t>号</w:t>
      </w:r>
      <w:r w:rsidRPr="00F3666B">
        <w:rPr>
          <w:rFonts w:hint="eastAsia"/>
        </w:rPr>
        <w:t>)</w:t>
      </w:r>
      <w:r w:rsidRPr="00F3666B">
        <w:rPr>
          <w:rFonts w:hint="eastAsia"/>
        </w:rPr>
        <w:t>；《促进职业安全与卫生框架公约》</w:t>
      </w:r>
      <w:r w:rsidRPr="00F3666B">
        <w:rPr>
          <w:rFonts w:hint="eastAsia"/>
        </w:rPr>
        <w:t>(</w:t>
      </w:r>
      <w:r w:rsidRPr="00F3666B">
        <w:rPr>
          <w:rFonts w:hint="eastAsia"/>
        </w:rPr>
        <w:t>第</w:t>
      </w:r>
      <w:r w:rsidRPr="00F3666B">
        <w:rPr>
          <w:rFonts w:hint="eastAsia"/>
        </w:rPr>
        <w:t>187</w:t>
      </w:r>
      <w:r w:rsidRPr="00F3666B">
        <w:rPr>
          <w:rFonts w:hint="eastAsia"/>
        </w:rPr>
        <w:t>号</w:t>
      </w:r>
      <w:r w:rsidRPr="00F3666B">
        <w:rPr>
          <w:rFonts w:hint="eastAsia"/>
        </w:rPr>
        <w:t>)</w:t>
      </w:r>
      <w:r w:rsidRPr="00F3666B">
        <w:rPr>
          <w:rFonts w:hint="eastAsia"/>
        </w:rPr>
        <w:t>；《农业工人的集会结社权公约》</w:t>
      </w:r>
      <w:r w:rsidRPr="00F3666B">
        <w:rPr>
          <w:rFonts w:hint="eastAsia"/>
        </w:rPr>
        <w:t>(</w:t>
      </w:r>
      <w:r w:rsidRPr="00F3666B">
        <w:rPr>
          <w:rFonts w:hint="eastAsia"/>
        </w:rPr>
        <w:t>第</w:t>
      </w:r>
      <w:r w:rsidRPr="00F3666B">
        <w:rPr>
          <w:rFonts w:hint="eastAsia"/>
        </w:rPr>
        <w:t>11</w:t>
      </w:r>
      <w:r w:rsidRPr="00F3666B">
        <w:rPr>
          <w:rFonts w:hint="eastAsia"/>
        </w:rPr>
        <w:t>号</w:t>
      </w:r>
      <w:r w:rsidRPr="00F3666B">
        <w:rPr>
          <w:rFonts w:hint="eastAsia"/>
        </w:rPr>
        <w:t>)</w:t>
      </w:r>
      <w:r w:rsidRPr="00F3666B">
        <w:rPr>
          <w:rFonts w:hint="eastAsia"/>
        </w:rPr>
        <w:t>；《农业工人赔偿公约》</w:t>
      </w:r>
      <w:r w:rsidRPr="00F3666B">
        <w:rPr>
          <w:rFonts w:hint="eastAsia"/>
        </w:rPr>
        <w:t>(</w:t>
      </w:r>
      <w:r w:rsidRPr="00F3666B">
        <w:rPr>
          <w:rFonts w:hint="eastAsia"/>
        </w:rPr>
        <w:t>第</w:t>
      </w:r>
      <w:r w:rsidRPr="00F3666B">
        <w:rPr>
          <w:rFonts w:hint="eastAsia"/>
        </w:rPr>
        <w:t>12</w:t>
      </w:r>
      <w:r w:rsidRPr="00F3666B">
        <w:rPr>
          <w:rFonts w:hint="eastAsia"/>
        </w:rPr>
        <w:t>号</w:t>
      </w:r>
      <w:r w:rsidRPr="00F3666B">
        <w:rPr>
          <w:rFonts w:hint="eastAsia"/>
        </w:rPr>
        <w:t>)</w:t>
      </w:r>
      <w:r w:rsidRPr="00F3666B">
        <w:rPr>
          <w:rFonts w:hint="eastAsia"/>
        </w:rPr>
        <w:t>；《工人事故赔偿公约》</w:t>
      </w:r>
      <w:r w:rsidRPr="00F3666B">
        <w:rPr>
          <w:rFonts w:hint="eastAsia"/>
        </w:rPr>
        <w:t>(</w:t>
      </w:r>
      <w:r w:rsidRPr="00F3666B">
        <w:rPr>
          <w:rFonts w:hint="eastAsia"/>
        </w:rPr>
        <w:t>第</w:t>
      </w:r>
      <w:r w:rsidRPr="00F3666B">
        <w:rPr>
          <w:rFonts w:hint="eastAsia"/>
        </w:rPr>
        <w:t>17</w:t>
      </w:r>
      <w:r w:rsidRPr="00F3666B">
        <w:rPr>
          <w:rFonts w:hint="eastAsia"/>
        </w:rPr>
        <w:t>号</w:t>
      </w:r>
      <w:r w:rsidRPr="00F3666B">
        <w:rPr>
          <w:rFonts w:hint="eastAsia"/>
        </w:rPr>
        <w:t>)</w:t>
      </w:r>
      <w:r w:rsidRPr="00F3666B">
        <w:rPr>
          <w:rFonts w:hint="eastAsia"/>
        </w:rPr>
        <w:t>；《本国工人与外国工人关于事故赔偿的同等待遇公约》</w:t>
      </w:r>
      <w:r w:rsidRPr="00F3666B">
        <w:rPr>
          <w:rFonts w:hint="eastAsia"/>
        </w:rPr>
        <w:t>(</w:t>
      </w:r>
      <w:r w:rsidRPr="00F3666B">
        <w:rPr>
          <w:rFonts w:hint="eastAsia"/>
        </w:rPr>
        <w:t>第</w:t>
      </w:r>
      <w:r w:rsidRPr="00F3666B">
        <w:rPr>
          <w:rFonts w:hint="eastAsia"/>
        </w:rPr>
        <w:t>19</w:t>
      </w:r>
      <w:r w:rsidRPr="00F3666B">
        <w:rPr>
          <w:rFonts w:hint="eastAsia"/>
        </w:rPr>
        <w:t>号</w:t>
      </w:r>
      <w:r w:rsidRPr="00F3666B">
        <w:rPr>
          <w:rFonts w:hint="eastAsia"/>
        </w:rPr>
        <w:t>)</w:t>
      </w:r>
      <w:r w:rsidRPr="00F3666B">
        <w:rPr>
          <w:rFonts w:hint="eastAsia"/>
        </w:rPr>
        <w:t>；《妇女在各类矿山井下作业公约》</w:t>
      </w:r>
      <w:r w:rsidRPr="00F3666B">
        <w:rPr>
          <w:rFonts w:hint="eastAsia"/>
        </w:rPr>
        <w:t>(</w:t>
      </w:r>
      <w:r w:rsidRPr="00F3666B">
        <w:rPr>
          <w:rFonts w:hint="eastAsia"/>
        </w:rPr>
        <w:t>第</w:t>
      </w:r>
      <w:r w:rsidRPr="00F3666B">
        <w:rPr>
          <w:rFonts w:hint="eastAsia"/>
        </w:rPr>
        <w:t>45</w:t>
      </w:r>
      <w:r w:rsidRPr="00F3666B">
        <w:rPr>
          <w:rFonts w:hint="eastAsia"/>
        </w:rPr>
        <w:t>号</w:t>
      </w:r>
      <w:r w:rsidRPr="00F3666B">
        <w:rPr>
          <w:rFonts w:hint="eastAsia"/>
        </w:rPr>
        <w:t>)</w:t>
      </w:r>
      <w:r w:rsidRPr="00F3666B">
        <w:rPr>
          <w:rFonts w:hint="eastAsia"/>
        </w:rPr>
        <w:t>。</w:t>
      </w:r>
    </w:p>
  </w:footnote>
  <w:footnote w:id="10">
    <w:p w:rsidR="00E6083B" w:rsidRPr="00F3666B" w:rsidRDefault="00E6083B">
      <w:pPr>
        <w:pStyle w:val="FootnoteText"/>
      </w:pPr>
      <w:r>
        <w:tab/>
      </w:r>
      <w:r>
        <w:rPr>
          <w:rStyle w:val="FootnoteReference"/>
        </w:rPr>
        <w:footnoteRef/>
      </w:r>
      <w:r>
        <w:tab/>
      </w:r>
      <w:r w:rsidRPr="00F3666B">
        <w:rPr>
          <w:rFonts w:hint="eastAsia"/>
        </w:rPr>
        <w:t>2011</w:t>
      </w:r>
      <w:r w:rsidRPr="00F3666B">
        <w:rPr>
          <w:rFonts w:hint="eastAsia"/>
        </w:rPr>
        <w:t>年</w:t>
      </w:r>
      <w:r w:rsidRPr="00F3666B">
        <w:rPr>
          <w:rFonts w:hint="eastAsia"/>
        </w:rPr>
        <w:t>12</w:t>
      </w:r>
      <w:r w:rsidRPr="00F3666B">
        <w:rPr>
          <w:rFonts w:hint="eastAsia"/>
        </w:rPr>
        <w:t>月</w:t>
      </w:r>
      <w:r w:rsidRPr="00F3666B">
        <w:rPr>
          <w:rFonts w:hint="eastAsia"/>
        </w:rPr>
        <w:t>20</w:t>
      </w:r>
      <w:r w:rsidRPr="00F3666B">
        <w:rPr>
          <w:rFonts w:hint="eastAsia"/>
        </w:rPr>
        <w:t>日废除了《</w:t>
      </w:r>
      <w:r w:rsidRPr="00F3666B">
        <w:rPr>
          <w:rFonts w:hint="eastAsia"/>
        </w:rPr>
        <w:t>1966</w:t>
      </w:r>
      <w:r w:rsidRPr="00F3666B">
        <w:rPr>
          <w:rFonts w:hint="eastAsia"/>
        </w:rPr>
        <w:t>年紧急状态公告》</w:t>
      </w:r>
      <w:r w:rsidRPr="00F3666B">
        <w:rPr>
          <w:rFonts w:hint="eastAsia"/>
        </w:rPr>
        <w:t>(P.U. (A) 339A/1966)</w:t>
      </w:r>
      <w:r w:rsidRPr="00F3666B">
        <w:rPr>
          <w:rFonts w:hint="eastAsia"/>
        </w:rPr>
        <w:t>、《</w:t>
      </w:r>
      <w:r w:rsidRPr="00F3666B">
        <w:rPr>
          <w:rFonts w:hint="eastAsia"/>
        </w:rPr>
        <w:t>1969</w:t>
      </w:r>
      <w:r w:rsidRPr="00F3666B">
        <w:rPr>
          <w:rFonts w:hint="eastAsia"/>
        </w:rPr>
        <w:t>年紧急状态公告》</w:t>
      </w:r>
      <w:r w:rsidRPr="00F3666B">
        <w:rPr>
          <w:rFonts w:hint="eastAsia"/>
        </w:rPr>
        <w:t>(P.U. (A) 145/1969)</w:t>
      </w:r>
      <w:r w:rsidRPr="00F3666B">
        <w:rPr>
          <w:rFonts w:hint="eastAsia"/>
        </w:rPr>
        <w:t>及《</w:t>
      </w:r>
      <w:r w:rsidRPr="00F3666B">
        <w:rPr>
          <w:rFonts w:hint="eastAsia"/>
        </w:rPr>
        <w:t>1977</w:t>
      </w:r>
      <w:r w:rsidRPr="00F3666B">
        <w:rPr>
          <w:rFonts w:hint="eastAsia"/>
        </w:rPr>
        <w:t>年紧急公告》</w:t>
      </w:r>
      <w:r w:rsidRPr="00F3666B">
        <w:rPr>
          <w:rFonts w:hint="eastAsia"/>
        </w:rPr>
        <w:t>(P.U. (A) 358/1977)</w:t>
      </w:r>
      <w:r w:rsidRPr="00F3666B">
        <w:rPr>
          <w:rFonts w:hint="eastAsia"/>
        </w:rPr>
        <w:t>。议会两院分别于</w:t>
      </w:r>
      <w:r w:rsidRPr="00F3666B">
        <w:rPr>
          <w:rFonts w:hint="eastAsia"/>
        </w:rPr>
        <w:t>2011</w:t>
      </w:r>
      <w:r w:rsidRPr="00F3666B">
        <w:rPr>
          <w:rFonts w:hint="eastAsia"/>
        </w:rPr>
        <w:t>年</w:t>
      </w:r>
      <w:r w:rsidRPr="00F3666B">
        <w:rPr>
          <w:rFonts w:hint="eastAsia"/>
        </w:rPr>
        <w:t>11</w:t>
      </w:r>
      <w:r w:rsidRPr="00F3666B">
        <w:rPr>
          <w:rFonts w:hint="eastAsia"/>
        </w:rPr>
        <w:t>月</w:t>
      </w:r>
      <w:r w:rsidRPr="00F3666B">
        <w:rPr>
          <w:rFonts w:hint="eastAsia"/>
        </w:rPr>
        <w:t>24</w:t>
      </w:r>
      <w:r w:rsidRPr="00F3666B">
        <w:rPr>
          <w:rFonts w:hint="eastAsia"/>
        </w:rPr>
        <w:t>日和</w:t>
      </w:r>
      <w:r w:rsidRPr="00F3666B">
        <w:rPr>
          <w:rFonts w:hint="eastAsia"/>
        </w:rPr>
        <w:t>2011</w:t>
      </w:r>
      <w:r w:rsidRPr="00F3666B">
        <w:rPr>
          <w:rFonts w:hint="eastAsia"/>
        </w:rPr>
        <w:t>年</w:t>
      </w:r>
      <w:r w:rsidRPr="00F3666B">
        <w:rPr>
          <w:rFonts w:hint="eastAsia"/>
        </w:rPr>
        <w:t>12</w:t>
      </w:r>
      <w:r w:rsidRPr="00F3666B">
        <w:rPr>
          <w:rFonts w:hint="eastAsia"/>
        </w:rPr>
        <w:t>月</w:t>
      </w:r>
      <w:r w:rsidRPr="00F3666B">
        <w:rPr>
          <w:rFonts w:hint="eastAsia"/>
        </w:rPr>
        <w:t>20</w:t>
      </w:r>
      <w:r w:rsidRPr="00F3666B">
        <w:rPr>
          <w:rFonts w:hint="eastAsia"/>
        </w:rPr>
        <w:t>日通过了关于废除的提案。</w:t>
      </w:r>
    </w:p>
  </w:footnote>
  <w:footnote w:id="11">
    <w:p w:rsidR="00E6083B" w:rsidRPr="00F3666B" w:rsidRDefault="00E6083B">
      <w:pPr>
        <w:pStyle w:val="FootnoteText"/>
      </w:pPr>
      <w:r>
        <w:tab/>
      </w:r>
      <w:r>
        <w:rPr>
          <w:rStyle w:val="FootnoteReference"/>
        </w:rPr>
        <w:footnoteRef/>
      </w:r>
      <w:r>
        <w:tab/>
      </w:r>
      <w:r w:rsidRPr="00F3666B">
        <w:rPr>
          <w:rFonts w:hint="eastAsia"/>
        </w:rPr>
        <w:t>在制定此法时，参考了各国的类似法律和国际标准和规范，其中包括《</w:t>
      </w:r>
      <w:r w:rsidRPr="00F3666B">
        <w:rPr>
          <w:rFonts w:hint="eastAsia"/>
        </w:rPr>
        <w:t>1992</w:t>
      </w:r>
      <w:r w:rsidRPr="00F3666B">
        <w:rPr>
          <w:rFonts w:hint="eastAsia"/>
        </w:rPr>
        <w:t>年和平集会法》</w:t>
      </w:r>
      <w:r w:rsidRPr="00F3666B">
        <w:rPr>
          <w:rFonts w:hint="eastAsia"/>
        </w:rPr>
        <w:t>(</w:t>
      </w:r>
      <w:r w:rsidRPr="00F3666B">
        <w:rPr>
          <w:rFonts w:hint="eastAsia"/>
        </w:rPr>
        <w:t>澳大利亚昆士兰</w:t>
      </w:r>
      <w:r w:rsidRPr="00F3666B">
        <w:rPr>
          <w:rFonts w:hint="eastAsia"/>
        </w:rPr>
        <w:t>)</w:t>
      </w:r>
      <w:r w:rsidRPr="00F3666B">
        <w:rPr>
          <w:rFonts w:hint="eastAsia"/>
        </w:rPr>
        <w:t>、《</w:t>
      </w:r>
      <w:r w:rsidRPr="00F3666B">
        <w:rPr>
          <w:rFonts w:hint="eastAsia"/>
        </w:rPr>
        <w:t>1999</w:t>
      </w:r>
      <w:r w:rsidRPr="00F3666B">
        <w:rPr>
          <w:rFonts w:hint="eastAsia"/>
        </w:rPr>
        <w:t>年议会法》</w:t>
      </w:r>
      <w:r w:rsidRPr="00F3666B">
        <w:rPr>
          <w:rFonts w:hint="eastAsia"/>
        </w:rPr>
        <w:t>(</w:t>
      </w:r>
      <w:r w:rsidRPr="00F3666B">
        <w:rPr>
          <w:rFonts w:hint="eastAsia"/>
        </w:rPr>
        <w:t>芬兰</w:t>
      </w:r>
      <w:r w:rsidRPr="00F3666B">
        <w:rPr>
          <w:rFonts w:hint="eastAsia"/>
        </w:rPr>
        <w:t>)</w:t>
      </w:r>
      <w:r w:rsidRPr="00F3666B">
        <w:rPr>
          <w:rFonts w:hint="eastAsia"/>
        </w:rPr>
        <w:t>、《</w:t>
      </w:r>
      <w:r w:rsidRPr="00F3666B">
        <w:rPr>
          <w:rFonts w:hint="eastAsia"/>
        </w:rPr>
        <w:t>1986</w:t>
      </w:r>
      <w:r w:rsidRPr="00F3666B">
        <w:rPr>
          <w:rFonts w:hint="eastAsia"/>
        </w:rPr>
        <w:t>年公共秩序法》</w:t>
      </w:r>
      <w:r w:rsidRPr="00F3666B">
        <w:rPr>
          <w:rFonts w:hint="eastAsia"/>
        </w:rPr>
        <w:t>(</w:t>
      </w:r>
      <w:r w:rsidRPr="00F3666B">
        <w:rPr>
          <w:rFonts w:hint="eastAsia"/>
        </w:rPr>
        <w:t>英国</w:t>
      </w:r>
      <w:r w:rsidRPr="00F3666B">
        <w:rPr>
          <w:rFonts w:hint="eastAsia"/>
        </w:rPr>
        <w:t>)</w:t>
      </w:r>
      <w:r w:rsidRPr="00F3666B">
        <w:rPr>
          <w:rFonts w:hint="eastAsia"/>
        </w:rPr>
        <w:t>和《</w:t>
      </w:r>
      <w:r w:rsidRPr="00F3666B">
        <w:rPr>
          <w:rFonts w:hint="eastAsia"/>
        </w:rPr>
        <w:t>2008</w:t>
      </w:r>
      <w:r w:rsidRPr="00F3666B">
        <w:rPr>
          <w:rFonts w:hint="eastAsia"/>
        </w:rPr>
        <w:t>年议会法》</w:t>
      </w:r>
      <w:r w:rsidRPr="00F3666B">
        <w:rPr>
          <w:rFonts w:hint="eastAsia"/>
        </w:rPr>
        <w:t>(</w:t>
      </w:r>
      <w:r w:rsidRPr="00F3666B">
        <w:rPr>
          <w:rFonts w:hint="eastAsia"/>
        </w:rPr>
        <w:t>德国</w:t>
      </w:r>
      <w:r w:rsidRPr="00F3666B">
        <w:rPr>
          <w:rFonts w:hint="eastAsia"/>
        </w:rPr>
        <w:t>)</w:t>
      </w:r>
      <w:r w:rsidRPr="00F3666B">
        <w:rPr>
          <w:rFonts w:hint="eastAsia"/>
        </w:rPr>
        <w:t>，以及《欧洲安全与合作组织指南》。</w:t>
      </w:r>
    </w:p>
  </w:footnote>
  <w:footnote w:id="12">
    <w:p w:rsidR="00E6083B" w:rsidRPr="00F3666B" w:rsidRDefault="00E6083B">
      <w:pPr>
        <w:pStyle w:val="FootnoteText"/>
      </w:pPr>
      <w:r>
        <w:tab/>
      </w:r>
      <w:r>
        <w:rPr>
          <w:rStyle w:val="FootnoteReference"/>
        </w:rPr>
        <w:footnoteRef/>
      </w:r>
      <w:r>
        <w:tab/>
      </w:r>
      <w:r w:rsidRPr="00F3666B">
        <w:rPr>
          <w:rFonts w:hint="eastAsia"/>
        </w:rPr>
        <w:t>进行的修改涉及：废除部长的酌处权和绝对权威；取消关于印刷和出版执照或许可证年度延期做法；撤销关于禁止对部长做出的关于批准、拒绝批准、注销或暂时吊销执照或许可证的决定进行司法审查的规定；以及在决定注销或暂时吊销执照或许可证之前给人倾诉机会。</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3B" w:rsidRPr="001318D3" w:rsidRDefault="00E6083B">
    <w:pPr>
      <w:pStyle w:val="Header"/>
    </w:pPr>
    <w:r w:rsidRPr="001318D3">
      <w:t>HRI/CORE/MYS/2016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3B" w:rsidRPr="001318D3" w:rsidRDefault="00E6083B">
    <w:pPr>
      <w:pStyle w:val="Header"/>
      <w:jc w:val="right"/>
    </w:pPr>
    <w:r w:rsidRPr="001318D3">
      <w:t>HRI/CORE/MYS/2016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521322"/>
    <w:multiLevelType w:val="multilevel"/>
    <w:tmpl w:val="04090023"/>
    <w:styleLink w:val="ArticleSection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11912074"/>
    <w:multiLevelType w:val="hybridMultilevel"/>
    <w:tmpl w:val="75CC923C"/>
    <w:lvl w:ilvl="0" w:tplc="F27E878A">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DD6575"/>
    <w:multiLevelType w:val="multilevel"/>
    <w:tmpl w:val="04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551E2C"/>
    <w:multiLevelType w:val="hybridMultilevel"/>
    <w:tmpl w:val="50D6B65E"/>
    <w:lvl w:ilvl="0" w:tplc="F27E878A">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94BA6"/>
    <w:multiLevelType w:val="hybridMultilevel"/>
    <w:tmpl w:val="DEAC2046"/>
    <w:lvl w:ilvl="0" w:tplc="F27E878A">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F954C56"/>
    <w:multiLevelType w:val="hybridMultilevel"/>
    <w:tmpl w:val="763690FC"/>
    <w:lvl w:ilvl="0" w:tplc="F27E878A">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C50117E"/>
    <w:multiLevelType w:val="hybridMultilevel"/>
    <w:tmpl w:val="86A61CBC"/>
    <w:lvl w:ilvl="0" w:tplc="F27E878A">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2"/>
  </w:num>
  <w:num w:numId="3">
    <w:abstractNumId w:val="4"/>
  </w:num>
  <w:num w:numId="4">
    <w:abstractNumId w:val="8"/>
  </w:num>
  <w:num w:numId="5">
    <w:abstractNumId w:val="6"/>
  </w:num>
  <w:num w:numId="6">
    <w:abstractNumId w:val="0"/>
  </w:num>
  <w:num w:numId="7">
    <w:abstractNumId w:val="11"/>
  </w:num>
  <w:num w:numId="8">
    <w:abstractNumId w:val="5"/>
  </w:num>
  <w:num w:numId="9">
    <w:abstractNumId w:val="1"/>
  </w:num>
  <w:num w:numId="10">
    <w:abstractNumId w:val="7"/>
  </w:num>
  <w:num w:numId="11">
    <w:abstractNumId w:val="13"/>
  </w:num>
  <w:num w:numId="12">
    <w:abstractNumId w:val="2"/>
  </w:num>
  <w:num w:numId="13">
    <w:abstractNumId w:val="9"/>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7657"/>
    <w:rsid w:val="0000592D"/>
    <w:rsid w:val="0000793F"/>
    <w:rsid w:val="00025ECC"/>
    <w:rsid w:val="0007689D"/>
    <w:rsid w:val="000977B5"/>
    <w:rsid w:val="000A25DA"/>
    <w:rsid w:val="000A52A3"/>
    <w:rsid w:val="000A6D5F"/>
    <w:rsid w:val="000E1685"/>
    <w:rsid w:val="001318D3"/>
    <w:rsid w:val="0015578B"/>
    <w:rsid w:val="00161CD4"/>
    <w:rsid w:val="00165069"/>
    <w:rsid w:val="00165E0A"/>
    <w:rsid w:val="001732E9"/>
    <w:rsid w:val="00175AD0"/>
    <w:rsid w:val="001B4496"/>
    <w:rsid w:val="001D24D2"/>
    <w:rsid w:val="00213ACB"/>
    <w:rsid w:val="00216AD2"/>
    <w:rsid w:val="002435BC"/>
    <w:rsid w:val="00247657"/>
    <w:rsid w:val="002751D5"/>
    <w:rsid w:val="002856F5"/>
    <w:rsid w:val="002A701F"/>
    <w:rsid w:val="002E2A2D"/>
    <w:rsid w:val="00337245"/>
    <w:rsid w:val="00364AE6"/>
    <w:rsid w:val="003761BF"/>
    <w:rsid w:val="00396EF2"/>
    <w:rsid w:val="003A7EA4"/>
    <w:rsid w:val="003B04F9"/>
    <w:rsid w:val="003B1317"/>
    <w:rsid w:val="003E1C2B"/>
    <w:rsid w:val="00446865"/>
    <w:rsid w:val="004542AB"/>
    <w:rsid w:val="00475D4E"/>
    <w:rsid w:val="00494329"/>
    <w:rsid w:val="004A5CE5"/>
    <w:rsid w:val="004A70A2"/>
    <w:rsid w:val="004C104D"/>
    <w:rsid w:val="004D4168"/>
    <w:rsid w:val="005252F8"/>
    <w:rsid w:val="00544648"/>
    <w:rsid w:val="00551BEE"/>
    <w:rsid w:val="0055326E"/>
    <w:rsid w:val="00593A4D"/>
    <w:rsid w:val="005962CC"/>
    <w:rsid w:val="005B39CE"/>
    <w:rsid w:val="005C5B4E"/>
    <w:rsid w:val="005F001F"/>
    <w:rsid w:val="00625E20"/>
    <w:rsid w:val="00641D07"/>
    <w:rsid w:val="00652500"/>
    <w:rsid w:val="00652C15"/>
    <w:rsid w:val="00663215"/>
    <w:rsid w:val="00676D5E"/>
    <w:rsid w:val="006B07A0"/>
    <w:rsid w:val="006C21EA"/>
    <w:rsid w:val="006D17E4"/>
    <w:rsid w:val="006D596A"/>
    <w:rsid w:val="006E1330"/>
    <w:rsid w:val="006F30DE"/>
    <w:rsid w:val="007600AF"/>
    <w:rsid w:val="00791FD4"/>
    <w:rsid w:val="007B20A5"/>
    <w:rsid w:val="008267B2"/>
    <w:rsid w:val="00830FEC"/>
    <w:rsid w:val="008910C5"/>
    <w:rsid w:val="00895E67"/>
    <w:rsid w:val="008A7C35"/>
    <w:rsid w:val="008E17A4"/>
    <w:rsid w:val="0092101A"/>
    <w:rsid w:val="00930159"/>
    <w:rsid w:val="0095215A"/>
    <w:rsid w:val="00954FEE"/>
    <w:rsid w:val="009678FE"/>
    <w:rsid w:val="00976F8F"/>
    <w:rsid w:val="00984213"/>
    <w:rsid w:val="009B5BC1"/>
    <w:rsid w:val="009C002A"/>
    <w:rsid w:val="009D1553"/>
    <w:rsid w:val="009E23BE"/>
    <w:rsid w:val="009F3C00"/>
    <w:rsid w:val="009F76EA"/>
    <w:rsid w:val="00A15E63"/>
    <w:rsid w:val="00A660FB"/>
    <w:rsid w:val="00A7598C"/>
    <w:rsid w:val="00AA5442"/>
    <w:rsid w:val="00AB1AFD"/>
    <w:rsid w:val="00AB7390"/>
    <w:rsid w:val="00AD6461"/>
    <w:rsid w:val="00AF2A89"/>
    <w:rsid w:val="00AF4AF8"/>
    <w:rsid w:val="00B10D87"/>
    <w:rsid w:val="00B4146A"/>
    <w:rsid w:val="00B723D0"/>
    <w:rsid w:val="00B7405F"/>
    <w:rsid w:val="00B84AB8"/>
    <w:rsid w:val="00B94F4C"/>
    <w:rsid w:val="00BA5860"/>
    <w:rsid w:val="00BC111C"/>
    <w:rsid w:val="00BC5C60"/>
    <w:rsid w:val="00C007DD"/>
    <w:rsid w:val="00C22F4A"/>
    <w:rsid w:val="00C3032D"/>
    <w:rsid w:val="00C3056D"/>
    <w:rsid w:val="00C73B9F"/>
    <w:rsid w:val="00CC0C74"/>
    <w:rsid w:val="00CD4228"/>
    <w:rsid w:val="00CE0B7C"/>
    <w:rsid w:val="00CE7323"/>
    <w:rsid w:val="00CF7116"/>
    <w:rsid w:val="00D00077"/>
    <w:rsid w:val="00D23450"/>
    <w:rsid w:val="00D446C7"/>
    <w:rsid w:val="00D44C12"/>
    <w:rsid w:val="00D5694B"/>
    <w:rsid w:val="00D9162B"/>
    <w:rsid w:val="00DA15F5"/>
    <w:rsid w:val="00DB1F09"/>
    <w:rsid w:val="00DB48AD"/>
    <w:rsid w:val="00DE5956"/>
    <w:rsid w:val="00E017BC"/>
    <w:rsid w:val="00E03E9A"/>
    <w:rsid w:val="00E112CD"/>
    <w:rsid w:val="00E25AD9"/>
    <w:rsid w:val="00E352D1"/>
    <w:rsid w:val="00E378A7"/>
    <w:rsid w:val="00E434C0"/>
    <w:rsid w:val="00E57279"/>
    <w:rsid w:val="00E573F0"/>
    <w:rsid w:val="00E6083B"/>
    <w:rsid w:val="00E71CC0"/>
    <w:rsid w:val="00E74239"/>
    <w:rsid w:val="00EA428B"/>
    <w:rsid w:val="00EA65DE"/>
    <w:rsid w:val="00EB570D"/>
    <w:rsid w:val="00EF3199"/>
    <w:rsid w:val="00F16C1D"/>
    <w:rsid w:val="00F3666B"/>
    <w:rsid w:val="00F45E02"/>
    <w:rsid w:val="00F57CC0"/>
    <w:rsid w:val="00F64BF7"/>
    <w:rsid w:val="00F67B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
    <w:basedOn w:val="Normal"/>
    <w:link w:val="FooterChar"/>
    <w:rsid w:val="00C3032D"/>
    <w:pPr>
      <w:spacing w:line="240" w:lineRule="auto"/>
    </w:pPr>
    <w:rPr>
      <w:sz w:val="16"/>
      <w:lang w:val="en-GB" w:eastAsia="en-US"/>
    </w:rPr>
  </w:style>
  <w:style w:type="character" w:customStyle="1" w:styleId="FooterChar">
    <w:name w:val="Footer Char"/>
    <w:aliases w:val="3_G Char"/>
    <w:link w:val="Footer"/>
    <w:rsid w:val="00C3032D"/>
    <w:rPr>
      <w:snapToGrid w:val="0"/>
      <w:sz w:val="16"/>
      <w:lang w:val="en-GB" w:eastAsia="en-US" w:bidi="ar-SA"/>
    </w:rPr>
  </w:style>
  <w:style w:type="paragraph" w:customStyle="1" w:styleId="DashGC">
    <w:name w:val="_Dash_GC"/>
    <w:basedOn w:val="Normal"/>
    <w:rsid w:val="009D1553"/>
    <w:pPr>
      <w:numPr>
        <w:numId w:val="3"/>
      </w:numPr>
    </w:pPr>
    <w:rPr>
      <w:lang w:val="fr-CH"/>
    </w:rPr>
  </w:style>
  <w:style w:type="paragraph" w:styleId="FootnoteText">
    <w:name w:val="footnote text"/>
    <w:aliases w:val="5_G,Footnote Text Char1,Footnote Text Char Char1,Footnote Text Char2,Footnote Text Char Char Char Char,Footnote Text Char1 Char1,Footnote Text Char Char Char1,Footnote Text Char3,Footnote Text Char2 Char"/>
    <w:basedOn w:val="Normal"/>
    <w:link w:val="FootnoteTextChar"/>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aliases w:val="2_G"/>
    <w:basedOn w:val="FootnoteText"/>
    <w:rsid w:val="009D1553"/>
    <w:pPr>
      <w:tabs>
        <w:tab w:val="right" w:pos="1021"/>
      </w:tabs>
    </w:pPr>
  </w:style>
  <w:style w:type="character" w:styleId="EndnoteReference">
    <w:name w:val="endnote reference"/>
    <w:aliases w:val="1_G"/>
    <w:basedOn w:val="FootnoteReference"/>
    <w:rsid w:val="00C007DD"/>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aliases w:val="7_G"/>
    <w:rsid w:val="00213ACB"/>
    <w:rPr>
      <w:rFonts w:ascii="Times New Roman" w:hAnsi="Times New Roman"/>
      <w:b/>
      <w:spacing w:val="0"/>
      <w:kern w:val="0"/>
      <w:sz w:val="18"/>
    </w:rPr>
  </w:style>
  <w:style w:type="paragraph" w:styleId="Header">
    <w:name w:val="header"/>
    <w:aliases w:val="6_G"/>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
      </w:numPr>
      <w:spacing w:after="120"/>
      <w:ind w:right="1134"/>
    </w:pPr>
  </w:style>
  <w:style w:type="paragraph" w:customStyle="1" w:styleId="Bullet2GC">
    <w:name w:val="_Bullet 2_GC"/>
    <w:basedOn w:val="Normal"/>
    <w:rsid w:val="009D1553"/>
    <w:pPr>
      <w:numPr>
        <w:numId w:val="2"/>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paragraph" w:customStyle="1" w:styleId="HMG">
    <w:name w:val="_ H __M_G"/>
    <w:basedOn w:val="Normal"/>
    <w:next w:val="Normal"/>
    <w:rsid w:val="00E112CD"/>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E112CD"/>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SingleTxtG"/>
    <w:rsid w:val="00E112CD"/>
    <w:pPr>
      <w:numPr>
        <w:numId w:val="6"/>
      </w:numPr>
      <w:tabs>
        <w:tab w:val="clear" w:pos="1494"/>
      </w:tabs>
    </w:pPr>
  </w:style>
  <w:style w:type="paragraph" w:customStyle="1" w:styleId="SingleTxtG">
    <w:name w:val="_ Single Txt_G"/>
    <w:basedOn w:val="Normal"/>
    <w:rsid w:val="00E112CD"/>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rsid w:val="00E112CD"/>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rsid w:val="00E112CD"/>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E112CD"/>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E112CD"/>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E112CD"/>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E112CD"/>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E112CD"/>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E112CD"/>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E112CD"/>
    <w:pPr>
      <w:numPr>
        <w:numId w:val="4"/>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E112CD"/>
    <w:rPr>
      <w:sz w:val="6"/>
    </w:rPr>
  </w:style>
  <w:style w:type="paragraph" w:styleId="CommentText">
    <w:name w:val="annotation text"/>
    <w:basedOn w:val="Normal"/>
    <w:semiHidden/>
    <w:rsid w:val="00E112CD"/>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E112CD"/>
    <w:rPr>
      <w:sz w:val="14"/>
    </w:rPr>
  </w:style>
  <w:style w:type="paragraph" w:customStyle="1" w:styleId="Bullet2G">
    <w:name w:val="_Bullet 2_G"/>
    <w:basedOn w:val="Normal"/>
    <w:rsid w:val="00E112CD"/>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E112C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E112CD"/>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E112CD"/>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E112CD"/>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styleId="BodyText2">
    <w:name w:val="Body Text 2"/>
    <w:basedOn w:val="Normal"/>
    <w:semiHidden/>
    <w:rsid w:val="00E112CD"/>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E112CD"/>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E112CD"/>
    <w:pPr>
      <w:spacing w:after="120"/>
      <w:ind w:firstLine="210"/>
    </w:pPr>
  </w:style>
  <w:style w:type="paragraph" w:styleId="BodyTextFirstIndent2">
    <w:name w:val="Body Text First Indent 2"/>
    <w:basedOn w:val="BodyTextIndent"/>
    <w:semiHidden/>
    <w:rsid w:val="00E112CD"/>
    <w:pPr>
      <w:ind w:firstLine="210"/>
    </w:pPr>
  </w:style>
  <w:style w:type="paragraph" w:styleId="BodyTextIndent2">
    <w:name w:val="Body Text Indent 2"/>
    <w:basedOn w:val="Normal"/>
    <w:semiHidden/>
    <w:rsid w:val="00E112CD"/>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E112CD"/>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E112CD"/>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E112CD"/>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E112CD"/>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E112CD"/>
    <w:rPr>
      <w:i/>
    </w:rPr>
  </w:style>
  <w:style w:type="paragraph" w:styleId="EnvelopeReturn">
    <w:name w:val="envelope return"/>
    <w:basedOn w:val="Normal"/>
    <w:semiHidden/>
    <w:rsid w:val="00E112CD"/>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semiHidden/>
    <w:rsid w:val="00E112CD"/>
    <w:rPr>
      <w:rFonts w:cs="Times New Roman"/>
    </w:rPr>
  </w:style>
  <w:style w:type="paragraph" w:styleId="HTMLAddress">
    <w:name w:val="HTML Address"/>
    <w:basedOn w:val="Normal"/>
    <w:semiHidden/>
    <w:rsid w:val="00E112CD"/>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E112CD"/>
    <w:rPr>
      <w:i/>
    </w:rPr>
  </w:style>
  <w:style w:type="character" w:styleId="HTMLCode">
    <w:name w:val="HTML Code"/>
    <w:semiHidden/>
    <w:rsid w:val="00E112CD"/>
    <w:rPr>
      <w:rFonts w:ascii="Courier New" w:hAnsi="Courier New"/>
      <w:sz w:val="20"/>
    </w:rPr>
  </w:style>
  <w:style w:type="character" w:styleId="HTMLDefinition">
    <w:name w:val="HTML Definition"/>
    <w:semiHidden/>
    <w:rsid w:val="00E112CD"/>
    <w:rPr>
      <w:i/>
    </w:rPr>
  </w:style>
  <w:style w:type="character" w:styleId="HTMLKeyboard">
    <w:name w:val="HTML Keyboard"/>
    <w:semiHidden/>
    <w:rsid w:val="00E112CD"/>
    <w:rPr>
      <w:rFonts w:ascii="Courier New" w:hAnsi="Courier New"/>
      <w:sz w:val="20"/>
    </w:rPr>
  </w:style>
  <w:style w:type="paragraph" w:styleId="HTMLPreformatted">
    <w:name w:val="HTML Preformatted"/>
    <w:basedOn w:val="Normal"/>
    <w:semiHidden/>
    <w:rsid w:val="00E112CD"/>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E112CD"/>
    <w:rPr>
      <w:rFonts w:ascii="Courier New" w:hAnsi="Courier New"/>
    </w:rPr>
  </w:style>
  <w:style w:type="character" w:styleId="HTMLTypewriter">
    <w:name w:val="HTML Typewriter"/>
    <w:semiHidden/>
    <w:rsid w:val="00E112CD"/>
    <w:rPr>
      <w:rFonts w:ascii="Courier New" w:hAnsi="Courier New"/>
      <w:sz w:val="20"/>
    </w:rPr>
  </w:style>
  <w:style w:type="character" w:styleId="HTMLVariable">
    <w:name w:val="HTML Variable"/>
    <w:semiHidden/>
    <w:rsid w:val="00E112CD"/>
    <w:rPr>
      <w:i/>
    </w:rPr>
  </w:style>
  <w:style w:type="paragraph" w:styleId="List">
    <w:name w:val="List"/>
    <w:basedOn w:val="Normal"/>
    <w:semiHidden/>
    <w:rsid w:val="00E112CD"/>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E112CD"/>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E112CD"/>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E112CD"/>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E112CD"/>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E112CD"/>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E112CD"/>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E112CD"/>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E112CD"/>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E112CD"/>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E112CD"/>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E112CD"/>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E112CD"/>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E112CD"/>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E112CD"/>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E112CD"/>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E112CD"/>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E112CD"/>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E112CD"/>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E112CD"/>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E112CD"/>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E112CD"/>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E112CD"/>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E112CD"/>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E112CD"/>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E112CD"/>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E112CD"/>
    <w:rPr>
      <w:b/>
    </w:rPr>
  </w:style>
  <w:style w:type="paragraph" w:styleId="Subtitle">
    <w:name w:val="Subtitle"/>
    <w:basedOn w:val="Normal"/>
    <w:qFormat/>
    <w:rsid w:val="00E112CD"/>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E112CD"/>
    <w:pPr>
      <w:suppressAutoHyphens/>
      <w:spacing w:line="240" w:lineRule="atLeast"/>
    </w:pPr>
    <w:rPr>
      <w:lang w:eastAsia="zh-C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12CD"/>
    <w:pPr>
      <w:suppressAutoHyphens/>
      <w:spacing w:line="240" w:lineRule="atLeast"/>
    </w:pPr>
    <w:rPr>
      <w:lang w:eastAsia="zh-C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E112CD"/>
    <w:pPr>
      <w:suppressAutoHyphens/>
      <w:spacing w:line="240" w:lineRule="atLeast"/>
    </w:pPr>
    <w:rPr>
      <w:lang w:eastAsia="zh-C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E112CD"/>
    <w:pPr>
      <w:suppressAutoHyphens/>
      <w:spacing w:line="240" w:lineRule="atLeast"/>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E112CD"/>
    <w:pPr>
      <w:suppressAutoHyphens/>
      <w:spacing w:line="240" w:lineRule="atLeast"/>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12CD"/>
    <w:pPr>
      <w:suppressAutoHyphens/>
      <w:spacing w:line="240" w:lineRule="atLeast"/>
    </w:pPr>
    <w:rPr>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12CD"/>
    <w:pPr>
      <w:suppressAutoHyphens/>
      <w:spacing w:line="240" w:lineRule="atLeast"/>
    </w:pPr>
    <w:rPr>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12CD"/>
    <w:pPr>
      <w:suppressAutoHyphens/>
      <w:spacing w:line="240" w:lineRule="atLeast"/>
    </w:pPr>
    <w:rPr>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12CD"/>
    <w:pPr>
      <w:suppressAutoHyphens/>
      <w:spacing w:line="240" w:lineRule="atLeast"/>
    </w:pPr>
    <w:rPr>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12CD"/>
    <w:pPr>
      <w:suppressAutoHyphens/>
      <w:spacing w:line="240" w:lineRule="atLeast"/>
    </w:pPr>
    <w:rPr>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12CD"/>
    <w:pPr>
      <w:suppressAutoHyphens/>
      <w:spacing w:line="240" w:lineRule="atLeast"/>
    </w:pPr>
    <w:rPr>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E112CD"/>
    <w:pPr>
      <w:suppressAutoHyphens/>
      <w:spacing w:line="240" w:lineRule="atLeast"/>
    </w:pPr>
    <w:rPr>
      <w:b/>
      <w:bCs/>
      <w:lang w:eastAsia="zh-C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E112CD"/>
    <w:pPr>
      <w:suppressAutoHyphens/>
      <w:spacing w:line="240" w:lineRule="atLeast"/>
    </w:pPr>
    <w:rPr>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E112CD"/>
    <w:pPr>
      <w:suppressAutoHyphens/>
      <w:spacing w:line="240" w:lineRule="atLeast"/>
    </w:pPr>
    <w:rPr>
      <w:lang w:eastAsia="zh-C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E112CD"/>
    <w:pPr>
      <w:suppressAutoHyphens/>
      <w:spacing w:line="240" w:lineRule="atLeast"/>
    </w:pPr>
    <w:rPr>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E112CD"/>
    <w:pPr>
      <w:suppressAutoHyphens/>
      <w:spacing w:line="240" w:lineRule="atLeast"/>
    </w:pPr>
    <w:rPr>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12CD"/>
    <w:pPr>
      <w:suppressAutoHyphens/>
      <w:spacing w:line="240" w:lineRule="atLeast"/>
    </w:pPr>
    <w:rPr>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rsid w:val="00E112CD"/>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112CD"/>
    <w:pPr>
      <w:suppressAutoHyphens/>
      <w:spacing w:line="24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E112CD"/>
    <w:pPr>
      <w:suppressAutoHyphens/>
      <w:spacing w:line="240" w:lineRule="atLeast"/>
    </w:pPr>
    <w:rPr>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E112CD"/>
    <w:pPr>
      <w:suppressAutoHyphens/>
      <w:spacing w:line="240" w:lineRule="atLeast"/>
    </w:pPr>
    <w:rPr>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E112CD"/>
    <w:pPr>
      <w:suppressAutoHyphens/>
      <w:spacing w:line="240" w:lineRule="atLeast"/>
    </w:pPr>
    <w:rPr>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12CD"/>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E112CD"/>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E112CD"/>
    <w:pPr>
      <w:suppressAutoHyphens/>
      <w:spacing w:line="240" w:lineRule="atLeast"/>
    </w:pPr>
    <w:rPr>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E112CD"/>
    <w:pPr>
      <w:suppressAutoHyphens/>
      <w:spacing w:line="240" w:lineRule="atLeast"/>
    </w:pPr>
    <w:rPr>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12CD"/>
    <w:pPr>
      <w:suppressAutoHyphens/>
      <w:spacing w:line="240" w:lineRule="atLeast"/>
    </w:pPr>
    <w:rPr>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E112CD"/>
    <w:pPr>
      <w:suppressAutoHyphens/>
      <w:spacing w:line="240" w:lineRule="atLeast"/>
    </w:pPr>
    <w:rPr>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E112CD"/>
    <w:pPr>
      <w:suppressAutoHyphens/>
      <w:spacing w:line="240" w:lineRule="atLeast"/>
    </w:pPr>
    <w:rPr>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12CD"/>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12CD"/>
    <w:pPr>
      <w:suppressAutoHyphens/>
      <w:spacing w:line="24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E112CD"/>
    <w:pPr>
      <w:suppressAutoHyphens/>
      <w:spacing w:line="240" w:lineRule="atLeast"/>
    </w:pPr>
    <w:rPr>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12CD"/>
    <w:pPr>
      <w:suppressAutoHyphens/>
      <w:spacing w:line="240" w:lineRule="atLeast"/>
    </w:pPr>
    <w:rPr>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12CD"/>
    <w:pPr>
      <w:suppressAutoHyphens/>
      <w:spacing w:line="240" w:lineRule="atLeast"/>
    </w:pPr>
    <w:rPr>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12CD"/>
    <w:pPr>
      <w:suppressAutoHyphens/>
      <w:spacing w:line="24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12CD"/>
    <w:pPr>
      <w:suppressAutoHyphens/>
      <w:spacing w:line="240" w:lineRule="atLeast"/>
    </w:pPr>
    <w:rPr>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12CD"/>
    <w:pPr>
      <w:suppressAutoHyphens/>
      <w:spacing w:line="240" w:lineRule="atLeast"/>
    </w:pPr>
    <w:rPr>
      <w:lang w:eastAsia="zh-C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12CD"/>
    <w:pPr>
      <w:suppressAutoHyphens/>
      <w:spacing w:line="240" w:lineRule="atLeast"/>
    </w:pPr>
    <w:rPr>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12CD"/>
    <w:pPr>
      <w:suppressAutoHyphens/>
      <w:spacing w:line="240" w:lineRule="atLeast"/>
    </w:pPr>
    <w:rPr>
      <w:lang w:eastAsia="zh-C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E112CD"/>
    <w:pPr>
      <w:suppressAutoHyphens/>
      <w:spacing w:line="240" w:lineRule="atLeast"/>
    </w:pPr>
    <w:rPr>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E112CD"/>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112CD"/>
    <w:pPr>
      <w:suppressAutoHyphens/>
      <w:spacing w:line="240" w:lineRule="atLeast"/>
    </w:pPr>
    <w:rPr>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E112CD"/>
    <w:pPr>
      <w:suppressAutoHyphens/>
      <w:spacing w:line="240" w:lineRule="atLeast"/>
    </w:pPr>
    <w:rPr>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E112CD"/>
    <w:pPr>
      <w:suppressAutoHyphens/>
      <w:spacing w:line="240" w:lineRule="atLeast"/>
    </w:pPr>
    <w:rPr>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velopeAddress">
    <w:name w:val="envelope address"/>
    <w:basedOn w:val="Normal"/>
    <w:semiHidden/>
    <w:rsid w:val="00E112CD"/>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BalloonText">
    <w:name w:val="Balloon Text"/>
    <w:basedOn w:val="Normal"/>
    <w:link w:val="BalloonTextChar"/>
    <w:rsid w:val="00E112CD"/>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BalloonTextChar">
    <w:name w:val="Balloon Text Char"/>
    <w:link w:val="BalloonText"/>
    <w:locked/>
    <w:rsid w:val="00E112CD"/>
    <w:rPr>
      <w:rFonts w:ascii="Tahoma" w:eastAsia="SimSun" w:hAnsi="Tahoma" w:cs="Tahoma"/>
      <w:sz w:val="16"/>
      <w:szCs w:val="16"/>
      <w:lang w:val="en-GB" w:eastAsia="en-US" w:bidi="ar-SA"/>
    </w:rPr>
  </w:style>
  <w:style w:type="character" w:customStyle="1" w:styleId="FootnoteTextChar">
    <w:name w:val="Footnote Text Char"/>
    <w:aliases w:val="5_G Char,Footnote Text Char1 Char,Footnote Text Char Char1 Char,Footnote Text Char2 Char1,Footnote Text Char Char Char Char Char,Footnote Text Char1 Char1 Char,Footnote Text Char Char Char1 Char,Footnote Text Char3 Char"/>
    <w:link w:val="FootnoteText"/>
    <w:locked/>
    <w:rsid w:val="00E112CD"/>
    <w:rPr>
      <w:rFonts w:eastAsia="SimSun"/>
      <w:snapToGrid w:val="0"/>
      <w:sz w:val="18"/>
      <w:lang w:val="en-US" w:eastAsia="zh-CN" w:bidi="ar-SA"/>
    </w:rPr>
  </w:style>
  <w:style w:type="character" w:customStyle="1" w:styleId="preferred">
    <w:name w:val="preferred"/>
    <w:rsid w:val="00E112CD"/>
    <w:rPr>
      <w:rFonts w:cs="Times New Roman"/>
    </w:rPr>
  </w:style>
  <w:style w:type="numbering" w:customStyle="1" w:styleId="ArticleSection1">
    <w:name w:val="Article / Section1"/>
    <w:rsid w:val="00E112CD"/>
    <w:pPr>
      <w:numPr>
        <w:numId w:val="9"/>
      </w:numPr>
    </w:pPr>
  </w:style>
  <w:style w:type="numbering" w:customStyle="1" w:styleId="1ai1">
    <w:name w:val="1 / a / i1"/>
    <w:rsid w:val="00E112CD"/>
    <w:pPr>
      <w:numPr>
        <w:numId w:val="8"/>
      </w:numPr>
    </w:pPr>
  </w:style>
  <w:style w:type="numbering" w:styleId="111111">
    <w:name w:val="Outline List 2"/>
    <w:basedOn w:val="NoList"/>
    <w:rsid w:val="00E112CD"/>
    <w:pPr>
      <w:numPr>
        <w:numId w:val="7"/>
      </w:numPr>
    </w:pPr>
  </w:style>
  <w:style w:type="character" w:customStyle="1" w:styleId="SingleTxtGCChar">
    <w:name w:val="_ Single Txt_GC Char"/>
    <w:link w:val="SingleTxtGC"/>
    <w:locked/>
    <w:rsid w:val="00E112CD"/>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17</Pages>
  <Words>2206</Words>
  <Characters>12577</Characters>
  <Application>Microsoft Office Outlook</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2009-10-02T08:52:00Z</cp:lastPrinted>
  <dcterms:created xsi:type="dcterms:W3CDTF">2016-11-24T09:08:00Z</dcterms:created>
  <dcterms:modified xsi:type="dcterms:W3CDTF">2016-11-24T09:08:00Z</dcterms:modified>
</cp:coreProperties>
</file>