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D74294">
        <w:trPr>
          <w:trHeight w:hRule="exact" w:val="851"/>
        </w:trPr>
        <w:tc>
          <w:tcPr>
            <w:tcW w:w="1280" w:type="dxa"/>
            <w:tcBorders>
              <w:bottom w:val="single" w:sz="4" w:space="0" w:color="auto"/>
            </w:tcBorders>
          </w:tcPr>
          <w:p w:rsidR="002D5AAC" w:rsidRDefault="002D5AAC" w:rsidP="00D74294">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C057D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74294" w:rsidP="00D74294">
            <w:pPr>
              <w:jc w:val="right"/>
            </w:pPr>
            <w:proofErr w:type="spellStart"/>
            <w:r w:rsidRPr="00D74294">
              <w:rPr>
                <w:sz w:val="40"/>
              </w:rPr>
              <w:t>HRI</w:t>
            </w:r>
            <w:proofErr w:type="spellEnd"/>
            <w:r>
              <w:t>/CORE/</w:t>
            </w:r>
            <w:proofErr w:type="spellStart"/>
            <w:r>
              <w:t>QAT</w:t>
            </w:r>
            <w:proofErr w:type="spellEnd"/>
            <w:r>
              <w:t>/2019</w:t>
            </w:r>
          </w:p>
        </w:tc>
      </w:tr>
      <w:tr w:rsidR="002D5AAC" w:rsidTr="00D74294">
        <w:trPr>
          <w:trHeight w:hRule="exact" w:val="2835"/>
        </w:trPr>
        <w:tc>
          <w:tcPr>
            <w:tcW w:w="1280" w:type="dxa"/>
            <w:tcBorders>
              <w:top w:val="single" w:sz="4" w:space="0" w:color="auto"/>
              <w:bottom w:val="single" w:sz="12" w:space="0" w:color="auto"/>
            </w:tcBorders>
          </w:tcPr>
          <w:p w:rsidR="002D5AAC" w:rsidRDefault="0095700F" w:rsidP="00C057D5">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B6076" w:rsidP="00C057D5">
            <w:pPr>
              <w:spacing w:before="120" w:line="380" w:lineRule="exact"/>
              <w:rPr>
                <w:b/>
                <w:sz w:val="34"/>
                <w:szCs w:val="34"/>
              </w:rPr>
            </w:pPr>
            <w:r>
              <w:rPr>
                <w:b/>
                <w:sz w:val="34"/>
                <w:szCs w:val="34"/>
              </w:rPr>
              <w:t>Instrumentos Internacionales</w:t>
            </w:r>
            <w:r>
              <w:rPr>
                <w:b/>
                <w:sz w:val="34"/>
                <w:szCs w:val="34"/>
              </w:rPr>
              <w:br/>
              <w:t>de Derechos Humanos</w:t>
            </w:r>
          </w:p>
        </w:tc>
        <w:tc>
          <w:tcPr>
            <w:tcW w:w="2819" w:type="dxa"/>
            <w:tcBorders>
              <w:top w:val="single" w:sz="4" w:space="0" w:color="auto"/>
              <w:bottom w:val="single" w:sz="12" w:space="0" w:color="auto"/>
            </w:tcBorders>
          </w:tcPr>
          <w:p w:rsidR="002D5AAC" w:rsidRDefault="00D74294" w:rsidP="00C057D5">
            <w:pPr>
              <w:spacing w:before="240"/>
            </w:pPr>
            <w:proofErr w:type="spellStart"/>
            <w:r>
              <w:t>Distr</w:t>
            </w:r>
            <w:proofErr w:type="spellEnd"/>
            <w:r>
              <w:t>. general</w:t>
            </w:r>
          </w:p>
          <w:p w:rsidR="00D74294" w:rsidRDefault="00D74294" w:rsidP="00D74294">
            <w:pPr>
              <w:spacing w:line="240" w:lineRule="exact"/>
            </w:pPr>
            <w:r>
              <w:t>15 de febrero de 2019</w:t>
            </w:r>
          </w:p>
          <w:p w:rsidR="00D74294" w:rsidRDefault="00D74294" w:rsidP="00D74294">
            <w:pPr>
              <w:spacing w:line="240" w:lineRule="exact"/>
            </w:pPr>
            <w:r>
              <w:t>Español</w:t>
            </w:r>
          </w:p>
          <w:p w:rsidR="00D74294" w:rsidRDefault="00D74294" w:rsidP="00D74294">
            <w:pPr>
              <w:spacing w:line="240" w:lineRule="exact"/>
            </w:pPr>
            <w:r>
              <w:t>Original: árabe</w:t>
            </w:r>
          </w:p>
        </w:tc>
      </w:tr>
    </w:tbl>
    <w:p w:rsidR="00D74294" w:rsidRPr="00D74294" w:rsidRDefault="00D74294" w:rsidP="00D74294">
      <w:pPr>
        <w:pStyle w:val="HMG"/>
      </w:pPr>
      <w:r>
        <w:tab/>
      </w:r>
      <w:r w:rsidRPr="00D74294">
        <w:tab/>
        <w:t xml:space="preserve">Documento básico común que forma </w:t>
      </w:r>
      <w:r>
        <w:t>parte </w:t>
      </w:r>
      <w:r w:rsidRPr="00D74294">
        <w:t>integrante</w:t>
      </w:r>
      <w:r>
        <w:t xml:space="preserve"> de los informes de los Estados </w:t>
      </w:r>
      <w:r w:rsidRPr="00D74294">
        <w:t>partes</w:t>
      </w:r>
    </w:p>
    <w:p w:rsidR="00D74294" w:rsidRPr="00D74294" w:rsidRDefault="00D74294" w:rsidP="00D74294">
      <w:pPr>
        <w:pStyle w:val="HMG"/>
      </w:pPr>
      <w:r>
        <w:tab/>
      </w:r>
      <w:r w:rsidRPr="00D74294">
        <w:tab/>
        <w:t>Qatar</w:t>
      </w:r>
      <w:r w:rsidRPr="00D74294">
        <w:rPr>
          <w:rStyle w:val="Refdenotaalpie"/>
          <w:b w:val="0"/>
          <w:sz w:val="20"/>
          <w:vertAlign w:val="baseline"/>
        </w:rPr>
        <w:footnoteReference w:customMarkFollows="1" w:id="1"/>
        <w:t>*</w:t>
      </w:r>
    </w:p>
    <w:p w:rsidR="00D74294" w:rsidRPr="00D74294" w:rsidRDefault="00D74294" w:rsidP="00D74294">
      <w:pPr>
        <w:pStyle w:val="SingleTxtG"/>
        <w:jc w:val="right"/>
      </w:pPr>
      <w:r w:rsidRPr="00D74294">
        <w:t>[Fecha de recepción: 10 de enero de 2019]</w:t>
      </w:r>
    </w:p>
    <w:p w:rsidR="00D74294" w:rsidRPr="00D74294" w:rsidRDefault="00D74294" w:rsidP="009E172C">
      <w:pPr>
        <w:pStyle w:val="HChG"/>
      </w:pPr>
      <w:r w:rsidRPr="00D74294">
        <w:br w:type="page"/>
      </w:r>
      <w:r w:rsidRPr="00D74294">
        <w:lastRenderedPageBreak/>
        <w:tab/>
      </w:r>
      <w:r w:rsidR="009E172C">
        <w:t>I.</w:t>
      </w:r>
      <w:r w:rsidRPr="00D74294">
        <w:tab/>
        <w:t>Información general</w:t>
      </w:r>
      <w:bookmarkStart w:id="1" w:name="_Hlk874562"/>
    </w:p>
    <w:p w:rsidR="00D74294" w:rsidRPr="00D74294" w:rsidRDefault="00D74294" w:rsidP="009E172C">
      <w:pPr>
        <w:pStyle w:val="H1G"/>
      </w:pPr>
      <w:bookmarkStart w:id="2" w:name="_Toc281916557"/>
      <w:bookmarkStart w:id="3" w:name="_Toc281916772"/>
      <w:bookmarkStart w:id="4" w:name="_Toc281916928"/>
      <w:bookmarkStart w:id="5" w:name="_Toc282337880"/>
      <w:r w:rsidRPr="00D74294">
        <w:tab/>
        <w:t>A.</w:t>
      </w:r>
      <w:r w:rsidRPr="00D74294">
        <w:tab/>
        <w:t>Características demográficas, económicas, sociales y culturales</w:t>
      </w:r>
      <w:bookmarkEnd w:id="2"/>
      <w:bookmarkEnd w:id="3"/>
      <w:bookmarkEnd w:id="4"/>
      <w:bookmarkEnd w:id="5"/>
    </w:p>
    <w:p w:rsidR="00D74294" w:rsidRPr="00D74294" w:rsidRDefault="009E172C" w:rsidP="009E172C">
      <w:pPr>
        <w:pStyle w:val="H23G"/>
        <w:rPr>
          <w:u w:val="single"/>
        </w:rPr>
      </w:pPr>
      <w:bookmarkStart w:id="6" w:name="_Toc282337881"/>
      <w:r>
        <w:tab/>
      </w:r>
      <w:r w:rsidR="00D74294" w:rsidRPr="00D74294">
        <w:tab/>
        <w:t>Ubicación geográfica y topografía</w:t>
      </w:r>
      <w:bookmarkEnd w:id="6"/>
    </w:p>
    <w:p w:rsidR="00D74294" w:rsidRPr="00D74294" w:rsidRDefault="00D74294" w:rsidP="00D74294">
      <w:pPr>
        <w:pStyle w:val="SingleTxtG"/>
      </w:pPr>
      <w:r w:rsidRPr="00D74294">
        <w:t>1.</w:t>
      </w:r>
      <w:r w:rsidRPr="00D74294">
        <w:tab/>
        <w:t xml:space="preserve">El Estado de Qatar ocupa una península situada en el centro de la costa occidental del </w:t>
      </w:r>
      <w:r w:rsidR="00B813F6">
        <w:t>g</w:t>
      </w:r>
      <w:r w:rsidRPr="00D74294">
        <w:t>olfo Arábigo, entre la latitud 24º 27</w:t>
      </w:r>
      <w:r w:rsidR="007C4727">
        <w:t>’</w:t>
      </w:r>
      <w:r w:rsidRPr="00D74294">
        <w:t xml:space="preserve"> y 26º 10</w:t>
      </w:r>
      <w:r w:rsidR="007C4727">
        <w:t>’</w:t>
      </w:r>
      <w:r w:rsidRPr="00D74294">
        <w:t xml:space="preserve"> Norte y la longitud 50</w:t>
      </w:r>
      <w:r w:rsidR="007436A1">
        <w:t>º</w:t>
      </w:r>
      <w:r w:rsidRPr="00D74294">
        <w:t xml:space="preserve"> 45</w:t>
      </w:r>
      <w:r w:rsidR="007C4727">
        <w:t>’</w:t>
      </w:r>
      <w:r w:rsidRPr="00D74294">
        <w:t xml:space="preserve"> y 51</w:t>
      </w:r>
      <w:r w:rsidR="007436A1">
        <w:t>º</w:t>
      </w:r>
      <w:r w:rsidRPr="00D74294">
        <w:t xml:space="preserve"> 40</w:t>
      </w:r>
      <w:r w:rsidR="007C4727">
        <w:t>’</w:t>
      </w:r>
      <w:r w:rsidR="00B813F6">
        <w:t xml:space="preserve"> Este. La p</w:t>
      </w:r>
      <w:r w:rsidRPr="00D74294">
        <w:t xml:space="preserve">enínsula de Qatar se extiende hacia el norte cubriendo un área de 11.572 </w:t>
      </w:r>
      <w:proofErr w:type="spellStart"/>
      <w:r w:rsidRPr="00D74294">
        <w:t>km</w:t>
      </w:r>
      <w:r w:rsidRPr="00D74294">
        <w:rPr>
          <w:vertAlign w:val="superscript"/>
        </w:rPr>
        <w:t>2</w:t>
      </w:r>
      <w:proofErr w:type="spellEnd"/>
      <w:r w:rsidRPr="00D74294">
        <w:t xml:space="preserve">. El Estado de Qatar comprende una serie de islas, cadenas rocosas y bajíos que se extienden a lo largo de la costa y entre los que cabe destacar, por ser las más conocidas, las islas </w:t>
      </w:r>
      <w:proofErr w:type="spellStart"/>
      <w:r w:rsidRPr="00D74294">
        <w:t>Halul</w:t>
      </w:r>
      <w:proofErr w:type="spellEnd"/>
      <w:r w:rsidRPr="00D74294">
        <w:t xml:space="preserve">, </w:t>
      </w:r>
      <w:proofErr w:type="spellStart"/>
      <w:r w:rsidRPr="00D74294">
        <w:t>Shrauwa</w:t>
      </w:r>
      <w:proofErr w:type="spellEnd"/>
      <w:r w:rsidRPr="00D74294">
        <w:t>, Al-</w:t>
      </w:r>
      <w:proofErr w:type="spellStart"/>
      <w:r w:rsidRPr="00D74294">
        <w:t>As.hat</w:t>
      </w:r>
      <w:proofErr w:type="spellEnd"/>
      <w:r w:rsidRPr="00D74294">
        <w:t xml:space="preserve"> y Al-</w:t>
      </w:r>
      <w:proofErr w:type="spellStart"/>
      <w:r w:rsidRPr="00D74294">
        <w:t>Bushayriya</w:t>
      </w:r>
      <w:proofErr w:type="spellEnd"/>
      <w:r w:rsidRPr="00D74294">
        <w:t>. La Península de Qatar tiene una longitud de 185 km y una anchura de 85 km. Está rodeada en su mayor parte por las aguas del Golfo Pérsico. Sus fronteras terrestres, de una longitud aproximada de 60 km, la separan del Reino de la Arabia Saudita y de los Emiratos Árabes Unidos, que se encuentran al este del Estado de Qatar. Las aguas territoriales qataríes se extienden en el Golfo Arábigo unas 95 millas náuticas hacia el este y unas 51 millas náuticas hacia el norte.</w:t>
      </w:r>
    </w:p>
    <w:p w:rsidR="00D74294" w:rsidRPr="00D74294" w:rsidRDefault="00D74294" w:rsidP="00D74294">
      <w:pPr>
        <w:pStyle w:val="SingleTxtG"/>
      </w:pPr>
      <w:r w:rsidRPr="00D74294">
        <w:t>2.</w:t>
      </w:r>
      <w:r w:rsidRPr="00D74294">
        <w:tab/>
        <w:t xml:space="preserve">El territorio de Qatar está formado por una meseta rocosa y llana sobre el que se alzan algunas colinas y </w:t>
      </w:r>
      <w:proofErr w:type="spellStart"/>
      <w:r w:rsidRPr="00D74294">
        <w:rPr>
          <w:i/>
          <w:iCs/>
        </w:rPr>
        <w:t>tells</w:t>
      </w:r>
      <w:proofErr w:type="spellEnd"/>
      <w:r w:rsidRPr="00D74294">
        <w:t xml:space="preserve"> de piedra caliza en las zonas de </w:t>
      </w:r>
      <w:proofErr w:type="spellStart"/>
      <w:r w:rsidRPr="00D74294">
        <w:t>Dujan</w:t>
      </w:r>
      <w:proofErr w:type="spellEnd"/>
      <w:r w:rsidRPr="00D74294">
        <w:t xml:space="preserve">, al oeste del país, y de </w:t>
      </w:r>
      <w:proofErr w:type="spellStart"/>
      <w:r w:rsidRPr="00D74294">
        <w:t>Yabal</w:t>
      </w:r>
      <w:proofErr w:type="spellEnd"/>
      <w:r w:rsidRPr="00D74294">
        <w:t xml:space="preserve"> </w:t>
      </w:r>
      <w:proofErr w:type="spellStart"/>
      <w:r w:rsidRPr="00D74294">
        <w:t>Fuwairit</w:t>
      </w:r>
      <w:proofErr w:type="spellEnd"/>
      <w:r w:rsidRPr="00D74294">
        <w:t xml:space="preserve">, al norte. La planicie se caracteriza por abundantes estuarios </w:t>
      </w:r>
      <w:r w:rsidRPr="00875B5C">
        <w:rPr>
          <w:i/>
        </w:rPr>
        <w:t>(</w:t>
      </w:r>
      <w:proofErr w:type="spellStart"/>
      <w:r w:rsidRPr="00D74294">
        <w:rPr>
          <w:i/>
          <w:iCs/>
        </w:rPr>
        <w:t>jawr</w:t>
      </w:r>
      <w:proofErr w:type="spellEnd"/>
      <w:r w:rsidRPr="00875B5C">
        <w:rPr>
          <w:i/>
        </w:rPr>
        <w:t>)</w:t>
      </w:r>
      <w:r w:rsidRPr="00D74294">
        <w:t xml:space="preserve">, ensenadas y zonas bajas de aluvión conocidas como </w:t>
      </w:r>
      <w:proofErr w:type="spellStart"/>
      <w:r w:rsidRPr="00D74294">
        <w:rPr>
          <w:i/>
          <w:iCs/>
        </w:rPr>
        <w:t>rawdas</w:t>
      </w:r>
      <w:proofErr w:type="spellEnd"/>
      <w:r w:rsidRPr="00D74294">
        <w:t>, que se encuentran en las zonas septentrional y central, las más fértiles del país, que atesoran una rica vegetación natural.</w:t>
      </w:r>
    </w:p>
    <w:p w:rsidR="00D74294" w:rsidRPr="00D74294" w:rsidRDefault="009E172C" w:rsidP="009E172C">
      <w:pPr>
        <w:pStyle w:val="H23G"/>
      </w:pPr>
      <w:bookmarkStart w:id="7" w:name="_Toc282337882"/>
      <w:r>
        <w:tab/>
      </w:r>
      <w:r w:rsidR="00D74294" w:rsidRPr="00D74294">
        <w:tab/>
        <w:t>Población</w:t>
      </w:r>
      <w:bookmarkEnd w:id="7"/>
    </w:p>
    <w:p w:rsidR="00D74294" w:rsidRPr="00D74294" w:rsidRDefault="00D74294" w:rsidP="00D74294">
      <w:pPr>
        <w:pStyle w:val="SingleTxtG"/>
      </w:pPr>
      <w:r w:rsidRPr="00D74294">
        <w:t>3.</w:t>
      </w:r>
      <w:r w:rsidRPr="00D74294">
        <w:tab/>
        <w:t>A finales de septiembre de 2017, la población</w:t>
      </w:r>
      <w:r w:rsidR="00875B5C">
        <w:t xml:space="preserve"> total del Estado se cifraba en </w:t>
      </w:r>
      <w:r w:rsidRPr="00D74294">
        <w:t xml:space="preserve">2.634.234 personas, concretamente 1.974.041 hombres, es </w:t>
      </w:r>
      <w:r w:rsidR="00875B5C">
        <w:t>decir, el 75 % del total, y </w:t>
      </w:r>
      <w:r w:rsidRPr="00D74294">
        <w:t>660.193 mujeres, que representan el 25</w:t>
      </w:r>
      <w:r w:rsidR="00875B5C">
        <w:t xml:space="preserve"> </w:t>
      </w:r>
      <w:r w:rsidRPr="00D74294">
        <w:t>% de la población. Esto refleja un aumento anual del 3,2</w:t>
      </w:r>
      <w:r w:rsidR="00875B5C">
        <w:t xml:space="preserve"> </w:t>
      </w:r>
      <w:r w:rsidRPr="00D74294">
        <w:t>%. Esta descompensación a favor del número de hombres se debe a que la mayor parte de la población del país está compuesta por trabajadores extranjeros, que son mayoritariamente varones. El cuadro 1 muestra el aumento de la población, desglosado por sexos, entre 2010 y 2017. El aumento de la tasa de crecimiento de la población en el Estado refleja el incremento de las inversiones y del desarrollo en el país. El aumento de la población se atribuye a la afluencia de trabajadores que llegan para atender las necesidades de los proyectos de infraestructuras y las más importantes iniciativas de desarrollo. El gráfico 1 representa el aumento de población en el Estado de Qatar entre 2012 y 2016 (en miles de personas).</w:t>
      </w:r>
    </w:p>
    <w:p w:rsidR="00D74294" w:rsidRPr="00D74294" w:rsidRDefault="009E172C" w:rsidP="009E172C">
      <w:pPr>
        <w:pStyle w:val="H23G"/>
      </w:pPr>
      <w:r w:rsidRPr="009E172C">
        <w:rPr>
          <w:b w:val="0"/>
        </w:rPr>
        <w:tab/>
      </w:r>
      <w:r w:rsidRPr="009E172C">
        <w:rPr>
          <w:b w:val="0"/>
        </w:rPr>
        <w:tab/>
        <w:t>Cuadro 1</w:t>
      </w:r>
      <w:r w:rsidRPr="009E172C">
        <w:rPr>
          <w:b w:val="0"/>
        </w:rPr>
        <w:br/>
      </w:r>
      <w:r w:rsidR="00D74294" w:rsidRPr="00D74294">
        <w:t>Incremento de la población entre 2010 y 2017</w:t>
      </w:r>
    </w:p>
    <w:tbl>
      <w:tblPr>
        <w:tblStyle w:val="TableElegant11"/>
        <w:tblW w:w="7370" w:type="dxa"/>
        <w:tblInd w:w="113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2"/>
        <w:gridCol w:w="1842"/>
        <w:gridCol w:w="1843"/>
        <w:gridCol w:w="1843"/>
      </w:tblGrid>
      <w:tr w:rsidR="009E172C" w:rsidRPr="009E172C" w:rsidTr="009C6705">
        <w:trPr>
          <w:cnfStyle w:val="100000000000" w:firstRow="1" w:lastRow="0" w:firstColumn="0" w:lastColumn="0" w:oddVBand="0" w:evenVBand="0" w:oddHBand="0" w:evenHBand="0" w:firstRowFirstColumn="0" w:firstRowLastColumn="0" w:lastRowFirstColumn="0" w:lastRowLastColumn="0"/>
          <w:trHeight w:val="240"/>
          <w:tblHeader/>
        </w:trPr>
        <w:tc>
          <w:tcPr>
            <w:tcW w:w="1814" w:type="dxa"/>
            <w:tcBorders>
              <w:top w:val="single" w:sz="4" w:space="0" w:color="auto"/>
              <w:bottom w:val="single" w:sz="12" w:space="0" w:color="auto"/>
            </w:tcBorders>
            <w:shd w:val="clear" w:color="auto" w:fill="auto"/>
            <w:vAlign w:val="bottom"/>
          </w:tcPr>
          <w:p w:rsidR="00D74294" w:rsidRPr="009E172C" w:rsidRDefault="00D74294" w:rsidP="009E172C">
            <w:pPr>
              <w:pStyle w:val="SingleTxtG"/>
              <w:spacing w:before="80" w:after="80" w:line="200" w:lineRule="exact"/>
              <w:ind w:left="0" w:right="0"/>
              <w:jc w:val="left"/>
              <w:rPr>
                <w:i/>
                <w:iCs/>
                <w:caps w:val="0"/>
                <w:sz w:val="16"/>
              </w:rPr>
            </w:pPr>
            <w:r w:rsidRPr="009E172C">
              <w:rPr>
                <w:i/>
                <w:iCs/>
                <w:caps w:val="0"/>
                <w:sz w:val="16"/>
              </w:rPr>
              <w:t>Año</w:t>
            </w:r>
          </w:p>
        </w:tc>
        <w:tc>
          <w:tcPr>
            <w:tcW w:w="1814" w:type="dxa"/>
            <w:tcBorders>
              <w:top w:val="single" w:sz="4" w:space="0" w:color="auto"/>
              <w:bottom w:val="single" w:sz="12" w:space="0" w:color="auto"/>
            </w:tcBorders>
            <w:shd w:val="clear" w:color="auto" w:fill="auto"/>
            <w:vAlign w:val="bottom"/>
          </w:tcPr>
          <w:p w:rsidR="00D74294" w:rsidRPr="009E172C" w:rsidRDefault="00D74294" w:rsidP="009E172C">
            <w:pPr>
              <w:pStyle w:val="SingleTxtG"/>
              <w:spacing w:before="80" w:after="80" w:line="200" w:lineRule="exact"/>
              <w:ind w:left="113" w:right="28"/>
              <w:jc w:val="right"/>
              <w:rPr>
                <w:i/>
                <w:iCs/>
                <w:caps w:val="0"/>
                <w:sz w:val="16"/>
              </w:rPr>
            </w:pPr>
            <w:r w:rsidRPr="009E172C">
              <w:rPr>
                <w:i/>
                <w:iCs/>
                <w:caps w:val="0"/>
                <w:sz w:val="16"/>
              </w:rPr>
              <w:t>Hombres</w:t>
            </w:r>
          </w:p>
        </w:tc>
        <w:tc>
          <w:tcPr>
            <w:tcW w:w="1814" w:type="dxa"/>
            <w:tcBorders>
              <w:top w:val="single" w:sz="4" w:space="0" w:color="auto"/>
              <w:bottom w:val="single" w:sz="12" w:space="0" w:color="auto"/>
            </w:tcBorders>
            <w:shd w:val="clear" w:color="auto" w:fill="auto"/>
            <w:vAlign w:val="bottom"/>
          </w:tcPr>
          <w:p w:rsidR="00D74294" w:rsidRPr="009E172C" w:rsidRDefault="00D74294" w:rsidP="009E172C">
            <w:pPr>
              <w:pStyle w:val="SingleTxtG"/>
              <w:spacing w:before="80" w:after="80" w:line="200" w:lineRule="exact"/>
              <w:ind w:left="113" w:right="28"/>
              <w:jc w:val="right"/>
              <w:rPr>
                <w:i/>
                <w:iCs/>
                <w:caps w:val="0"/>
                <w:sz w:val="16"/>
              </w:rPr>
            </w:pPr>
            <w:r w:rsidRPr="009E172C">
              <w:rPr>
                <w:i/>
                <w:iCs/>
                <w:caps w:val="0"/>
                <w:sz w:val="16"/>
              </w:rPr>
              <w:t>Mujeres</w:t>
            </w:r>
          </w:p>
        </w:tc>
        <w:tc>
          <w:tcPr>
            <w:tcW w:w="1814" w:type="dxa"/>
            <w:tcBorders>
              <w:top w:val="single" w:sz="4" w:space="0" w:color="auto"/>
              <w:bottom w:val="single" w:sz="12" w:space="0" w:color="auto"/>
            </w:tcBorders>
            <w:shd w:val="clear" w:color="auto" w:fill="auto"/>
            <w:vAlign w:val="bottom"/>
          </w:tcPr>
          <w:p w:rsidR="00D74294" w:rsidRPr="009E172C" w:rsidRDefault="00D74294" w:rsidP="009E172C">
            <w:pPr>
              <w:pStyle w:val="SingleTxtG"/>
              <w:spacing w:before="80" w:after="80" w:line="200" w:lineRule="exact"/>
              <w:ind w:left="113" w:right="28"/>
              <w:jc w:val="right"/>
              <w:rPr>
                <w:bCs/>
                <w:i/>
                <w:iCs/>
                <w:caps w:val="0"/>
                <w:sz w:val="16"/>
              </w:rPr>
            </w:pPr>
            <w:r w:rsidRPr="009E172C">
              <w:rPr>
                <w:bCs/>
                <w:i/>
                <w:iCs/>
                <w:caps w:val="0"/>
                <w:sz w:val="16"/>
              </w:rPr>
              <w:t>Total</w:t>
            </w:r>
          </w:p>
        </w:tc>
      </w:tr>
      <w:tr w:rsidR="009E172C" w:rsidRPr="009E172C" w:rsidTr="009C6705">
        <w:trPr>
          <w:trHeight w:val="240"/>
        </w:trPr>
        <w:tc>
          <w:tcPr>
            <w:tcW w:w="1814" w:type="dxa"/>
            <w:tcBorders>
              <w:top w:val="single" w:sz="12" w:space="0" w:color="auto"/>
            </w:tcBorders>
            <w:shd w:val="clear" w:color="auto" w:fill="auto"/>
          </w:tcPr>
          <w:p w:rsidR="00D74294" w:rsidRPr="009E172C" w:rsidRDefault="00D74294" w:rsidP="009E172C">
            <w:pPr>
              <w:pStyle w:val="SingleTxtG"/>
              <w:spacing w:before="40" w:after="40" w:line="220" w:lineRule="exact"/>
              <w:ind w:left="0" w:right="0"/>
              <w:jc w:val="left"/>
              <w:rPr>
                <w:sz w:val="18"/>
              </w:rPr>
            </w:pPr>
            <w:r w:rsidRPr="009E172C">
              <w:rPr>
                <w:sz w:val="18"/>
              </w:rPr>
              <w:t>2010</w:t>
            </w:r>
          </w:p>
        </w:tc>
        <w:tc>
          <w:tcPr>
            <w:tcW w:w="1814" w:type="dxa"/>
            <w:tcBorders>
              <w:top w:val="single" w:sz="12" w:space="0" w:color="auto"/>
            </w:tcBorders>
            <w:shd w:val="clear" w:color="auto" w:fill="auto"/>
            <w:vAlign w:val="bottom"/>
          </w:tcPr>
          <w:p w:rsidR="00D74294" w:rsidRPr="009E172C" w:rsidRDefault="00D74294" w:rsidP="009E172C">
            <w:pPr>
              <w:pStyle w:val="SingleTxtG"/>
              <w:spacing w:before="40" w:after="40" w:line="220" w:lineRule="exact"/>
              <w:ind w:left="113" w:right="28"/>
              <w:jc w:val="right"/>
              <w:rPr>
                <w:sz w:val="18"/>
              </w:rPr>
            </w:pPr>
            <w:r w:rsidRPr="009E172C">
              <w:rPr>
                <w:sz w:val="18"/>
              </w:rPr>
              <w:t>1 296 110</w:t>
            </w:r>
          </w:p>
        </w:tc>
        <w:tc>
          <w:tcPr>
            <w:tcW w:w="1814" w:type="dxa"/>
            <w:tcBorders>
              <w:top w:val="single" w:sz="12" w:space="0" w:color="auto"/>
            </w:tcBorders>
            <w:shd w:val="clear" w:color="auto" w:fill="auto"/>
            <w:vAlign w:val="bottom"/>
          </w:tcPr>
          <w:p w:rsidR="00D74294" w:rsidRPr="009E172C" w:rsidRDefault="00D74294" w:rsidP="009E172C">
            <w:pPr>
              <w:pStyle w:val="SingleTxtG"/>
              <w:spacing w:before="40" w:after="40" w:line="220" w:lineRule="exact"/>
              <w:ind w:left="113" w:right="28"/>
              <w:jc w:val="right"/>
              <w:rPr>
                <w:sz w:val="18"/>
              </w:rPr>
            </w:pPr>
            <w:r w:rsidRPr="009E172C">
              <w:rPr>
                <w:sz w:val="18"/>
              </w:rPr>
              <w:t>418 988</w:t>
            </w:r>
          </w:p>
        </w:tc>
        <w:tc>
          <w:tcPr>
            <w:tcW w:w="1814" w:type="dxa"/>
            <w:tcBorders>
              <w:top w:val="single" w:sz="12" w:space="0" w:color="auto"/>
            </w:tcBorders>
            <w:shd w:val="clear" w:color="auto" w:fill="auto"/>
            <w:vAlign w:val="bottom"/>
          </w:tcPr>
          <w:p w:rsidR="00D74294" w:rsidRPr="009E172C" w:rsidRDefault="00D74294" w:rsidP="009E172C">
            <w:pPr>
              <w:pStyle w:val="SingleTxtG"/>
              <w:spacing w:before="40" w:after="40" w:line="220" w:lineRule="exact"/>
              <w:ind w:left="113" w:right="28"/>
              <w:jc w:val="right"/>
              <w:rPr>
                <w:bCs/>
                <w:sz w:val="18"/>
              </w:rPr>
            </w:pPr>
            <w:r w:rsidRPr="009E172C">
              <w:rPr>
                <w:bCs/>
                <w:sz w:val="18"/>
              </w:rPr>
              <w:t>1 715 098</w:t>
            </w:r>
          </w:p>
        </w:tc>
      </w:tr>
      <w:tr w:rsidR="009E172C" w:rsidRPr="009E172C" w:rsidTr="009C6705">
        <w:trPr>
          <w:trHeight w:val="240"/>
        </w:trPr>
        <w:tc>
          <w:tcPr>
            <w:tcW w:w="1814" w:type="dxa"/>
            <w:shd w:val="clear" w:color="auto" w:fill="auto"/>
          </w:tcPr>
          <w:p w:rsidR="00D74294" w:rsidRPr="009E172C" w:rsidRDefault="00D74294" w:rsidP="009E172C">
            <w:pPr>
              <w:pStyle w:val="SingleTxtG"/>
              <w:spacing w:before="40" w:after="40" w:line="220" w:lineRule="exact"/>
              <w:ind w:left="0" w:right="0"/>
              <w:jc w:val="left"/>
              <w:rPr>
                <w:sz w:val="18"/>
              </w:rPr>
            </w:pPr>
            <w:r w:rsidRPr="009E172C">
              <w:rPr>
                <w:sz w:val="18"/>
              </w:rPr>
              <w:t>2011</w:t>
            </w:r>
          </w:p>
        </w:tc>
        <w:tc>
          <w:tcPr>
            <w:tcW w:w="1814" w:type="dxa"/>
            <w:shd w:val="clear" w:color="auto" w:fill="auto"/>
            <w:vAlign w:val="bottom"/>
          </w:tcPr>
          <w:p w:rsidR="00D74294" w:rsidRPr="009E172C" w:rsidRDefault="00D74294" w:rsidP="009E172C">
            <w:pPr>
              <w:pStyle w:val="SingleTxtG"/>
              <w:spacing w:before="40" w:after="40" w:line="220" w:lineRule="exact"/>
              <w:ind w:left="113" w:right="28"/>
              <w:jc w:val="right"/>
              <w:rPr>
                <w:sz w:val="18"/>
              </w:rPr>
            </w:pPr>
            <w:r w:rsidRPr="009E172C">
              <w:rPr>
                <w:sz w:val="18"/>
              </w:rPr>
              <w:t>1 288 590</w:t>
            </w:r>
          </w:p>
        </w:tc>
        <w:tc>
          <w:tcPr>
            <w:tcW w:w="1814" w:type="dxa"/>
            <w:shd w:val="clear" w:color="auto" w:fill="auto"/>
            <w:vAlign w:val="bottom"/>
          </w:tcPr>
          <w:p w:rsidR="00D74294" w:rsidRPr="009E172C" w:rsidRDefault="00D74294" w:rsidP="009E172C">
            <w:pPr>
              <w:pStyle w:val="SingleTxtG"/>
              <w:spacing w:before="40" w:after="40" w:line="220" w:lineRule="exact"/>
              <w:ind w:left="113" w:right="28"/>
              <w:jc w:val="right"/>
              <w:rPr>
                <w:sz w:val="18"/>
              </w:rPr>
            </w:pPr>
            <w:r w:rsidRPr="009E172C">
              <w:rPr>
                <w:sz w:val="18"/>
              </w:rPr>
              <w:t>444 127</w:t>
            </w:r>
          </w:p>
        </w:tc>
        <w:tc>
          <w:tcPr>
            <w:tcW w:w="1814" w:type="dxa"/>
            <w:shd w:val="clear" w:color="auto" w:fill="auto"/>
            <w:vAlign w:val="bottom"/>
          </w:tcPr>
          <w:p w:rsidR="00D74294" w:rsidRPr="009E172C" w:rsidRDefault="00D74294" w:rsidP="009E172C">
            <w:pPr>
              <w:pStyle w:val="SingleTxtG"/>
              <w:spacing w:before="40" w:after="40" w:line="220" w:lineRule="exact"/>
              <w:ind w:left="113" w:right="28"/>
              <w:jc w:val="right"/>
              <w:rPr>
                <w:bCs/>
                <w:sz w:val="18"/>
              </w:rPr>
            </w:pPr>
            <w:r w:rsidRPr="009E172C">
              <w:rPr>
                <w:bCs/>
                <w:sz w:val="18"/>
              </w:rPr>
              <w:t>1 732 717</w:t>
            </w:r>
          </w:p>
        </w:tc>
      </w:tr>
      <w:tr w:rsidR="009E172C" w:rsidRPr="009E172C" w:rsidTr="009C6705">
        <w:trPr>
          <w:trHeight w:val="240"/>
        </w:trPr>
        <w:tc>
          <w:tcPr>
            <w:tcW w:w="1814" w:type="dxa"/>
            <w:shd w:val="clear" w:color="auto" w:fill="auto"/>
          </w:tcPr>
          <w:p w:rsidR="00D74294" w:rsidRPr="009E172C" w:rsidRDefault="00D74294" w:rsidP="009E172C">
            <w:pPr>
              <w:pStyle w:val="SingleTxtG"/>
              <w:spacing w:before="40" w:after="40" w:line="220" w:lineRule="exact"/>
              <w:ind w:left="0" w:right="0"/>
              <w:jc w:val="left"/>
              <w:rPr>
                <w:sz w:val="18"/>
              </w:rPr>
            </w:pPr>
            <w:r w:rsidRPr="009E172C">
              <w:rPr>
                <w:sz w:val="18"/>
              </w:rPr>
              <w:t>2012</w:t>
            </w:r>
          </w:p>
        </w:tc>
        <w:tc>
          <w:tcPr>
            <w:tcW w:w="1814" w:type="dxa"/>
            <w:shd w:val="clear" w:color="auto" w:fill="auto"/>
            <w:vAlign w:val="bottom"/>
          </w:tcPr>
          <w:p w:rsidR="00D74294" w:rsidRPr="009E172C" w:rsidRDefault="00D74294" w:rsidP="009E172C">
            <w:pPr>
              <w:pStyle w:val="SingleTxtG"/>
              <w:spacing w:before="40" w:after="40" w:line="220" w:lineRule="exact"/>
              <w:ind w:left="113" w:right="28"/>
              <w:jc w:val="right"/>
              <w:rPr>
                <w:sz w:val="18"/>
              </w:rPr>
            </w:pPr>
            <w:r w:rsidRPr="009E172C">
              <w:rPr>
                <w:sz w:val="18"/>
              </w:rPr>
              <w:t>1 355 199</w:t>
            </w:r>
          </w:p>
        </w:tc>
        <w:tc>
          <w:tcPr>
            <w:tcW w:w="1814" w:type="dxa"/>
            <w:shd w:val="clear" w:color="auto" w:fill="auto"/>
            <w:vAlign w:val="bottom"/>
          </w:tcPr>
          <w:p w:rsidR="00D74294" w:rsidRPr="009E172C" w:rsidRDefault="00D74294" w:rsidP="009E172C">
            <w:pPr>
              <w:pStyle w:val="SingleTxtG"/>
              <w:spacing w:before="40" w:after="40" w:line="220" w:lineRule="exact"/>
              <w:ind w:left="113" w:right="28"/>
              <w:jc w:val="right"/>
              <w:rPr>
                <w:sz w:val="18"/>
              </w:rPr>
            </w:pPr>
            <w:r w:rsidRPr="009E172C">
              <w:rPr>
                <w:sz w:val="18"/>
              </w:rPr>
              <w:t>477 704</w:t>
            </w:r>
          </w:p>
        </w:tc>
        <w:tc>
          <w:tcPr>
            <w:tcW w:w="1814" w:type="dxa"/>
            <w:shd w:val="clear" w:color="auto" w:fill="auto"/>
            <w:vAlign w:val="bottom"/>
          </w:tcPr>
          <w:p w:rsidR="00D74294" w:rsidRPr="009E172C" w:rsidRDefault="00D74294" w:rsidP="009E172C">
            <w:pPr>
              <w:pStyle w:val="SingleTxtG"/>
              <w:spacing w:before="40" w:after="40" w:line="220" w:lineRule="exact"/>
              <w:ind w:left="113" w:right="28"/>
              <w:jc w:val="right"/>
              <w:rPr>
                <w:bCs/>
                <w:sz w:val="18"/>
              </w:rPr>
            </w:pPr>
            <w:r w:rsidRPr="009E172C">
              <w:rPr>
                <w:bCs/>
                <w:sz w:val="18"/>
              </w:rPr>
              <w:t>1 832 903</w:t>
            </w:r>
          </w:p>
        </w:tc>
      </w:tr>
      <w:tr w:rsidR="009E172C" w:rsidRPr="009E172C" w:rsidTr="009C6705">
        <w:trPr>
          <w:trHeight w:val="240"/>
        </w:trPr>
        <w:tc>
          <w:tcPr>
            <w:tcW w:w="1814" w:type="dxa"/>
            <w:shd w:val="clear" w:color="auto" w:fill="auto"/>
          </w:tcPr>
          <w:p w:rsidR="00D74294" w:rsidRPr="009E172C" w:rsidRDefault="00D74294" w:rsidP="009E172C">
            <w:pPr>
              <w:pStyle w:val="SingleTxtG"/>
              <w:spacing w:before="40" w:after="40" w:line="220" w:lineRule="exact"/>
              <w:ind w:left="0" w:right="0"/>
              <w:jc w:val="left"/>
              <w:rPr>
                <w:sz w:val="18"/>
              </w:rPr>
            </w:pPr>
            <w:r w:rsidRPr="009E172C">
              <w:rPr>
                <w:sz w:val="18"/>
              </w:rPr>
              <w:t>2013</w:t>
            </w:r>
          </w:p>
        </w:tc>
        <w:tc>
          <w:tcPr>
            <w:tcW w:w="1814" w:type="dxa"/>
            <w:shd w:val="clear" w:color="auto" w:fill="auto"/>
            <w:vAlign w:val="bottom"/>
          </w:tcPr>
          <w:p w:rsidR="00D74294" w:rsidRPr="009E172C" w:rsidRDefault="00D74294" w:rsidP="009E172C">
            <w:pPr>
              <w:pStyle w:val="SingleTxtG"/>
              <w:spacing w:before="40" w:after="40" w:line="220" w:lineRule="exact"/>
              <w:ind w:left="113" w:right="28"/>
              <w:jc w:val="right"/>
              <w:rPr>
                <w:sz w:val="18"/>
              </w:rPr>
            </w:pPr>
            <w:r w:rsidRPr="009E172C">
              <w:rPr>
                <w:sz w:val="18"/>
              </w:rPr>
              <w:t>1 477 632</w:t>
            </w:r>
          </w:p>
        </w:tc>
        <w:tc>
          <w:tcPr>
            <w:tcW w:w="1814" w:type="dxa"/>
            <w:shd w:val="clear" w:color="auto" w:fill="auto"/>
            <w:vAlign w:val="bottom"/>
          </w:tcPr>
          <w:p w:rsidR="00D74294" w:rsidRPr="009E172C" w:rsidRDefault="00D74294" w:rsidP="009E172C">
            <w:pPr>
              <w:pStyle w:val="SingleTxtG"/>
              <w:spacing w:before="40" w:after="40" w:line="220" w:lineRule="exact"/>
              <w:ind w:left="113" w:right="28"/>
              <w:jc w:val="right"/>
              <w:rPr>
                <w:sz w:val="18"/>
              </w:rPr>
            </w:pPr>
            <w:r w:rsidRPr="009E172C">
              <w:rPr>
                <w:sz w:val="18"/>
              </w:rPr>
              <w:t>526 068</w:t>
            </w:r>
          </w:p>
        </w:tc>
        <w:tc>
          <w:tcPr>
            <w:tcW w:w="1814" w:type="dxa"/>
            <w:shd w:val="clear" w:color="auto" w:fill="auto"/>
            <w:vAlign w:val="bottom"/>
          </w:tcPr>
          <w:p w:rsidR="00D74294" w:rsidRPr="009E172C" w:rsidRDefault="00D74294" w:rsidP="009E172C">
            <w:pPr>
              <w:pStyle w:val="SingleTxtG"/>
              <w:spacing w:before="40" w:after="40" w:line="220" w:lineRule="exact"/>
              <w:ind w:left="113" w:right="28"/>
              <w:jc w:val="right"/>
              <w:rPr>
                <w:bCs/>
                <w:sz w:val="18"/>
              </w:rPr>
            </w:pPr>
            <w:r w:rsidRPr="009E172C">
              <w:rPr>
                <w:bCs/>
                <w:sz w:val="18"/>
              </w:rPr>
              <w:t>2 003 700</w:t>
            </w:r>
          </w:p>
        </w:tc>
      </w:tr>
      <w:tr w:rsidR="009E172C" w:rsidRPr="009E172C" w:rsidTr="009C6705">
        <w:trPr>
          <w:trHeight w:val="240"/>
        </w:trPr>
        <w:tc>
          <w:tcPr>
            <w:tcW w:w="1814" w:type="dxa"/>
            <w:shd w:val="clear" w:color="auto" w:fill="auto"/>
          </w:tcPr>
          <w:p w:rsidR="00D74294" w:rsidRPr="009E172C" w:rsidRDefault="00D74294" w:rsidP="009E172C">
            <w:pPr>
              <w:pStyle w:val="SingleTxtG"/>
              <w:spacing w:before="40" w:after="40" w:line="220" w:lineRule="exact"/>
              <w:ind w:left="0" w:right="0"/>
              <w:jc w:val="left"/>
              <w:rPr>
                <w:sz w:val="18"/>
              </w:rPr>
            </w:pPr>
            <w:r w:rsidRPr="009E172C">
              <w:rPr>
                <w:sz w:val="18"/>
              </w:rPr>
              <w:t>2014</w:t>
            </w:r>
          </w:p>
        </w:tc>
        <w:tc>
          <w:tcPr>
            <w:tcW w:w="1814" w:type="dxa"/>
            <w:shd w:val="clear" w:color="auto" w:fill="auto"/>
            <w:vAlign w:val="bottom"/>
          </w:tcPr>
          <w:p w:rsidR="00D74294" w:rsidRPr="009E172C" w:rsidRDefault="00D74294" w:rsidP="009E172C">
            <w:pPr>
              <w:pStyle w:val="SingleTxtG"/>
              <w:spacing w:before="40" w:after="40" w:line="220" w:lineRule="exact"/>
              <w:ind w:left="113" w:right="28"/>
              <w:jc w:val="right"/>
              <w:rPr>
                <w:sz w:val="18"/>
              </w:rPr>
            </w:pPr>
            <w:r w:rsidRPr="009E172C">
              <w:rPr>
                <w:sz w:val="18"/>
              </w:rPr>
              <w:t>1 652 037</w:t>
            </w:r>
          </w:p>
        </w:tc>
        <w:tc>
          <w:tcPr>
            <w:tcW w:w="1814" w:type="dxa"/>
            <w:shd w:val="clear" w:color="auto" w:fill="auto"/>
            <w:vAlign w:val="bottom"/>
          </w:tcPr>
          <w:p w:rsidR="00D74294" w:rsidRPr="009E172C" w:rsidRDefault="00D74294" w:rsidP="009E172C">
            <w:pPr>
              <w:pStyle w:val="SingleTxtG"/>
              <w:spacing w:before="40" w:after="40" w:line="220" w:lineRule="exact"/>
              <w:ind w:left="113" w:right="28"/>
              <w:jc w:val="right"/>
              <w:rPr>
                <w:sz w:val="18"/>
              </w:rPr>
            </w:pPr>
            <w:r w:rsidRPr="009E172C">
              <w:rPr>
                <w:sz w:val="18"/>
              </w:rPr>
              <w:t>564 143</w:t>
            </w:r>
          </w:p>
        </w:tc>
        <w:tc>
          <w:tcPr>
            <w:tcW w:w="1814" w:type="dxa"/>
            <w:shd w:val="clear" w:color="auto" w:fill="auto"/>
            <w:vAlign w:val="bottom"/>
          </w:tcPr>
          <w:p w:rsidR="00D74294" w:rsidRPr="009E172C" w:rsidRDefault="00D74294" w:rsidP="009E172C">
            <w:pPr>
              <w:pStyle w:val="SingleTxtG"/>
              <w:spacing w:before="40" w:after="40" w:line="220" w:lineRule="exact"/>
              <w:ind w:left="113" w:right="28"/>
              <w:jc w:val="right"/>
              <w:rPr>
                <w:bCs/>
                <w:sz w:val="18"/>
              </w:rPr>
            </w:pPr>
            <w:r w:rsidRPr="009E172C">
              <w:rPr>
                <w:bCs/>
                <w:sz w:val="18"/>
              </w:rPr>
              <w:t>2 216 180</w:t>
            </w:r>
          </w:p>
        </w:tc>
      </w:tr>
      <w:tr w:rsidR="009E172C" w:rsidRPr="009E172C" w:rsidTr="009C6705">
        <w:trPr>
          <w:trHeight w:val="240"/>
        </w:trPr>
        <w:tc>
          <w:tcPr>
            <w:tcW w:w="1814" w:type="dxa"/>
            <w:shd w:val="clear" w:color="auto" w:fill="auto"/>
          </w:tcPr>
          <w:p w:rsidR="00D74294" w:rsidRPr="009E172C" w:rsidRDefault="00D74294" w:rsidP="009E172C">
            <w:pPr>
              <w:pStyle w:val="SingleTxtG"/>
              <w:spacing w:before="40" w:after="40" w:line="220" w:lineRule="exact"/>
              <w:ind w:left="0" w:right="0"/>
              <w:jc w:val="left"/>
              <w:rPr>
                <w:sz w:val="18"/>
              </w:rPr>
            </w:pPr>
            <w:r w:rsidRPr="009E172C">
              <w:rPr>
                <w:sz w:val="18"/>
              </w:rPr>
              <w:t>2015</w:t>
            </w:r>
          </w:p>
        </w:tc>
        <w:tc>
          <w:tcPr>
            <w:tcW w:w="1814" w:type="dxa"/>
            <w:shd w:val="clear" w:color="auto" w:fill="auto"/>
            <w:vAlign w:val="bottom"/>
          </w:tcPr>
          <w:p w:rsidR="00D74294" w:rsidRPr="009E172C" w:rsidRDefault="00D74294" w:rsidP="009E172C">
            <w:pPr>
              <w:pStyle w:val="SingleTxtG"/>
              <w:spacing w:before="40" w:after="40" w:line="220" w:lineRule="exact"/>
              <w:ind w:left="113" w:right="28"/>
              <w:jc w:val="right"/>
              <w:rPr>
                <w:sz w:val="18"/>
              </w:rPr>
            </w:pPr>
            <w:r w:rsidRPr="009E172C">
              <w:rPr>
                <w:sz w:val="18"/>
              </w:rPr>
              <w:t>1 840 643</w:t>
            </w:r>
          </w:p>
        </w:tc>
        <w:tc>
          <w:tcPr>
            <w:tcW w:w="1814" w:type="dxa"/>
            <w:shd w:val="clear" w:color="auto" w:fill="auto"/>
            <w:vAlign w:val="bottom"/>
          </w:tcPr>
          <w:p w:rsidR="00D74294" w:rsidRPr="009E172C" w:rsidRDefault="00D74294" w:rsidP="009E172C">
            <w:pPr>
              <w:pStyle w:val="SingleTxtG"/>
              <w:spacing w:before="40" w:after="40" w:line="220" w:lineRule="exact"/>
              <w:ind w:left="113" w:right="28"/>
              <w:jc w:val="right"/>
              <w:rPr>
                <w:sz w:val="18"/>
              </w:rPr>
            </w:pPr>
            <w:r w:rsidRPr="009E172C">
              <w:rPr>
                <w:sz w:val="18"/>
              </w:rPr>
              <w:t>597 147</w:t>
            </w:r>
          </w:p>
        </w:tc>
        <w:tc>
          <w:tcPr>
            <w:tcW w:w="1814" w:type="dxa"/>
            <w:shd w:val="clear" w:color="auto" w:fill="auto"/>
            <w:vAlign w:val="bottom"/>
          </w:tcPr>
          <w:p w:rsidR="00D74294" w:rsidRPr="009E172C" w:rsidRDefault="00D74294" w:rsidP="009E172C">
            <w:pPr>
              <w:pStyle w:val="SingleTxtG"/>
              <w:spacing w:before="40" w:after="40" w:line="220" w:lineRule="exact"/>
              <w:ind w:left="113" w:right="28"/>
              <w:jc w:val="right"/>
              <w:rPr>
                <w:bCs/>
                <w:sz w:val="18"/>
              </w:rPr>
            </w:pPr>
            <w:r w:rsidRPr="009E172C">
              <w:rPr>
                <w:bCs/>
                <w:sz w:val="18"/>
              </w:rPr>
              <w:t>2 437 790</w:t>
            </w:r>
          </w:p>
        </w:tc>
      </w:tr>
      <w:tr w:rsidR="009E172C" w:rsidRPr="009E172C" w:rsidTr="009C6705">
        <w:trPr>
          <w:trHeight w:val="240"/>
        </w:trPr>
        <w:tc>
          <w:tcPr>
            <w:tcW w:w="1814" w:type="dxa"/>
            <w:shd w:val="clear" w:color="auto" w:fill="auto"/>
          </w:tcPr>
          <w:p w:rsidR="00D74294" w:rsidRPr="009E172C" w:rsidRDefault="00D74294" w:rsidP="009E172C">
            <w:pPr>
              <w:pStyle w:val="SingleTxtG"/>
              <w:spacing w:before="40" w:after="40" w:line="220" w:lineRule="exact"/>
              <w:ind w:left="0" w:right="0"/>
              <w:jc w:val="left"/>
              <w:rPr>
                <w:sz w:val="18"/>
              </w:rPr>
            </w:pPr>
            <w:r w:rsidRPr="009E172C">
              <w:rPr>
                <w:sz w:val="18"/>
              </w:rPr>
              <w:t>2016</w:t>
            </w:r>
          </w:p>
        </w:tc>
        <w:tc>
          <w:tcPr>
            <w:tcW w:w="1814" w:type="dxa"/>
            <w:shd w:val="clear" w:color="auto" w:fill="auto"/>
            <w:vAlign w:val="bottom"/>
          </w:tcPr>
          <w:p w:rsidR="00D74294" w:rsidRPr="009E172C" w:rsidRDefault="00D74294" w:rsidP="009E172C">
            <w:pPr>
              <w:pStyle w:val="SingleTxtG"/>
              <w:spacing w:before="40" w:after="40" w:line="220" w:lineRule="exact"/>
              <w:ind w:left="113" w:right="28"/>
              <w:jc w:val="right"/>
              <w:rPr>
                <w:sz w:val="18"/>
              </w:rPr>
            </w:pPr>
            <w:r w:rsidRPr="009E172C">
              <w:rPr>
                <w:sz w:val="18"/>
              </w:rPr>
              <w:t>1 975 536</w:t>
            </w:r>
          </w:p>
        </w:tc>
        <w:tc>
          <w:tcPr>
            <w:tcW w:w="1814" w:type="dxa"/>
            <w:shd w:val="clear" w:color="auto" w:fill="auto"/>
            <w:vAlign w:val="bottom"/>
          </w:tcPr>
          <w:p w:rsidR="00D74294" w:rsidRPr="009E172C" w:rsidRDefault="00D74294" w:rsidP="009E172C">
            <w:pPr>
              <w:pStyle w:val="SingleTxtG"/>
              <w:spacing w:before="40" w:after="40" w:line="220" w:lineRule="exact"/>
              <w:ind w:left="113" w:right="28"/>
              <w:jc w:val="right"/>
              <w:rPr>
                <w:sz w:val="18"/>
              </w:rPr>
            </w:pPr>
            <w:r w:rsidRPr="009E172C">
              <w:rPr>
                <w:sz w:val="18"/>
              </w:rPr>
              <w:t>642 098</w:t>
            </w:r>
          </w:p>
        </w:tc>
        <w:tc>
          <w:tcPr>
            <w:tcW w:w="1814" w:type="dxa"/>
            <w:shd w:val="clear" w:color="auto" w:fill="auto"/>
            <w:vAlign w:val="bottom"/>
          </w:tcPr>
          <w:p w:rsidR="00D74294" w:rsidRPr="009E172C" w:rsidRDefault="00D74294" w:rsidP="009E172C">
            <w:pPr>
              <w:pStyle w:val="SingleTxtG"/>
              <w:spacing w:before="40" w:after="40" w:line="220" w:lineRule="exact"/>
              <w:ind w:left="113" w:right="28"/>
              <w:jc w:val="right"/>
              <w:rPr>
                <w:bCs/>
                <w:sz w:val="18"/>
              </w:rPr>
            </w:pPr>
            <w:r w:rsidRPr="009E172C">
              <w:rPr>
                <w:bCs/>
                <w:sz w:val="18"/>
              </w:rPr>
              <w:t>2 617 634</w:t>
            </w:r>
          </w:p>
        </w:tc>
      </w:tr>
      <w:tr w:rsidR="009E172C" w:rsidRPr="009E172C" w:rsidTr="009C6705">
        <w:trPr>
          <w:trHeight w:val="240"/>
        </w:trPr>
        <w:tc>
          <w:tcPr>
            <w:tcW w:w="1814" w:type="dxa"/>
            <w:tcBorders>
              <w:bottom w:val="single" w:sz="12" w:space="0" w:color="auto"/>
            </w:tcBorders>
            <w:shd w:val="clear" w:color="auto" w:fill="auto"/>
          </w:tcPr>
          <w:p w:rsidR="00D74294" w:rsidRPr="009E172C" w:rsidRDefault="00D74294" w:rsidP="009E172C">
            <w:pPr>
              <w:pStyle w:val="SingleTxtG"/>
              <w:spacing w:before="40" w:after="40" w:line="220" w:lineRule="exact"/>
              <w:ind w:left="0" w:right="0"/>
              <w:jc w:val="left"/>
              <w:rPr>
                <w:sz w:val="18"/>
              </w:rPr>
            </w:pPr>
            <w:r w:rsidRPr="009E172C">
              <w:rPr>
                <w:sz w:val="18"/>
              </w:rPr>
              <w:t>2017</w:t>
            </w:r>
          </w:p>
        </w:tc>
        <w:tc>
          <w:tcPr>
            <w:tcW w:w="1814" w:type="dxa"/>
            <w:tcBorders>
              <w:bottom w:val="single" w:sz="12" w:space="0" w:color="auto"/>
            </w:tcBorders>
            <w:shd w:val="clear" w:color="auto" w:fill="auto"/>
            <w:vAlign w:val="bottom"/>
          </w:tcPr>
          <w:p w:rsidR="00D74294" w:rsidRPr="009E172C" w:rsidRDefault="00D74294" w:rsidP="009E172C">
            <w:pPr>
              <w:pStyle w:val="SingleTxtG"/>
              <w:spacing w:before="40" w:after="40" w:line="220" w:lineRule="exact"/>
              <w:ind w:left="113" w:right="28"/>
              <w:jc w:val="right"/>
              <w:rPr>
                <w:sz w:val="18"/>
              </w:rPr>
            </w:pPr>
            <w:r w:rsidRPr="009E172C">
              <w:rPr>
                <w:sz w:val="18"/>
              </w:rPr>
              <w:t>2 046 047</w:t>
            </w:r>
          </w:p>
        </w:tc>
        <w:tc>
          <w:tcPr>
            <w:tcW w:w="1814" w:type="dxa"/>
            <w:tcBorders>
              <w:bottom w:val="single" w:sz="12" w:space="0" w:color="auto"/>
            </w:tcBorders>
            <w:shd w:val="clear" w:color="auto" w:fill="auto"/>
            <w:vAlign w:val="bottom"/>
          </w:tcPr>
          <w:p w:rsidR="00D74294" w:rsidRPr="009E172C" w:rsidRDefault="00D74294" w:rsidP="009E172C">
            <w:pPr>
              <w:pStyle w:val="SingleTxtG"/>
              <w:spacing w:before="40" w:after="40" w:line="220" w:lineRule="exact"/>
              <w:ind w:left="113" w:right="28"/>
              <w:jc w:val="right"/>
              <w:rPr>
                <w:sz w:val="18"/>
              </w:rPr>
            </w:pPr>
            <w:r w:rsidRPr="009E172C">
              <w:rPr>
                <w:sz w:val="18"/>
              </w:rPr>
              <w:t>678 559</w:t>
            </w:r>
          </w:p>
        </w:tc>
        <w:tc>
          <w:tcPr>
            <w:tcW w:w="1814" w:type="dxa"/>
            <w:tcBorders>
              <w:bottom w:val="single" w:sz="12" w:space="0" w:color="auto"/>
            </w:tcBorders>
            <w:shd w:val="clear" w:color="auto" w:fill="auto"/>
            <w:vAlign w:val="bottom"/>
          </w:tcPr>
          <w:p w:rsidR="00D74294" w:rsidRPr="009E172C" w:rsidRDefault="00D74294" w:rsidP="009E172C">
            <w:pPr>
              <w:pStyle w:val="SingleTxtG"/>
              <w:spacing w:before="40" w:after="40" w:line="220" w:lineRule="exact"/>
              <w:ind w:left="113" w:right="28"/>
              <w:jc w:val="right"/>
              <w:rPr>
                <w:bCs/>
                <w:sz w:val="18"/>
              </w:rPr>
            </w:pPr>
            <w:r w:rsidRPr="009E172C">
              <w:rPr>
                <w:bCs/>
                <w:sz w:val="18"/>
              </w:rPr>
              <w:t>2 724 606</w:t>
            </w:r>
          </w:p>
        </w:tc>
      </w:tr>
    </w:tbl>
    <w:p w:rsidR="00D74294" w:rsidRPr="009E172C" w:rsidRDefault="00D74294" w:rsidP="009E172C">
      <w:pPr>
        <w:pStyle w:val="SingleTxtG"/>
        <w:spacing w:before="120" w:after="240"/>
        <w:ind w:firstLine="170"/>
        <w:jc w:val="left"/>
        <w:rPr>
          <w:sz w:val="18"/>
        </w:rPr>
      </w:pPr>
      <w:r w:rsidRPr="009E172C">
        <w:rPr>
          <w:i/>
          <w:iCs/>
          <w:sz w:val="18"/>
        </w:rPr>
        <w:t>Fuente:</w:t>
      </w:r>
      <w:r w:rsidR="009E172C">
        <w:rPr>
          <w:i/>
          <w:iCs/>
          <w:sz w:val="18"/>
        </w:rPr>
        <w:t xml:space="preserve"> </w:t>
      </w:r>
      <w:r w:rsidRPr="009E172C">
        <w:rPr>
          <w:sz w:val="18"/>
        </w:rPr>
        <w:t xml:space="preserve">Ministerio de Planificación del Desarrollo y Estadísticas, </w:t>
      </w:r>
      <w:r w:rsidRPr="009E172C">
        <w:rPr>
          <w:i/>
          <w:iCs/>
          <w:sz w:val="18"/>
        </w:rPr>
        <w:t>Estadísticas demográficas y sociales.</w:t>
      </w:r>
      <w:r w:rsidRPr="009E172C">
        <w:rPr>
          <w:sz w:val="18"/>
        </w:rPr>
        <w:t xml:space="preserve"> Resúmenes anuales, 2017.</w:t>
      </w:r>
    </w:p>
    <w:p w:rsidR="00D74294" w:rsidRPr="00CD732B" w:rsidRDefault="009E172C" w:rsidP="009E172C">
      <w:pPr>
        <w:pStyle w:val="H23G"/>
        <w:rPr>
          <w:b w:val="0"/>
          <w:bCs/>
          <w:sz w:val="16"/>
        </w:rPr>
      </w:pPr>
      <w:r w:rsidRPr="009E172C">
        <w:rPr>
          <w:b w:val="0"/>
        </w:rPr>
        <w:tab/>
      </w:r>
      <w:r w:rsidRPr="009E172C">
        <w:rPr>
          <w:b w:val="0"/>
        </w:rPr>
        <w:tab/>
      </w:r>
      <w:r w:rsidR="00D74294" w:rsidRPr="009E172C">
        <w:rPr>
          <w:b w:val="0"/>
        </w:rPr>
        <w:t xml:space="preserve">Gráfico </w:t>
      </w:r>
      <w:r w:rsidRPr="009E172C">
        <w:rPr>
          <w:b w:val="0"/>
        </w:rPr>
        <w:t>1</w:t>
      </w:r>
      <w:r w:rsidRPr="009E172C">
        <w:rPr>
          <w:b w:val="0"/>
        </w:rPr>
        <w:br/>
      </w:r>
      <w:r>
        <w:rPr>
          <w:bCs/>
        </w:rPr>
        <w:t>Población del Estado de Qatar</w:t>
      </w:r>
      <w:r w:rsidR="00F21271">
        <w:rPr>
          <w:bCs/>
        </w:rPr>
        <w:t>, 2012 a 2016</w:t>
      </w:r>
      <w:r>
        <w:rPr>
          <w:bCs/>
        </w:rPr>
        <w:br/>
      </w:r>
      <w:r w:rsidR="00D74294" w:rsidRPr="00CD732B">
        <w:rPr>
          <w:b w:val="0"/>
          <w:iCs/>
          <w:sz w:val="16"/>
        </w:rPr>
        <w:t>(</w:t>
      </w:r>
      <w:r w:rsidRPr="00CD732B">
        <w:rPr>
          <w:b w:val="0"/>
          <w:iCs/>
          <w:sz w:val="16"/>
        </w:rPr>
        <w:t xml:space="preserve">En </w:t>
      </w:r>
      <w:r w:rsidR="00D74294" w:rsidRPr="00CD732B">
        <w:rPr>
          <w:b w:val="0"/>
          <w:iCs/>
          <w:sz w:val="16"/>
        </w:rPr>
        <w:t>miles de personas)</w:t>
      </w:r>
    </w:p>
    <w:p w:rsidR="00D74294" w:rsidRPr="00D74294" w:rsidRDefault="00D74294" w:rsidP="00D74294">
      <w:pPr>
        <w:pStyle w:val="SingleTxtG"/>
        <w:rPr>
          <w:rtl/>
          <w:lang w:bidi="ar-DZ"/>
        </w:rPr>
      </w:pPr>
      <w:r w:rsidRPr="00D74294">
        <w:rPr>
          <w:noProof/>
          <w:lang w:eastAsia="zh-CN"/>
        </w:rPr>
        <w:drawing>
          <wp:inline distT="0" distB="0" distL="0" distR="0" wp14:anchorId="62C0312D" wp14:editId="022B6B7C">
            <wp:extent cx="4895850" cy="25400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74294" w:rsidRPr="009E172C" w:rsidRDefault="00D74294" w:rsidP="009E172C">
      <w:pPr>
        <w:pStyle w:val="SingleTxtG"/>
        <w:spacing w:before="120" w:after="240"/>
        <w:ind w:firstLine="170"/>
        <w:jc w:val="left"/>
        <w:rPr>
          <w:sz w:val="18"/>
        </w:rPr>
      </w:pPr>
      <w:r w:rsidRPr="009E172C">
        <w:rPr>
          <w:i/>
          <w:iCs/>
          <w:sz w:val="18"/>
        </w:rPr>
        <w:t>Fuente:</w:t>
      </w:r>
      <w:r w:rsidR="009E172C" w:rsidRPr="009E172C">
        <w:rPr>
          <w:sz w:val="18"/>
        </w:rPr>
        <w:t xml:space="preserve"> </w:t>
      </w:r>
      <w:r w:rsidRPr="009E172C">
        <w:rPr>
          <w:sz w:val="18"/>
        </w:rPr>
        <w:t>Ministerio de Planificación del Desarrollo y Estadísticas.</w:t>
      </w:r>
    </w:p>
    <w:p w:rsidR="00D74294" w:rsidRPr="00D74294" w:rsidRDefault="00D74294" w:rsidP="00D74294">
      <w:pPr>
        <w:pStyle w:val="SingleTxtG"/>
      </w:pPr>
      <w:r w:rsidRPr="00D74294">
        <w:t>4.</w:t>
      </w:r>
      <w:r w:rsidRPr="00D74294">
        <w:tab/>
        <w:t>El cuadro 2 muestra la composición de la población por grupos de edad en 2016. La pirámide de edad que figura en el gráfico 2 recoge el total de la población qatarí y extranjera y la diferencia generada por el aumento del número de trabajadores que llegan al Estado de Qatar, en particular en lo que respecta a los varones de otras nacionalidades. La pirámide de población que figura en el gráfico 3 ilustra la ratio mujeres/hombres en la población total de Qatar.</w:t>
      </w:r>
    </w:p>
    <w:p w:rsidR="00D74294" w:rsidRPr="00CD732B" w:rsidRDefault="00CD732B" w:rsidP="00CD732B">
      <w:pPr>
        <w:pStyle w:val="H23G"/>
        <w:rPr>
          <w:b w:val="0"/>
          <w:sz w:val="16"/>
        </w:rPr>
      </w:pPr>
      <w:r w:rsidRPr="00CD732B">
        <w:rPr>
          <w:b w:val="0"/>
        </w:rPr>
        <w:tab/>
      </w:r>
      <w:r w:rsidRPr="00CD732B">
        <w:rPr>
          <w:b w:val="0"/>
        </w:rPr>
        <w:tab/>
      </w:r>
      <w:r w:rsidR="00D74294" w:rsidRPr="00CD732B">
        <w:rPr>
          <w:b w:val="0"/>
        </w:rPr>
        <w:t>Cuadro 2</w:t>
      </w:r>
      <w:r w:rsidRPr="00CD732B">
        <w:rPr>
          <w:b w:val="0"/>
        </w:rPr>
        <w:br/>
      </w:r>
      <w:r w:rsidR="00D74294" w:rsidRPr="00D74294">
        <w:t>Distribución relativa de la población por grupo</w:t>
      </w:r>
      <w:r>
        <w:t>s de edad amplios, nacionalidad</w:t>
      </w:r>
      <w:r>
        <w:br/>
      </w:r>
      <w:r w:rsidR="00D74294" w:rsidRPr="00D74294">
        <w:t>y sexo</w:t>
      </w:r>
      <w:r>
        <w:br/>
      </w:r>
      <w:r>
        <w:rPr>
          <w:b w:val="0"/>
          <w:sz w:val="16"/>
        </w:rPr>
        <w:t>(</w:t>
      </w:r>
      <w:r w:rsidR="00D74294" w:rsidRPr="00CD732B">
        <w:rPr>
          <w:b w:val="0"/>
          <w:sz w:val="16"/>
        </w:rPr>
        <w:t>Estimaciones a mitad de 2016</w:t>
      </w:r>
      <w:r>
        <w:rPr>
          <w:b w:val="0"/>
          <w:sz w:val="16"/>
        </w:rPr>
        <w:t>)</w:t>
      </w:r>
    </w:p>
    <w:tbl>
      <w:tblPr>
        <w:tblStyle w:val="TABLEA"/>
        <w:tblW w:w="7370" w:type="dxa"/>
        <w:jc w:val="left"/>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275"/>
        <w:gridCol w:w="993"/>
        <w:gridCol w:w="1418"/>
        <w:gridCol w:w="1276"/>
        <w:gridCol w:w="1701"/>
        <w:gridCol w:w="707"/>
      </w:tblGrid>
      <w:tr w:rsidR="00CD732B" w:rsidRPr="00CD732B" w:rsidTr="009C6705">
        <w:trPr>
          <w:cnfStyle w:val="100000000000" w:firstRow="1" w:lastRow="0" w:firstColumn="0" w:lastColumn="0" w:oddVBand="0" w:evenVBand="0" w:oddHBand="0" w:evenHBand="0" w:firstRowFirstColumn="0" w:firstRowLastColumn="0" w:lastRowFirstColumn="0" w:lastRowLastColumn="0"/>
          <w:trHeight w:val="240"/>
          <w:tblHeader/>
          <w:jc w:val="left"/>
        </w:trPr>
        <w:tc>
          <w:tcPr>
            <w:tcW w:w="1275" w:type="dxa"/>
            <w:shd w:val="clear" w:color="auto" w:fill="auto"/>
            <w:vAlign w:val="bottom"/>
          </w:tcPr>
          <w:p w:rsidR="00D74294" w:rsidRPr="00CD732B" w:rsidRDefault="00D74294" w:rsidP="00CD732B">
            <w:pPr>
              <w:pStyle w:val="SingleTxtG"/>
              <w:spacing w:after="80" w:line="200" w:lineRule="exact"/>
              <w:ind w:left="0" w:right="0"/>
              <w:jc w:val="left"/>
              <w:rPr>
                <w:rFonts w:cs="Times New Roman"/>
                <w:i/>
                <w:iCs/>
                <w:sz w:val="16"/>
                <w:szCs w:val="20"/>
              </w:rPr>
            </w:pPr>
            <w:r w:rsidRPr="00CD732B">
              <w:rPr>
                <w:rFonts w:cs="Times New Roman"/>
                <w:bCs/>
                <w:i/>
                <w:iCs/>
                <w:sz w:val="16"/>
                <w:szCs w:val="20"/>
              </w:rPr>
              <w:t>Nacionalidad</w:t>
            </w:r>
          </w:p>
        </w:tc>
        <w:tc>
          <w:tcPr>
            <w:tcW w:w="993" w:type="dxa"/>
            <w:shd w:val="clear" w:color="auto" w:fill="auto"/>
            <w:vAlign w:val="bottom"/>
          </w:tcPr>
          <w:p w:rsidR="00D74294" w:rsidRPr="00CD732B" w:rsidRDefault="00D74294" w:rsidP="00CD732B">
            <w:pPr>
              <w:pStyle w:val="SingleTxtG"/>
              <w:spacing w:after="80" w:line="200" w:lineRule="exact"/>
              <w:ind w:left="28" w:right="0"/>
              <w:jc w:val="left"/>
              <w:rPr>
                <w:rFonts w:cs="Times New Roman"/>
                <w:i/>
                <w:iCs/>
                <w:sz w:val="16"/>
                <w:szCs w:val="20"/>
              </w:rPr>
            </w:pPr>
            <w:r w:rsidRPr="00CD732B">
              <w:rPr>
                <w:rFonts w:cs="Times New Roman"/>
                <w:bCs/>
                <w:i/>
                <w:iCs/>
                <w:sz w:val="16"/>
                <w:szCs w:val="20"/>
              </w:rPr>
              <w:t>Sexo</w:t>
            </w:r>
          </w:p>
        </w:tc>
        <w:tc>
          <w:tcPr>
            <w:tcW w:w="1418" w:type="dxa"/>
            <w:shd w:val="clear" w:color="auto" w:fill="auto"/>
            <w:vAlign w:val="bottom"/>
          </w:tcPr>
          <w:p w:rsidR="00D74294" w:rsidRPr="00CD732B" w:rsidRDefault="00D74294" w:rsidP="00CD732B">
            <w:pPr>
              <w:pStyle w:val="SingleTxtG"/>
              <w:spacing w:after="80" w:line="200" w:lineRule="exact"/>
              <w:ind w:left="0" w:right="28"/>
              <w:jc w:val="right"/>
              <w:rPr>
                <w:rFonts w:cs="Times New Roman"/>
                <w:i/>
                <w:iCs/>
                <w:sz w:val="16"/>
                <w:szCs w:val="20"/>
              </w:rPr>
            </w:pPr>
            <w:r w:rsidRPr="00CD732B">
              <w:rPr>
                <w:rFonts w:cs="Times New Roman"/>
                <w:bCs/>
                <w:i/>
                <w:iCs/>
                <w:sz w:val="16"/>
                <w:szCs w:val="20"/>
              </w:rPr>
              <w:t>Menores de 15 años</w:t>
            </w:r>
          </w:p>
        </w:tc>
        <w:tc>
          <w:tcPr>
            <w:tcW w:w="1276" w:type="dxa"/>
            <w:shd w:val="clear" w:color="auto" w:fill="auto"/>
            <w:vAlign w:val="bottom"/>
          </w:tcPr>
          <w:p w:rsidR="00D74294" w:rsidRPr="00CD732B" w:rsidRDefault="00D74294" w:rsidP="00CD732B">
            <w:pPr>
              <w:pStyle w:val="SingleTxtG"/>
              <w:spacing w:after="80" w:line="200" w:lineRule="exact"/>
              <w:ind w:left="0" w:right="28"/>
              <w:jc w:val="right"/>
              <w:rPr>
                <w:rFonts w:cs="Times New Roman"/>
                <w:i/>
                <w:iCs/>
                <w:sz w:val="16"/>
                <w:szCs w:val="20"/>
              </w:rPr>
            </w:pPr>
            <w:r w:rsidRPr="00CD732B">
              <w:rPr>
                <w:rFonts w:cs="Times New Roman"/>
                <w:bCs/>
                <w:i/>
                <w:iCs/>
                <w:sz w:val="16"/>
                <w:szCs w:val="20"/>
              </w:rPr>
              <w:t>De 15 a 64 años</w:t>
            </w:r>
            <w:r w:rsidRPr="00CD732B">
              <w:rPr>
                <w:rFonts w:cs="Times New Roman"/>
                <w:i/>
                <w:sz w:val="16"/>
                <w:szCs w:val="20"/>
              </w:rPr>
              <w:t xml:space="preserve"> </w:t>
            </w:r>
          </w:p>
        </w:tc>
        <w:tc>
          <w:tcPr>
            <w:tcW w:w="1701" w:type="dxa"/>
            <w:shd w:val="clear" w:color="auto" w:fill="auto"/>
            <w:vAlign w:val="bottom"/>
          </w:tcPr>
          <w:p w:rsidR="00D74294" w:rsidRPr="00CD732B" w:rsidRDefault="00D74294" w:rsidP="00CD732B">
            <w:pPr>
              <w:pStyle w:val="SingleTxtG"/>
              <w:spacing w:after="80" w:line="200" w:lineRule="exact"/>
              <w:ind w:left="0" w:right="28"/>
              <w:jc w:val="right"/>
              <w:rPr>
                <w:rFonts w:cs="Times New Roman"/>
                <w:i/>
                <w:iCs/>
                <w:sz w:val="16"/>
                <w:szCs w:val="20"/>
              </w:rPr>
            </w:pPr>
            <w:r w:rsidRPr="00CD732B">
              <w:rPr>
                <w:rFonts w:cs="Times New Roman"/>
                <w:bCs/>
                <w:i/>
                <w:iCs/>
                <w:sz w:val="16"/>
                <w:szCs w:val="20"/>
              </w:rPr>
              <w:t>De 65 años en adelante</w:t>
            </w:r>
          </w:p>
        </w:tc>
        <w:tc>
          <w:tcPr>
            <w:tcW w:w="707" w:type="dxa"/>
            <w:shd w:val="clear" w:color="auto" w:fill="auto"/>
            <w:vAlign w:val="bottom"/>
          </w:tcPr>
          <w:p w:rsidR="00D74294" w:rsidRPr="00CD732B" w:rsidRDefault="00D74294" w:rsidP="00CD732B">
            <w:pPr>
              <w:pStyle w:val="SingleTxtG"/>
              <w:spacing w:after="80" w:line="200" w:lineRule="exact"/>
              <w:ind w:left="0" w:right="28"/>
              <w:jc w:val="right"/>
              <w:rPr>
                <w:rFonts w:cs="Times New Roman"/>
                <w:bCs/>
                <w:i/>
                <w:iCs/>
                <w:sz w:val="16"/>
                <w:szCs w:val="20"/>
              </w:rPr>
            </w:pPr>
            <w:r w:rsidRPr="00CD732B">
              <w:rPr>
                <w:rFonts w:cs="Times New Roman"/>
                <w:bCs/>
                <w:i/>
                <w:iCs/>
                <w:sz w:val="16"/>
                <w:szCs w:val="20"/>
              </w:rPr>
              <w:t>Total</w:t>
            </w:r>
          </w:p>
        </w:tc>
      </w:tr>
      <w:tr w:rsidR="00CD732B" w:rsidRPr="00CD732B" w:rsidTr="009C6705">
        <w:trPr>
          <w:trHeight w:val="240"/>
          <w:jc w:val="left"/>
        </w:trPr>
        <w:tc>
          <w:tcPr>
            <w:tcW w:w="1275" w:type="dxa"/>
            <w:tcBorders>
              <w:top w:val="single" w:sz="12" w:space="0" w:color="auto"/>
            </w:tcBorders>
            <w:shd w:val="clear" w:color="auto" w:fill="auto"/>
          </w:tcPr>
          <w:p w:rsidR="00D74294" w:rsidRPr="00CD732B" w:rsidRDefault="00D74294" w:rsidP="00CD732B">
            <w:pPr>
              <w:pStyle w:val="SingleTxtG"/>
              <w:spacing w:before="40" w:after="40" w:line="220" w:lineRule="exact"/>
              <w:ind w:left="0" w:right="0"/>
              <w:jc w:val="left"/>
              <w:rPr>
                <w:rFonts w:cs="Times New Roman"/>
                <w:szCs w:val="20"/>
              </w:rPr>
            </w:pPr>
            <w:r w:rsidRPr="00CD732B">
              <w:rPr>
                <w:rFonts w:cs="Times New Roman"/>
                <w:szCs w:val="20"/>
              </w:rPr>
              <w:t>Qataríes</w:t>
            </w:r>
          </w:p>
        </w:tc>
        <w:tc>
          <w:tcPr>
            <w:tcW w:w="993" w:type="dxa"/>
            <w:tcBorders>
              <w:top w:val="single" w:sz="12" w:space="0" w:color="auto"/>
            </w:tcBorders>
            <w:shd w:val="clear" w:color="auto" w:fill="auto"/>
            <w:vAlign w:val="bottom"/>
          </w:tcPr>
          <w:p w:rsidR="00D74294" w:rsidRPr="00CD732B" w:rsidRDefault="00D74294" w:rsidP="00CD732B">
            <w:pPr>
              <w:pStyle w:val="SingleTxtG"/>
              <w:spacing w:before="40" w:after="40" w:line="220" w:lineRule="exact"/>
              <w:ind w:left="28" w:right="0"/>
              <w:jc w:val="left"/>
              <w:rPr>
                <w:rFonts w:cs="Times New Roman"/>
                <w:szCs w:val="20"/>
              </w:rPr>
            </w:pPr>
            <w:r w:rsidRPr="00CD732B">
              <w:rPr>
                <w:rFonts w:cs="Times New Roman"/>
                <w:szCs w:val="20"/>
              </w:rPr>
              <w:t>Mujeres</w:t>
            </w:r>
          </w:p>
        </w:tc>
        <w:tc>
          <w:tcPr>
            <w:tcW w:w="1418" w:type="dxa"/>
            <w:tcBorders>
              <w:top w:val="single" w:sz="12" w:space="0" w:color="auto"/>
            </w:tcBorders>
            <w:shd w:val="clear" w:color="auto" w:fill="auto"/>
            <w:vAlign w:val="bottom"/>
          </w:tcPr>
          <w:p w:rsidR="00D74294" w:rsidRPr="00CD732B" w:rsidRDefault="00D74294" w:rsidP="00CD732B">
            <w:pPr>
              <w:pStyle w:val="SingleTxtG"/>
              <w:spacing w:before="40" w:after="40" w:line="220" w:lineRule="exact"/>
              <w:ind w:left="0" w:right="28"/>
              <w:jc w:val="right"/>
              <w:rPr>
                <w:rFonts w:cs="Times New Roman"/>
                <w:szCs w:val="20"/>
              </w:rPr>
            </w:pPr>
            <w:r w:rsidRPr="00CD732B">
              <w:rPr>
                <w:rFonts w:cs="Times New Roman"/>
                <w:szCs w:val="20"/>
              </w:rPr>
              <w:t>36,5</w:t>
            </w:r>
          </w:p>
        </w:tc>
        <w:tc>
          <w:tcPr>
            <w:tcW w:w="1276" w:type="dxa"/>
            <w:tcBorders>
              <w:top w:val="single" w:sz="12" w:space="0" w:color="auto"/>
            </w:tcBorders>
            <w:shd w:val="clear" w:color="auto" w:fill="auto"/>
            <w:vAlign w:val="bottom"/>
          </w:tcPr>
          <w:p w:rsidR="00D74294" w:rsidRPr="00CD732B" w:rsidRDefault="00D74294" w:rsidP="00CD732B">
            <w:pPr>
              <w:pStyle w:val="SingleTxtG"/>
              <w:spacing w:before="40" w:after="40" w:line="220" w:lineRule="exact"/>
              <w:ind w:left="0" w:right="28"/>
              <w:jc w:val="right"/>
              <w:rPr>
                <w:rFonts w:cs="Times New Roman"/>
                <w:szCs w:val="20"/>
              </w:rPr>
            </w:pPr>
            <w:r w:rsidRPr="00CD732B">
              <w:rPr>
                <w:rFonts w:cs="Times New Roman"/>
                <w:szCs w:val="20"/>
              </w:rPr>
              <w:t>59,8</w:t>
            </w:r>
          </w:p>
        </w:tc>
        <w:tc>
          <w:tcPr>
            <w:tcW w:w="1701" w:type="dxa"/>
            <w:tcBorders>
              <w:top w:val="single" w:sz="12" w:space="0" w:color="auto"/>
            </w:tcBorders>
            <w:shd w:val="clear" w:color="auto" w:fill="auto"/>
            <w:vAlign w:val="bottom"/>
          </w:tcPr>
          <w:p w:rsidR="00D74294" w:rsidRPr="00CD732B" w:rsidRDefault="00D74294" w:rsidP="00CD732B">
            <w:pPr>
              <w:pStyle w:val="SingleTxtG"/>
              <w:spacing w:before="40" w:after="40" w:line="220" w:lineRule="exact"/>
              <w:ind w:left="0" w:right="28"/>
              <w:jc w:val="right"/>
              <w:rPr>
                <w:rFonts w:cs="Times New Roman"/>
                <w:szCs w:val="20"/>
              </w:rPr>
            </w:pPr>
            <w:r w:rsidRPr="00CD732B">
              <w:rPr>
                <w:rFonts w:cs="Times New Roman"/>
                <w:szCs w:val="20"/>
              </w:rPr>
              <w:t>3,7</w:t>
            </w:r>
          </w:p>
        </w:tc>
        <w:tc>
          <w:tcPr>
            <w:tcW w:w="707" w:type="dxa"/>
            <w:tcBorders>
              <w:top w:val="single" w:sz="12" w:space="0" w:color="auto"/>
            </w:tcBorders>
            <w:shd w:val="clear" w:color="auto" w:fill="auto"/>
            <w:vAlign w:val="bottom"/>
          </w:tcPr>
          <w:p w:rsidR="00D74294" w:rsidRPr="00CD732B" w:rsidRDefault="00D74294" w:rsidP="00CD732B">
            <w:pPr>
              <w:pStyle w:val="SingleTxtG"/>
              <w:spacing w:before="40" w:after="40" w:line="220" w:lineRule="exact"/>
              <w:ind w:left="0" w:right="28"/>
              <w:jc w:val="right"/>
              <w:rPr>
                <w:rFonts w:cs="Times New Roman"/>
                <w:bCs/>
                <w:szCs w:val="20"/>
              </w:rPr>
            </w:pPr>
            <w:r w:rsidRPr="00CD732B">
              <w:rPr>
                <w:rFonts w:cs="Times New Roman"/>
                <w:bCs/>
                <w:szCs w:val="20"/>
              </w:rPr>
              <w:t>100</w:t>
            </w:r>
          </w:p>
        </w:tc>
      </w:tr>
      <w:tr w:rsidR="00CD732B" w:rsidRPr="00CD732B" w:rsidTr="009C6705">
        <w:trPr>
          <w:trHeight w:val="240"/>
          <w:jc w:val="left"/>
        </w:trPr>
        <w:tc>
          <w:tcPr>
            <w:tcW w:w="1275" w:type="dxa"/>
            <w:shd w:val="clear" w:color="auto" w:fill="auto"/>
          </w:tcPr>
          <w:p w:rsidR="00D74294" w:rsidRPr="00CD732B" w:rsidRDefault="00D74294" w:rsidP="00CD732B">
            <w:pPr>
              <w:pStyle w:val="SingleTxtG"/>
              <w:spacing w:before="40" w:after="40" w:line="220" w:lineRule="exact"/>
              <w:ind w:left="0" w:right="0"/>
              <w:jc w:val="left"/>
              <w:rPr>
                <w:rFonts w:cs="Times New Roman"/>
                <w:szCs w:val="20"/>
              </w:rPr>
            </w:pPr>
          </w:p>
        </w:tc>
        <w:tc>
          <w:tcPr>
            <w:tcW w:w="993" w:type="dxa"/>
            <w:shd w:val="clear" w:color="auto" w:fill="auto"/>
            <w:vAlign w:val="bottom"/>
          </w:tcPr>
          <w:p w:rsidR="00D74294" w:rsidRPr="00CD732B" w:rsidRDefault="00D74294" w:rsidP="00CD732B">
            <w:pPr>
              <w:pStyle w:val="SingleTxtG"/>
              <w:spacing w:before="40" w:after="40" w:line="220" w:lineRule="exact"/>
              <w:ind w:left="28" w:right="0"/>
              <w:jc w:val="left"/>
              <w:rPr>
                <w:rFonts w:cs="Times New Roman"/>
                <w:szCs w:val="20"/>
              </w:rPr>
            </w:pPr>
            <w:r w:rsidRPr="00CD732B">
              <w:rPr>
                <w:rFonts w:cs="Times New Roman"/>
                <w:szCs w:val="20"/>
              </w:rPr>
              <w:t>Hombres</w:t>
            </w:r>
          </w:p>
        </w:tc>
        <w:tc>
          <w:tcPr>
            <w:tcW w:w="1418" w:type="dxa"/>
            <w:shd w:val="clear" w:color="auto" w:fill="auto"/>
            <w:vAlign w:val="bottom"/>
          </w:tcPr>
          <w:p w:rsidR="00D74294" w:rsidRPr="00CD732B" w:rsidRDefault="00D74294" w:rsidP="00CD732B">
            <w:pPr>
              <w:pStyle w:val="SingleTxtG"/>
              <w:spacing w:before="40" w:after="40" w:line="220" w:lineRule="exact"/>
              <w:ind w:left="0" w:right="28"/>
              <w:jc w:val="right"/>
              <w:rPr>
                <w:rFonts w:cs="Times New Roman"/>
                <w:szCs w:val="20"/>
              </w:rPr>
            </w:pPr>
            <w:r w:rsidRPr="00CD732B">
              <w:rPr>
                <w:rFonts w:cs="Times New Roman"/>
                <w:szCs w:val="20"/>
              </w:rPr>
              <w:t>38,9</w:t>
            </w:r>
          </w:p>
        </w:tc>
        <w:tc>
          <w:tcPr>
            <w:tcW w:w="1276" w:type="dxa"/>
            <w:shd w:val="clear" w:color="auto" w:fill="auto"/>
            <w:vAlign w:val="bottom"/>
          </w:tcPr>
          <w:p w:rsidR="00D74294" w:rsidRPr="00CD732B" w:rsidRDefault="00D74294" w:rsidP="00CD732B">
            <w:pPr>
              <w:pStyle w:val="SingleTxtG"/>
              <w:spacing w:before="40" w:after="40" w:line="220" w:lineRule="exact"/>
              <w:ind w:left="0" w:right="28"/>
              <w:jc w:val="right"/>
              <w:rPr>
                <w:rFonts w:cs="Times New Roman"/>
                <w:szCs w:val="20"/>
              </w:rPr>
            </w:pPr>
            <w:r w:rsidRPr="00CD732B">
              <w:rPr>
                <w:rFonts w:cs="Times New Roman"/>
                <w:szCs w:val="20"/>
              </w:rPr>
              <w:t>57,8</w:t>
            </w:r>
          </w:p>
        </w:tc>
        <w:tc>
          <w:tcPr>
            <w:tcW w:w="1701" w:type="dxa"/>
            <w:shd w:val="clear" w:color="auto" w:fill="auto"/>
            <w:vAlign w:val="bottom"/>
          </w:tcPr>
          <w:p w:rsidR="00D74294" w:rsidRPr="00CD732B" w:rsidRDefault="00D74294" w:rsidP="00CD732B">
            <w:pPr>
              <w:pStyle w:val="SingleTxtG"/>
              <w:spacing w:before="40" w:after="40" w:line="220" w:lineRule="exact"/>
              <w:ind w:left="0" w:right="28"/>
              <w:jc w:val="right"/>
              <w:rPr>
                <w:rFonts w:cs="Times New Roman"/>
                <w:szCs w:val="20"/>
              </w:rPr>
            </w:pPr>
            <w:r w:rsidRPr="00CD732B">
              <w:rPr>
                <w:rFonts w:cs="Times New Roman"/>
                <w:szCs w:val="20"/>
              </w:rPr>
              <w:t>3,3</w:t>
            </w:r>
          </w:p>
        </w:tc>
        <w:tc>
          <w:tcPr>
            <w:tcW w:w="707" w:type="dxa"/>
            <w:shd w:val="clear" w:color="auto" w:fill="auto"/>
            <w:vAlign w:val="bottom"/>
          </w:tcPr>
          <w:p w:rsidR="00D74294" w:rsidRPr="00CD732B" w:rsidRDefault="00D74294" w:rsidP="00CD732B">
            <w:pPr>
              <w:pStyle w:val="SingleTxtG"/>
              <w:spacing w:before="40" w:after="40" w:line="220" w:lineRule="exact"/>
              <w:ind w:left="0" w:right="28"/>
              <w:jc w:val="right"/>
              <w:rPr>
                <w:rFonts w:cs="Times New Roman"/>
                <w:bCs/>
                <w:szCs w:val="20"/>
              </w:rPr>
            </w:pPr>
            <w:r w:rsidRPr="00CD732B">
              <w:rPr>
                <w:rFonts w:cs="Times New Roman"/>
                <w:bCs/>
                <w:szCs w:val="20"/>
              </w:rPr>
              <w:t>100</w:t>
            </w:r>
          </w:p>
        </w:tc>
      </w:tr>
      <w:tr w:rsidR="00CD732B" w:rsidRPr="00CD732B" w:rsidTr="009C6705">
        <w:trPr>
          <w:trHeight w:val="240"/>
          <w:jc w:val="left"/>
        </w:trPr>
        <w:tc>
          <w:tcPr>
            <w:tcW w:w="1275" w:type="dxa"/>
            <w:shd w:val="clear" w:color="auto" w:fill="auto"/>
          </w:tcPr>
          <w:p w:rsidR="00D74294" w:rsidRPr="00CD732B" w:rsidRDefault="00D74294" w:rsidP="00CD732B">
            <w:pPr>
              <w:pStyle w:val="SingleTxtG"/>
              <w:spacing w:before="40" w:after="40" w:line="220" w:lineRule="exact"/>
              <w:ind w:left="0" w:right="0"/>
              <w:jc w:val="left"/>
              <w:rPr>
                <w:rFonts w:cs="Times New Roman"/>
                <w:szCs w:val="20"/>
              </w:rPr>
            </w:pPr>
            <w:r w:rsidRPr="00CD732B">
              <w:rPr>
                <w:rFonts w:cs="Times New Roman"/>
                <w:szCs w:val="20"/>
              </w:rPr>
              <w:t>No qataríes</w:t>
            </w:r>
          </w:p>
        </w:tc>
        <w:tc>
          <w:tcPr>
            <w:tcW w:w="993" w:type="dxa"/>
            <w:shd w:val="clear" w:color="auto" w:fill="auto"/>
            <w:vAlign w:val="bottom"/>
          </w:tcPr>
          <w:p w:rsidR="00D74294" w:rsidRPr="00CD732B" w:rsidRDefault="00D74294" w:rsidP="00CD732B">
            <w:pPr>
              <w:pStyle w:val="SingleTxtG"/>
              <w:spacing w:before="40" w:after="40" w:line="220" w:lineRule="exact"/>
              <w:ind w:left="28" w:right="0"/>
              <w:jc w:val="left"/>
              <w:rPr>
                <w:rFonts w:cs="Times New Roman"/>
                <w:szCs w:val="20"/>
              </w:rPr>
            </w:pPr>
            <w:r w:rsidRPr="00CD732B">
              <w:rPr>
                <w:rFonts w:cs="Times New Roman"/>
                <w:szCs w:val="20"/>
              </w:rPr>
              <w:t>Mujeres</w:t>
            </w:r>
          </w:p>
        </w:tc>
        <w:tc>
          <w:tcPr>
            <w:tcW w:w="1418" w:type="dxa"/>
            <w:shd w:val="clear" w:color="auto" w:fill="auto"/>
            <w:vAlign w:val="bottom"/>
          </w:tcPr>
          <w:p w:rsidR="00D74294" w:rsidRPr="00CD732B" w:rsidRDefault="00D74294" w:rsidP="00CD732B">
            <w:pPr>
              <w:pStyle w:val="SingleTxtG"/>
              <w:spacing w:before="40" w:after="40" w:line="220" w:lineRule="exact"/>
              <w:ind w:left="0" w:right="28"/>
              <w:jc w:val="right"/>
              <w:rPr>
                <w:rFonts w:cs="Times New Roman"/>
                <w:szCs w:val="20"/>
              </w:rPr>
            </w:pPr>
            <w:r w:rsidRPr="00CD732B">
              <w:rPr>
                <w:rFonts w:cs="Times New Roman"/>
                <w:szCs w:val="20"/>
              </w:rPr>
              <w:t>24,5</w:t>
            </w:r>
          </w:p>
        </w:tc>
        <w:tc>
          <w:tcPr>
            <w:tcW w:w="1276" w:type="dxa"/>
            <w:shd w:val="clear" w:color="auto" w:fill="auto"/>
            <w:vAlign w:val="bottom"/>
          </w:tcPr>
          <w:p w:rsidR="00D74294" w:rsidRPr="00CD732B" w:rsidRDefault="00D74294" w:rsidP="00CD732B">
            <w:pPr>
              <w:pStyle w:val="SingleTxtG"/>
              <w:spacing w:before="40" w:after="40" w:line="220" w:lineRule="exact"/>
              <w:ind w:left="0" w:right="28"/>
              <w:jc w:val="right"/>
              <w:rPr>
                <w:rFonts w:cs="Times New Roman"/>
                <w:szCs w:val="20"/>
              </w:rPr>
            </w:pPr>
            <w:r w:rsidRPr="00CD732B">
              <w:rPr>
                <w:rFonts w:cs="Times New Roman"/>
                <w:szCs w:val="20"/>
              </w:rPr>
              <w:t>74,5</w:t>
            </w:r>
          </w:p>
        </w:tc>
        <w:tc>
          <w:tcPr>
            <w:tcW w:w="1701" w:type="dxa"/>
            <w:shd w:val="clear" w:color="auto" w:fill="auto"/>
            <w:vAlign w:val="bottom"/>
          </w:tcPr>
          <w:p w:rsidR="00D74294" w:rsidRPr="00CD732B" w:rsidRDefault="00D74294" w:rsidP="00CD732B">
            <w:pPr>
              <w:pStyle w:val="SingleTxtG"/>
              <w:spacing w:before="40" w:after="40" w:line="220" w:lineRule="exact"/>
              <w:ind w:left="0" w:right="28"/>
              <w:jc w:val="right"/>
              <w:rPr>
                <w:rFonts w:cs="Times New Roman"/>
                <w:szCs w:val="20"/>
              </w:rPr>
            </w:pPr>
            <w:r w:rsidRPr="00CD732B">
              <w:rPr>
                <w:rFonts w:cs="Times New Roman"/>
                <w:szCs w:val="20"/>
              </w:rPr>
              <w:t>1,0</w:t>
            </w:r>
          </w:p>
        </w:tc>
        <w:tc>
          <w:tcPr>
            <w:tcW w:w="707" w:type="dxa"/>
            <w:shd w:val="clear" w:color="auto" w:fill="auto"/>
            <w:vAlign w:val="bottom"/>
          </w:tcPr>
          <w:p w:rsidR="00D74294" w:rsidRPr="00CD732B" w:rsidRDefault="00D74294" w:rsidP="00CD732B">
            <w:pPr>
              <w:pStyle w:val="SingleTxtG"/>
              <w:spacing w:before="40" w:after="40" w:line="220" w:lineRule="exact"/>
              <w:ind w:left="0" w:right="28"/>
              <w:jc w:val="right"/>
              <w:rPr>
                <w:rFonts w:cs="Times New Roman"/>
                <w:bCs/>
                <w:szCs w:val="20"/>
              </w:rPr>
            </w:pPr>
            <w:r w:rsidRPr="00CD732B">
              <w:rPr>
                <w:rFonts w:cs="Times New Roman"/>
                <w:bCs/>
                <w:szCs w:val="20"/>
              </w:rPr>
              <w:t>100</w:t>
            </w:r>
          </w:p>
        </w:tc>
      </w:tr>
      <w:tr w:rsidR="00CD732B" w:rsidRPr="00CD732B" w:rsidTr="006A175E">
        <w:trPr>
          <w:trHeight w:val="240"/>
          <w:jc w:val="left"/>
        </w:trPr>
        <w:tc>
          <w:tcPr>
            <w:tcW w:w="1275" w:type="dxa"/>
            <w:tcBorders>
              <w:bottom w:val="single" w:sz="4" w:space="0" w:color="auto"/>
            </w:tcBorders>
            <w:shd w:val="clear" w:color="auto" w:fill="auto"/>
          </w:tcPr>
          <w:p w:rsidR="00D74294" w:rsidRPr="00CD732B" w:rsidRDefault="00D74294" w:rsidP="00CD732B">
            <w:pPr>
              <w:pStyle w:val="SingleTxtG"/>
              <w:spacing w:before="40" w:after="40" w:line="220" w:lineRule="exact"/>
              <w:ind w:left="0" w:right="0"/>
              <w:jc w:val="left"/>
              <w:rPr>
                <w:rFonts w:cs="Times New Roman"/>
                <w:szCs w:val="20"/>
              </w:rPr>
            </w:pPr>
          </w:p>
        </w:tc>
        <w:tc>
          <w:tcPr>
            <w:tcW w:w="993" w:type="dxa"/>
            <w:tcBorders>
              <w:bottom w:val="single" w:sz="4" w:space="0" w:color="auto"/>
            </w:tcBorders>
            <w:shd w:val="clear" w:color="auto" w:fill="auto"/>
            <w:vAlign w:val="bottom"/>
          </w:tcPr>
          <w:p w:rsidR="00D74294" w:rsidRPr="00CD732B" w:rsidRDefault="00D74294" w:rsidP="00CD732B">
            <w:pPr>
              <w:pStyle w:val="SingleTxtG"/>
              <w:spacing w:before="40" w:after="40" w:line="220" w:lineRule="exact"/>
              <w:ind w:left="28" w:right="0"/>
              <w:jc w:val="left"/>
              <w:rPr>
                <w:rFonts w:cs="Times New Roman"/>
                <w:szCs w:val="20"/>
              </w:rPr>
            </w:pPr>
            <w:r w:rsidRPr="00CD732B">
              <w:rPr>
                <w:rFonts w:cs="Times New Roman"/>
                <w:szCs w:val="20"/>
              </w:rPr>
              <w:t>Hombres</w:t>
            </w:r>
          </w:p>
        </w:tc>
        <w:tc>
          <w:tcPr>
            <w:tcW w:w="1418" w:type="dxa"/>
            <w:tcBorders>
              <w:bottom w:val="single" w:sz="4" w:space="0" w:color="auto"/>
            </w:tcBorders>
            <w:shd w:val="clear" w:color="auto" w:fill="auto"/>
            <w:vAlign w:val="bottom"/>
          </w:tcPr>
          <w:p w:rsidR="00D74294" w:rsidRPr="00CD732B" w:rsidRDefault="00D74294" w:rsidP="00CD732B">
            <w:pPr>
              <w:pStyle w:val="SingleTxtG"/>
              <w:spacing w:before="40" w:after="40" w:line="220" w:lineRule="exact"/>
              <w:ind w:left="0" w:right="28"/>
              <w:jc w:val="right"/>
              <w:rPr>
                <w:rFonts w:cs="Times New Roman"/>
                <w:szCs w:val="20"/>
              </w:rPr>
            </w:pPr>
            <w:r w:rsidRPr="00CD732B">
              <w:rPr>
                <w:rFonts w:cs="Times New Roman"/>
                <w:szCs w:val="20"/>
              </w:rPr>
              <w:t>6,9</w:t>
            </w:r>
          </w:p>
        </w:tc>
        <w:tc>
          <w:tcPr>
            <w:tcW w:w="1276" w:type="dxa"/>
            <w:tcBorders>
              <w:bottom w:val="single" w:sz="4" w:space="0" w:color="auto"/>
            </w:tcBorders>
            <w:shd w:val="clear" w:color="auto" w:fill="auto"/>
            <w:vAlign w:val="bottom"/>
          </w:tcPr>
          <w:p w:rsidR="00D74294" w:rsidRPr="00CD732B" w:rsidRDefault="00D74294" w:rsidP="00CD732B">
            <w:pPr>
              <w:pStyle w:val="SingleTxtG"/>
              <w:spacing w:before="40" w:after="40" w:line="220" w:lineRule="exact"/>
              <w:ind w:left="0" w:right="28"/>
              <w:jc w:val="right"/>
              <w:rPr>
                <w:rFonts w:cs="Times New Roman"/>
                <w:szCs w:val="20"/>
              </w:rPr>
            </w:pPr>
            <w:r w:rsidRPr="00CD732B">
              <w:rPr>
                <w:rFonts w:cs="Times New Roman"/>
                <w:szCs w:val="20"/>
              </w:rPr>
              <w:t>92,4</w:t>
            </w:r>
          </w:p>
        </w:tc>
        <w:tc>
          <w:tcPr>
            <w:tcW w:w="1701" w:type="dxa"/>
            <w:tcBorders>
              <w:bottom w:val="single" w:sz="4" w:space="0" w:color="auto"/>
            </w:tcBorders>
            <w:shd w:val="clear" w:color="auto" w:fill="auto"/>
            <w:vAlign w:val="bottom"/>
          </w:tcPr>
          <w:p w:rsidR="00D74294" w:rsidRPr="00CD732B" w:rsidRDefault="00D74294" w:rsidP="00CD732B">
            <w:pPr>
              <w:pStyle w:val="SingleTxtG"/>
              <w:spacing w:before="40" w:after="40" w:line="220" w:lineRule="exact"/>
              <w:ind w:left="0" w:right="28"/>
              <w:jc w:val="right"/>
              <w:rPr>
                <w:rFonts w:cs="Times New Roman"/>
                <w:szCs w:val="20"/>
              </w:rPr>
            </w:pPr>
            <w:r w:rsidRPr="00CD732B">
              <w:rPr>
                <w:rFonts w:cs="Times New Roman"/>
                <w:szCs w:val="20"/>
              </w:rPr>
              <w:t>0,7</w:t>
            </w:r>
          </w:p>
        </w:tc>
        <w:tc>
          <w:tcPr>
            <w:tcW w:w="707" w:type="dxa"/>
            <w:tcBorders>
              <w:bottom w:val="single" w:sz="4" w:space="0" w:color="auto"/>
            </w:tcBorders>
            <w:shd w:val="clear" w:color="auto" w:fill="auto"/>
            <w:vAlign w:val="bottom"/>
          </w:tcPr>
          <w:p w:rsidR="00D74294" w:rsidRPr="00CD732B" w:rsidRDefault="00D74294" w:rsidP="00CD732B">
            <w:pPr>
              <w:pStyle w:val="SingleTxtG"/>
              <w:spacing w:before="40" w:after="40" w:line="220" w:lineRule="exact"/>
              <w:ind w:left="0" w:right="28"/>
              <w:jc w:val="right"/>
              <w:rPr>
                <w:rFonts w:cs="Times New Roman"/>
                <w:bCs/>
                <w:szCs w:val="20"/>
              </w:rPr>
            </w:pPr>
            <w:r w:rsidRPr="00CD732B">
              <w:rPr>
                <w:rFonts w:cs="Times New Roman"/>
                <w:bCs/>
                <w:szCs w:val="20"/>
              </w:rPr>
              <w:t>100</w:t>
            </w:r>
          </w:p>
        </w:tc>
      </w:tr>
      <w:tr w:rsidR="006A175E" w:rsidRPr="006A175E" w:rsidTr="006A175E">
        <w:trPr>
          <w:trHeight w:val="240"/>
          <w:jc w:val="left"/>
        </w:trPr>
        <w:tc>
          <w:tcPr>
            <w:tcW w:w="1275" w:type="dxa"/>
            <w:vMerge w:val="restart"/>
            <w:tcBorders>
              <w:top w:val="single" w:sz="4" w:space="0" w:color="auto"/>
            </w:tcBorders>
            <w:shd w:val="clear" w:color="auto" w:fill="auto"/>
            <w:vAlign w:val="center"/>
          </w:tcPr>
          <w:p w:rsidR="006A175E" w:rsidRPr="006A175E" w:rsidRDefault="006A175E" w:rsidP="006A175E">
            <w:pPr>
              <w:pStyle w:val="SingleTxtG"/>
              <w:spacing w:after="80" w:line="220" w:lineRule="exact"/>
              <w:ind w:left="283" w:right="0"/>
              <w:jc w:val="left"/>
              <w:rPr>
                <w:rFonts w:cs="Times New Roman"/>
                <w:b/>
                <w:bCs/>
                <w:szCs w:val="20"/>
              </w:rPr>
            </w:pPr>
            <w:r w:rsidRPr="006A175E">
              <w:rPr>
                <w:rFonts w:cs="Times New Roman"/>
                <w:b/>
                <w:bCs/>
                <w:szCs w:val="20"/>
              </w:rPr>
              <w:t>Total</w:t>
            </w:r>
          </w:p>
        </w:tc>
        <w:tc>
          <w:tcPr>
            <w:tcW w:w="993" w:type="dxa"/>
            <w:tcBorders>
              <w:top w:val="single" w:sz="4" w:space="0" w:color="auto"/>
              <w:bottom w:val="single" w:sz="4" w:space="0" w:color="auto"/>
            </w:tcBorders>
            <w:shd w:val="clear" w:color="auto" w:fill="auto"/>
            <w:vAlign w:val="bottom"/>
          </w:tcPr>
          <w:p w:rsidR="006A175E" w:rsidRPr="006A175E" w:rsidRDefault="006A175E" w:rsidP="006A175E">
            <w:pPr>
              <w:pStyle w:val="SingleTxtG"/>
              <w:spacing w:after="80" w:line="220" w:lineRule="exact"/>
              <w:ind w:left="0" w:right="0"/>
              <w:jc w:val="left"/>
              <w:rPr>
                <w:rFonts w:cs="Times New Roman"/>
                <w:b/>
                <w:bCs/>
                <w:szCs w:val="20"/>
              </w:rPr>
            </w:pPr>
            <w:r w:rsidRPr="006A175E">
              <w:rPr>
                <w:rFonts w:cs="Times New Roman"/>
                <w:b/>
                <w:bCs/>
                <w:szCs w:val="20"/>
              </w:rPr>
              <w:t>Mujeres</w:t>
            </w:r>
          </w:p>
        </w:tc>
        <w:tc>
          <w:tcPr>
            <w:tcW w:w="1418" w:type="dxa"/>
            <w:tcBorders>
              <w:top w:val="single" w:sz="4" w:space="0" w:color="auto"/>
              <w:bottom w:val="single" w:sz="4" w:space="0" w:color="auto"/>
            </w:tcBorders>
            <w:shd w:val="clear" w:color="auto" w:fill="auto"/>
            <w:vAlign w:val="bottom"/>
          </w:tcPr>
          <w:p w:rsidR="006A175E" w:rsidRPr="006A175E" w:rsidRDefault="006A175E" w:rsidP="006A175E">
            <w:pPr>
              <w:pStyle w:val="SingleTxtG"/>
              <w:spacing w:after="80" w:line="220" w:lineRule="exact"/>
              <w:ind w:left="0" w:right="28"/>
              <w:jc w:val="right"/>
              <w:rPr>
                <w:rFonts w:cs="Times New Roman"/>
                <w:b/>
                <w:bCs/>
                <w:szCs w:val="20"/>
              </w:rPr>
            </w:pPr>
            <w:r w:rsidRPr="006A175E">
              <w:rPr>
                <w:rFonts w:cs="Times New Roman"/>
                <w:b/>
                <w:bCs/>
                <w:szCs w:val="20"/>
              </w:rPr>
              <w:t>27,3</w:t>
            </w:r>
          </w:p>
        </w:tc>
        <w:tc>
          <w:tcPr>
            <w:tcW w:w="1276" w:type="dxa"/>
            <w:tcBorders>
              <w:top w:val="single" w:sz="4" w:space="0" w:color="auto"/>
              <w:bottom w:val="single" w:sz="4" w:space="0" w:color="auto"/>
            </w:tcBorders>
            <w:shd w:val="clear" w:color="auto" w:fill="auto"/>
            <w:vAlign w:val="bottom"/>
          </w:tcPr>
          <w:p w:rsidR="006A175E" w:rsidRPr="006A175E" w:rsidRDefault="006A175E" w:rsidP="006A175E">
            <w:pPr>
              <w:pStyle w:val="SingleTxtG"/>
              <w:spacing w:after="80" w:line="220" w:lineRule="exact"/>
              <w:ind w:left="0" w:right="28"/>
              <w:jc w:val="right"/>
              <w:rPr>
                <w:rFonts w:cs="Times New Roman"/>
                <w:b/>
                <w:bCs/>
                <w:szCs w:val="20"/>
              </w:rPr>
            </w:pPr>
            <w:r w:rsidRPr="006A175E">
              <w:rPr>
                <w:rFonts w:cs="Times New Roman"/>
                <w:b/>
                <w:bCs/>
                <w:szCs w:val="20"/>
              </w:rPr>
              <w:t>71,7</w:t>
            </w:r>
          </w:p>
        </w:tc>
        <w:tc>
          <w:tcPr>
            <w:tcW w:w="1701" w:type="dxa"/>
            <w:tcBorders>
              <w:top w:val="single" w:sz="4" w:space="0" w:color="auto"/>
              <w:bottom w:val="single" w:sz="4" w:space="0" w:color="auto"/>
            </w:tcBorders>
            <w:shd w:val="clear" w:color="auto" w:fill="auto"/>
            <w:vAlign w:val="bottom"/>
          </w:tcPr>
          <w:p w:rsidR="006A175E" w:rsidRPr="006A175E" w:rsidRDefault="006A175E" w:rsidP="006A175E">
            <w:pPr>
              <w:pStyle w:val="SingleTxtG"/>
              <w:spacing w:after="80" w:line="220" w:lineRule="exact"/>
              <w:ind w:left="0" w:right="28"/>
              <w:jc w:val="right"/>
              <w:rPr>
                <w:rFonts w:cs="Times New Roman"/>
                <w:b/>
                <w:bCs/>
                <w:szCs w:val="20"/>
              </w:rPr>
            </w:pPr>
            <w:r w:rsidRPr="006A175E">
              <w:rPr>
                <w:rFonts w:cs="Times New Roman"/>
                <w:b/>
                <w:bCs/>
                <w:szCs w:val="20"/>
              </w:rPr>
              <w:t>1,6</w:t>
            </w:r>
          </w:p>
        </w:tc>
        <w:tc>
          <w:tcPr>
            <w:tcW w:w="707" w:type="dxa"/>
            <w:tcBorders>
              <w:top w:val="single" w:sz="4" w:space="0" w:color="auto"/>
              <w:bottom w:val="single" w:sz="4" w:space="0" w:color="auto"/>
            </w:tcBorders>
            <w:shd w:val="clear" w:color="auto" w:fill="auto"/>
            <w:vAlign w:val="bottom"/>
          </w:tcPr>
          <w:p w:rsidR="006A175E" w:rsidRPr="006A175E" w:rsidRDefault="006A175E" w:rsidP="006A175E">
            <w:pPr>
              <w:pStyle w:val="SingleTxtG"/>
              <w:spacing w:after="80" w:line="220" w:lineRule="exact"/>
              <w:ind w:left="0" w:right="28"/>
              <w:jc w:val="right"/>
              <w:rPr>
                <w:rFonts w:cs="Times New Roman"/>
                <w:b/>
                <w:bCs/>
                <w:szCs w:val="20"/>
              </w:rPr>
            </w:pPr>
            <w:r w:rsidRPr="006A175E">
              <w:rPr>
                <w:rFonts w:cs="Times New Roman"/>
                <w:b/>
                <w:bCs/>
                <w:szCs w:val="20"/>
              </w:rPr>
              <w:t>100</w:t>
            </w:r>
          </w:p>
        </w:tc>
      </w:tr>
      <w:tr w:rsidR="006A175E" w:rsidRPr="006A175E" w:rsidTr="00695B94">
        <w:trPr>
          <w:trHeight w:val="240"/>
          <w:jc w:val="left"/>
        </w:trPr>
        <w:tc>
          <w:tcPr>
            <w:tcW w:w="1275" w:type="dxa"/>
            <w:vMerge/>
            <w:tcBorders>
              <w:bottom w:val="single" w:sz="12" w:space="0" w:color="auto"/>
            </w:tcBorders>
            <w:shd w:val="clear" w:color="auto" w:fill="auto"/>
          </w:tcPr>
          <w:p w:rsidR="006A175E" w:rsidRPr="006A175E" w:rsidRDefault="006A175E" w:rsidP="006A175E">
            <w:pPr>
              <w:pStyle w:val="SingleTxtG"/>
              <w:spacing w:after="80" w:line="220" w:lineRule="exact"/>
              <w:ind w:left="283" w:right="0"/>
              <w:jc w:val="left"/>
              <w:rPr>
                <w:rFonts w:cs="Times New Roman"/>
                <w:b/>
                <w:bCs/>
                <w:szCs w:val="20"/>
              </w:rPr>
            </w:pPr>
          </w:p>
        </w:tc>
        <w:tc>
          <w:tcPr>
            <w:tcW w:w="993" w:type="dxa"/>
            <w:tcBorders>
              <w:top w:val="single" w:sz="4" w:space="0" w:color="auto"/>
              <w:bottom w:val="single" w:sz="12" w:space="0" w:color="auto"/>
            </w:tcBorders>
            <w:shd w:val="clear" w:color="auto" w:fill="auto"/>
            <w:vAlign w:val="bottom"/>
          </w:tcPr>
          <w:p w:rsidR="006A175E" w:rsidRPr="006A175E" w:rsidRDefault="006A175E" w:rsidP="006A175E">
            <w:pPr>
              <w:pStyle w:val="SingleTxtG"/>
              <w:spacing w:after="80" w:line="220" w:lineRule="exact"/>
              <w:ind w:left="0" w:right="0"/>
              <w:jc w:val="left"/>
              <w:rPr>
                <w:rFonts w:cs="Times New Roman"/>
                <w:b/>
                <w:bCs/>
                <w:szCs w:val="20"/>
              </w:rPr>
            </w:pPr>
            <w:r w:rsidRPr="006A175E">
              <w:rPr>
                <w:rFonts w:cs="Times New Roman"/>
                <w:b/>
                <w:bCs/>
                <w:szCs w:val="20"/>
              </w:rPr>
              <w:t>Hombres</w:t>
            </w:r>
          </w:p>
        </w:tc>
        <w:tc>
          <w:tcPr>
            <w:tcW w:w="1418" w:type="dxa"/>
            <w:tcBorders>
              <w:top w:val="single" w:sz="4" w:space="0" w:color="auto"/>
              <w:bottom w:val="single" w:sz="12" w:space="0" w:color="auto"/>
            </w:tcBorders>
            <w:shd w:val="clear" w:color="auto" w:fill="auto"/>
            <w:vAlign w:val="bottom"/>
          </w:tcPr>
          <w:p w:rsidR="006A175E" w:rsidRPr="006A175E" w:rsidRDefault="006A175E" w:rsidP="006A175E">
            <w:pPr>
              <w:pStyle w:val="SingleTxtG"/>
              <w:spacing w:after="80" w:line="220" w:lineRule="exact"/>
              <w:ind w:left="0" w:right="28"/>
              <w:jc w:val="right"/>
              <w:rPr>
                <w:rFonts w:cs="Times New Roman"/>
                <w:b/>
                <w:bCs/>
                <w:szCs w:val="20"/>
              </w:rPr>
            </w:pPr>
            <w:r w:rsidRPr="006A175E">
              <w:rPr>
                <w:rFonts w:cs="Times New Roman"/>
                <w:b/>
                <w:bCs/>
                <w:szCs w:val="20"/>
              </w:rPr>
              <w:t>9,2</w:t>
            </w:r>
          </w:p>
        </w:tc>
        <w:tc>
          <w:tcPr>
            <w:tcW w:w="1276" w:type="dxa"/>
            <w:tcBorders>
              <w:top w:val="single" w:sz="4" w:space="0" w:color="auto"/>
              <w:bottom w:val="single" w:sz="12" w:space="0" w:color="auto"/>
            </w:tcBorders>
            <w:shd w:val="clear" w:color="auto" w:fill="auto"/>
            <w:vAlign w:val="bottom"/>
          </w:tcPr>
          <w:p w:rsidR="006A175E" w:rsidRPr="006A175E" w:rsidRDefault="006A175E" w:rsidP="006A175E">
            <w:pPr>
              <w:pStyle w:val="SingleTxtG"/>
              <w:spacing w:after="80" w:line="220" w:lineRule="exact"/>
              <w:ind w:left="0" w:right="28"/>
              <w:jc w:val="right"/>
              <w:rPr>
                <w:rFonts w:cs="Times New Roman"/>
                <w:b/>
                <w:bCs/>
                <w:szCs w:val="20"/>
              </w:rPr>
            </w:pPr>
            <w:r w:rsidRPr="006A175E">
              <w:rPr>
                <w:rFonts w:cs="Times New Roman"/>
                <w:b/>
                <w:bCs/>
                <w:szCs w:val="20"/>
              </w:rPr>
              <w:t>89,8</w:t>
            </w:r>
          </w:p>
        </w:tc>
        <w:tc>
          <w:tcPr>
            <w:tcW w:w="1701" w:type="dxa"/>
            <w:tcBorders>
              <w:top w:val="single" w:sz="4" w:space="0" w:color="auto"/>
              <w:bottom w:val="single" w:sz="12" w:space="0" w:color="auto"/>
            </w:tcBorders>
            <w:shd w:val="clear" w:color="auto" w:fill="auto"/>
            <w:vAlign w:val="bottom"/>
          </w:tcPr>
          <w:p w:rsidR="006A175E" w:rsidRPr="006A175E" w:rsidRDefault="006A175E" w:rsidP="006A175E">
            <w:pPr>
              <w:pStyle w:val="SingleTxtG"/>
              <w:spacing w:after="80" w:line="220" w:lineRule="exact"/>
              <w:ind w:left="0" w:right="28"/>
              <w:jc w:val="right"/>
              <w:rPr>
                <w:rFonts w:cs="Times New Roman"/>
                <w:b/>
                <w:bCs/>
                <w:szCs w:val="20"/>
              </w:rPr>
            </w:pPr>
            <w:r w:rsidRPr="006A175E">
              <w:rPr>
                <w:rFonts w:cs="Times New Roman"/>
                <w:b/>
                <w:bCs/>
                <w:szCs w:val="20"/>
              </w:rPr>
              <w:t>0,9</w:t>
            </w:r>
          </w:p>
        </w:tc>
        <w:tc>
          <w:tcPr>
            <w:tcW w:w="707" w:type="dxa"/>
            <w:tcBorders>
              <w:top w:val="single" w:sz="4" w:space="0" w:color="auto"/>
              <w:bottom w:val="single" w:sz="12" w:space="0" w:color="auto"/>
            </w:tcBorders>
            <w:shd w:val="clear" w:color="auto" w:fill="auto"/>
            <w:vAlign w:val="bottom"/>
          </w:tcPr>
          <w:p w:rsidR="006A175E" w:rsidRPr="006A175E" w:rsidRDefault="006A175E" w:rsidP="006A175E">
            <w:pPr>
              <w:pStyle w:val="SingleTxtG"/>
              <w:spacing w:after="80" w:line="220" w:lineRule="exact"/>
              <w:ind w:left="0" w:right="28"/>
              <w:jc w:val="right"/>
              <w:rPr>
                <w:rFonts w:cs="Times New Roman"/>
                <w:b/>
                <w:bCs/>
                <w:szCs w:val="20"/>
              </w:rPr>
            </w:pPr>
            <w:r w:rsidRPr="006A175E">
              <w:rPr>
                <w:rFonts w:cs="Times New Roman"/>
                <w:b/>
                <w:bCs/>
                <w:szCs w:val="20"/>
              </w:rPr>
              <w:t>100</w:t>
            </w:r>
          </w:p>
        </w:tc>
      </w:tr>
    </w:tbl>
    <w:p w:rsidR="00D74294" w:rsidRPr="00CD732B" w:rsidRDefault="00D74294" w:rsidP="00CD732B">
      <w:pPr>
        <w:pStyle w:val="SingleTxtG"/>
        <w:spacing w:before="120" w:after="240"/>
        <w:ind w:firstLine="170"/>
        <w:jc w:val="left"/>
        <w:rPr>
          <w:sz w:val="18"/>
        </w:rPr>
      </w:pPr>
      <w:r w:rsidRPr="00CD732B">
        <w:rPr>
          <w:i/>
          <w:iCs/>
          <w:sz w:val="18"/>
        </w:rPr>
        <w:t>Fuente:</w:t>
      </w:r>
      <w:r w:rsidR="00CD732B" w:rsidRPr="00CD732B">
        <w:rPr>
          <w:sz w:val="18"/>
        </w:rPr>
        <w:t xml:space="preserve"> </w:t>
      </w:r>
      <w:r w:rsidRPr="00CD732B">
        <w:rPr>
          <w:sz w:val="18"/>
        </w:rPr>
        <w:t>Ministerio de Planificación del Desarrollo y Estadísticas.</w:t>
      </w:r>
    </w:p>
    <w:p w:rsidR="00D74294" w:rsidRPr="00CD732B" w:rsidRDefault="00CD732B" w:rsidP="00CD732B">
      <w:pPr>
        <w:pStyle w:val="H23G"/>
        <w:rPr>
          <w:b w:val="0"/>
          <w:sz w:val="16"/>
        </w:rPr>
      </w:pPr>
      <w:r w:rsidRPr="00CD732B">
        <w:rPr>
          <w:b w:val="0"/>
        </w:rPr>
        <w:tab/>
      </w:r>
      <w:r w:rsidRPr="00CD732B">
        <w:rPr>
          <w:b w:val="0"/>
        </w:rPr>
        <w:tab/>
        <w:t>Gráfico 2</w:t>
      </w:r>
      <w:r w:rsidRPr="00CD732B">
        <w:rPr>
          <w:b w:val="0"/>
        </w:rPr>
        <w:br/>
      </w:r>
      <w:r w:rsidR="00D74294" w:rsidRPr="00D74294">
        <w:t>Pirámide de población total por edades en 2016</w:t>
      </w:r>
      <w:r>
        <w:rPr>
          <w:i/>
          <w:iCs/>
        </w:rPr>
        <w:br/>
      </w:r>
      <w:r w:rsidR="00D74294" w:rsidRPr="00CD732B">
        <w:rPr>
          <w:b w:val="0"/>
          <w:iCs/>
          <w:sz w:val="16"/>
        </w:rPr>
        <w:t>(</w:t>
      </w:r>
      <w:r w:rsidRPr="00CD732B">
        <w:rPr>
          <w:b w:val="0"/>
          <w:iCs/>
          <w:sz w:val="16"/>
        </w:rPr>
        <w:t xml:space="preserve">En </w:t>
      </w:r>
      <w:r w:rsidR="00D74294" w:rsidRPr="00CD732B">
        <w:rPr>
          <w:b w:val="0"/>
          <w:iCs/>
          <w:sz w:val="16"/>
        </w:rPr>
        <w:t>miles de personas)</w:t>
      </w:r>
      <w:r w:rsidR="00D74294" w:rsidRPr="00CD732B">
        <w:rPr>
          <w:b w:val="0"/>
          <w:sz w:val="16"/>
        </w:rPr>
        <w:t xml:space="preserve"> </w:t>
      </w:r>
    </w:p>
    <w:p w:rsidR="00D74294" w:rsidRPr="00D74294" w:rsidRDefault="00D74294" w:rsidP="00D74294">
      <w:pPr>
        <w:pStyle w:val="SingleTxtG"/>
        <w:rPr>
          <w:b/>
          <w:bCs/>
          <w:rtl/>
        </w:rPr>
      </w:pPr>
      <w:r w:rsidRPr="00D74294">
        <w:rPr>
          <w:b/>
          <w:bCs/>
          <w:noProof/>
          <w:rtl/>
          <w:lang w:eastAsia="zh-CN"/>
        </w:rPr>
        <w:drawing>
          <wp:inline distT="0" distB="0" distL="0" distR="0" wp14:anchorId="56C7293F" wp14:editId="31862E61">
            <wp:extent cx="3200400" cy="3724953"/>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3238" cy="3763173"/>
                    </a:xfrm>
                    <a:prstGeom prst="rect">
                      <a:avLst/>
                    </a:prstGeom>
                    <a:noFill/>
                  </pic:spPr>
                </pic:pic>
              </a:graphicData>
            </a:graphic>
          </wp:inline>
        </w:drawing>
      </w:r>
    </w:p>
    <w:p w:rsidR="00D74294" w:rsidRPr="00CD732B" w:rsidRDefault="00D74294" w:rsidP="00CD732B">
      <w:pPr>
        <w:pStyle w:val="SingleTxtG"/>
        <w:spacing w:before="120" w:after="240"/>
        <w:ind w:firstLine="170"/>
        <w:jc w:val="left"/>
        <w:rPr>
          <w:sz w:val="18"/>
        </w:rPr>
      </w:pPr>
      <w:r w:rsidRPr="00CD732B">
        <w:rPr>
          <w:i/>
          <w:iCs/>
          <w:sz w:val="18"/>
        </w:rPr>
        <w:t>Fuente:</w:t>
      </w:r>
      <w:r w:rsidR="00CD732B">
        <w:rPr>
          <w:sz w:val="18"/>
        </w:rPr>
        <w:t xml:space="preserve"> </w:t>
      </w:r>
      <w:r w:rsidRPr="00CD732B">
        <w:rPr>
          <w:sz w:val="18"/>
        </w:rPr>
        <w:t>Ministerio de Planificación del Desarrollo y Estadísticas.</w:t>
      </w:r>
    </w:p>
    <w:p w:rsidR="00D74294" w:rsidRPr="00CD732B" w:rsidRDefault="00CD732B" w:rsidP="00CD732B">
      <w:pPr>
        <w:pStyle w:val="H23G"/>
        <w:rPr>
          <w:b w:val="0"/>
          <w:i/>
          <w:iCs/>
        </w:rPr>
      </w:pPr>
      <w:r w:rsidRPr="00CD732B">
        <w:rPr>
          <w:b w:val="0"/>
        </w:rPr>
        <w:tab/>
      </w:r>
      <w:r w:rsidRPr="00CD732B">
        <w:rPr>
          <w:b w:val="0"/>
        </w:rPr>
        <w:tab/>
        <w:t>Gráfico 3</w:t>
      </w:r>
      <w:r w:rsidRPr="00CD732B">
        <w:rPr>
          <w:b w:val="0"/>
        </w:rPr>
        <w:br/>
      </w:r>
      <w:r w:rsidR="00D74294" w:rsidRPr="00D74294">
        <w:t xml:space="preserve">Pirámide de población de Qatar, desglosada por </w:t>
      </w:r>
      <w:r>
        <w:t>edades, 2016</w:t>
      </w:r>
      <w:r>
        <w:br/>
      </w:r>
      <w:r w:rsidR="00614F22">
        <w:rPr>
          <w:b w:val="0"/>
          <w:iCs/>
          <w:sz w:val="16"/>
        </w:rPr>
        <w:t>(En miles de personas)</w:t>
      </w:r>
    </w:p>
    <w:p w:rsidR="00CD732B" w:rsidRDefault="00D74294" w:rsidP="00CD732B">
      <w:pPr>
        <w:pStyle w:val="SingleTxtG"/>
        <w:spacing w:after="0"/>
        <w:rPr>
          <w:i/>
          <w:iCs/>
          <w:sz w:val="18"/>
        </w:rPr>
      </w:pPr>
      <w:r w:rsidRPr="00D74294">
        <w:rPr>
          <w:noProof/>
          <w:lang w:eastAsia="zh-CN"/>
        </w:rPr>
        <w:drawing>
          <wp:inline distT="0" distB="0" distL="0" distR="0" wp14:anchorId="03AE1D94" wp14:editId="49B15E2D">
            <wp:extent cx="2658979" cy="3134227"/>
            <wp:effectExtent l="0" t="0" r="825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4294" w:rsidRPr="00CD732B" w:rsidRDefault="00D74294" w:rsidP="00CD732B">
      <w:pPr>
        <w:pStyle w:val="SingleTxtG"/>
        <w:spacing w:before="120" w:after="240"/>
        <w:ind w:firstLine="170"/>
        <w:rPr>
          <w:sz w:val="18"/>
        </w:rPr>
      </w:pPr>
      <w:r w:rsidRPr="00CD732B">
        <w:rPr>
          <w:i/>
          <w:iCs/>
          <w:sz w:val="18"/>
        </w:rPr>
        <w:t>Fuente:</w:t>
      </w:r>
      <w:r w:rsidR="00CD732B">
        <w:rPr>
          <w:sz w:val="18"/>
        </w:rPr>
        <w:t xml:space="preserve"> </w:t>
      </w:r>
      <w:r w:rsidRPr="00CD732B">
        <w:rPr>
          <w:sz w:val="18"/>
        </w:rPr>
        <w:t>Ministerio de Planificación del Desarrollo y Estadísticas.</w:t>
      </w:r>
    </w:p>
    <w:p w:rsidR="00D74294" w:rsidRPr="00D74294" w:rsidRDefault="00D74294" w:rsidP="00614F22">
      <w:pPr>
        <w:pStyle w:val="SingleTxtG"/>
        <w:keepNext/>
        <w:keepLines/>
      </w:pPr>
      <w:r w:rsidRPr="00D74294">
        <w:t>5.</w:t>
      </w:r>
      <w:r w:rsidRPr="00D74294">
        <w:tab/>
        <w:t>Una comparación de los gráficos 2 y 3 revela que la distribución por edad y sexo de la población extranjera es atípica, mientras que la población qatarí tiene una distribución natural. La mayor parte de la población del Estado se concentra en el grupo de 15 a 64 años y sus componentes son principalmente varones extranjeros. La población qatarí, por su parte, puede clasificarse, a la vista de su distribución por edad, como una sociedad joven, en la que predominan los niños y jóvenes menores de 15 años y en la que la proporción de mayores de 65 años respecto del total de la población es reducida. El cuadro 3 muestra una estimación de la población por grupos de edad en 2017.</w:t>
      </w:r>
    </w:p>
    <w:p w:rsidR="00D74294" w:rsidRPr="00D74294" w:rsidRDefault="00C65352" w:rsidP="00C65352">
      <w:pPr>
        <w:pStyle w:val="H23G"/>
      </w:pPr>
      <w:r w:rsidRPr="00C65352">
        <w:rPr>
          <w:b w:val="0"/>
        </w:rPr>
        <w:tab/>
      </w:r>
      <w:r w:rsidRPr="00C65352">
        <w:rPr>
          <w:b w:val="0"/>
        </w:rPr>
        <w:tab/>
        <w:t>Cuadro 3</w:t>
      </w:r>
      <w:r w:rsidRPr="00C65352">
        <w:rPr>
          <w:b w:val="0"/>
        </w:rPr>
        <w:br/>
      </w:r>
      <w:r w:rsidR="00D74294" w:rsidRPr="00D74294">
        <w:t>Estimación de la población por grupos de edad, 2017</w:t>
      </w:r>
    </w:p>
    <w:tbl>
      <w:tblPr>
        <w:tblStyle w:val="TABLEA"/>
        <w:tblW w:w="7370" w:type="dxa"/>
        <w:jc w:val="left"/>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294"/>
        <w:gridCol w:w="2068"/>
        <w:gridCol w:w="1504"/>
        <w:gridCol w:w="1504"/>
      </w:tblGrid>
      <w:tr w:rsidR="00D74294" w:rsidRPr="00C65352" w:rsidTr="009C6705">
        <w:trPr>
          <w:cnfStyle w:val="100000000000" w:firstRow="1" w:lastRow="0" w:firstColumn="0" w:lastColumn="0" w:oddVBand="0" w:evenVBand="0" w:oddHBand="0" w:evenHBand="0" w:firstRowFirstColumn="0" w:firstRowLastColumn="0" w:lastRowFirstColumn="0" w:lastRowLastColumn="0"/>
          <w:trHeight w:val="240"/>
          <w:tblHeader/>
          <w:jc w:val="left"/>
        </w:trPr>
        <w:tc>
          <w:tcPr>
            <w:tcW w:w="1730" w:type="dxa"/>
            <w:tcBorders>
              <w:left w:val="none" w:sz="0" w:space="0" w:color="auto"/>
              <w:right w:val="none" w:sz="0" w:space="0" w:color="auto"/>
              <w:tl2br w:val="none" w:sz="0" w:space="0" w:color="auto"/>
              <w:tr2bl w:val="none" w:sz="0" w:space="0" w:color="auto"/>
            </w:tcBorders>
            <w:shd w:val="clear" w:color="auto" w:fill="auto"/>
            <w:vAlign w:val="bottom"/>
          </w:tcPr>
          <w:p w:rsidR="00D74294" w:rsidRPr="00C65352" w:rsidRDefault="00D74294" w:rsidP="00C65352">
            <w:pPr>
              <w:pStyle w:val="SingleTxtG"/>
              <w:spacing w:after="80" w:line="200" w:lineRule="exact"/>
              <w:ind w:left="0" w:right="0"/>
              <w:jc w:val="left"/>
              <w:rPr>
                <w:rFonts w:cs="Times New Roman"/>
                <w:i/>
                <w:iCs/>
                <w:sz w:val="16"/>
                <w:szCs w:val="20"/>
              </w:rPr>
            </w:pPr>
            <w:r w:rsidRPr="00C65352">
              <w:rPr>
                <w:rFonts w:cs="Times New Roman"/>
                <w:i/>
                <w:iCs/>
                <w:sz w:val="16"/>
                <w:szCs w:val="20"/>
              </w:rPr>
              <w:t>Grupos de edad</w:t>
            </w:r>
          </w:p>
        </w:tc>
        <w:tc>
          <w:tcPr>
            <w:tcW w:w="1559" w:type="dxa"/>
            <w:tcBorders>
              <w:left w:val="none" w:sz="0" w:space="0" w:color="auto"/>
              <w:right w:val="none" w:sz="0" w:space="0" w:color="auto"/>
              <w:tl2br w:val="none" w:sz="0" w:space="0" w:color="auto"/>
              <w:tr2bl w:val="none" w:sz="0" w:space="0" w:color="auto"/>
            </w:tcBorders>
            <w:shd w:val="clear" w:color="auto" w:fill="auto"/>
            <w:vAlign w:val="bottom"/>
          </w:tcPr>
          <w:p w:rsidR="00D74294" w:rsidRPr="00C65352" w:rsidRDefault="00D74294" w:rsidP="00C65352">
            <w:pPr>
              <w:pStyle w:val="SingleTxtG"/>
              <w:spacing w:after="80" w:line="200" w:lineRule="exact"/>
              <w:ind w:left="113" w:right="28"/>
              <w:jc w:val="right"/>
              <w:rPr>
                <w:rFonts w:cs="Times New Roman"/>
                <w:i/>
                <w:iCs/>
                <w:sz w:val="16"/>
                <w:szCs w:val="20"/>
              </w:rPr>
            </w:pPr>
            <w:r w:rsidRPr="00C65352">
              <w:rPr>
                <w:rFonts w:cs="Times New Roman"/>
                <w:i/>
                <w:sz w:val="16"/>
                <w:szCs w:val="20"/>
              </w:rPr>
              <w:t>Hombres</w:t>
            </w:r>
          </w:p>
        </w:tc>
        <w:tc>
          <w:tcPr>
            <w:tcW w:w="1134" w:type="dxa"/>
            <w:tcBorders>
              <w:left w:val="none" w:sz="0" w:space="0" w:color="auto"/>
              <w:right w:val="none" w:sz="0" w:space="0" w:color="auto"/>
              <w:tl2br w:val="none" w:sz="0" w:space="0" w:color="auto"/>
              <w:tr2bl w:val="none" w:sz="0" w:space="0" w:color="auto"/>
            </w:tcBorders>
            <w:shd w:val="clear" w:color="auto" w:fill="auto"/>
            <w:vAlign w:val="bottom"/>
          </w:tcPr>
          <w:p w:rsidR="00D74294" w:rsidRPr="00C65352" w:rsidRDefault="00D74294" w:rsidP="00C65352">
            <w:pPr>
              <w:pStyle w:val="SingleTxtG"/>
              <w:spacing w:after="80" w:line="200" w:lineRule="exact"/>
              <w:ind w:left="113" w:right="28"/>
              <w:jc w:val="right"/>
              <w:rPr>
                <w:rFonts w:cs="Times New Roman"/>
                <w:i/>
                <w:iCs/>
                <w:sz w:val="16"/>
                <w:szCs w:val="20"/>
              </w:rPr>
            </w:pPr>
            <w:r w:rsidRPr="00C65352">
              <w:rPr>
                <w:rFonts w:cs="Times New Roman"/>
                <w:i/>
                <w:iCs/>
                <w:sz w:val="16"/>
                <w:szCs w:val="20"/>
              </w:rPr>
              <w:t>Mujeres</w:t>
            </w:r>
          </w:p>
        </w:tc>
        <w:tc>
          <w:tcPr>
            <w:tcW w:w="1134" w:type="dxa"/>
            <w:tcBorders>
              <w:left w:val="none" w:sz="0" w:space="0" w:color="auto"/>
              <w:right w:val="none" w:sz="0" w:space="0" w:color="auto"/>
              <w:tl2br w:val="none" w:sz="0" w:space="0" w:color="auto"/>
              <w:tr2bl w:val="none" w:sz="0" w:space="0" w:color="auto"/>
            </w:tcBorders>
            <w:shd w:val="clear" w:color="auto" w:fill="auto"/>
            <w:vAlign w:val="bottom"/>
          </w:tcPr>
          <w:p w:rsidR="00D74294" w:rsidRPr="00C65352" w:rsidRDefault="00D74294" w:rsidP="00C65352">
            <w:pPr>
              <w:pStyle w:val="SingleTxtG"/>
              <w:spacing w:after="80" w:line="200" w:lineRule="exact"/>
              <w:ind w:left="113" w:right="28"/>
              <w:jc w:val="right"/>
              <w:rPr>
                <w:rFonts w:cs="Times New Roman"/>
                <w:bCs/>
                <w:i/>
                <w:iCs/>
                <w:sz w:val="16"/>
                <w:szCs w:val="20"/>
              </w:rPr>
            </w:pPr>
            <w:r w:rsidRPr="00C65352">
              <w:rPr>
                <w:rFonts w:cs="Times New Roman"/>
                <w:bCs/>
                <w:i/>
                <w:iCs/>
                <w:sz w:val="16"/>
                <w:szCs w:val="20"/>
              </w:rPr>
              <w:t>Total</w:t>
            </w:r>
          </w:p>
        </w:tc>
      </w:tr>
      <w:tr w:rsidR="00D74294" w:rsidRPr="00C65352" w:rsidTr="009C6705">
        <w:trPr>
          <w:trHeight w:val="240"/>
          <w:jc w:val="left"/>
        </w:trPr>
        <w:tc>
          <w:tcPr>
            <w:tcW w:w="1730" w:type="dxa"/>
            <w:tcBorders>
              <w:top w:val="single" w:sz="12" w:space="0" w:color="auto"/>
            </w:tcBorders>
            <w:shd w:val="clear" w:color="auto" w:fill="auto"/>
          </w:tcPr>
          <w:p w:rsidR="00D74294" w:rsidRPr="00C65352" w:rsidRDefault="008C08D3" w:rsidP="00B062D5">
            <w:pPr>
              <w:pStyle w:val="SingleTxtG"/>
              <w:spacing w:before="40" w:after="50" w:line="220" w:lineRule="exact"/>
              <w:ind w:left="0" w:right="0"/>
              <w:jc w:val="left"/>
              <w:rPr>
                <w:rFonts w:cs="Times New Roman"/>
                <w:szCs w:val="20"/>
              </w:rPr>
            </w:pPr>
            <w:r>
              <w:rPr>
                <w:rFonts w:cs="Times New Roman"/>
                <w:szCs w:val="20"/>
              </w:rPr>
              <w:t>Menos de 1 año</w:t>
            </w:r>
          </w:p>
        </w:tc>
        <w:tc>
          <w:tcPr>
            <w:tcW w:w="1559" w:type="dxa"/>
            <w:tcBorders>
              <w:top w:val="single" w:sz="12" w:space="0" w:color="auto"/>
            </w:tcBorders>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szCs w:val="20"/>
              </w:rPr>
            </w:pPr>
            <w:r w:rsidRPr="00C65352">
              <w:rPr>
                <w:rFonts w:cs="Times New Roman"/>
                <w:szCs w:val="20"/>
              </w:rPr>
              <w:t>13 992</w:t>
            </w:r>
          </w:p>
        </w:tc>
        <w:tc>
          <w:tcPr>
            <w:tcW w:w="1134" w:type="dxa"/>
            <w:tcBorders>
              <w:top w:val="single" w:sz="12" w:space="0" w:color="auto"/>
            </w:tcBorders>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szCs w:val="20"/>
              </w:rPr>
            </w:pPr>
            <w:r w:rsidRPr="00C65352">
              <w:rPr>
                <w:rFonts w:cs="Times New Roman"/>
                <w:szCs w:val="20"/>
              </w:rPr>
              <w:t>13 561</w:t>
            </w:r>
          </w:p>
        </w:tc>
        <w:tc>
          <w:tcPr>
            <w:tcW w:w="1134" w:type="dxa"/>
            <w:tcBorders>
              <w:top w:val="single" w:sz="12" w:space="0" w:color="auto"/>
            </w:tcBorders>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bCs/>
                <w:szCs w:val="20"/>
              </w:rPr>
            </w:pPr>
            <w:r w:rsidRPr="00C65352">
              <w:rPr>
                <w:rFonts w:cs="Times New Roman"/>
                <w:bCs/>
                <w:szCs w:val="20"/>
              </w:rPr>
              <w:t>26 553</w:t>
            </w:r>
          </w:p>
        </w:tc>
      </w:tr>
      <w:tr w:rsidR="00D74294" w:rsidRPr="00C65352" w:rsidTr="009C6705">
        <w:trPr>
          <w:trHeight w:val="240"/>
          <w:jc w:val="left"/>
        </w:trPr>
        <w:tc>
          <w:tcPr>
            <w:tcW w:w="1730" w:type="dxa"/>
            <w:shd w:val="clear" w:color="auto" w:fill="auto"/>
          </w:tcPr>
          <w:p w:rsidR="00D74294" w:rsidRPr="00C65352" w:rsidRDefault="00C65352" w:rsidP="00B062D5">
            <w:pPr>
              <w:pStyle w:val="SingleTxtG"/>
              <w:spacing w:before="40" w:after="50" w:line="220" w:lineRule="exact"/>
              <w:ind w:left="0" w:right="0"/>
              <w:jc w:val="left"/>
              <w:rPr>
                <w:rFonts w:cs="Times New Roman"/>
                <w:szCs w:val="20"/>
              </w:rPr>
            </w:pPr>
            <w:r>
              <w:rPr>
                <w:rFonts w:cs="Times New Roman"/>
                <w:szCs w:val="20"/>
              </w:rPr>
              <w:t xml:space="preserve">De 1 a </w:t>
            </w:r>
            <w:r w:rsidR="00D74294" w:rsidRPr="00C65352">
              <w:rPr>
                <w:rFonts w:cs="Times New Roman"/>
                <w:szCs w:val="20"/>
              </w:rPr>
              <w:t>4</w:t>
            </w:r>
            <w:r>
              <w:rPr>
                <w:rFonts w:cs="Times New Roman"/>
                <w:szCs w:val="20"/>
              </w:rPr>
              <w:t xml:space="preserve"> años</w:t>
            </w:r>
          </w:p>
        </w:tc>
        <w:tc>
          <w:tcPr>
            <w:tcW w:w="1559"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szCs w:val="20"/>
              </w:rPr>
            </w:pPr>
            <w:r w:rsidRPr="00C65352">
              <w:rPr>
                <w:rFonts w:cs="Times New Roman"/>
                <w:szCs w:val="20"/>
              </w:rPr>
              <w:t>58 875</w:t>
            </w:r>
          </w:p>
        </w:tc>
        <w:tc>
          <w:tcPr>
            <w:tcW w:w="1134"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szCs w:val="20"/>
              </w:rPr>
            </w:pPr>
            <w:r w:rsidRPr="00C65352">
              <w:rPr>
                <w:rFonts w:cs="Times New Roman"/>
                <w:szCs w:val="20"/>
              </w:rPr>
              <w:t>57 445</w:t>
            </w:r>
          </w:p>
        </w:tc>
        <w:tc>
          <w:tcPr>
            <w:tcW w:w="1134"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bCs/>
                <w:szCs w:val="20"/>
              </w:rPr>
            </w:pPr>
            <w:r w:rsidRPr="00C65352">
              <w:rPr>
                <w:rFonts w:cs="Times New Roman"/>
                <w:bCs/>
                <w:szCs w:val="20"/>
              </w:rPr>
              <w:t>116 320</w:t>
            </w:r>
          </w:p>
        </w:tc>
      </w:tr>
      <w:tr w:rsidR="00D74294" w:rsidRPr="00C65352" w:rsidTr="009C6705">
        <w:trPr>
          <w:trHeight w:val="240"/>
          <w:jc w:val="left"/>
        </w:trPr>
        <w:tc>
          <w:tcPr>
            <w:tcW w:w="1730" w:type="dxa"/>
            <w:shd w:val="clear" w:color="auto" w:fill="auto"/>
          </w:tcPr>
          <w:p w:rsidR="00D74294" w:rsidRPr="00C65352" w:rsidRDefault="00C65352" w:rsidP="00B062D5">
            <w:pPr>
              <w:pStyle w:val="SingleTxtG"/>
              <w:spacing w:before="40" w:after="50" w:line="220" w:lineRule="exact"/>
              <w:ind w:left="0" w:right="0"/>
              <w:jc w:val="left"/>
              <w:rPr>
                <w:rFonts w:cs="Times New Roman"/>
                <w:szCs w:val="20"/>
              </w:rPr>
            </w:pPr>
            <w:r>
              <w:rPr>
                <w:rFonts w:cs="Times New Roman"/>
                <w:szCs w:val="20"/>
              </w:rPr>
              <w:t xml:space="preserve">De </w:t>
            </w:r>
            <w:r w:rsidR="00D74294" w:rsidRPr="00C65352">
              <w:rPr>
                <w:rFonts w:cs="Times New Roman"/>
                <w:szCs w:val="20"/>
              </w:rPr>
              <w:t>5</w:t>
            </w:r>
            <w:r>
              <w:rPr>
                <w:rFonts w:cs="Times New Roman"/>
                <w:szCs w:val="20"/>
              </w:rPr>
              <w:t xml:space="preserve"> a </w:t>
            </w:r>
            <w:r w:rsidR="00D74294" w:rsidRPr="00C65352">
              <w:rPr>
                <w:rFonts w:cs="Times New Roman"/>
                <w:szCs w:val="20"/>
              </w:rPr>
              <w:t>9</w:t>
            </w:r>
            <w:r>
              <w:rPr>
                <w:rFonts w:cs="Times New Roman"/>
                <w:szCs w:val="20"/>
              </w:rPr>
              <w:t xml:space="preserve"> años</w:t>
            </w:r>
          </w:p>
        </w:tc>
        <w:tc>
          <w:tcPr>
            <w:tcW w:w="1559"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szCs w:val="20"/>
              </w:rPr>
            </w:pPr>
            <w:r w:rsidRPr="00C65352">
              <w:rPr>
                <w:rFonts w:cs="Times New Roman"/>
                <w:szCs w:val="20"/>
              </w:rPr>
              <w:t>64 510</w:t>
            </w:r>
          </w:p>
        </w:tc>
        <w:tc>
          <w:tcPr>
            <w:tcW w:w="1134"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szCs w:val="20"/>
              </w:rPr>
            </w:pPr>
            <w:r w:rsidRPr="00C65352">
              <w:rPr>
                <w:rFonts w:cs="Times New Roman"/>
                <w:szCs w:val="20"/>
              </w:rPr>
              <w:t>63 477</w:t>
            </w:r>
          </w:p>
        </w:tc>
        <w:tc>
          <w:tcPr>
            <w:tcW w:w="1134"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bCs/>
                <w:szCs w:val="20"/>
              </w:rPr>
            </w:pPr>
            <w:r w:rsidRPr="00C65352">
              <w:rPr>
                <w:rFonts w:cs="Times New Roman"/>
                <w:bCs/>
                <w:szCs w:val="20"/>
              </w:rPr>
              <w:t>127 987</w:t>
            </w:r>
          </w:p>
        </w:tc>
      </w:tr>
      <w:tr w:rsidR="00D74294" w:rsidRPr="00C65352" w:rsidTr="009C6705">
        <w:trPr>
          <w:trHeight w:val="240"/>
          <w:jc w:val="left"/>
        </w:trPr>
        <w:tc>
          <w:tcPr>
            <w:tcW w:w="1730" w:type="dxa"/>
            <w:shd w:val="clear" w:color="auto" w:fill="auto"/>
          </w:tcPr>
          <w:p w:rsidR="00D74294" w:rsidRPr="00C65352" w:rsidRDefault="00C65352" w:rsidP="00B062D5">
            <w:pPr>
              <w:pStyle w:val="SingleTxtG"/>
              <w:spacing w:before="40" w:after="50" w:line="220" w:lineRule="exact"/>
              <w:ind w:left="0" w:right="0"/>
              <w:jc w:val="left"/>
              <w:rPr>
                <w:rFonts w:cs="Times New Roman"/>
                <w:szCs w:val="20"/>
              </w:rPr>
            </w:pPr>
            <w:r>
              <w:rPr>
                <w:rFonts w:cs="Times New Roman"/>
                <w:szCs w:val="20"/>
              </w:rPr>
              <w:t xml:space="preserve">De 10 a </w:t>
            </w:r>
            <w:r w:rsidR="00D74294" w:rsidRPr="00C65352">
              <w:rPr>
                <w:rFonts w:cs="Times New Roman"/>
                <w:szCs w:val="20"/>
              </w:rPr>
              <w:t>14</w:t>
            </w:r>
            <w:r>
              <w:rPr>
                <w:rFonts w:cs="Times New Roman"/>
                <w:szCs w:val="20"/>
              </w:rPr>
              <w:t xml:space="preserve"> años</w:t>
            </w:r>
          </w:p>
        </w:tc>
        <w:tc>
          <w:tcPr>
            <w:tcW w:w="1559"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szCs w:val="20"/>
              </w:rPr>
            </w:pPr>
            <w:r w:rsidRPr="00C65352">
              <w:rPr>
                <w:rFonts w:cs="Times New Roman"/>
                <w:szCs w:val="20"/>
              </w:rPr>
              <w:t>50 830</w:t>
            </w:r>
          </w:p>
        </w:tc>
        <w:tc>
          <w:tcPr>
            <w:tcW w:w="1134"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szCs w:val="20"/>
              </w:rPr>
            </w:pPr>
            <w:r w:rsidRPr="00C65352">
              <w:rPr>
                <w:rFonts w:cs="Times New Roman"/>
                <w:szCs w:val="20"/>
              </w:rPr>
              <w:t>49 670</w:t>
            </w:r>
          </w:p>
        </w:tc>
        <w:tc>
          <w:tcPr>
            <w:tcW w:w="1134"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bCs/>
                <w:szCs w:val="20"/>
              </w:rPr>
            </w:pPr>
            <w:r w:rsidRPr="00C65352">
              <w:rPr>
                <w:rFonts w:cs="Times New Roman"/>
                <w:bCs/>
                <w:szCs w:val="20"/>
              </w:rPr>
              <w:t>100 500</w:t>
            </w:r>
          </w:p>
        </w:tc>
      </w:tr>
      <w:tr w:rsidR="00D74294" w:rsidRPr="00C65352" w:rsidTr="009C6705">
        <w:trPr>
          <w:trHeight w:val="240"/>
          <w:jc w:val="left"/>
        </w:trPr>
        <w:tc>
          <w:tcPr>
            <w:tcW w:w="1730" w:type="dxa"/>
            <w:shd w:val="clear" w:color="auto" w:fill="auto"/>
          </w:tcPr>
          <w:p w:rsidR="00D74294" w:rsidRPr="00C65352" w:rsidRDefault="00C65352" w:rsidP="00B062D5">
            <w:pPr>
              <w:pStyle w:val="SingleTxtG"/>
              <w:spacing w:before="40" w:after="50" w:line="220" w:lineRule="exact"/>
              <w:ind w:left="0" w:right="0"/>
              <w:jc w:val="left"/>
              <w:rPr>
                <w:rFonts w:cs="Times New Roman"/>
                <w:szCs w:val="20"/>
              </w:rPr>
            </w:pPr>
            <w:r>
              <w:rPr>
                <w:rFonts w:cs="Times New Roman"/>
                <w:szCs w:val="20"/>
              </w:rPr>
              <w:t xml:space="preserve">De 15 a </w:t>
            </w:r>
            <w:r w:rsidR="00D74294" w:rsidRPr="00C65352">
              <w:rPr>
                <w:rFonts w:cs="Times New Roman"/>
                <w:szCs w:val="20"/>
              </w:rPr>
              <w:t>19</w:t>
            </w:r>
            <w:r>
              <w:rPr>
                <w:rFonts w:cs="Times New Roman"/>
                <w:szCs w:val="20"/>
              </w:rPr>
              <w:t xml:space="preserve"> años</w:t>
            </w:r>
          </w:p>
        </w:tc>
        <w:tc>
          <w:tcPr>
            <w:tcW w:w="1559"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szCs w:val="20"/>
              </w:rPr>
            </w:pPr>
            <w:r w:rsidRPr="00C65352">
              <w:rPr>
                <w:rFonts w:cs="Times New Roman"/>
                <w:szCs w:val="20"/>
              </w:rPr>
              <w:t>56 516</w:t>
            </w:r>
          </w:p>
        </w:tc>
        <w:tc>
          <w:tcPr>
            <w:tcW w:w="1134"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szCs w:val="20"/>
              </w:rPr>
            </w:pPr>
            <w:r w:rsidRPr="00C65352">
              <w:rPr>
                <w:rFonts w:cs="Times New Roman"/>
                <w:szCs w:val="20"/>
              </w:rPr>
              <w:t>36 041</w:t>
            </w:r>
          </w:p>
        </w:tc>
        <w:tc>
          <w:tcPr>
            <w:tcW w:w="1134"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bCs/>
                <w:szCs w:val="20"/>
              </w:rPr>
            </w:pPr>
            <w:r w:rsidRPr="00C65352">
              <w:rPr>
                <w:rFonts w:cs="Times New Roman"/>
                <w:bCs/>
                <w:szCs w:val="20"/>
              </w:rPr>
              <w:t>92 557</w:t>
            </w:r>
          </w:p>
        </w:tc>
      </w:tr>
      <w:tr w:rsidR="00D74294" w:rsidRPr="00C65352" w:rsidTr="009C6705">
        <w:trPr>
          <w:trHeight w:val="240"/>
          <w:jc w:val="left"/>
        </w:trPr>
        <w:tc>
          <w:tcPr>
            <w:tcW w:w="1730" w:type="dxa"/>
            <w:shd w:val="clear" w:color="auto" w:fill="auto"/>
          </w:tcPr>
          <w:p w:rsidR="00D74294" w:rsidRPr="00C65352" w:rsidRDefault="00C65352" w:rsidP="00B062D5">
            <w:pPr>
              <w:pStyle w:val="SingleTxtG"/>
              <w:spacing w:before="40" w:after="50" w:line="220" w:lineRule="exact"/>
              <w:ind w:left="0" w:right="0"/>
              <w:jc w:val="left"/>
              <w:rPr>
                <w:rFonts w:cs="Times New Roman"/>
                <w:szCs w:val="20"/>
              </w:rPr>
            </w:pPr>
            <w:r>
              <w:rPr>
                <w:rFonts w:cs="Times New Roman"/>
                <w:szCs w:val="20"/>
              </w:rPr>
              <w:t xml:space="preserve">De 20 a </w:t>
            </w:r>
            <w:r w:rsidR="00D74294" w:rsidRPr="00C65352">
              <w:rPr>
                <w:rFonts w:cs="Times New Roman"/>
                <w:szCs w:val="20"/>
              </w:rPr>
              <w:t>24</w:t>
            </w:r>
            <w:r>
              <w:rPr>
                <w:rFonts w:cs="Times New Roman"/>
                <w:szCs w:val="20"/>
              </w:rPr>
              <w:t xml:space="preserve"> años</w:t>
            </w:r>
          </w:p>
        </w:tc>
        <w:tc>
          <w:tcPr>
            <w:tcW w:w="1559"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szCs w:val="20"/>
              </w:rPr>
            </w:pPr>
            <w:r w:rsidRPr="00C65352">
              <w:rPr>
                <w:rFonts w:cs="Times New Roman"/>
                <w:szCs w:val="20"/>
              </w:rPr>
              <w:t>237 357</w:t>
            </w:r>
          </w:p>
        </w:tc>
        <w:tc>
          <w:tcPr>
            <w:tcW w:w="1134"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szCs w:val="20"/>
              </w:rPr>
            </w:pPr>
            <w:r w:rsidRPr="00C65352">
              <w:rPr>
                <w:rFonts w:cs="Times New Roman"/>
                <w:szCs w:val="20"/>
              </w:rPr>
              <w:t>47 023</w:t>
            </w:r>
          </w:p>
        </w:tc>
        <w:tc>
          <w:tcPr>
            <w:tcW w:w="1134"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bCs/>
                <w:szCs w:val="20"/>
              </w:rPr>
            </w:pPr>
            <w:r w:rsidRPr="00C65352">
              <w:rPr>
                <w:rFonts w:cs="Times New Roman"/>
                <w:bCs/>
                <w:szCs w:val="20"/>
              </w:rPr>
              <w:t>284 380</w:t>
            </w:r>
          </w:p>
        </w:tc>
      </w:tr>
      <w:tr w:rsidR="00D74294" w:rsidRPr="00C65352" w:rsidTr="009C6705">
        <w:trPr>
          <w:trHeight w:val="240"/>
          <w:jc w:val="left"/>
        </w:trPr>
        <w:tc>
          <w:tcPr>
            <w:tcW w:w="1730" w:type="dxa"/>
            <w:shd w:val="clear" w:color="auto" w:fill="auto"/>
          </w:tcPr>
          <w:p w:rsidR="00D74294" w:rsidRPr="00C65352" w:rsidRDefault="00C65352" w:rsidP="00B062D5">
            <w:pPr>
              <w:pStyle w:val="SingleTxtG"/>
              <w:spacing w:before="40" w:after="50" w:line="220" w:lineRule="exact"/>
              <w:ind w:left="0" w:right="0"/>
              <w:jc w:val="left"/>
              <w:rPr>
                <w:rFonts w:cs="Times New Roman"/>
                <w:szCs w:val="20"/>
              </w:rPr>
            </w:pPr>
            <w:r>
              <w:rPr>
                <w:rFonts w:cs="Times New Roman"/>
                <w:szCs w:val="20"/>
              </w:rPr>
              <w:t xml:space="preserve">De 25 a </w:t>
            </w:r>
            <w:r w:rsidR="00D74294" w:rsidRPr="00C65352">
              <w:rPr>
                <w:rFonts w:cs="Times New Roman"/>
                <w:szCs w:val="20"/>
              </w:rPr>
              <w:t>29</w:t>
            </w:r>
            <w:r>
              <w:rPr>
                <w:rFonts w:cs="Times New Roman"/>
                <w:szCs w:val="20"/>
              </w:rPr>
              <w:t xml:space="preserve"> años</w:t>
            </w:r>
          </w:p>
        </w:tc>
        <w:tc>
          <w:tcPr>
            <w:tcW w:w="1559"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szCs w:val="20"/>
              </w:rPr>
            </w:pPr>
            <w:r w:rsidRPr="00C65352">
              <w:rPr>
                <w:rFonts w:cs="Times New Roman"/>
                <w:szCs w:val="20"/>
              </w:rPr>
              <w:t>389 213</w:t>
            </w:r>
          </w:p>
        </w:tc>
        <w:tc>
          <w:tcPr>
            <w:tcW w:w="1134"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szCs w:val="20"/>
              </w:rPr>
            </w:pPr>
            <w:r w:rsidRPr="00C65352">
              <w:rPr>
                <w:rFonts w:cs="Times New Roman"/>
                <w:szCs w:val="20"/>
              </w:rPr>
              <w:t>92 780</w:t>
            </w:r>
          </w:p>
        </w:tc>
        <w:tc>
          <w:tcPr>
            <w:tcW w:w="1134"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bCs/>
                <w:szCs w:val="20"/>
              </w:rPr>
            </w:pPr>
            <w:r w:rsidRPr="00C65352">
              <w:rPr>
                <w:rFonts w:cs="Times New Roman"/>
                <w:bCs/>
                <w:szCs w:val="20"/>
              </w:rPr>
              <w:t>481 993</w:t>
            </w:r>
          </w:p>
        </w:tc>
      </w:tr>
      <w:tr w:rsidR="00D74294" w:rsidRPr="00C65352" w:rsidTr="009C6705">
        <w:trPr>
          <w:trHeight w:val="240"/>
          <w:jc w:val="left"/>
        </w:trPr>
        <w:tc>
          <w:tcPr>
            <w:tcW w:w="1730" w:type="dxa"/>
            <w:shd w:val="clear" w:color="auto" w:fill="auto"/>
          </w:tcPr>
          <w:p w:rsidR="00D74294" w:rsidRPr="00C65352" w:rsidRDefault="00C65352" w:rsidP="00B062D5">
            <w:pPr>
              <w:pStyle w:val="SingleTxtG"/>
              <w:spacing w:before="40" w:after="50" w:line="220" w:lineRule="exact"/>
              <w:ind w:left="0" w:right="0"/>
              <w:jc w:val="left"/>
              <w:rPr>
                <w:rFonts w:cs="Times New Roman"/>
                <w:szCs w:val="20"/>
              </w:rPr>
            </w:pPr>
            <w:r>
              <w:rPr>
                <w:rFonts w:cs="Times New Roman"/>
                <w:szCs w:val="20"/>
              </w:rPr>
              <w:t xml:space="preserve">De 30 a </w:t>
            </w:r>
            <w:r w:rsidR="00D74294" w:rsidRPr="00C65352">
              <w:rPr>
                <w:rFonts w:cs="Times New Roman"/>
                <w:szCs w:val="20"/>
              </w:rPr>
              <w:t>34</w:t>
            </w:r>
            <w:r>
              <w:rPr>
                <w:rFonts w:cs="Times New Roman"/>
                <w:szCs w:val="20"/>
              </w:rPr>
              <w:t xml:space="preserve"> años</w:t>
            </w:r>
          </w:p>
        </w:tc>
        <w:tc>
          <w:tcPr>
            <w:tcW w:w="1559"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szCs w:val="20"/>
              </w:rPr>
            </w:pPr>
            <w:r w:rsidRPr="00C65352">
              <w:rPr>
                <w:rFonts w:cs="Times New Roman"/>
                <w:szCs w:val="20"/>
              </w:rPr>
              <w:t>361 510</w:t>
            </w:r>
          </w:p>
        </w:tc>
        <w:tc>
          <w:tcPr>
            <w:tcW w:w="1134"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szCs w:val="20"/>
              </w:rPr>
            </w:pPr>
            <w:r w:rsidRPr="00C65352">
              <w:rPr>
                <w:rFonts w:cs="Times New Roman"/>
                <w:szCs w:val="20"/>
              </w:rPr>
              <w:t>95 603</w:t>
            </w:r>
          </w:p>
        </w:tc>
        <w:tc>
          <w:tcPr>
            <w:tcW w:w="1134"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bCs/>
                <w:szCs w:val="20"/>
              </w:rPr>
            </w:pPr>
            <w:r w:rsidRPr="00C65352">
              <w:rPr>
                <w:rFonts w:cs="Times New Roman"/>
                <w:bCs/>
                <w:szCs w:val="20"/>
              </w:rPr>
              <w:t>457 113</w:t>
            </w:r>
          </w:p>
        </w:tc>
      </w:tr>
      <w:tr w:rsidR="00D74294" w:rsidRPr="00C65352" w:rsidTr="009C6705">
        <w:trPr>
          <w:trHeight w:val="240"/>
          <w:jc w:val="left"/>
        </w:trPr>
        <w:tc>
          <w:tcPr>
            <w:tcW w:w="1730" w:type="dxa"/>
            <w:shd w:val="clear" w:color="auto" w:fill="auto"/>
          </w:tcPr>
          <w:p w:rsidR="00D74294" w:rsidRPr="00C65352" w:rsidRDefault="00C65352" w:rsidP="00B062D5">
            <w:pPr>
              <w:pStyle w:val="SingleTxtG"/>
              <w:spacing w:before="40" w:after="50" w:line="220" w:lineRule="exact"/>
              <w:ind w:left="0" w:right="0"/>
              <w:jc w:val="left"/>
              <w:rPr>
                <w:rFonts w:cs="Times New Roman"/>
                <w:szCs w:val="20"/>
              </w:rPr>
            </w:pPr>
            <w:r>
              <w:rPr>
                <w:rFonts w:cs="Times New Roman"/>
                <w:szCs w:val="20"/>
              </w:rPr>
              <w:t xml:space="preserve">De 35 a </w:t>
            </w:r>
            <w:r w:rsidR="00D74294" w:rsidRPr="00C65352">
              <w:rPr>
                <w:rFonts w:cs="Times New Roman"/>
                <w:szCs w:val="20"/>
              </w:rPr>
              <w:t>39</w:t>
            </w:r>
            <w:r>
              <w:rPr>
                <w:rFonts w:cs="Times New Roman"/>
                <w:szCs w:val="20"/>
              </w:rPr>
              <w:t xml:space="preserve"> años</w:t>
            </w:r>
          </w:p>
        </w:tc>
        <w:tc>
          <w:tcPr>
            <w:tcW w:w="1559"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szCs w:val="20"/>
              </w:rPr>
            </w:pPr>
            <w:r w:rsidRPr="00C65352">
              <w:rPr>
                <w:rFonts w:cs="Times New Roman"/>
                <w:szCs w:val="20"/>
              </w:rPr>
              <w:t>271 350</w:t>
            </w:r>
          </w:p>
        </w:tc>
        <w:tc>
          <w:tcPr>
            <w:tcW w:w="1134"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szCs w:val="20"/>
              </w:rPr>
            </w:pPr>
            <w:r w:rsidRPr="00C65352">
              <w:rPr>
                <w:rFonts w:cs="Times New Roman"/>
                <w:szCs w:val="20"/>
              </w:rPr>
              <w:t>76 365</w:t>
            </w:r>
          </w:p>
        </w:tc>
        <w:tc>
          <w:tcPr>
            <w:tcW w:w="1134"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bCs/>
                <w:szCs w:val="20"/>
              </w:rPr>
            </w:pPr>
            <w:r w:rsidRPr="00C65352">
              <w:rPr>
                <w:rFonts w:cs="Times New Roman"/>
                <w:bCs/>
                <w:szCs w:val="20"/>
              </w:rPr>
              <w:t>347 715</w:t>
            </w:r>
          </w:p>
        </w:tc>
      </w:tr>
      <w:tr w:rsidR="00D74294" w:rsidRPr="00C65352" w:rsidTr="009C6705">
        <w:trPr>
          <w:trHeight w:val="240"/>
          <w:jc w:val="left"/>
        </w:trPr>
        <w:tc>
          <w:tcPr>
            <w:tcW w:w="1730" w:type="dxa"/>
            <w:shd w:val="clear" w:color="auto" w:fill="auto"/>
          </w:tcPr>
          <w:p w:rsidR="00D74294" w:rsidRPr="00C65352" w:rsidRDefault="00C65352" w:rsidP="00B062D5">
            <w:pPr>
              <w:pStyle w:val="SingleTxtG"/>
              <w:spacing w:before="40" w:after="50" w:line="220" w:lineRule="exact"/>
              <w:ind w:left="0" w:right="0"/>
              <w:jc w:val="left"/>
              <w:rPr>
                <w:rFonts w:cs="Times New Roman"/>
                <w:szCs w:val="20"/>
              </w:rPr>
            </w:pPr>
            <w:r>
              <w:rPr>
                <w:rFonts w:cs="Times New Roman"/>
                <w:szCs w:val="20"/>
              </w:rPr>
              <w:t xml:space="preserve">De 40 a </w:t>
            </w:r>
            <w:r w:rsidR="00D74294" w:rsidRPr="00C65352">
              <w:rPr>
                <w:rFonts w:cs="Times New Roman"/>
                <w:szCs w:val="20"/>
              </w:rPr>
              <w:t>44</w:t>
            </w:r>
            <w:r>
              <w:rPr>
                <w:rFonts w:cs="Times New Roman"/>
                <w:szCs w:val="20"/>
              </w:rPr>
              <w:t xml:space="preserve"> años</w:t>
            </w:r>
          </w:p>
        </w:tc>
        <w:tc>
          <w:tcPr>
            <w:tcW w:w="1559"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szCs w:val="20"/>
              </w:rPr>
            </w:pPr>
            <w:r w:rsidRPr="00C65352">
              <w:rPr>
                <w:rFonts w:cs="Times New Roman"/>
                <w:szCs w:val="20"/>
              </w:rPr>
              <w:t>204 770</w:t>
            </w:r>
          </w:p>
        </w:tc>
        <w:tc>
          <w:tcPr>
            <w:tcW w:w="1134"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szCs w:val="20"/>
              </w:rPr>
            </w:pPr>
            <w:r w:rsidRPr="00C65352">
              <w:rPr>
                <w:rFonts w:cs="Times New Roman"/>
                <w:szCs w:val="20"/>
              </w:rPr>
              <w:t>52 592</w:t>
            </w:r>
          </w:p>
        </w:tc>
        <w:tc>
          <w:tcPr>
            <w:tcW w:w="1134"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bCs/>
                <w:szCs w:val="20"/>
              </w:rPr>
            </w:pPr>
            <w:r w:rsidRPr="00C65352">
              <w:rPr>
                <w:rFonts w:cs="Times New Roman"/>
                <w:bCs/>
                <w:szCs w:val="20"/>
              </w:rPr>
              <w:t>257 362</w:t>
            </w:r>
          </w:p>
        </w:tc>
      </w:tr>
      <w:tr w:rsidR="00D74294" w:rsidRPr="00C65352" w:rsidTr="009C6705">
        <w:trPr>
          <w:trHeight w:val="240"/>
          <w:jc w:val="left"/>
        </w:trPr>
        <w:tc>
          <w:tcPr>
            <w:tcW w:w="1730" w:type="dxa"/>
            <w:shd w:val="clear" w:color="auto" w:fill="auto"/>
          </w:tcPr>
          <w:p w:rsidR="00D74294" w:rsidRPr="00C65352" w:rsidRDefault="00C65352" w:rsidP="00B062D5">
            <w:pPr>
              <w:pStyle w:val="SingleTxtG"/>
              <w:spacing w:before="40" w:after="50" w:line="220" w:lineRule="exact"/>
              <w:ind w:left="0" w:right="0"/>
              <w:jc w:val="left"/>
              <w:rPr>
                <w:rFonts w:cs="Times New Roman"/>
                <w:szCs w:val="20"/>
              </w:rPr>
            </w:pPr>
            <w:r>
              <w:rPr>
                <w:rFonts w:cs="Times New Roman"/>
                <w:szCs w:val="20"/>
              </w:rPr>
              <w:t xml:space="preserve">De 45 a </w:t>
            </w:r>
            <w:r w:rsidR="00D74294" w:rsidRPr="00C65352">
              <w:rPr>
                <w:rFonts w:cs="Times New Roman"/>
                <w:szCs w:val="20"/>
              </w:rPr>
              <w:t>49</w:t>
            </w:r>
            <w:r>
              <w:rPr>
                <w:rFonts w:cs="Times New Roman"/>
                <w:szCs w:val="20"/>
              </w:rPr>
              <w:t xml:space="preserve"> años</w:t>
            </w:r>
          </w:p>
        </w:tc>
        <w:tc>
          <w:tcPr>
            <w:tcW w:w="1559"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szCs w:val="20"/>
              </w:rPr>
            </w:pPr>
            <w:r w:rsidRPr="00C65352">
              <w:rPr>
                <w:rFonts w:cs="Times New Roman"/>
                <w:szCs w:val="20"/>
              </w:rPr>
              <w:t>144 520</w:t>
            </w:r>
          </w:p>
        </w:tc>
        <w:tc>
          <w:tcPr>
            <w:tcW w:w="1134"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szCs w:val="20"/>
              </w:rPr>
            </w:pPr>
            <w:r w:rsidRPr="00C65352">
              <w:rPr>
                <w:rFonts w:cs="Times New Roman"/>
                <w:szCs w:val="20"/>
              </w:rPr>
              <w:t>34 966</w:t>
            </w:r>
          </w:p>
        </w:tc>
        <w:tc>
          <w:tcPr>
            <w:tcW w:w="1134"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bCs/>
                <w:szCs w:val="20"/>
              </w:rPr>
            </w:pPr>
            <w:r w:rsidRPr="00C65352">
              <w:rPr>
                <w:rFonts w:cs="Times New Roman"/>
                <w:bCs/>
                <w:szCs w:val="20"/>
              </w:rPr>
              <w:t>179 486</w:t>
            </w:r>
          </w:p>
        </w:tc>
      </w:tr>
      <w:tr w:rsidR="00D74294" w:rsidRPr="00C65352" w:rsidTr="009C6705">
        <w:trPr>
          <w:trHeight w:val="240"/>
          <w:jc w:val="left"/>
        </w:trPr>
        <w:tc>
          <w:tcPr>
            <w:tcW w:w="1730" w:type="dxa"/>
            <w:shd w:val="clear" w:color="auto" w:fill="auto"/>
          </w:tcPr>
          <w:p w:rsidR="00D74294" w:rsidRPr="00C65352" w:rsidRDefault="00C65352" w:rsidP="00B062D5">
            <w:pPr>
              <w:pStyle w:val="SingleTxtG"/>
              <w:spacing w:before="40" w:after="50" w:line="220" w:lineRule="exact"/>
              <w:ind w:left="0" w:right="0"/>
              <w:jc w:val="left"/>
              <w:rPr>
                <w:rFonts w:cs="Times New Roman"/>
                <w:szCs w:val="20"/>
              </w:rPr>
            </w:pPr>
            <w:r>
              <w:rPr>
                <w:rFonts w:cs="Times New Roman"/>
                <w:szCs w:val="20"/>
              </w:rPr>
              <w:t xml:space="preserve">De 50 a </w:t>
            </w:r>
            <w:r w:rsidR="00D74294" w:rsidRPr="00C65352">
              <w:rPr>
                <w:rFonts w:cs="Times New Roman"/>
                <w:szCs w:val="20"/>
              </w:rPr>
              <w:t>54</w:t>
            </w:r>
            <w:r>
              <w:rPr>
                <w:rFonts w:cs="Times New Roman"/>
                <w:szCs w:val="20"/>
              </w:rPr>
              <w:t xml:space="preserve"> años</w:t>
            </w:r>
          </w:p>
        </w:tc>
        <w:tc>
          <w:tcPr>
            <w:tcW w:w="1559"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szCs w:val="20"/>
              </w:rPr>
            </w:pPr>
            <w:r w:rsidRPr="00C65352">
              <w:rPr>
                <w:rFonts w:cs="Times New Roman"/>
                <w:szCs w:val="20"/>
              </w:rPr>
              <w:t>89 760</w:t>
            </w:r>
          </w:p>
        </w:tc>
        <w:tc>
          <w:tcPr>
            <w:tcW w:w="1134"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szCs w:val="20"/>
              </w:rPr>
            </w:pPr>
            <w:r w:rsidRPr="00C65352">
              <w:rPr>
                <w:rFonts w:cs="Times New Roman"/>
                <w:szCs w:val="20"/>
              </w:rPr>
              <w:t>23 409</w:t>
            </w:r>
          </w:p>
        </w:tc>
        <w:tc>
          <w:tcPr>
            <w:tcW w:w="1134"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bCs/>
                <w:szCs w:val="20"/>
              </w:rPr>
            </w:pPr>
            <w:r w:rsidRPr="00C65352">
              <w:rPr>
                <w:rFonts w:cs="Times New Roman"/>
                <w:bCs/>
                <w:szCs w:val="20"/>
              </w:rPr>
              <w:t>113 169</w:t>
            </w:r>
          </w:p>
        </w:tc>
      </w:tr>
      <w:tr w:rsidR="00D74294" w:rsidRPr="00C65352" w:rsidTr="009C6705">
        <w:trPr>
          <w:trHeight w:val="240"/>
          <w:jc w:val="left"/>
        </w:trPr>
        <w:tc>
          <w:tcPr>
            <w:tcW w:w="1730" w:type="dxa"/>
            <w:shd w:val="clear" w:color="auto" w:fill="auto"/>
          </w:tcPr>
          <w:p w:rsidR="00D74294" w:rsidRPr="00C65352" w:rsidRDefault="00C65352" w:rsidP="00B062D5">
            <w:pPr>
              <w:pStyle w:val="SingleTxtG"/>
              <w:spacing w:before="40" w:after="50" w:line="220" w:lineRule="exact"/>
              <w:ind w:left="0" w:right="0"/>
              <w:jc w:val="left"/>
              <w:rPr>
                <w:rFonts w:cs="Times New Roman"/>
                <w:szCs w:val="20"/>
              </w:rPr>
            </w:pPr>
            <w:r>
              <w:rPr>
                <w:rFonts w:cs="Times New Roman"/>
                <w:szCs w:val="20"/>
              </w:rPr>
              <w:t xml:space="preserve">De 55 a </w:t>
            </w:r>
            <w:r w:rsidR="00D74294" w:rsidRPr="00C65352">
              <w:rPr>
                <w:rFonts w:cs="Times New Roman"/>
                <w:szCs w:val="20"/>
              </w:rPr>
              <w:t>59</w:t>
            </w:r>
            <w:r>
              <w:rPr>
                <w:rFonts w:cs="Times New Roman"/>
                <w:szCs w:val="20"/>
              </w:rPr>
              <w:t xml:space="preserve"> años</w:t>
            </w:r>
          </w:p>
        </w:tc>
        <w:tc>
          <w:tcPr>
            <w:tcW w:w="1559"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szCs w:val="20"/>
              </w:rPr>
            </w:pPr>
            <w:r w:rsidRPr="00C65352">
              <w:rPr>
                <w:rFonts w:cs="Times New Roman"/>
                <w:szCs w:val="20"/>
              </w:rPr>
              <w:t>58 221</w:t>
            </w:r>
          </w:p>
        </w:tc>
        <w:tc>
          <w:tcPr>
            <w:tcW w:w="1134"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szCs w:val="20"/>
              </w:rPr>
            </w:pPr>
            <w:r w:rsidRPr="00C65352">
              <w:rPr>
                <w:rFonts w:cs="Times New Roman"/>
                <w:szCs w:val="20"/>
              </w:rPr>
              <w:t>15 351</w:t>
            </w:r>
          </w:p>
        </w:tc>
        <w:tc>
          <w:tcPr>
            <w:tcW w:w="1134"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bCs/>
                <w:szCs w:val="20"/>
              </w:rPr>
            </w:pPr>
            <w:r w:rsidRPr="00C65352">
              <w:rPr>
                <w:rFonts w:cs="Times New Roman"/>
                <w:bCs/>
                <w:szCs w:val="20"/>
              </w:rPr>
              <w:t>73 572</w:t>
            </w:r>
          </w:p>
        </w:tc>
      </w:tr>
      <w:tr w:rsidR="00D74294" w:rsidRPr="00C65352" w:rsidTr="009C6705">
        <w:trPr>
          <w:trHeight w:val="240"/>
          <w:jc w:val="left"/>
        </w:trPr>
        <w:tc>
          <w:tcPr>
            <w:tcW w:w="1730" w:type="dxa"/>
            <w:shd w:val="clear" w:color="auto" w:fill="auto"/>
          </w:tcPr>
          <w:p w:rsidR="00D74294" w:rsidRPr="00C65352" w:rsidRDefault="00C65352" w:rsidP="00B062D5">
            <w:pPr>
              <w:pStyle w:val="SingleTxtG"/>
              <w:spacing w:before="40" w:after="50" w:line="220" w:lineRule="exact"/>
              <w:ind w:left="0" w:right="0"/>
              <w:jc w:val="left"/>
              <w:rPr>
                <w:rFonts w:cs="Times New Roman"/>
                <w:szCs w:val="20"/>
              </w:rPr>
            </w:pPr>
            <w:r>
              <w:rPr>
                <w:rFonts w:cs="Times New Roman"/>
                <w:szCs w:val="20"/>
              </w:rPr>
              <w:t xml:space="preserve">De 60 a </w:t>
            </w:r>
            <w:r w:rsidR="00D74294" w:rsidRPr="00C65352">
              <w:rPr>
                <w:rFonts w:cs="Times New Roman"/>
                <w:szCs w:val="20"/>
              </w:rPr>
              <w:t>64</w:t>
            </w:r>
            <w:r>
              <w:rPr>
                <w:rFonts w:cs="Times New Roman"/>
                <w:szCs w:val="20"/>
              </w:rPr>
              <w:t xml:space="preserve"> años</w:t>
            </w:r>
          </w:p>
        </w:tc>
        <w:tc>
          <w:tcPr>
            <w:tcW w:w="1559"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szCs w:val="20"/>
              </w:rPr>
            </w:pPr>
            <w:r w:rsidRPr="00C65352">
              <w:rPr>
                <w:rFonts w:cs="Times New Roman"/>
                <w:szCs w:val="20"/>
              </w:rPr>
              <w:t>25 299</w:t>
            </w:r>
          </w:p>
        </w:tc>
        <w:tc>
          <w:tcPr>
            <w:tcW w:w="1134"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szCs w:val="20"/>
              </w:rPr>
            </w:pPr>
            <w:r w:rsidRPr="00C65352">
              <w:rPr>
                <w:rFonts w:cs="Times New Roman"/>
                <w:szCs w:val="20"/>
              </w:rPr>
              <w:t>9 169</w:t>
            </w:r>
          </w:p>
        </w:tc>
        <w:tc>
          <w:tcPr>
            <w:tcW w:w="1134"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bCs/>
                <w:szCs w:val="20"/>
              </w:rPr>
            </w:pPr>
            <w:r w:rsidRPr="00C65352">
              <w:rPr>
                <w:rFonts w:cs="Times New Roman"/>
                <w:bCs/>
                <w:szCs w:val="20"/>
              </w:rPr>
              <w:t>34 468</w:t>
            </w:r>
          </w:p>
        </w:tc>
      </w:tr>
      <w:tr w:rsidR="00D74294" w:rsidRPr="00C65352" w:rsidTr="009C6705">
        <w:trPr>
          <w:trHeight w:val="240"/>
          <w:jc w:val="left"/>
        </w:trPr>
        <w:tc>
          <w:tcPr>
            <w:tcW w:w="1730" w:type="dxa"/>
            <w:shd w:val="clear" w:color="auto" w:fill="auto"/>
          </w:tcPr>
          <w:p w:rsidR="00D74294" w:rsidRPr="00C65352" w:rsidRDefault="00C65352" w:rsidP="00B062D5">
            <w:pPr>
              <w:pStyle w:val="SingleTxtG"/>
              <w:spacing w:before="40" w:after="50" w:line="220" w:lineRule="exact"/>
              <w:ind w:left="0" w:right="0"/>
              <w:jc w:val="left"/>
              <w:rPr>
                <w:rFonts w:cs="Times New Roman"/>
                <w:szCs w:val="20"/>
              </w:rPr>
            </w:pPr>
            <w:r>
              <w:rPr>
                <w:rFonts w:cs="Times New Roman"/>
                <w:szCs w:val="20"/>
              </w:rPr>
              <w:t xml:space="preserve">De </w:t>
            </w:r>
            <w:r w:rsidR="00D74294" w:rsidRPr="00C65352">
              <w:rPr>
                <w:rFonts w:cs="Times New Roman"/>
                <w:szCs w:val="20"/>
              </w:rPr>
              <w:t>6</w:t>
            </w:r>
            <w:r>
              <w:rPr>
                <w:rFonts w:cs="Times New Roman"/>
                <w:szCs w:val="20"/>
              </w:rPr>
              <w:t xml:space="preserve">5 a </w:t>
            </w:r>
            <w:r w:rsidR="00D74294" w:rsidRPr="00C65352">
              <w:rPr>
                <w:rFonts w:cs="Times New Roman"/>
                <w:szCs w:val="20"/>
              </w:rPr>
              <w:t>69</w:t>
            </w:r>
            <w:r>
              <w:rPr>
                <w:rFonts w:cs="Times New Roman"/>
                <w:szCs w:val="20"/>
              </w:rPr>
              <w:t xml:space="preserve"> años</w:t>
            </w:r>
          </w:p>
        </w:tc>
        <w:tc>
          <w:tcPr>
            <w:tcW w:w="1559"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szCs w:val="20"/>
              </w:rPr>
            </w:pPr>
            <w:r w:rsidRPr="00C65352">
              <w:rPr>
                <w:rFonts w:cs="Times New Roman"/>
                <w:szCs w:val="20"/>
              </w:rPr>
              <w:t>10 862</w:t>
            </w:r>
          </w:p>
        </w:tc>
        <w:tc>
          <w:tcPr>
            <w:tcW w:w="1134"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szCs w:val="20"/>
              </w:rPr>
            </w:pPr>
            <w:r w:rsidRPr="00C65352">
              <w:rPr>
                <w:rFonts w:cs="Times New Roman"/>
                <w:szCs w:val="20"/>
              </w:rPr>
              <w:t>4 708</w:t>
            </w:r>
          </w:p>
        </w:tc>
        <w:tc>
          <w:tcPr>
            <w:tcW w:w="1134"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bCs/>
                <w:szCs w:val="20"/>
              </w:rPr>
            </w:pPr>
            <w:r w:rsidRPr="00C65352">
              <w:rPr>
                <w:rFonts w:cs="Times New Roman"/>
                <w:bCs/>
                <w:szCs w:val="20"/>
              </w:rPr>
              <w:t>15 570</w:t>
            </w:r>
          </w:p>
        </w:tc>
      </w:tr>
      <w:tr w:rsidR="00D74294" w:rsidRPr="00C65352" w:rsidTr="009C6705">
        <w:trPr>
          <w:trHeight w:val="240"/>
          <w:jc w:val="left"/>
        </w:trPr>
        <w:tc>
          <w:tcPr>
            <w:tcW w:w="1730" w:type="dxa"/>
            <w:shd w:val="clear" w:color="auto" w:fill="auto"/>
          </w:tcPr>
          <w:p w:rsidR="00D74294" w:rsidRPr="00C65352" w:rsidRDefault="00C65352" w:rsidP="00B062D5">
            <w:pPr>
              <w:pStyle w:val="SingleTxtG"/>
              <w:spacing w:before="40" w:after="50" w:line="220" w:lineRule="exact"/>
              <w:ind w:left="0" w:right="0"/>
              <w:jc w:val="left"/>
              <w:rPr>
                <w:rFonts w:cs="Times New Roman"/>
                <w:szCs w:val="20"/>
              </w:rPr>
            </w:pPr>
            <w:r>
              <w:rPr>
                <w:rFonts w:cs="Times New Roman"/>
                <w:szCs w:val="20"/>
              </w:rPr>
              <w:t xml:space="preserve">De 70 a </w:t>
            </w:r>
            <w:r w:rsidR="00D74294" w:rsidRPr="00C65352">
              <w:rPr>
                <w:rFonts w:cs="Times New Roman"/>
                <w:szCs w:val="20"/>
              </w:rPr>
              <w:t>74</w:t>
            </w:r>
            <w:r>
              <w:rPr>
                <w:rFonts w:cs="Times New Roman"/>
                <w:szCs w:val="20"/>
              </w:rPr>
              <w:t xml:space="preserve"> años</w:t>
            </w:r>
          </w:p>
        </w:tc>
        <w:tc>
          <w:tcPr>
            <w:tcW w:w="1559"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szCs w:val="20"/>
              </w:rPr>
            </w:pPr>
            <w:r w:rsidRPr="00C65352">
              <w:rPr>
                <w:rFonts w:cs="Times New Roman"/>
                <w:szCs w:val="20"/>
              </w:rPr>
              <w:t>4 452</w:t>
            </w:r>
          </w:p>
        </w:tc>
        <w:tc>
          <w:tcPr>
            <w:tcW w:w="1134"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szCs w:val="20"/>
              </w:rPr>
            </w:pPr>
            <w:r w:rsidRPr="00C65352">
              <w:rPr>
                <w:rFonts w:cs="Times New Roman"/>
                <w:szCs w:val="20"/>
              </w:rPr>
              <w:t>2 984</w:t>
            </w:r>
          </w:p>
        </w:tc>
        <w:tc>
          <w:tcPr>
            <w:tcW w:w="1134"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bCs/>
                <w:szCs w:val="20"/>
              </w:rPr>
            </w:pPr>
            <w:r w:rsidRPr="00C65352">
              <w:rPr>
                <w:rFonts w:cs="Times New Roman"/>
                <w:bCs/>
                <w:szCs w:val="20"/>
              </w:rPr>
              <w:t>7 436</w:t>
            </w:r>
          </w:p>
        </w:tc>
      </w:tr>
      <w:tr w:rsidR="00D74294" w:rsidRPr="00C65352" w:rsidTr="009C6705">
        <w:trPr>
          <w:trHeight w:val="240"/>
          <w:jc w:val="left"/>
        </w:trPr>
        <w:tc>
          <w:tcPr>
            <w:tcW w:w="1730" w:type="dxa"/>
            <w:shd w:val="clear" w:color="auto" w:fill="auto"/>
          </w:tcPr>
          <w:p w:rsidR="00D74294" w:rsidRPr="00C65352" w:rsidRDefault="00C65352" w:rsidP="00B062D5">
            <w:pPr>
              <w:pStyle w:val="SingleTxtG"/>
              <w:spacing w:before="40" w:after="50" w:line="220" w:lineRule="exact"/>
              <w:ind w:left="0" w:right="0"/>
              <w:jc w:val="left"/>
              <w:rPr>
                <w:rFonts w:cs="Times New Roman"/>
                <w:szCs w:val="20"/>
              </w:rPr>
            </w:pPr>
            <w:r>
              <w:rPr>
                <w:rFonts w:cs="Times New Roman"/>
                <w:szCs w:val="20"/>
              </w:rPr>
              <w:t xml:space="preserve">De 75 a </w:t>
            </w:r>
            <w:r w:rsidR="00D74294" w:rsidRPr="00C65352">
              <w:rPr>
                <w:rFonts w:cs="Times New Roman"/>
                <w:szCs w:val="20"/>
              </w:rPr>
              <w:t>79</w:t>
            </w:r>
            <w:r>
              <w:rPr>
                <w:rFonts w:cs="Times New Roman"/>
                <w:szCs w:val="20"/>
              </w:rPr>
              <w:t xml:space="preserve"> años</w:t>
            </w:r>
          </w:p>
        </w:tc>
        <w:tc>
          <w:tcPr>
            <w:tcW w:w="1559"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szCs w:val="20"/>
              </w:rPr>
            </w:pPr>
            <w:r w:rsidRPr="00C65352">
              <w:rPr>
                <w:rFonts w:cs="Times New Roman"/>
                <w:szCs w:val="20"/>
              </w:rPr>
              <w:t>2 141</w:t>
            </w:r>
          </w:p>
        </w:tc>
        <w:tc>
          <w:tcPr>
            <w:tcW w:w="1134"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szCs w:val="20"/>
              </w:rPr>
            </w:pPr>
            <w:r w:rsidRPr="00C65352">
              <w:rPr>
                <w:rFonts w:cs="Times New Roman"/>
                <w:szCs w:val="20"/>
              </w:rPr>
              <w:t>1 639</w:t>
            </w:r>
          </w:p>
        </w:tc>
        <w:tc>
          <w:tcPr>
            <w:tcW w:w="1134" w:type="dxa"/>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bCs/>
                <w:szCs w:val="20"/>
              </w:rPr>
            </w:pPr>
            <w:r w:rsidRPr="00C65352">
              <w:rPr>
                <w:rFonts w:cs="Times New Roman"/>
                <w:bCs/>
                <w:szCs w:val="20"/>
              </w:rPr>
              <w:t>3 780</w:t>
            </w:r>
          </w:p>
        </w:tc>
      </w:tr>
      <w:tr w:rsidR="00D74294" w:rsidRPr="00C65352" w:rsidTr="009C6705">
        <w:trPr>
          <w:trHeight w:val="240"/>
          <w:jc w:val="left"/>
        </w:trPr>
        <w:tc>
          <w:tcPr>
            <w:tcW w:w="1730" w:type="dxa"/>
            <w:tcBorders>
              <w:bottom w:val="single" w:sz="12" w:space="0" w:color="auto"/>
            </w:tcBorders>
            <w:shd w:val="clear" w:color="auto" w:fill="auto"/>
          </w:tcPr>
          <w:p w:rsidR="00D74294" w:rsidRPr="00C65352" w:rsidRDefault="00C65352" w:rsidP="00B062D5">
            <w:pPr>
              <w:pStyle w:val="SingleTxtG"/>
              <w:spacing w:before="40" w:after="50" w:line="220" w:lineRule="exact"/>
              <w:ind w:left="0" w:right="0"/>
              <w:jc w:val="left"/>
              <w:rPr>
                <w:rFonts w:cs="Times New Roman"/>
                <w:szCs w:val="20"/>
              </w:rPr>
            </w:pPr>
            <w:r>
              <w:rPr>
                <w:rFonts w:cs="Times New Roman"/>
                <w:szCs w:val="20"/>
              </w:rPr>
              <w:t xml:space="preserve">De </w:t>
            </w:r>
            <w:r w:rsidR="00D74294" w:rsidRPr="00C65352">
              <w:rPr>
                <w:rFonts w:cs="Times New Roman"/>
                <w:szCs w:val="20"/>
              </w:rPr>
              <w:t>80</w:t>
            </w:r>
            <w:r>
              <w:rPr>
                <w:rFonts w:cs="Times New Roman"/>
                <w:szCs w:val="20"/>
              </w:rPr>
              <w:t xml:space="preserve"> años y más</w:t>
            </w:r>
          </w:p>
        </w:tc>
        <w:tc>
          <w:tcPr>
            <w:tcW w:w="1559" w:type="dxa"/>
            <w:tcBorders>
              <w:bottom w:val="single" w:sz="12" w:space="0" w:color="auto"/>
            </w:tcBorders>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szCs w:val="20"/>
              </w:rPr>
            </w:pPr>
            <w:r w:rsidRPr="00C65352">
              <w:rPr>
                <w:rFonts w:cs="Times New Roman"/>
                <w:szCs w:val="20"/>
              </w:rPr>
              <w:t>1 869</w:t>
            </w:r>
          </w:p>
        </w:tc>
        <w:tc>
          <w:tcPr>
            <w:tcW w:w="1134" w:type="dxa"/>
            <w:tcBorders>
              <w:bottom w:val="single" w:sz="12" w:space="0" w:color="auto"/>
            </w:tcBorders>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szCs w:val="20"/>
              </w:rPr>
            </w:pPr>
            <w:r w:rsidRPr="00C65352">
              <w:rPr>
                <w:rFonts w:cs="Times New Roman"/>
                <w:szCs w:val="20"/>
              </w:rPr>
              <w:t>1 776</w:t>
            </w:r>
          </w:p>
        </w:tc>
        <w:tc>
          <w:tcPr>
            <w:tcW w:w="1134" w:type="dxa"/>
            <w:tcBorders>
              <w:bottom w:val="single" w:sz="12" w:space="0" w:color="auto"/>
            </w:tcBorders>
            <w:shd w:val="clear" w:color="auto" w:fill="auto"/>
            <w:vAlign w:val="bottom"/>
          </w:tcPr>
          <w:p w:rsidR="00D74294" w:rsidRPr="00C65352" w:rsidRDefault="00D74294" w:rsidP="00B062D5">
            <w:pPr>
              <w:pStyle w:val="SingleTxtG"/>
              <w:spacing w:before="40" w:after="50" w:line="220" w:lineRule="exact"/>
              <w:ind w:left="113" w:right="28"/>
              <w:jc w:val="right"/>
              <w:rPr>
                <w:rFonts w:cs="Times New Roman"/>
                <w:bCs/>
                <w:szCs w:val="20"/>
              </w:rPr>
            </w:pPr>
            <w:r w:rsidRPr="00C65352">
              <w:rPr>
                <w:rFonts w:cs="Times New Roman"/>
                <w:bCs/>
                <w:szCs w:val="20"/>
              </w:rPr>
              <w:t>3 645</w:t>
            </w:r>
          </w:p>
        </w:tc>
      </w:tr>
    </w:tbl>
    <w:p w:rsidR="00D74294" w:rsidRPr="00C65352" w:rsidRDefault="00D74294" w:rsidP="00C65352">
      <w:pPr>
        <w:pStyle w:val="SingleTxtG"/>
        <w:spacing w:before="120" w:after="240"/>
        <w:ind w:firstLine="170"/>
        <w:jc w:val="left"/>
        <w:rPr>
          <w:sz w:val="18"/>
        </w:rPr>
      </w:pPr>
      <w:r w:rsidRPr="00C65352">
        <w:rPr>
          <w:i/>
          <w:iCs/>
          <w:sz w:val="18"/>
        </w:rPr>
        <w:t>Fuente:</w:t>
      </w:r>
      <w:r w:rsidR="00C65352" w:rsidRPr="00C65352">
        <w:rPr>
          <w:sz w:val="18"/>
        </w:rPr>
        <w:t xml:space="preserve"> </w:t>
      </w:r>
      <w:r w:rsidRPr="00C65352">
        <w:rPr>
          <w:sz w:val="18"/>
        </w:rPr>
        <w:t xml:space="preserve">Ministerio de Planificación del Desarrollo y Estadísticas, </w:t>
      </w:r>
      <w:r w:rsidRPr="00C65352">
        <w:rPr>
          <w:i/>
          <w:iCs/>
          <w:sz w:val="18"/>
        </w:rPr>
        <w:t>Estadísticas demográficas y sociales, resúmenes anuales</w:t>
      </w:r>
      <w:r w:rsidRPr="00C65352">
        <w:rPr>
          <w:sz w:val="18"/>
        </w:rPr>
        <w:t>, 2017.</w:t>
      </w:r>
    </w:p>
    <w:p w:rsidR="00D74294" w:rsidRPr="00D74294" w:rsidRDefault="00D74294" w:rsidP="00D74294">
      <w:pPr>
        <w:pStyle w:val="SingleTxtG"/>
      </w:pPr>
      <w:r w:rsidRPr="00D74294">
        <w:t>6.</w:t>
      </w:r>
      <w:r w:rsidRPr="00D74294">
        <w:tab/>
        <w:t>La estimación de la población por grupos de edad en 2017 del cuadro 3 muestra que el número de varones de entre 25 y 29 años alcanzó en ese periodo el máximo registrado (389.213) mientras que el de mujeres disminuyó hasta 92.780. Por otro lado, el número de mujeres de entre 30 y 34 años llegó al máximo registrado (95.603).</w:t>
      </w:r>
    </w:p>
    <w:p w:rsidR="00D74294" w:rsidRPr="00D74294" w:rsidRDefault="00D74294" w:rsidP="00D74294">
      <w:pPr>
        <w:pStyle w:val="SingleTxtG"/>
      </w:pPr>
      <w:r w:rsidRPr="00D74294">
        <w:t>7.</w:t>
      </w:r>
      <w:r w:rsidRPr="00D74294">
        <w:tab/>
        <w:t>El número de varones de 80 años o más y de mujeres del grup</w:t>
      </w:r>
      <w:r w:rsidR="00B062D5">
        <w:t>o de edad de 75 a 79 </w:t>
      </w:r>
      <w:r w:rsidRPr="00D74294">
        <w:t xml:space="preserve">años disminuyó hasta los 1.869 y 1.639 individuos, respectivamente. </w:t>
      </w:r>
    </w:p>
    <w:p w:rsidR="00D74294" w:rsidRPr="00D74294" w:rsidRDefault="00C65352" w:rsidP="00614F22">
      <w:pPr>
        <w:pStyle w:val="H23G"/>
        <w:ind w:left="0" w:firstLine="0"/>
      </w:pPr>
      <w:r w:rsidRPr="00C65352">
        <w:rPr>
          <w:b w:val="0"/>
        </w:rPr>
        <w:t>Cuadro 4</w:t>
      </w:r>
      <w:r w:rsidRPr="00C65352">
        <w:rPr>
          <w:b w:val="0"/>
        </w:rPr>
        <w:br/>
      </w:r>
      <w:r w:rsidR="00D74294" w:rsidRPr="00D74294">
        <w:t>Población por género y grupos de edad, tercer trimestre de 2017</w:t>
      </w:r>
    </w:p>
    <w:tbl>
      <w:tblPr>
        <w:tblStyle w:val="TableElegant11"/>
        <w:tblW w:w="9639"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gridCol w:w="850"/>
        <w:gridCol w:w="775"/>
        <w:gridCol w:w="882"/>
        <w:gridCol w:w="895"/>
        <w:gridCol w:w="708"/>
        <w:gridCol w:w="851"/>
        <w:gridCol w:w="992"/>
        <w:gridCol w:w="709"/>
        <w:gridCol w:w="850"/>
      </w:tblGrid>
      <w:tr w:rsidR="003A0AAE" w:rsidRPr="00C65352" w:rsidTr="003A0AAE">
        <w:trPr>
          <w:cnfStyle w:val="100000000000" w:firstRow="1" w:lastRow="0" w:firstColumn="0" w:lastColumn="0" w:oddVBand="0" w:evenVBand="0" w:oddHBand="0" w:evenHBand="0" w:firstRowFirstColumn="0" w:firstRowLastColumn="0" w:lastRowFirstColumn="0" w:lastRowLastColumn="0"/>
          <w:trHeight w:val="240"/>
          <w:tblHeader/>
        </w:trPr>
        <w:tc>
          <w:tcPr>
            <w:tcW w:w="2127" w:type="dxa"/>
            <w:tcBorders>
              <w:top w:val="single" w:sz="4" w:space="0" w:color="auto"/>
              <w:bottom w:val="nil"/>
            </w:tcBorders>
            <w:shd w:val="clear" w:color="auto" w:fill="auto"/>
          </w:tcPr>
          <w:p w:rsidR="003A0AAE" w:rsidRPr="003A0AAE" w:rsidRDefault="003A0AAE" w:rsidP="00B062D5">
            <w:pPr>
              <w:pStyle w:val="SingleTxtG"/>
              <w:keepNext/>
              <w:keepLines/>
              <w:spacing w:before="80" w:after="80" w:line="200" w:lineRule="exact"/>
              <w:ind w:left="0" w:right="0"/>
              <w:jc w:val="left"/>
              <w:rPr>
                <w:bCs/>
                <w:iCs/>
                <w:caps w:val="0"/>
                <w:sz w:val="18"/>
                <w:lang w:val="es-ES_tradnl"/>
              </w:rPr>
            </w:pPr>
          </w:p>
        </w:tc>
        <w:tc>
          <w:tcPr>
            <w:tcW w:w="2507" w:type="dxa"/>
            <w:gridSpan w:val="3"/>
            <w:tcBorders>
              <w:top w:val="single" w:sz="4" w:space="0" w:color="auto"/>
              <w:bottom w:val="single" w:sz="4" w:space="0" w:color="auto"/>
              <w:right w:val="single" w:sz="24" w:space="0" w:color="FFFFFF" w:themeColor="background1"/>
            </w:tcBorders>
            <w:shd w:val="clear" w:color="auto" w:fill="auto"/>
            <w:vAlign w:val="bottom"/>
          </w:tcPr>
          <w:p w:rsidR="003A0AAE" w:rsidRPr="003A0AAE" w:rsidRDefault="003A0AAE" w:rsidP="00B062D5">
            <w:pPr>
              <w:pStyle w:val="SingleTxtG"/>
              <w:keepNext/>
              <w:keepLines/>
              <w:spacing w:before="80" w:after="80" w:line="200" w:lineRule="exact"/>
              <w:ind w:left="28" w:right="28"/>
              <w:jc w:val="center"/>
              <w:rPr>
                <w:i/>
                <w:iCs/>
                <w:caps w:val="0"/>
                <w:sz w:val="16"/>
                <w:lang w:val="es-ES_tradnl"/>
              </w:rPr>
            </w:pPr>
            <w:r w:rsidRPr="003A0AAE">
              <w:rPr>
                <w:i/>
                <w:iCs/>
                <w:caps w:val="0"/>
                <w:sz w:val="16"/>
                <w:lang w:val="es-ES_tradnl"/>
              </w:rPr>
              <w:t>Julio de 2017</w:t>
            </w:r>
          </w:p>
        </w:tc>
        <w:tc>
          <w:tcPr>
            <w:tcW w:w="2454"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3A0AAE" w:rsidRPr="003A0AAE" w:rsidRDefault="003A0AAE" w:rsidP="00B062D5">
            <w:pPr>
              <w:pStyle w:val="SingleTxtG"/>
              <w:keepNext/>
              <w:keepLines/>
              <w:spacing w:before="80" w:after="80" w:line="200" w:lineRule="exact"/>
              <w:ind w:left="28" w:right="28"/>
              <w:jc w:val="center"/>
              <w:rPr>
                <w:i/>
                <w:iCs/>
                <w:caps w:val="0"/>
                <w:sz w:val="16"/>
                <w:lang w:val="es-ES_tradnl"/>
              </w:rPr>
            </w:pPr>
            <w:r w:rsidRPr="003A0AAE">
              <w:rPr>
                <w:i/>
                <w:iCs/>
                <w:caps w:val="0"/>
                <w:sz w:val="16"/>
                <w:lang w:val="es-ES_tradnl"/>
              </w:rPr>
              <w:t>Agosto de 2017</w:t>
            </w:r>
          </w:p>
        </w:tc>
        <w:tc>
          <w:tcPr>
            <w:tcW w:w="2551" w:type="dxa"/>
            <w:gridSpan w:val="3"/>
            <w:tcBorders>
              <w:top w:val="single" w:sz="4" w:space="0" w:color="auto"/>
              <w:left w:val="single" w:sz="24" w:space="0" w:color="FFFFFF" w:themeColor="background1"/>
              <w:bottom w:val="single" w:sz="4" w:space="0" w:color="auto"/>
            </w:tcBorders>
            <w:shd w:val="clear" w:color="auto" w:fill="auto"/>
            <w:vAlign w:val="bottom"/>
          </w:tcPr>
          <w:p w:rsidR="003A0AAE" w:rsidRPr="003A0AAE" w:rsidRDefault="003A0AAE" w:rsidP="00B062D5">
            <w:pPr>
              <w:pStyle w:val="SingleTxtG"/>
              <w:keepNext/>
              <w:keepLines/>
              <w:spacing w:before="80" w:after="80" w:line="200" w:lineRule="exact"/>
              <w:ind w:left="28" w:right="28"/>
              <w:jc w:val="center"/>
              <w:rPr>
                <w:i/>
                <w:iCs/>
                <w:caps w:val="0"/>
                <w:sz w:val="16"/>
                <w:rtl/>
                <w:lang w:val="es-ES_tradnl"/>
              </w:rPr>
            </w:pPr>
            <w:r w:rsidRPr="003A0AAE">
              <w:rPr>
                <w:i/>
                <w:iCs/>
                <w:caps w:val="0"/>
                <w:sz w:val="16"/>
                <w:lang w:val="es-ES_tradnl"/>
              </w:rPr>
              <w:t>Septiembre de 2017</w:t>
            </w:r>
          </w:p>
        </w:tc>
      </w:tr>
      <w:tr w:rsidR="003A0AAE" w:rsidRPr="00C65352" w:rsidTr="003A0AAE">
        <w:trPr>
          <w:cnfStyle w:val="100000000000" w:firstRow="1" w:lastRow="0" w:firstColumn="0" w:lastColumn="0" w:oddVBand="0" w:evenVBand="0" w:oddHBand="0" w:evenHBand="0" w:firstRowFirstColumn="0" w:firstRowLastColumn="0" w:lastRowFirstColumn="0" w:lastRowLastColumn="0"/>
          <w:trHeight w:val="240"/>
          <w:tblHeader/>
        </w:trPr>
        <w:tc>
          <w:tcPr>
            <w:tcW w:w="2127" w:type="dxa"/>
            <w:tcBorders>
              <w:top w:val="nil"/>
              <w:bottom w:val="single" w:sz="12" w:space="0" w:color="auto"/>
            </w:tcBorders>
            <w:shd w:val="clear" w:color="auto" w:fill="auto"/>
          </w:tcPr>
          <w:p w:rsidR="003A0AAE" w:rsidRPr="003A0AAE" w:rsidRDefault="003A0AAE" w:rsidP="00B062D5">
            <w:pPr>
              <w:pStyle w:val="SingleTxtG"/>
              <w:keepNext/>
              <w:keepLines/>
              <w:spacing w:before="80" w:after="80" w:line="200" w:lineRule="exact"/>
              <w:ind w:left="0" w:right="0"/>
              <w:jc w:val="left"/>
              <w:rPr>
                <w:i/>
                <w:iCs/>
                <w:caps w:val="0"/>
                <w:sz w:val="16"/>
                <w:lang w:val="es-ES_tradnl"/>
              </w:rPr>
            </w:pPr>
            <w:r w:rsidRPr="003A0AAE">
              <w:rPr>
                <w:i/>
                <w:iCs/>
                <w:caps w:val="0"/>
                <w:sz w:val="16"/>
                <w:lang w:val="es-ES_tradnl"/>
              </w:rPr>
              <w:t>Grupos de edad</w:t>
            </w:r>
          </w:p>
        </w:tc>
        <w:tc>
          <w:tcPr>
            <w:tcW w:w="850" w:type="dxa"/>
            <w:tcBorders>
              <w:top w:val="single" w:sz="4" w:space="0" w:color="auto"/>
              <w:bottom w:val="single" w:sz="12" w:space="0" w:color="auto"/>
            </w:tcBorders>
            <w:shd w:val="clear" w:color="auto" w:fill="auto"/>
            <w:vAlign w:val="bottom"/>
          </w:tcPr>
          <w:p w:rsidR="003A0AAE" w:rsidRPr="003A0AAE" w:rsidRDefault="003A0AAE" w:rsidP="00B062D5">
            <w:pPr>
              <w:pStyle w:val="SingleTxtG"/>
              <w:keepNext/>
              <w:keepLines/>
              <w:spacing w:before="80" w:after="80" w:line="200" w:lineRule="exact"/>
              <w:ind w:left="28" w:right="28"/>
              <w:jc w:val="right"/>
              <w:rPr>
                <w:i/>
                <w:iCs/>
                <w:caps w:val="0"/>
                <w:sz w:val="16"/>
                <w:lang w:val="es-ES_tradnl"/>
              </w:rPr>
            </w:pPr>
            <w:r w:rsidRPr="003A0AAE">
              <w:rPr>
                <w:i/>
                <w:iCs/>
                <w:caps w:val="0"/>
                <w:sz w:val="16"/>
                <w:lang w:val="es-ES_tradnl"/>
              </w:rPr>
              <w:t>Hombres</w:t>
            </w:r>
          </w:p>
        </w:tc>
        <w:tc>
          <w:tcPr>
            <w:tcW w:w="775" w:type="dxa"/>
            <w:tcBorders>
              <w:top w:val="single" w:sz="4" w:space="0" w:color="auto"/>
              <w:bottom w:val="single" w:sz="12" w:space="0" w:color="auto"/>
            </w:tcBorders>
            <w:shd w:val="clear" w:color="auto" w:fill="auto"/>
            <w:vAlign w:val="bottom"/>
          </w:tcPr>
          <w:p w:rsidR="003A0AAE" w:rsidRPr="003A0AAE" w:rsidRDefault="003A0AAE" w:rsidP="00B062D5">
            <w:pPr>
              <w:pStyle w:val="SingleTxtG"/>
              <w:keepNext/>
              <w:keepLines/>
              <w:spacing w:before="80" w:after="80" w:line="200" w:lineRule="exact"/>
              <w:ind w:left="28" w:right="28"/>
              <w:jc w:val="right"/>
              <w:rPr>
                <w:i/>
                <w:iCs/>
                <w:caps w:val="0"/>
                <w:sz w:val="16"/>
                <w:lang w:val="es-ES_tradnl"/>
              </w:rPr>
            </w:pPr>
            <w:r w:rsidRPr="003A0AAE">
              <w:rPr>
                <w:i/>
                <w:iCs/>
                <w:caps w:val="0"/>
                <w:sz w:val="16"/>
                <w:lang w:val="es-ES_tradnl"/>
              </w:rPr>
              <w:t xml:space="preserve">Mujeres </w:t>
            </w:r>
          </w:p>
        </w:tc>
        <w:tc>
          <w:tcPr>
            <w:tcW w:w="882" w:type="dxa"/>
            <w:tcBorders>
              <w:top w:val="single" w:sz="4" w:space="0" w:color="auto"/>
              <w:bottom w:val="single" w:sz="12" w:space="0" w:color="auto"/>
              <w:right w:val="single" w:sz="24" w:space="0" w:color="FFFFFF" w:themeColor="background1"/>
            </w:tcBorders>
            <w:shd w:val="clear" w:color="auto" w:fill="auto"/>
            <w:vAlign w:val="bottom"/>
          </w:tcPr>
          <w:p w:rsidR="003A0AAE" w:rsidRPr="003A0AAE" w:rsidRDefault="003A0AAE" w:rsidP="00B062D5">
            <w:pPr>
              <w:pStyle w:val="SingleTxtG"/>
              <w:keepNext/>
              <w:keepLines/>
              <w:spacing w:before="80" w:after="80" w:line="200" w:lineRule="exact"/>
              <w:ind w:left="28" w:right="28"/>
              <w:jc w:val="right"/>
              <w:rPr>
                <w:i/>
                <w:iCs/>
                <w:caps w:val="0"/>
                <w:sz w:val="16"/>
                <w:lang w:val="es-ES_tradnl"/>
              </w:rPr>
            </w:pPr>
            <w:r w:rsidRPr="003A0AAE">
              <w:rPr>
                <w:i/>
                <w:iCs/>
                <w:caps w:val="0"/>
                <w:sz w:val="16"/>
                <w:lang w:val="es-ES_tradnl"/>
              </w:rPr>
              <w:t>Total</w:t>
            </w:r>
          </w:p>
        </w:tc>
        <w:tc>
          <w:tcPr>
            <w:tcW w:w="895" w:type="dxa"/>
            <w:tcBorders>
              <w:top w:val="single" w:sz="4" w:space="0" w:color="auto"/>
              <w:left w:val="single" w:sz="24" w:space="0" w:color="FFFFFF" w:themeColor="background1"/>
              <w:bottom w:val="single" w:sz="12" w:space="0" w:color="auto"/>
            </w:tcBorders>
            <w:shd w:val="clear" w:color="auto" w:fill="auto"/>
            <w:vAlign w:val="bottom"/>
          </w:tcPr>
          <w:p w:rsidR="003A0AAE" w:rsidRPr="003A0AAE" w:rsidRDefault="003A0AAE" w:rsidP="00B062D5">
            <w:pPr>
              <w:pStyle w:val="SingleTxtG"/>
              <w:keepNext/>
              <w:keepLines/>
              <w:spacing w:before="80" w:after="80" w:line="200" w:lineRule="exact"/>
              <w:ind w:left="28" w:right="28"/>
              <w:jc w:val="right"/>
              <w:rPr>
                <w:i/>
                <w:iCs/>
                <w:caps w:val="0"/>
                <w:sz w:val="16"/>
                <w:lang w:val="es-ES_tradnl"/>
              </w:rPr>
            </w:pPr>
            <w:r w:rsidRPr="003A0AAE">
              <w:rPr>
                <w:i/>
                <w:iCs/>
                <w:caps w:val="0"/>
                <w:sz w:val="16"/>
                <w:lang w:val="es-ES_tradnl"/>
              </w:rPr>
              <w:t>Hombres</w:t>
            </w:r>
          </w:p>
        </w:tc>
        <w:tc>
          <w:tcPr>
            <w:tcW w:w="708" w:type="dxa"/>
            <w:tcBorders>
              <w:top w:val="single" w:sz="4" w:space="0" w:color="auto"/>
              <w:bottom w:val="single" w:sz="12" w:space="0" w:color="auto"/>
            </w:tcBorders>
            <w:shd w:val="clear" w:color="auto" w:fill="auto"/>
            <w:vAlign w:val="bottom"/>
          </w:tcPr>
          <w:p w:rsidR="003A0AAE" w:rsidRPr="003A0AAE" w:rsidRDefault="003A0AAE" w:rsidP="00B062D5">
            <w:pPr>
              <w:pStyle w:val="SingleTxtG"/>
              <w:keepNext/>
              <w:keepLines/>
              <w:spacing w:before="80" w:after="80" w:line="200" w:lineRule="exact"/>
              <w:ind w:left="28" w:right="28"/>
              <w:jc w:val="right"/>
              <w:rPr>
                <w:i/>
                <w:iCs/>
                <w:caps w:val="0"/>
                <w:sz w:val="16"/>
                <w:lang w:val="es-ES_tradnl"/>
              </w:rPr>
            </w:pPr>
            <w:r w:rsidRPr="003A0AAE">
              <w:rPr>
                <w:i/>
                <w:iCs/>
                <w:caps w:val="0"/>
                <w:sz w:val="16"/>
                <w:lang w:val="es-ES_tradnl"/>
              </w:rPr>
              <w:t>Mujeres</w:t>
            </w:r>
          </w:p>
        </w:tc>
        <w:tc>
          <w:tcPr>
            <w:tcW w:w="851" w:type="dxa"/>
            <w:tcBorders>
              <w:top w:val="single" w:sz="4" w:space="0" w:color="auto"/>
              <w:bottom w:val="single" w:sz="12" w:space="0" w:color="auto"/>
              <w:right w:val="single" w:sz="24" w:space="0" w:color="FFFFFF" w:themeColor="background1"/>
            </w:tcBorders>
            <w:shd w:val="clear" w:color="auto" w:fill="auto"/>
            <w:vAlign w:val="bottom"/>
          </w:tcPr>
          <w:p w:rsidR="003A0AAE" w:rsidRPr="003A0AAE" w:rsidRDefault="003A0AAE" w:rsidP="00B062D5">
            <w:pPr>
              <w:pStyle w:val="SingleTxtG"/>
              <w:keepNext/>
              <w:keepLines/>
              <w:spacing w:before="80" w:after="80" w:line="200" w:lineRule="exact"/>
              <w:ind w:left="28" w:right="28"/>
              <w:jc w:val="right"/>
              <w:rPr>
                <w:i/>
                <w:iCs/>
                <w:caps w:val="0"/>
                <w:sz w:val="16"/>
                <w:lang w:val="es-ES_tradnl"/>
              </w:rPr>
            </w:pPr>
            <w:r w:rsidRPr="003A0AAE">
              <w:rPr>
                <w:i/>
                <w:iCs/>
                <w:caps w:val="0"/>
                <w:sz w:val="16"/>
                <w:lang w:val="es-ES_tradnl"/>
              </w:rPr>
              <w:t>Total</w:t>
            </w:r>
          </w:p>
        </w:tc>
        <w:tc>
          <w:tcPr>
            <w:tcW w:w="992" w:type="dxa"/>
            <w:tcBorders>
              <w:top w:val="single" w:sz="4" w:space="0" w:color="auto"/>
              <w:left w:val="single" w:sz="24" w:space="0" w:color="FFFFFF" w:themeColor="background1"/>
              <w:bottom w:val="single" w:sz="12" w:space="0" w:color="auto"/>
            </w:tcBorders>
            <w:shd w:val="clear" w:color="auto" w:fill="auto"/>
            <w:vAlign w:val="bottom"/>
          </w:tcPr>
          <w:p w:rsidR="003A0AAE" w:rsidRPr="003A0AAE" w:rsidRDefault="003A0AAE" w:rsidP="00B062D5">
            <w:pPr>
              <w:pStyle w:val="SingleTxtG"/>
              <w:keepNext/>
              <w:keepLines/>
              <w:spacing w:before="80" w:after="80" w:line="200" w:lineRule="exact"/>
              <w:ind w:left="28" w:right="28"/>
              <w:jc w:val="right"/>
              <w:rPr>
                <w:i/>
                <w:iCs/>
                <w:caps w:val="0"/>
                <w:sz w:val="16"/>
                <w:lang w:val="es-ES_tradnl"/>
              </w:rPr>
            </w:pPr>
            <w:r w:rsidRPr="003A0AAE">
              <w:rPr>
                <w:i/>
                <w:iCs/>
                <w:caps w:val="0"/>
                <w:sz w:val="16"/>
                <w:lang w:val="es-ES_tradnl"/>
              </w:rPr>
              <w:t>Hombres</w:t>
            </w:r>
          </w:p>
        </w:tc>
        <w:tc>
          <w:tcPr>
            <w:tcW w:w="709" w:type="dxa"/>
            <w:tcBorders>
              <w:top w:val="single" w:sz="4" w:space="0" w:color="auto"/>
              <w:bottom w:val="single" w:sz="12" w:space="0" w:color="auto"/>
            </w:tcBorders>
            <w:shd w:val="clear" w:color="auto" w:fill="auto"/>
            <w:vAlign w:val="bottom"/>
          </w:tcPr>
          <w:p w:rsidR="003A0AAE" w:rsidRPr="003A0AAE" w:rsidRDefault="003A0AAE" w:rsidP="00B062D5">
            <w:pPr>
              <w:pStyle w:val="SingleTxtG"/>
              <w:keepNext/>
              <w:keepLines/>
              <w:spacing w:before="80" w:after="80" w:line="200" w:lineRule="exact"/>
              <w:ind w:left="28" w:right="28"/>
              <w:jc w:val="right"/>
              <w:rPr>
                <w:i/>
                <w:iCs/>
                <w:caps w:val="0"/>
                <w:sz w:val="16"/>
                <w:lang w:val="es-ES_tradnl"/>
              </w:rPr>
            </w:pPr>
            <w:r w:rsidRPr="003A0AAE">
              <w:rPr>
                <w:i/>
                <w:iCs/>
                <w:caps w:val="0"/>
                <w:sz w:val="16"/>
                <w:lang w:val="es-ES_tradnl"/>
              </w:rPr>
              <w:t xml:space="preserve">Mujeres </w:t>
            </w:r>
          </w:p>
        </w:tc>
        <w:tc>
          <w:tcPr>
            <w:tcW w:w="850" w:type="dxa"/>
            <w:tcBorders>
              <w:top w:val="single" w:sz="4" w:space="0" w:color="auto"/>
              <w:bottom w:val="single" w:sz="12" w:space="0" w:color="auto"/>
            </w:tcBorders>
            <w:shd w:val="clear" w:color="auto" w:fill="auto"/>
            <w:vAlign w:val="bottom"/>
          </w:tcPr>
          <w:p w:rsidR="003A0AAE" w:rsidRPr="003A0AAE" w:rsidRDefault="003A0AAE" w:rsidP="00B062D5">
            <w:pPr>
              <w:pStyle w:val="SingleTxtG"/>
              <w:keepNext/>
              <w:keepLines/>
              <w:spacing w:before="80" w:after="80" w:line="200" w:lineRule="exact"/>
              <w:ind w:left="28" w:right="28"/>
              <w:jc w:val="right"/>
              <w:rPr>
                <w:i/>
                <w:iCs/>
                <w:caps w:val="0"/>
                <w:sz w:val="16"/>
                <w:rtl/>
                <w:lang w:val="es-ES_tradnl"/>
              </w:rPr>
            </w:pPr>
            <w:r w:rsidRPr="003A0AAE">
              <w:rPr>
                <w:i/>
                <w:iCs/>
                <w:caps w:val="0"/>
                <w:sz w:val="16"/>
                <w:lang w:val="es-ES_tradnl"/>
              </w:rPr>
              <w:t>Total</w:t>
            </w:r>
          </w:p>
        </w:tc>
      </w:tr>
      <w:tr w:rsidR="009C6705" w:rsidRPr="00C65352" w:rsidTr="003A0AAE">
        <w:trPr>
          <w:trHeight w:val="240"/>
        </w:trPr>
        <w:tc>
          <w:tcPr>
            <w:tcW w:w="2127" w:type="dxa"/>
            <w:tcBorders>
              <w:top w:val="single" w:sz="12" w:space="0" w:color="auto"/>
            </w:tcBorders>
            <w:shd w:val="clear" w:color="auto" w:fill="auto"/>
          </w:tcPr>
          <w:p w:rsidR="00D74294" w:rsidRPr="003A0AAE" w:rsidRDefault="003A0AAE" w:rsidP="00B062D5">
            <w:pPr>
              <w:pStyle w:val="SingleTxtG"/>
              <w:keepNext/>
              <w:keepLines/>
              <w:spacing w:before="40" w:after="40" w:line="220" w:lineRule="exact"/>
              <w:ind w:left="0" w:right="0"/>
              <w:jc w:val="left"/>
              <w:rPr>
                <w:sz w:val="18"/>
                <w:lang w:val="es-ES_tradnl"/>
              </w:rPr>
            </w:pPr>
            <w:r w:rsidRPr="003A0AAE">
              <w:rPr>
                <w:sz w:val="18"/>
                <w:lang w:val="es-ES_tradnl"/>
              </w:rPr>
              <w:t>Menos de 1 año</w:t>
            </w:r>
          </w:p>
        </w:tc>
        <w:tc>
          <w:tcPr>
            <w:tcW w:w="850" w:type="dxa"/>
            <w:tcBorders>
              <w:top w:val="single" w:sz="12" w:space="0" w:color="auto"/>
            </w:tcBorders>
            <w:shd w:val="clear" w:color="auto" w:fill="auto"/>
          </w:tcPr>
          <w:p w:rsidR="00D74294" w:rsidRPr="003A0AAE" w:rsidRDefault="00D74294" w:rsidP="00B062D5">
            <w:pPr>
              <w:pStyle w:val="SingleTxtG"/>
              <w:keepNext/>
              <w:keepLines/>
              <w:spacing w:before="40" w:after="40" w:line="220" w:lineRule="exact"/>
              <w:ind w:left="28" w:right="28"/>
              <w:jc w:val="right"/>
              <w:rPr>
                <w:bCs/>
                <w:sz w:val="18"/>
                <w:lang w:val="es-ES_tradnl"/>
              </w:rPr>
            </w:pPr>
            <w:r w:rsidRPr="003A0AAE">
              <w:rPr>
                <w:bCs/>
                <w:sz w:val="18"/>
                <w:lang w:val="es-ES_tradnl"/>
              </w:rPr>
              <w:t>9 548</w:t>
            </w:r>
          </w:p>
        </w:tc>
        <w:tc>
          <w:tcPr>
            <w:tcW w:w="775" w:type="dxa"/>
            <w:tcBorders>
              <w:top w:val="single" w:sz="12" w:space="0" w:color="auto"/>
            </w:tcBorders>
            <w:shd w:val="clear" w:color="auto" w:fill="auto"/>
          </w:tcPr>
          <w:p w:rsidR="00D74294" w:rsidRPr="003A0AAE" w:rsidRDefault="00D74294" w:rsidP="00B062D5">
            <w:pPr>
              <w:pStyle w:val="SingleTxtG"/>
              <w:keepNext/>
              <w:keepLines/>
              <w:spacing w:before="40" w:after="40" w:line="220" w:lineRule="exact"/>
              <w:ind w:left="28" w:right="28"/>
              <w:jc w:val="right"/>
              <w:rPr>
                <w:bCs/>
                <w:sz w:val="18"/>
                <w:lang w:val="es-ES_tradnl"/>
              </w:rPr>
            </w:pPr>
            <w:r w:rsidRPr="003A0AAE">
              <w:rPr>
                <w:bCs/>
                <w:sz w:val="18"/>
                <w:lang w:val="es-ES_tradnl"/>
              </w:rPr>
              <w:t>9 032</w:t>
            </w:r>
          </w:p>
        </w:tc>
        <w:tc>
          <w:tcPr>
            <w:tcW w:w="882" w:type="dxa"/>
            <w:tcBorders>
              <w:top w:val="single" w:sz="12" w:space="0" w:color="auto"/>
            </w:tcBorders>
            <w:shd w:val="clear" w:color="auto" w:fill="auto"/>
            <w:vAlign w:val="bottom"/>
          </w:tcPr>
          <w:p w:rsidR="00D74294" w:rsidRPr="003A0AAE" w:rsidRDefault="00D74294" w:rsidP="00B062D5">
            <w:pPr>
              <w:pStyle w:val="SingleTxtG"/>
              <w:keepNext/>
              <w:keepLines/>
              <w:spacing w:before="40" w:after="40" w:line="220" w:lineRule="exact"/>
              <w:ind w:left="28" w:right="28"/>
              <w:jc w:val="right"/>
              <w:rPr>
                <w:bCs/>
                <w:sz w:val="18"/>
                <w:lang w:val="es-ES_tradnl"/>
              </w:rPr>
            </w:pPr>
            <w:r w:rsidRPr="003A0AAE">
              <w:rPr>
                <w:bCs/>
                <w:sz w:val="18"/>
                <w:lang w:val="es-ES_tradnl"/>
              </w:rPr>
              <w:t>18 580</w:t>
            </w:r>
          </w:p>
        </w:tc>
        <w:tc>
          <w:tcPr>
            <w:tcW w:w="895" w:type="dxa"/>
            <w:tcBorders>
              <w:top w:val="single" w:sz="12" w:space="0" w:color="auto"/>
            </w:tcBorders>
            <w:shd w:val="clear" w:color="auto" w:fill="auto"/>
            <w:vAlign w:val="bottom"/>
          </w:tcPr>
          <w:p w:rsidR="00D74294" w:rsidRPr="003A0AAE" w:rsidRDefault="00D74294" w:rsidP="00B062D5">
            <w:pPr>
              <w:pStyle w:val="SingleTxtG"/>
              <w:keepNext/>
              <w:keepLines/>
              <w:spacing w:before="40" w:after="40" w:line="220" w:lineRule="exact"/>
              <w:ind w:left="28" w:right="28"/>
              <w:jc w:val="right"/>
              <w:rPr>
                <w:sz w:val="18"/>
                <w:lang w:val="es-ES_tradnl"/>
              </w:rPr>
            </w:pPr>
            <w:r w:rsidRPr="003A0AAE">
              <w:rPr>
                <w:sz w:val="18"/>
                <w:lang w:val="es-ES_tradnl"/>
              </w:rPr>
              <w:t>9 662</w:t>
            </w:r>
          </w:p>
        </w:tc>
        <w:tc>
          <w:tcPr>
            <w:tcW w:w="708" w:type="dxa"/>
            <w:tcBorders>
              <w:top w:val="single" w:sz="12" w:space="0" w:color="auto"/>
            </w:tcBorders>
            <w:shd w:val="clear" w:color="auto" w:fill="auto"/>
            <w:vAlign w:val="bottom"/>
          </w:tcPr>
          <w:p w:rsidR="00D74294" w:rsidRPr="003A0AAE" w:rsidRDefault="00D74294" w:rsidP="00B062D5">
            <w:pPr>
              <w:pStyle w:val="SingleTxtG"/>
              <w:keepNext/>
              <w:keepLines/>
              <w:spacing w:before="40" w:after="40" w:line="220" w:lineRule="exact"/>
              <w:ind w:left="28" w:right="28"/>
              <w:jc w:val="right"/>
              <w:rPr>
                <w:sz w:val="18"/>
                <w:lang w:val="es-ES_tradnl"/>
              </w:rPr>
            </w:pPr>
            <w:r w:rsidRPr="003A0AAE">
              <w:rPr>
                <w:sz w:val="18"/>
                <w:lang w:val="es-ES_tradnl"/>
              </w:rPr>
              <w:t>9 121</w:t>
            </w:r>
          </w:p>
        </w:tc>
        <w:tc>
          <w:tcPr>
            <w:tcW w:w="851" w:type="dxa"/>
            <w:tcBorders>
              <w:top w:val="single" w:sz="12" w:space="0" w:color="auto"/>
            </w:tcBorders>
            <w:shd w:val="clear" w:color="auto" w:fill="auto"/>
            <w:vAlign w:val="bottom"/>
          </w:tcPr>
          <w:p w:rsidR="00D74294" w:rsidRPr="003A0AAE" w:rsidRDefault="00D74294" w:rsidP="00B062D5">
            <w:pPr>
              <w:pStyle w:val="SingleTxtG"/>
              <w:keepNext/>
              <w:keepLines/>
              <w:spacing w:before="40" w:after="40" w:line="220" w:lineRule="exact"/>
              <w:ind w:left="28" w:right="28"/>
              <w:jc w:val="right"/>
              <w:rPr>
                <w:bCs/>
                <w:sz w:val="18"/>
                <w:lang w:val="es-ES_tradnl"/>
              </w:rPr>
            </w:pPr>
            <w:r w:rsidRPr="003A0AAE">
              <w:rPr>
                <w:bCs/>
                <w:sz w:val="18"/>
                <w:lang w:val="es-ES_tradnl"/>
              </w:rPr>
              <w:t>18 783</w:t>
            </w:r>
          </w:p>
        </w:tc>
        <w:tc>
          <w:tcPr>
            <w:tcW w:w="992" w:type="dxa"/>
            <w:tcBorders>
              <w:top w:val="single" w:sz="12" w:space="0" w:color="auto"/>
            </w:tcBorders>
            <w:shd w:val="clear" w:color="auto" w:fill="auto"/>
            <w:vAlign w:val="bottom"/>
          </w:tcPr>
          <w:p w:rsidR="00D74294" w:rsidRPr="003A0AAE" w:rsidRDefault="00D74294" w:rsidP="00B062D5">
            <w:pPr>
              <w:pStyle w:val="SingleTxtG"/>
              <w:keepNext/>
              <w:keepLines/>
              <w:spacing w:before="40" w:after="40" w:line="220" w:lineRule="exact"/>
              <w:ind w:left="28" w:right="28"/>
              <w:jc w:val="right"/>
              <w:rPr>
                <w:sz w:val="18"/>
                <w:lang w:val="es-ES_tradnl"/>
              </w:rPr>
            </w:pPr>
            <w:r w:rsidRPr="003A0AAE">
              <w:rPr>
                <w:sz w:val="18"/>
                <w:lang w:val="es-ES_tradnl"/>
              </w:rPr>
              <w:t>11 120</w:t>
            </w:r>
          </w:p>
        </w:tc>
        <w:tc>
          <w:tcPr>
            <w:tcW w:w="709" w:type="dxa"/>
            <w:tcBorders>
              <w:top w:val="single" w:sz="12" w:space="0" w:color="auto"/>
            </w:tcBorders>
            <w:shd w:val="clear" w:color="auto" w:fill="auto"/>
            <w:vAlign w:val="bottom"/>
          </w:tcPr>
          <w:p w:rsidR="00D74294" w:rsidRPr="003A0AAE" w:rsidRDefault="00D74294" w:rsidP="00B062D5">
            <w:pPr>
              <w:pStyle w:val="SingleTxtG"/>
              <w:keepNext/>
              <w:keepLines/>
              <w:spacing w:before="40" w:after="40" w:line="220" w:lineRule="exact"/>
              <w:ind w:left="28" w:right="28"/>
              <w:jc w:val="right"/>
              <w:rPr>
                <w:sz w:val="18"/>
                <w:lang w:val="es-ES_tradnl"/>
              </w:rPr>
            </w:pPr>
            <w:r w:rsidRPr="003A0AAE">
              <w:rPr>
                <w:sz w:val="18"/>
                <w:lang w:val="es-ES_tradnl"/>
              </w:rPr>
              <w:t>10 542</w:t>
            </w:r>
          </w:p>
        </w:tc>
        <w:tc>
          <w:tcPr>
            <w:tcW w:w="850" w:type="dxa"/>
            <w:tcBorders>
              <w:top w:val="single" w:sz="12" w:space="0" w:color="auto"/>
            </w:tcBorders>
            <w:shd w:val="clear" w:color="auto" w:fill="auto"/>
            <w:vAlign w:val="bottom"/>
          </w:tcPr>
          <w:p w:rsidR="00D74294" w:rsidRPr="003A0AAE" w:rsidRDefault="00D74294" w:rsidP="00B062D5">
            <w:pPr>
              <w:pStyle w:val="SingleTxtG"/>
              <w:keepNext/>
              <w:keepLines/>
              <w:spacing w:before="40" w:after="40" w:line="220" w:lineRule="exact"/>
              <w:ind w:left="28" w:right="28"/>
              <w:jc w:val="right"/>
              <w:rPr>
                <w:sz w:val="18"/>
                <w:lang w:val="es-ES_tradnl"/>
              </w:rPr>
            </w:pPr>
            <w:r w:rsidRPr="003A0AAE">
              <w:rPr>
                <w:bCs/>
                <w:sz w:val="18"/>
                <w:lang w:val="es-ES_tradnl"/>
              </w:rPr>
              <w:t>21 662</w:t>
            </w:r>
          </w:p>
        </w:tc>
      </w:tr>
      <w:tr w:rsidR="009C6705" w:rsidRPr="00C65352" w:rsidTr="003A0AAE">
        <w:trPr>
          <w:trHeight w:val="240"/>
        </w:trPr>
        <w:tc>
          <w:tcPr>
            <w:tcW w:w="2127" w:type="dxa"/>
            <w:shd w:val="clear" w:color="auto" w:fill="auto"/>
          </w:tcPr>
          <w:p w:rsidR="00D74294" w:rsidRPr="003A0AAE" w:rsidRDefault="003A0AAE" w:rsidP="00B062D5">
            <w:pPr>
              <w:pStyle w:val="SingleTxtG"/>
              <w:keepNext/>
              <w:keepLines/>
              <w:spacing w:before="40" w:after="40" w:line="220" w:lineRule="exact"/>
              <w:ind w:left="0" w:right="0"/>
              <w:jc w:val="left"/>
              <w:rPr>
                <w:bCs/>
                <w:sz w:val="18"/>
                <w:lang w:val="es-ES_tradnl"/>
              </w:rPr>
            </w:pPr>
            <w:r>
              <w:rPr>
                <w:sz w:val="18"/>
                <w:lang w:val="es-ES_tradnl"/>
              </w:rPr>
              <w:t xml:space="preserve">De </w:t>
            </w:r>
            <w:r w:rsidR="00D74294" w:rsidRPr="003A0AAE">
              <w:rPr>
                <w:sz w:val="18"/>
                <w:lang w:val="es-ES_tradnl"/>
              </w:rPr>
              <w:t>1</w:t>
            </w:r>
            <w:r>
              <w:rPr>
                <w:sz w:val="18"/>
                <w:lang w:val="es-ES_tradnl"/>
              </w:rPr>
              <w:t xml:space="preserve"> a </w:t>
            </w:r>
            <w:r w:rsidR="00D74294" w:rsidRPr="003A0AAE">
              <w:rPr>
                <w:sz w:val="18"/>
                <w:lang w:val="es-ES_tradnl"/>
              </w:rPr>
              <w:t>4</w:t>
            </w:r>
            <w:r w:rsidR="00B062D5">
              <w:rPr>
                <w:sz w:val="18"/>
                <w:lang w:val="es-ES_tradnl"/>
              </w:rPr>
              <w:t xml:space="preserve"> años</w:t>
            </w:r>
          </w:p>
        </w:tc>
        <w:tc>
          <w:tcPr>
            <w:tcW w:w="850" w:type="dxa"/>
            <w:shd w:val="clear" w:color="auto" w:fill="auto"/>
          </w:tcPr>
          <w:p w:rsidR="00D74294" w:rsidRPr="003A0AAE" w:rsidRDefault="00D74294" w:rsidP="00B062D5">
            <w:pPr>
              <w:pStyle w:val="SingleTxtG"/>
              <w:keepNext/>
              <w:keepLines/>
              <w:spacing w:before="40" w:after="40" w:line="220" w:lineRule="exact"/>
              <w:ind w:left="28" w:right="28"/>
              <w:jc w:val="right"/>
              <w:rPr>
                <w:bCs/>
                <w:sz w:val="18"/>
                <w:lang w:val="es-ES_tradnl"/>
              </w:rPr>
            </w:pPr>
            <w:r w:rsidRPr="003A0AAE">
              <w:rPr>
                <w:bCs/>
                <w:sz w:val="18"/>
                <w:lang w:val="es-ES_tradnl"/>
              </w:rPr>
              <w:t>44 331</w:t>
            </w:r>
          </w:p>
        </w:tc>
        <w:tc>
          <w:tcPr>
            <w:tcW w:w="775" w:type="dxa"/>
            <w:shd w:val="clear" w:color="auto" w:fill="auto"/>
          </w:tcPr>
          <w:p w:rsidR="00D74294" w:rsidRPr="003A0AAE" w:rsidRDefault="00D74294" w:rsidP="00B062D5">
            <w:pPr>
              <w:pStyle w:val="SingleTxtG"/>
              <w:keepNext/>
              <w:keepLines/>
              <w:spacing w:before="40" w:after="40" w:line="220" w:lineRule="exact"/>
              <w:ind w:left="28" w:right="28"/>
              <w:jc w:val="right"/>
              <w:rPr>
                <w:bCs/>
                <w:sz w:val="18"/>
                <w:lang w:val="es-ES_tradnl"/>
              </w:rPr>
            </w:pPr>
            <w:r w:rsidRPr="003A0AAE">
              <w:rPr>
                <w:bCs/>
                <w:sz w:val="18"/>
                <w:lang w:val="es-ES_tradnl"/>
              </w:rPr>
              <w:t>42 407</w:t>
            </w:r>
          </w:p>
        </w:tc>
        <w:tc>
          <w:tcPr>
            <w:tcW w:w="882" w:type="dxa"/>
            <w:shd w:val="clear" w:color="auto" w:fill="auto"/>
            <w:vAlign w:val="bottom"/>
          </w:tcPr>
          <w:p w:rsidR="00D74294" w:rsidRPr="003A0AAE" w:rsidRDefault="00D74294" w:rsidP="00B062D5">
            <w:pPr>
              <w:pStyle w:val="SingleTxtG"/>
              <w:keepNext/>
              <w:keepLines/>
              <w:spacing w:before="40" w:after="40" w:line="220" w:lineRule="exact"/>
              <w:ind w:left="28" w:right="28"/>
              <w:jc w:val="right"/>
              <w:rPr>
                <w:bCs/>
                <w:sz w:val="18"/>
                <w:lang w:val="es-ES_tradnl"/>
              </w:rPr>
            </w:pPr>
            <w:r w:rsidRPr="003A0AAE">
              <w:rPr>
                <w:bCs/>
                <w:sz w:val="18"/>
                <w:lang w:val="es-ES_tradnl"/>
              </w:rPr>
              <w:t>86 738</w:t>
            </w:r>
          </w:p>
        </w:tc>
        <w:tc>
          <w:tcPr>
            <w:tcW w:w="895" w:type="dxa"/>
            <w:shd w:val="clear" w:color="auto" w:fill="auto"/>
            <w:vAlign w:val="bottom"/>
          </w:tcPr>
          <w:p w:rsidR="00D74294" w:rsidRPr="003A0AAE" w:rsidRDefault="00D74294" w:rsidP="00B062D5">
            <w:pPr>
              <w:pStyle w:val="SingleTxtG"/>
              <w:keepNext/>
              <w:keepLines/>
              <w:spacing w:before="40" w:after="40" w:line="220" w:lineRule="exact"/>
              <w:ind w:left="28" w:right="28"/>
              <w:jc w:val="right"/>
              <w:rPr>
                <w:sz w:val="18"/>
                <w:lang w:val="es-ES_tradnl"/>
              </w:rPr>
            </w:pPr>
            <w:r w:rsidRPr="003A0AAE">
              <w:rPr>
                <w:sz w:val="18"/>
                <w:lang w:val="es-ES_tradnl"/>
              </w:rPr>
              <w:t>46 030</w:t>
            </w:r>
          </w:p>
        </w:tc>
        <w:tc>
          <w:tcPr>
            <w:tcW w:w="708" w:type="dxa"/>
            <w:shd w:val="clear" w:color="auto" w:fill="auto"/>
            <w:vAlign w:val="bottom"/>
          </w:tcPr>
          <w:p w:rsidR="00D74294" w:rsidRPr="003A0AAE" w:rsidRDefault="00D74294" w:rsidP="00B062D5">
            <w:pPr>
              <w:pStyle w:val="SingleTxtG"/>
              <w:keepNext/>
              <w:keepLines/>
              <w:spacing w:before="40" w:after="40" w:line="220" w:lineRule="exact"/>
              <w:ind w:left="28" w:right="28"/>
              <w:jc w:val="right"/>
              <w:rPr>
                <w:sz w:val="18"/>
                <w:lang w:val="es-ES_tradnl"/>
              </w:rPr>
            </w:pPr>
            <w:r w:rsidRPr="003A0AAE">
              <w:rPr>
                <w:sz w:val="18"/>
                <w:lang w:val="es-ES_tradnl"/>
              </w:rPr>
              <w:t>44 435</w:t>
            </w:r>
          </w:p>
        </w:tc>
        <w:tc>
          <w:tcPr>
            <w:tcW w:w="851" w:type="dxa"/>
            <w:shd w:val="clear" w:color="auto" w:fill="auto"/>
            <w:vAlign w:val="bottom"/>
          </w:tcPr>
          <w:p w:rsidR="00D74294" w:rsidRPr="003A0AAE" w:rsidRDefault="00D74294" w:rsidP="00B062D5">
            <w:pPr>
              <w:pStyle w:val="SingleTxtG"/>
              <w:keepNext/>
              <w:keepLines/>
              <w:spacing w:before="40" w:after="40" w:line="220" w:lineRule="exact"/>
              <w:ind w:left="28" w:right="28"/>
              <w:jc w:val="right"/>
              <w:rPr>
                <w:bCs/>
                <w:sz w:val="18"/>
                <w:lang w:val="es-ES_tradnl"/>
              </w:rPr>
            </w:pPr>
            <w:r w:rsidRPr="003A0AAE">
              <w:rPr>
                <w:bCs/>
                <w:sz w:val="18"/>
                <w:lang w:val="es-ES_tradnl"/>
              </w:rPr>
              <w:t>90 465</w:t>
            </w:r>
          </w:p>
        </w:tc>
        <w:tc>
          <w:tcPr>
            <w:tcW w:w="992" w:type="dxa"/>
            <w:shd w:val="clear" w:color="auto" w:fill="auto"/>
            <w:vAlign w:val="bottom"/>
          </w:tcPr>
          <w:p w:rsidR="00D74294" w:rsidRPr="003A0AAE" w:rsidRDefault="00D74294" w:rsidP="00B062D5">
            <w:pPr>
              <w:pStyle w:val="SingleTxtG"/>
              <w:keepNext/>
              <w:keepLines/>
              <w:spacing w:before="40" w:after="40" w:line="220" w:lineRule="exact"/>
              <w:ind w:left="28" w:right="28"/>
              <w:jc w:val="right"/>
              <w:rPr>
                <w:sz w:val="18"/>
                <w:lang w:val="es-ES_tradnl"/>
              </w:rPr>
            </w:pPr>
            <w:r w:rsidRPr="003A0AAE">
              <w:rPr>
                <w:sz w:val="18"/>
                <w:lang w:val="es-ES_tradnl"/>
              </w:rPr>
              <w:t>56 092</w:t>
            </w:r>
          </w:p>
        </w:tc>
        <w:tc>
          <w:tcPr>
            <w:tcW w:w="709" w:type="dxa"/>
            <w:shd w:val="clear" w:color="auto" w:fill="auto"/>
            <w:vAlign w:val="bottom"/>
          </w:tcPr>
          <w:p w:rsidR="00D74294" w:rsidRPr="003A0AAE" w:rsidRDefault="00D74294" w:rsidP="00B062D5">
            <w:pPr>
              <w:pStyle w:val="SingleTxtG"/>
              <w:keepNext/>
              <w:keepLines/>
              <w:spacing w:before="40" w:after="40" w:line="220" w:lineRule="exact"/>
              <w:ind w:left="28" w:right="28"/>
              <w:jc w:val="right"/>
              <w:rPr>
                <w:sz w:val="18"/>
                <w:lang w:val="es-ES_tradnl"/>
              </w:rPr>
            </w:pPr>
            <w:r w:rsidRPr="003A0AAE">
              <w:rPr>
                <w:sz w:val="18"/>
                <w:lang w:val="es-ES_tradnl"/>
              </w:rPr>
              <w:t>53 787</w:t>
            </w:r>
          </w:p>
        </w:tc>
        <w:tc>
          <w:tcPr>
            <w:tcW w:w="850" w:type="dxa"/>
            <w:shd w:val="clear" w:color="auto" w:fill="auto"/>
            <w:vAlign w:val="bottom"/>
          </w:tcPr>
          <w:p w:rsidR="00D74294" w:rsidRPr="003A0AAE" w:rsidRDefault="00D74294" w:rsidP="00B062D5">
            <w:pPr>
              <w:pStyle w:val="SingleTxtG"/>
              <w:keepNext/>
              <w:keepLines/>
              <w:spacing w:before="40" w:after="40" w:line="220" w:lineRule="exact"/>
              <w:ind w:left="28" w:right="28"/>
              <w:jc w:val="right"/>
              <w:rPr>
                <w:sz w:val="18"/>
                <w:lang w:val="es-ES_tradnl"/>
              </w:rPr>
            </w:pPr>
            <w:r w:rsidRPr="003A0AAE">
              <w:rPr>
                <w:bCs/>
                <w:sz w:val="18"/>
                <w:lang w:val="es-ES_tradnl"/>
              </w:rPr>
              <w:t>109 879</w:t>
            </w:r>
          </w:p>
        </w:tc>
      </w:tr>
      <w:tr w:rsidR="009C6705" w:rsidRPr="00C65352" w:rsidTr="003A0AAE">
        <w:trPr>
          <w:trHeight w:val="240"/>
        </w:trPr>
        <w:tc>
          <w:tcPr>
            <w:tcW w:w="2127" w:type="dxa"/>
            <w:shd w:val="clear" w:color="auto" w:fill="auto"/>
          </w:tcPr>
          <w:p w:rsidR="00D74294" w:rsidRPr="003A0AAE" w:rsidRDefault="003A0AAE" w:rsidP="00B062D5">
            <w:pPr>
              <w:pStyle w:val="SingleTxtG"/>
              <w:keepNext/>
              <w:keepLines/>
              <w:spacing w:before="40" w:after="40" w:line="220" w:lineRule="exact"/>
              <w:ind w:left="0" w:right="0"/>
              <w:jc w:val="left"/>
              <w:rPr>
                <w:bCs/>
                <w:sz w:val="18"/>
                <w:lang w:val="es-ES_tradnl"/>
              </w:rPr>
            </w:pPr>
            <w:r>
              <w:rPr>
                <w:sz w:val="18"/>
                <w:lang w:val="es-ES_tradnl"/>
              </w:rPr>
              <w:t xml:space="preserve">De </w:t>
            </w:r>
            <w:r w:rsidR="00D74294" w:rsidRPr="003A0AAE">
              <w:rPr>
                <w:sz w:val="18"/>
                <w:lang w:val="es-ES_tradnl"/>
              </w:rPr>
              <w:t>5</w:t>
            </w:r>
            <w:r>
              <w:rPr>
                <w:sz w:val="18"/>
                <w:lang w:val="es-ES_tradnl"/>
              </w:rPr>
              <w:t xml:space="preserve"> a </w:t>
            </w:r>
            <w:r w:rsidR="00D74294" w:rsidRPr="003A0AAE">
              <w:rPr>
                <w:sz w:val="18"/>
                <w:lang w:val="es-ES_tradnl"/>
              </w:rPr>
              <w:t>9</w:t>
            </w:r>
            <w:r w:rsidR="00B062D5">
              <w:rPr>
                <w:sz w:val="18"/>
                <w:lang w:val="es-ES_tradnl"/>
              </w:rPr>
              <w:t xml:space="preserve"> años</w:t>
            </w:r>
          </w:p>
        </w:tc>
        <w:tc>
          <w:tcPr>
            <w:tcW w:w="850" w:type="dxa"/>
            <w:shd w:val="clear" w:color="auto" w:fill="auto"/>
          </w:tcPr>
          <w:p w:rsidR="00D74294" w:rsidRPr="003A0AAE" w:rsidRDefault="00D74294" w:rsidP="00B062D5">
            <w:pPr>
              <w:pStyle w:val="SingleTxtG"/>
              <w:keepNext/>
              <w:keepLines/>
              <w:spacing w:before="40" w:after="40" w:line="220" w:lineRule="exact"/>
              <w:ind w:left="28" w:right="28"/>
              <w:jc w:val="right"/>
              <w:rPr>
                <w:bCs/>
                <w:sz w:val="18"/>
                <w:lang w:val="es-ES_tradnl"/>
              </w:rPr>
            </w:pPr>
            <w:r w:rsidRPr="003A0AAE">
              <w:rPr>
                <w:bCs/>
                <w:sz w:val="18"/>
                <w:lang w:val="es-ES_tradnl"/>
              </w:rPr>
              <w:t>47 203</w:t>
            </w:r>
          </w:p>
        </w:tc>
        <w:tc>
          <w:tcPr>
            <w:tcW w:w="775" w:type="dxa"/>
            <w:shd w:val="clear" w:color="auto" w:fill="auto"/>
          </w:tcPr>
          <w:p w:rsidR="00D74294" w:rsidRPr="003A0AAE" w:rsidRDefault="00D74294" w:rsidP="00B062D5">
            <w:pPr>
              <w:pStyle w:val="SingleTxtG"/>
              <w:keepNext/>
              <w:keepLines/>
              <w:spacing w:before="40" w:after="40" w:line="220" w:lineRule="exact"/>
              <w:ind w:left="28" w:right="28"/>
              <w:jc w:val="right"/>
              <w:rPr>
                <w:bCs/>
                <w:sz w:val="18"/>
                <w:lang w:val="es-ES_tradnl"/>
              </w:rPr>
            </w:pPr>
            <w:r w:rsidRPr="003A0AAE">
              <w:rPr>
                <w:bCs/>
                <w:sz w:val="18"/>
                <w:lang w:val="es-ES_tradnl"/>
              </w:rPr>
              <w:t>45 414</w:t>
            </w:r>
          </w:p>
        </w:tc>
        <w:tc>
          <w:tcPr>
            <w:tcW w:w="882" w:type="dxa"/>
            <w:shd w:val="clear" w:color="auto" w:fill="auto"/>
            <w:vAlign w:val="bottom"/>
          </w:tcPr>
          <w:p w:rsidR="00D74294" w:rsidRPr="003A0AAE" w:rsidRDefault="00D74294" w:rsidP="00B062D5">
            <w:pPr>
              <w:pStyle w:val="SingleTxtG"/>
              <w:keepNext/>
              <w:keepLines/>
              <w:spacing w:before="40" w:after="40" w:line="220" w:lineRule="exact"/>
              <w:ind w:left="28" w:right="28"/>
              <w:jc w:val="right"/>
              <w:rPr>
                <w:bCs/>
                <w:sz w:val="18"/>
                <w:lang w:val="es-ES_tradnl"/>
              </w:rPr>
            </w:pPr>
            <w:r w:rsidRPr="003A0AAE">
              <w:rPr>
                <w:bCs/>
                <w:sz w:val="18"/>
                <w:lang w:val="es-ES_tradnl"/>
              </w:rPr>
              <w:t>92 617</w:t>
            </w:r>
          </w:p>
        </w:tc>
        <w:tc>
          <w:tcPr>
            <w:tcW w:w="895" w:type="dxa"/>
            <w:shd w:val="clear" w:color="auto" w:fill="auto"/>
            <w:vAlign w:val="bottom"/>
          </w:tcPr>
          <w:p w:rsidR="00D74294" w:rsidRPr="003A0AAE" w:rsidRDefault="00D74294" w:rsidP="00B062D5">
            <w:pPr>
              <w:pStyle w:val="SingleTxtG"/>
              <w:keepNext/>
              <w:keepLines/>
              <w:spacing w:before="40" w:after="40" w:line="220" w:lineRule="exact"/>
              <w:ind w:left="28" w:right="28"/>
              <w:jc w:val="right"/>
              <w:rPr>
                <w:sz w:val="18"/>
                <w:lang w:val="es-ES_tradnl"/>
              </w:rPr>
            </w:pPr>
            <w:r w:rsidRPr="003A0AAE">
              <w:rPr>
                <w:sz w:val="18"/>
                <w:lang w:val="es-ES_tradnl"/>
              </w:rPr>
              <w:t>51 931</w:t>
            </w:r>
          </w:p>
        </w:tc>
        <w:tc>
          <w:tcPr>
            <w:tcW w:w="708" w:type="dxa"/>
            <w:shd w:val="clear" w:color="auto" w:fill="auto"/>
            <w:vAlign w:val="bottom"/>
          </w:tcPr>
          <w:p w:rsidR="00D74294" w:rsidRPr="003A0AAE" w:rsidRDefault="00D74294" w:rsidP="00B062D5">
            <w:pPr>
              <w:pStyle w:val="SingleTxtG"/>
              <w:keepNext/>
              <w:keepLines/>
              <w:spacing w:before="40" w:after="40" w:line="220" w:lineRule="exact"/>
              <w:ind w:left="28" w:right="28"/>
              <w:jc w:val="right"/>
              <w:rPr>
                <w:sz w:val="18"/>
                <w:lang w:val="es-ES_tradnl"/>
              </w:rPr>
            </w:pPr>
            <w:r w:rsidRPr="003A0AAE">
              <w:rPr>
                <w:sz w:val="18"/>
                <w:lang w:val="es-ES_tradnl"/>
              </w:rPr>
              <w:t>50 047</w:t>
            </w:r>
          </w:p>
        </w:tc>
        <w:tc>
          <w:tcPr>
            <w:tcW w:w="851" w:type="dxa"/>
            <w:shd w:val="clear" w:color="auto" w:fill="auto"/>
            <w:vAlign w:val="bottom"/>
          </w:tcPr>
          <w:p w:rsidR="00D74294" w:rsidRPr="003A0AAE" w:rsidRDefault="00D74294" w:rsidP="00B062D5">
            <w:pPr>
              <w:pStyle w:val="SingleTxtG"/>
              <w:keepNext/>
              <w:keepLines/>
              <w:spacing w:before="40" w:after="40" w:line="220" w:lineRule="exact"/>
              <w:ind w:left="28" w:right="28"/>
              <w:jc w:val="right"/>
              <w:rPr>
                <w:bCs/>
                <w:sz w:val="18"/>
                <w:lang w:val="es-ES_tradnl"/>
              </w:rPr>
            </w:pPr>
            <w:r w:rsidRPr="003A0AAE">
              <w:rPr>
                <w:bCs/>
                <w:sz w:val="18"/>
                <w:lang w:val="es-ES_tradnl"/>
              </w:rPr>
              <w:t>101 978</w:t>
            </w:r>
          </w:p>
        </w:tc>
        <w:tc>
          <w:tcPr>
            <w:tcW w:w="992" w:type="dxa"/>
            <w:shd w:val="clear" w:color="auto" w:fill="auto"/>
            <w:vAlign w:val="bottom"/>
          </w:tcPr>
          <w:p w:rsidR="00D74294" w:rsidRPr="003A0AAE" w:rsidRDefault="00D74294" w:rsidP="00B062D5">
            <w:pPr>
              <w:pStyle w:val="SingleTxtG"/>
              <w:keepNext/>
              <w:keepLines/>
              <w:spacing w:before="40" w:after="40" w:line="220" w:lineRule="exact"/>
              <w:ind w:left="28" w:right="28"/>
              <w:jc w:val="right"/>
              <w:rPr>
                <w:sz w:val="18"/>
                <w:lang w:val="es-ES_tradnl"/>
              </w:rPr>
            </w:pPr>
            <w:r w:rsidRPr="003A0AAE">
              <w:rPr>
                <w:sz w:val="18"/>
                <w:lang w:val="es-ES_tradnl"/>
              </w:rPr>
              <w:t>66 648</w:t>
            </w:r>
          </w:p>
        </w:tc>
        <w:tc>
          <w:tcPr>
            <w:tcW w:w="709" w:type="dxa"/>
            <w:shd w:val="clear" w:color="auto" w:fill="auto"/>
            <w:vAlign w:val="bottom"/>
          </w:tcPr>
          <w:p w:rsidR="00D74294" w:rsidRPr="003A0AAE" w:rsidRDefault="00D74294" w:rsidP="00B062D5">
            <w:pPr>
              <w:pStyle w:val="SingleTxtG"/>
              <w:keepNext/>
              <w:keepLines/>
              <w:spacing w:before="40" w:after="40" w:line="220" w:lineRule="exact"/>
              <w:ind w:left="28" w:right="28"/>
              <w:jc w:val="right"/>
              <w:rPr>
                <w:sz w:val="18"/>
                <w:lang w:val="es-ES_tradnl"/>
              </w:rPr>
            </w:pPr>
            <w:r w:rsidRPr="003A0AAE">
              <w:rPr>
                <w:sz w:val="18"/>
                <w:lang w:val="es-ES_tradnl"/>
              </w:rPr>
              <w:t>64 071</w:t>
            </w:r>
          </w:p>
        </w:tc>
        <w:tc>
          <w:tcPr>
            <w:tcW w:w="850" w:type="dxa"/>
            <w:shd w:val="clear" w:color="auto" w:fill="auto"/>
            <w:vAlign w:val="bottom"/>
          </w:tcPr>
          <w:p w:rsidR="00D74294" w:rsidRPr="003A0AAE" w:rsidRDefault="00D74294" w:rsidP="00B062D5">
            <w:pPr>
              <w:pStyle w:val="SingleTxtG"/>
              <w:keepNext/>
              <w:keepLines/>
              <w:spacing w:before="40" w:after="40" w:line="220" w:lineRule="exact"/>
              <w:ind w:left="28" w:right="28"/>
              <w:jc w:val="right"/>
              <w:rPr>
                <w:sz w:val="18"/>
                <w:lang w:val="es-ES_tradnl"/>
              </w:rPr>
            </w:pPr>
            <w:r w:rsidRPr="003A0AAE">
              <w:rPr>
                <w:bCs/>
                <w:sz w:val="18"/>
                <w:lang w:val="es-ES_tradnl"/>
              </w:rPr>
              <w:t>130 719</w:t>
            </w:r>
          </w:p>
        </w:tc>
      </w:tr>
      <w:tr w:rsidR="009C6705" w:rsidRPr="00C65352" w:rsidTr="003A0AAE">
        <w:trPr>
          <w:trHeight w:val="240"/>
        </w:trPr>
        <w:tc>
          <w:tcPr>
            <w:tcW w:w="2127" w:type="dxa"/>
            <w:shd w:val="clear" w:color="auto" w:fill="auto"/>
          </w:tcPr>
          <w:p w:rsidR="00D74294" w:rsidRPr="003A0AAE" w:rsidRDefault="003A0AAE" w:rsidP="00B062D5">
            <w:pPr>
              <w:pStyle w:val="SingleTxtG"/>
              <w:keepNext/>
              <w:keepLines/>
              <w:spacing w:before="40" w:after="40" w:line="220" w:lineRule="exact"/>
              <w:ind w:left="0" w:right="0"/>
              <w:jc w:val="left"/>
              <w:rPr>
                <w:bCs/>
                <w:sz w:val="18"/>
                <w:lang w:val="es-ES_tradnl"/>
              </w:rPr>
            </w:pPr>
            <w:r>
              <w:rPr>
                <w:sz w:val="18"/>
                <w:lang w:val="es-ES_tradnl"/>
              </w:rPr>
              <w:t xml:space="preserve">De </w:t>
            </w:r>
            <w:r w:rsidR="00D74294" w:rsidRPr="003A0AAE">
              <w:rPr>
                <w:sz w:val="18"/>
                <w:lang w:val="es-ES_tradnl"/>
              </w:rPr>
              <w:t>10</w:t>
            </w:r>
            <w:r>
              <w:rPr>
                <w:sz w:val="18"/>
                <w:lang w:val="es-ES_tradnl"/>
              </w:rPr>
              <w:t xml:space="preserve"> a </w:t>
            </w:r>
            <w:r w:rsidR="00D74294" w:rsidRPr="003A0AAE">
              <w:rPr>
                <w:sz w:val="18"/>
                <w:lang w:val="es-ES_tradnl"/>
              </w:rPr>
              <w:t>14</w:t>
            </w:r>
            <w:r w:rsidR="00B062D5">
              <w:rPr>
                <w:sz w:val="18"/>
                <w:lang w:val="es-ES_tradnl"/>
              </w:rPr>
              <w:t xml:space="preserve"> años</w:t>
            </w:r>
          </w:p>
        </w:tc>
        <w:tc>
          <w:tcPr>
            <w:tcW w:w="850" w:type="dxa"/>
            <w:shd w:val="clear" w:color="auto" w:fill="auto"/>
          </w:tcPr>
          <w:p w:rsidR="00D74294" w:rsidRPr="003A0AAE" w:rsidRDefault="00D74294" w:rsidP="00B062D5">
            <w:pPr>
              <w:pStyle w:val="SingleTxtG"/>
              <w:keepNext/>
              <w:keepLines/>
              <w:spacing w:before="40" w:after="40" w:line="220" w:lineRule="exact"/>
              <w:ind w:left="28" w:right="28"/>
              <w:jc w:val="right"/>
              <w:rPr>
                <w:bCs/>
                <w:sz w:val="18"/>
                <w:lang w:val="es-ES_tradnl"/>
              </w:rPr>
            </w:pPr>
            <w:r w:rsidRPr="003A0AAE">
              <w:rPr>
                <w:bCs/>
                <w:sz w:val="18"/>
                <w:lang w:val="es-ES_tradnl"/>
              </w:rPr>
              <w:t>37 178</w:t>
            </w:r>
          </w:p>
        </w:tc>
        <w:tc>
          <w:tcPr>
            <w:tcW w:w="775" w:type="dxa"/>
            <w:shd w:val="clear" w:color="auto" w:fill="auto"/>
          </w:tcPr>
          <w:p w:rsidR="00D74294" w:rsidRPr="003A0AAE" w:rsidRDefault="00D74294" w:rsidP="00B062D5">
            <w:pPr>
              <w:pStyle w:val="SingleTxtG"/>
              <w:keepNext/>
              <w:keepLines/>
              <w:spacing w:before="40" w:after="40" w:line="220" w:lineRule="exact"/>
              <w:ind w:left="28" w:right="28"/>
              <w:jc w:val="right"/>
              <w:rPr>
                <w:bCs/>
                <w:sz w:val="18"/>
                <w:lang w:val="es-ES_tradnl"/>
              </w:rPr>
            </w:pPr>
            <w:r w:rsidRPr="003A0AAE">
              <w:rPr>
                <w:bCs/>
                <w:sz w:val="18"/>
                <w:lang w:val="es-ES_tradnl"/>
              </w:rPr>
              <w:t>35 166</w:t>
            </w:r>
          </w:p>
        </w:tc>
        <w:tc>
          <w:tcPr>
            <w:tcW w:w="882" w:type="dxa"/>
            <w:shd w:val="clear" w:color="auto" w:fill="auto"/>
            <w:vAlign w:val="bottom"/>
          </w:tcPr>
          <w:p w:rsidR="00D74294" w:rsidRPr="003A0AAE" w:rsidRDefault="00D74294" w:rsidP="00B062D5">
            <w:pPr>
              <w:pStyle w:val="SingleTxtG"/>
              <w:keepNext/>
              <w:keepLines/>
              <w:spacing w:before="40" w:after="40" w:line="220" w:lineRule="exact"/>
              <w:ind w:left="28" w:right="28"/>
              <w:jc w:val="right"/>
              <w:rPr>
                <w:bCs/>
                <w:sz w:val="18"/>
                <w:lang w:val="es-ES_tradnl"/>
              </w:rPr>
            </w:pPr>
            <w:r w:rsidRPr="003A0AAE">
              <w:rPr>
                <w:bCs/>
                <w:sz w:val="18"/>
                <w:lang w:val="es-ES_tradnl"/>
              </w:rPr>
              <w:t>72 344</w:t>
            </w:r>
          </w:p>
        </w:tc>
        <w:tc>
          <w:tcPr>
            <w:tcW w:w="895" w:type="dxa"/>
            <w:shd w:val="clear" w:color="auto" w:fill="auto"/>
            <w:vAlign w:val="bottom"/>
          </w:tcPr>
          <w:p w:rsidR="00D74294" w:rsidRPr="003A0AAE" w:rsidRDefault="00D74294" w:rsidP="00B062D5">
            <w:pPr>
              <w:pStyle w:val="SingleTxtG"/>
              <w:keepNext/>
              <w:keepLines/>
              <w:spacing w:before="40" w:after="40" w:line="220" w:lineRule="exact"/>
              <w:ind w:left="28" w:right="28"/>
              <w:jc w:val="right"/>
              <w:rPr>
                <w:sz w:val="18"/>
                <w:lang w:val="es-ES_tradnl"/>
              </w:rPr>
            </w:pPr>
            <w:r w:rsidRPr="003A0AAE">
              <w:rPr>
                <w:sz w:val="18"/>
                <w:lang w:val="es-ES_tradnl"/>
              </w:rPr>
              <w:t>40 611</w:t>
            </w:r>
          </w:p>
        </w:tc>
        <w:tc>
          <w:tcPr>
            <w:tcW w:w="708" w:type="dxa"/>
            <w:shd w:val="clear" w:color="auto" w:fill="auto"/>
            <w:vAlign w:val="bottom"/>
          </w:tcPr>
          <w:p w:rsidR="00D74294" w:rsidRPr="003A0AAE" w:rsidRDefault="00D74294" w:rsidP="00B062D5">
            <w:pPr>
              <w:pStyle w:val="SingleTxtG"/>
              <w:keepNext/>
              <w:keepLines/>
              <w:spacing w:before="40" w:after="40" w:line="220" w:lineRule="exact"/>
              <w:ind w:left="28" w:right="28"/>
              <w:jc w:val="right"/>
              <w:rPr>
                <w:sz w:val="18"/>
                <w:lang w:val="es-ES_tradnl"/>
              </w:rPr>
            </w:pPr>
            <w:r w:rsidRPr="003A0AAE">
              <w:rPr>
                <w:sz w:val="18"/>
                <w:lang w:val="es-ES_tradnl"/>
              </w:rPr>
              <w:t>38 519</w:t>
            </w:r>
          </w:p>
        </w:tc>
        <w:tc>
          <w:tcPr>
            <w:tcW w:w="851" w:type="dxa"/>
            <w:shd w:val="clear" w:color="auto" w:fill="auto"/>
            <w:vAlign w:val="bottom"/>
          </w:tcPr>
          <w:p w:rsidR="00D74294" w:rsidRPr="003A0AAE" w:rsidRDefault="00D74294" w:rsidP="00B062D5">
            <w:pPr>
              <w:pStyle w:val="SingleTxtG"/>
              <w:keepNext/>
              <w:keepLines/>
              <w:spacing w:before="40" w:after="40" w:line="220" w:lineRule="exact"/>
              <w:ind w:left="28" w:right="28"/>
              <w:jc w:val="right"/>
              <w:rPr>
                <w:bCs/>
                <w:sz w:val="18"/>
                <w:lang w:val="es-ES_tradnl"/>
              </w:rPr>
            </w:pPr>
            <w:r w:rsidRPr="003A0AAE">
              <w:rPr>
                <w:bCs/>
                <w:sz w:val="18"/>
                <w:lang w:val="es-ES_tradnl"/>
              </w:rPr>
              <w:t>79 130</w:t>
            </w:r>
          </w:p>
        </w:tc>
        <w:tc>
          <w:tcPr>
            <w:tcW w:w="992" w:type="dxa"/>
            <w:shd w:val="clear" w:color="auto" w:fill="auto"/>
            <w:vAlign w:val="bottom"/>
          </w:tcPr>
          <w:p w:rsidR="00D74294" w:rsidRPr="003A0AAE" w:rsidRDefault="00D74294" w:rsidP="00B062D5">
            <w:pPr>
              <w:pStyle w:val="SingleTxtG"/>
              <w:keepNext/>
              <w:keepLines/>
              <w:spacing w:before="40" w:after="40" w:line="220" w:lineRule="exact"/>
              <w:ind w:left="28" w:right="28"/>
              <w:jc w:val="right"/>
              <w:rPr>
                <w:sz w:val="18"/>
                <w:lang w:val="es-ES_tradnl"/>
              </w:rPr>
            </w:pPr>
            <w:r w:rsidRPr="003A0AAE">
              <w:rPr>
                <w:sz w:val="18"/>
                <w:lang w:val="es-ES_tradnl"/>
              </w:rPr>
              <w:t>50 983</w:t>
            </w:r>
          </w:p>
        </w:tc>
        <w:tc>
          <w:tcPr>
            <w:tcW w:w="709" w:type="dxa"/>
            <w:shd w:val="clear" w:color="auto" w:fill="auto"/>
            <w:vAlign w:val="bottom"/>
          </w:tcPr>
          <w:p w:rsidR="00D74294" w:rsidRPr="003A0AAE" w:rsidRDefault="00D74294" w:rsidP="00B062D5">
            <w:pPr>
              <w:pStyle w:val="SingleTxtG"/>
              <w:keepNext/>
              <w:keepLines/>
              <w:spacing w:before="40" w:after="40" w:line="220" w:lineRule="exact"/>
              <w:ind w:left="28" w:right="28"/>
              <w:jc w:val="right"/>
              <w:rPr>
                <w:sz w:val="18"/>
                <w:lang w:val="es-ES_tradnl"/>
              </w:rPr>
            </w:pPr>
            <w:r w:rsidRPr="003A0AAE">
              <w:rPr>
                <w:sz w:val="18"/>
                <w:lang w:val="es-ES_tradnl"/>
              </w:rPr>
              <w:t>48 601</w:t>
            </w:r>
          </w:p>
        </w:tc>
        <w:tc>
          <w:tcPr>
            <w:tcW w:w="850" w:type="dxa"/>
            <w:shd w:val="clear" w:color="auto" w:fill="auto"/>
            <w:vAlign w:val="bottom"/>
          </w:tcPr>
          <w:p w:rsidR="00D74294" w:rsidRPr="003A0AAE" w:rsidRDefault="00D74294" w:rsidP="00B062D5">
            <w:pPr>
              <w:pStyle w:val="SingleTxtG"/>
              <w:keepNext/>
              <w:keepLines/>
              <w:spacing w:before="40" w:after="40" w:line="220" w:lineRule="exact"/>
              <w:ind w:left="28" w:right="28"/>
              <w:jc w:val="right"/>
              <w:rPr>
                <w:sz w:val="18"/>
                <w:lang w:val="es-ES_tradnl"/>
              </w:rPr>
            </w:pPr>
            <w:r w:rsidRPr="003A0AAE">
              <w:rPr>
                <w:bCs/>
                <w:sz w:val="18"/>
                <w:lang w:val="es-ES_tradnl"/>
              </w:rPr>
              <w:t>99 584</w:t>
            </w:r>
          </w:p>
        </w:tc>
      </w:tr>
      <w:tr w:rsidR="009C6705" w:rsidRPr="00C65352" w:rsidTr="003A0AAE">
        <w:trPr>
          <w:trHeight w:val="240"/>
        </w:trPr>
        <w:tc>
          <w:tcPr>
            <w:tcW w:w="2127" w:type="dxa"/>
            <w:shd w:val="clear" w:color="auto" w:fill="auto"/>
          </w:tcPr>
          <w:p w:rsidR="00D74294" w:rsidRPr="003A0AAE" w:rsidRDefault="003A0AAE" w:rsidP="00B062D5">
            <w:pPr>
              <w:pStyle w:val="SingleTxtG"/>
              <w:keepNext/>
              <w:keepLines/>
              <w:spacing w:before="40" w:after="40" w:line="220" w:lineRule="exact"/>
              <w:ind w:left="0" w:right="0"/>
              <w:jc w:val="left"/>
              <w:rPr>
                <w:bCs/>
                <w:sz w:val="18"/>
                <w:lang w:val="es-ES_tradnl"/>
              </w:rPr>
            </w:pPr>
            <w:r>
              <w:rPr>
                <w:sz w:val="18"/>
                <w:lang w:val="es-ES_tradnl"/>
              </w:rPr>
              <w:t xml:space="preserve">De </w:t>
            </w:r>
            <w:r w:rsidR="00D74294" w:rsidRPr="003A0AAE">
              <w:rPr>
                <w:sz w:val="18"/>
                <w:lang w:val="es-ES_tradnl"/>
              </w:rPr>
              <w:t>15</w:t>
            </w:r>
            <w:r>
              <w:rPr>
                <w:sz w:val="18"/>
                <w:lang w:val="es-ES_tradnl"/>
              </w:rPr>
              <w:t xml:space="preserve"> a </w:t>
            </w:r>
            <w:r w:rsidR="00D74294" w:rsidRPr="003A0AAE">
              <w:rPr>
                <w:sz w:val="18"/>
                <w:lang w:val="es-ES_tradnl"/>
              </w:rPr>
              <w:t>19</w:t>
            </w:r>
            <w:r w:rsidR="00B062D5">
              <w:rPr>
                <w:sz w:val="18"/>
                <w:lang w:val="es-ES_tradnl"/>
              </w:rPr>
              <w:t xml:space="preserve"> años</w:t>
            </w:r>
          </w:p>
        </w:tc>
        <w:tc>
          <w:tcPr>
            <w:tcW w:w="850" w:type="dxa"/>
            <w:shd w:val="clear" w:color="auto" w:fill="auto"/>
          </w:tcPr>
          <w:p w:rsidR="00D74294" w:rsidRPr="003A0AAE" w:rsidRDefault="00D74294" w:rsidP="00B062D5">
            <w:pPr>
              <w:pStyle w:val="SingleTxtG"/>
              <w:keepNext/>
              <w:keepLines/>
              <w:spacing w:before="40" w:after="40" w:line="220" w:lineRule="exact"/>
              <w:ind w:left="28" w:right="28"/>
              <w:jc w:val="right"/>
              <w:rPr>
                <w:bCs/>
                <w:sz w:val="18"/>
                <w:lang w:val="es-ES_tradnl"/>
              </w:rPr>
            </w:pPr>
            <w:r w:rsidRPr="003A0AAE">
              <w:rPr>
                <w:bCs/>
                <w:sz w:val="18"/>
                <w:lang w:val="es-ES_tradnl"/>
              </w:rPr>
              <w:t>40 810</w:t>
            </w:r>
          </w:p>
        </w:tc>
        <w:tc>
          <w:tcPr>
            <w:tcW w:w="775" w:type="dxa"/>
            <w:shd w:val="clear" w:color="auto" w:fill="auto"/>
          </w:tcPr>
          <w:p w:rsidR="00D74294" w:rsidRPr="003A0AAE" w:rsidRDefault="00D74294" w:rsidP="00B062D5">
            <w:pPr>
              <w:pStyle w:val="SingleTxtG"/>
              <w:keepNext/>
              <w:keepLines/>
              <w:spacing w:before="40" w:after="40" w:line="220" w:lineRule="exact"/>
              <w:ind w:left="28" w:right="28"/>
              <w:jc w:val="right"/>
              <w:rPr>
                <w:bCs/>
                <w:sz w:val="18"/>
                <w:lang w:val="es-ES_tradnl"/>
              </w:rPr>
            </w:pPr>
            <w:r w:rsidRPr="003A0AAE">
              <w:rPr>
                <w:bCs/>
                <w:sz w:val="18"/>
                <w:lang w:val="es-ES_tradnl"/>
              </w:rPr>
              <w:t>27 839</w:t>
            </w:r>
          </w:p>
        </w:tc>
        <w:tc>
          <w:tcPr>
            <w:tcW w:w="882" w:type="dxa"/>
            <w:shd w:val="clear" w:color="auto" w:fill="auto"/>
            <w:vAlign w:val="bottom"/>
          </w:tcPr>
          <w:p w:rsidR="00D74294" w:rsidRPr="003A0AAE" w:rsidRDefault="00D74294" w:rsidP="00B062D5">
            <w:pPr>
              <w:pStyle w:val="SingleTxtG"/>
              <w:keepNext/>
              <w:keepLines/>
              <w:spacing w:before="40" w:after="40" w:line="220" w:lineRule="exact"/>
              <w:ind w:left="28" w:right="28"/>
              <w:jc w:val="right"/>
              <w:rPr>
                <w:bCs/>
                <w:sz w:val="18"/>
                <w:lang w:val="es-ES_tradnl"/>
              </w:rPr>
            </w:pPr>
            <w:r w:rsidRPr="003A0AAE">
              <w:rPr>
                <w:bCs/>
                <w:sz w:val="18"/>
                <w:lang w:val="es-ES_tradnl"/>
              </w:rPr>
              <w:t>68 649</w:t>
            </w:r>
          </w:p>
        </w:tc>
        <w:tc>
          <w:tcPr>
            <w:tcW w:w="895" w:type="dxa"/>
            <w:shd w:val="clear" w:color="auto" w:fill="auto"/>
            <w:vAlign w:val="bottom"/>
          </w:tcPr>
          <w:p w:rsidR="00D74294" w:rsidRPr="003A0AAE" w:rsidRDefault="00D74294" w:rsidP="00B062D5">
            <w:pPr>
              <w:pStyle w:val="SingleTxtG"/>
              <w:keepNext/>
              <w:keepLines/>
              <w:spacing w:before="40" w:after="40" w:line="220" w:lineRule="exact"/>
              <w:ind w:left="28" w:right="28"/>
              <w:jc w:val="right"/>
              <w:rPr>
                <w:sz w:val="18"/>
                <w:lang w:val="es-ES_tradnl"/>
              </w:rPr>
            </w:pPr>
            <w:r w:rsidRPr="003A0AAE">
              <w:rPr>
                <w:sz w:val="18"/>
                <w:lang w:val="es-ES_tradnl"/>
              </w:rPr>
              <w:t>41 421</w:t>
            </w:r>
          </w:p>
        </w:tc>
        <w:tc>
          <w:tcPr>
            <w:tcW w:w="708" w:type="dxa"/>
            <w:shd w:val="clear" w:color="auto" w:fill="auto"/>
            <w:vAlign w:val="bottom"/>
          </w:tcPr>
          <w:p w:rsidR="00D74294" w:rsidRPr="003A0AAE" w:rsidRDefault="00D74294" w:rsidP="00B062D5">
            <w:pPr>
              <w:pStyle w:val="SingleTxtG"/>
              <w:keepNext/>
              <w:keepLines/>
              <w:spacing w:before="40" w:after="40" w:line="220" w:lineRule="exact"/>
              <w:ind w:left="28" w:right="28"/>
              <w:jc w:val="right"/>
              <w:rPr>
                <w:sz w:val="18"/>
                <w:lang w:val="es-ES_tradnl"/>
              </w:rPr>
            </w:pPr>
            <w:r w:rsidRPr="003A0AAE">
              <w:rPr>
                <w:sz w:val="18"/>
                <w:lang w:val="es-ES_tradnl"/>
              </w:rPr>
              <w:t>29 121</w:t>
            </w:r>
          </w:p>
        </w:tc>
        <w:tc>
          <w:tcPr>
            <w:tcW w:w="851" w:type="dxa"/>
            <w:shd w:val="clear" w:color="auto" w:fill="auto"/>
            <w:vAlign w:val="bottom"/>
          </w:tcPr>
          <w:p w:rsidR="00D74294" w:rsidRPr="003A0AAE" w:rsidRDefault="00D74294" w:rsidP="00B062D5">
            <w:pPr>
              <w:pStyle w:val="SingleTxtG"/>
              <w:keepNext/>
              <w:keepLines/>
              <w:spacing w:before="40" w:after="40" w:line="220" w:lineRule="exact"/>
              <w:ind w:left="28" w:right="28"/>
              <w:jc w:val="right"/>
              <w:rPr>
                <w:bCs/>
                <w:sz w:val="18"/>
                <w:lang w:val="es-ES_tradnl"/>
              </w:rPr>
            </w:pPr>
            <w:r w:rsidRPr="003A0AAE">
              <w:rPr>
                <w:bCs/>
                <w:sz w:val="18"/>
                <w:lang w:val="es-ES_tradnl"/>
              </w:rPr>
              <w:t>70 542</w:t>
            </w:r>
          </w:p>
        </w:tc>
        <w:tc>
          <w:tcPr>
            <w:tcW w:w="992" w:type="dxa"/>
            <w:shd w:val="clear" w:color="auto" w:fill="auto"/>
            <w:vAlign w:val="bottom"/>
          </w:tcPr>
          <w:p w:rsidR="00D74294" w:rsidRPr="003A0AAE" w:rsidRDefault="00D74294" w:rsidP="00B062D5">
            <w:pPr>
              <w:pStyle w:val="SingleTxtG"/>
              <w:keepNext/>
              <w:keepLines/>
              <w:spacing w:before="40" w:after="40" w:line="220" w:lineRule="exact"/>
              <w:ind w:left="28" w:right="28"/>
              <w:jc w:val="right"/>
              <w:rPr>
                <w:sz w:val="18"/>
                <w:lang w:val="es-ES_tradnl"/>
              </w:rPr>
            </w:pPr>
            <w:r w:rsidRPr="003A0AAE">
              <w:rPr>
                <w:sz w:val="18"/>
                <w:lang w:val="es-ES_tradnl"/>
              </w:rPr>
              <w:t>44 857</w:t>
            </w:r>
          </w:p>
        </w:tc>
        <w:tc>
          <w:tcPr>
            <w:tcW w:w="709" w:type="dxa"/>
            <w:shd w:val="clear" w:color="auto" w:fill="auto"/>
            <w:vAlign w:val="bottom"/>
          </w:tcPr>
          <w:p w:rsidR="00D74294" w:rsidRPr="003A0AAE" w:rsidRDefault="00D74294" w:rsidP="00B062D5">
            <w:pPr>
              <w:pStyle w:val="SingleTxtG"/>
              <w:keepNext/>
              <w:keepLines/>
              <w:spacing w:before="40" w:after="40" w:line="220" w:lineRule="exact"/>
              <w:ind w:left="28" w:right="28"/>
              <w:jc w:val="right"/>
              <w:rPr>
                <w:sz w:val="18"/>
                <w:lang w:val="es-ES_tradnl"/>
              </w:rPr>
            </w:pPr>
            <w:r w:rsidRPr="003A0AAE">
              <w:rPr>
                <w:sz w:val="18"/>
                <w:lang w:val="es-ES_tradnl"/>
              </w:rPr>
              <w:t>33 724</w:t>
            </w:r>
          </w:p>
        </w:tc>
        <w:tc>
          <w:tcPr>
            <w:tcW w:w="850" w:type="dxa"/>
            <w:shd w:val="clear" w:color="auto" w:fill="auto"/>
            <w:vAlign w:val="bottom"/>
          </w:tcPr>
          <w:p w:rsidR="00D74294" w:rsidRPr="003A0AAE" w:rsidRDefault="00D74294" w:rsidP="00B062D5">
            <w:pPr>
              <w:pStyle w:val="SingleTxtG"/>
              <w:keepNext/>
              <w:keepLines/>
              <w:spacing w:before="40" w:after="40" w:line="220" w:lineRule="exact"/>
              <w:ind w:left="28" w:right="28"/>
              <w:jc w:val="right"/>
              <w:rPr>
                <w:sz w:val="18"/>
                <w:lang w:val="es-ES_tradnl"/>
              </w:rPr>
            </w:pPr>
            <w:r w:rsidRPr="003A0AAE">
              <w:rPr>
                <w:bCs/>
                <w:sz w:val="18"/>
                <w:lang w:val="es-ES_tradnl"/>
              </w:rPr>
              <w:t>78 581</w:t>
            </w:r>
          </w:p>
        </w:tc>
      </w:tr>
      <w:tr w:rsidR="009C6705" w:rsidRPr="00C65352" w:rsidTr="003A0AAE">
        <w:trPr>
          <w:trHeight w:val="240"/>
        </w:trPr>
        <w:tc>
          <w:tcPr>
            <w:tcW w:w="2127" w:type="dxa"/>
            <w:shd w:val="clear" w:color="auto" w:fill="auto"/>
          </w:tcPr>
          <w:p w:rsidR="00D74294" w:rsidRPr="003A0AAE" w:rsidRDefault="003A0AAE" w:rsidP="003A0AAE">
            <w:pPr>
              <w:pStyle w:val="SingleTxtG"/>
              <w:spacing w:before="40" w:after="40" w:line="220" w:lineRule="exact"/>
              <w:ind w:left="0" w:right="0"/>
              <w:jc w:val="left"/>
              <w:rPr>
                <w:bCs/>
                <w:sz w:val="18"/>
                <w:lang w:val="es-ES_tradnl"/>
              </w:rPr>
            </w:pPr>
            <w:r>
              <w:rPr>
                <w:sz w:val="18"/>
                <w:lang w:val="es-ES_tradnl"/>
              </w:rPr>
              <w:t xml:space="preserve">De </w:t>
            </w:r>
            <w:r w:rsidR="00D74294" w:rsidRPr="003A0AAE">
              <w:rPr>
                <w:sz w:val="18"/>
                <w:lang w:val="es-ES_tradnl"/>
              </w:rPr>
              <w:t>20</w:t>
            </w:r>
            <w:r>
              <w:rPr>
                <w:sz w:val="18"/>
                <w:lang w:val="es-ES_tradnl"/>
              </w:rPr>
              <w:t xml:space="preserve"> a </w:t>
            </w:r>
            <w:r w:rsidR="00D74294" w:rsidRPr="003A0AAE">
              <w:rPr>
                <w:sz w:val="18"/>
                <w:lang w:val="es-ES_tradnl"/>
              </w:rPr>
              <w:t>24</w:t>
            </w:r>
            <w:r w:rsidR="00B062D5">
              <w:rPr>
                <w:sz w:val="18"/>
                <w:lang w:val="es-ES_tradnl"/>
              </w:rPr>
              <w:t xml:space="preserve"> años</w:t>
            </w:r>
          </w:p>
        </w:tc>
        <w:tc>
          <w:tcPr>
            <w:tcW w:w="850" w:type="dxa"/>
            <w:shd w:val="clear" w:color="auto" w:fill="auto"/>
          </w:tcPr>
          <w:p w:rsidR="00D74294" w:rsidRPr="003A0AAE" w:rsidRDefault="00D74294" w:rsidP="009C6705">
            <w:pPr>
              <w:pStyle w:val="SingleTxtG"/>
              <w:spacing w:before="40" w:after="40" w:line="220" w:lineRule="exact"/>
              <w:ind w:left="28" w:right="28"/>
              <w:jc w:val="right"/>
              <w:rPr>
                <w:bCs/>
                <w:sz w:val="18"/>
                <w:lang w:val="es-ES_tradnl"/>
              </w:rPr>
            </w:pPr>
            <w:r w:rsidRPr="003A0AAE">
              <w:rPr>
                <w:bCs/>
                <w:sz w:val="18"/>
                <w:lang w:val="es-ES_tradnl"/>
              </w:rPr>
              <w:t>232 616</w:t>
            </w:r>
          </w:p>
        </w:tc>
        <w:tc>
          <w:tcPr>
            <w:tcW w:w="775" w:type="dxa"/>
            <w:shd w:val="clear" w:color="auto" w:fill="auto"/>
          </w:tcPr>
          <w:p w:rsidR="00D74294" w:rsidRPr="003A0AAE" w:rsidRDefault="00D74294" w:rsidP="009C6705">
            <w:pPr>
              <w:pStyle w:val="SingleTxtG"/>
              <w:spacing w:before="40" w:after="40" w:line="220" w:lineRule="exact"/>
              <w:ind w:left="28" w:right="28"/>
              <w:jc w:val="right"/>
              <w:rPr>
                <w:bCs/>
                <w:sz w:val="18"/>
                <w:lang w:val="es-ES_tradnl"/>
              </w:rPr>
            </w:pPr>
            <w:r w:rsidRPr="003A0AAE">
              <w:rPr>
                <w:bCs/>
                <w:sz w:val="18"/>
                <w:lang w:val="es-ES_tradnl"/>
              </w:rPr>
              <w:t>40 361</w:t>
            </w:r>
          </w:p>
        </w:tc>
        <w:tc>
          <w:tcPr>
            <w:tcW w:w="882" w:type="dxa"/>
            <w:shd w:val="clear" w:color="auto" w:fill="auto"/>
            <w:vAlign w:val="bottom"/>
          </w:tcPr>
          <w:p w:rsidR="00D74294" w:rsidRPr="003A0AAE" w:rsidRDefault="00D74294" w:rsidP="009C6705">
            <w:pPr>
              <w:pStyle w:val="SingleTxtG"/>
              <w:spacing w:before="40" w:after="40" w:line="220" w:lineRule="exact"/>
              <w:ind w:left="28" w:right="28"/>
              <w:jc w:val="right"/>
              <w:rPr>
                <w:bCs/>
                <w:sz w:val="18"/>
                <w:lang w:val="es-ES_tradnl"/>
              </w:rPr>
            </w:pPr>
            <w:r w:rsidRPr="003A0AAE">
              <w:rPr>
                <w:bCs/>
                <w:sz w:val="18"/>
                <w:lang w:val="es-ES_tradnl"/>
              </w:rPr>
              <w:t>272 977</w:t>
            </w:r>
          </w:p>
        </w:tc>
        <w:tc>
          <w:tcPr>
            <w:tcW w:w="895" w:type="dxa"/>
            <w:shd w:val="clear" w:color="auto" w:fill="auto"/>
            <w:vAlign w:val="bottom"/>
          </w:tcPr>
          <w:p w:rsidR="00D74294" w:rsidRPr="003A0AAE" w:rsidRDefault="00D74294" w:rsidP="009C6705">
            <w:pPr>
              <w:pStyle w:val="SingleTxtG"/>
              <w:spacing w:before="40" w:after="40" w:line="220" w:lineRule="exact"/>
              <w:ind w:left="28" w:right="28"/>
              <w:jc w:val="right"/>
              <w:rPr>
                <w:sz w:val="18"/>
                <w:lang w:val="es-ES_tradnl"/>
              </w:rPr>
            </w:pPr>
            <w:r w:rsidRPr="003A0AAE">
              <w:rPr>
                <w:sz w:val="18"/>
                <w:lang w:val="es-ES_tradnl"/>
              </w:rPr>
              <w:t>228 697</w:t>
            </w:r>
          </w:p>
        </w:tc>
        <w:tc>
          <w:tcPr>
            <w:tcW w:w="708" w:type="dxa"/>
            <w:shd w:val="clear" w:color="auto" w:fill="auto"/>
            <w:vAlign w:val="bottom"/>
          </w:tcPr>
          <w:p w:rsidR="00D74294" w:rsidRPr="003A0AAE" w:rsidRDefault="00D74294" w:rsidP="009C6705">
            <w:pPr>
              <w:pStyle w:val="SingleTxtG"/>
              <w:spacing w:before="40" w:after="40" w:line="220" w:lineRule="exact"/>
              <w:ind w:left="28" w:right="28"/>
              <w:jc w:val="right"/>
              <w:rPr>
                <w:sz w:val="18"/>
                <w:lang w:val="es-ES_tradnl"/>
              </w:rPr>
            </w:pPr>
            <w:r w:rsidRPr="003A0AAE">
              <w:rPr>
                <w:sz w:val="18"/>
                <w:lang w:val="es-ES_tradnl"/>
              </w:rPr>
              <w:t>40 074</w:t>
            </w:r>
          </w:p>
        </w:tc>
        <w:tc>
          <w:tcPr>
            <w:tcW w:w="851" w:type="dxa"/>
            <w:shd w:val="clear" w:color="auto" w:fill="auto"/>
            <w:vAlign w:val="bottom"/>
          </w:tcPr>
          <w:p w:rsidR="00D74294" w:rsidRPr="003A0AAE" w:rsidRDefault="00D74294" w:rsidP="009C6705">
            <w:pPr>
              <w:pStyle w:val="SingleTxtG"/>
              <w:spacing w:before="40" w:after="40" w:line="220" w:lineRule="exact"/>
              <w:ind w:left="28" w:right="28"/>
              <w:jc w:val="right"/>
              <w:rPr>
                <w:bCs/>
                <w:sz w:val="18"/>
                <w:lang w:val="es-ES_tradnl"/>
              </w:rPr>
            </w:pPr>
            <w:r w:rsidRPr="003A0AAE">
              <w:rPr>
                <w:bCs/>
                <w:sz w:val="18"/>
                <w:lang w:val="es-ES_tradnl"/>
              </w:rPr>
              <w:t>268 771</w:t>
            </w:r>
          </w:p>
        </w:tc>
        <w:tc>
          <w:tcPr>
            <w:tcW w:w="992" w:type="dxa"/>
            <w:shd w:val="clear" w:color="auto" w:fill="auto"/>
            <w:vAlign w:val="bottom"/>
          </w:tcPr>
          <w:p w:rsidR="00D74294" w:rsidRPr="003A0AAE" w:rsidRDefault="00D74294" w:rsidP="009C6705">
            <w:pPr>
              <w:pStyle w:val="SingleTxtG"/>
              <w:spacing w:before="40" w:after="40" w:line="220" w:lineRule="exact"/>
              <w:ind w:left="28" w:right="28"/>
              <w:jc w:val="right"/>
              <w:rPr>
                <w:sz w:val="18"/>
                <w:lang w:val="es-ES_tradnl"/>
              </w:rPr>
            </w:pPr>
            <w:r w:rsidRPr="003A0AAE">
              <w:rPr>
                <w:sz w:val="18"/>
                <w:lang w:val="es-ES_tradnl"/>
              </w:rPr>
              <w:t>225 745</w:t>
            </w:r>
          </w:p>
        </w:tc>
        <w:tc>
          <w:tcPr>
            <w:tcW w:w="709" w:type="dxa"/>
            <w:shd w:val="clear" w:color="auto" w:fill="auto"/>
            <w:vAlign w:val="bottom"/>
          </w:tcPr>
          <w:p w:rsidR="00D74294" w:rsidRPr="003A0AAE" w:rsidRDefault="00D74294" w:rsidP="009C6705">
            <w:pPr>
              <w:pStyle w:val="SingleTxtG"/>
              <w:spacing w:before="40" w:after="40" w:line="220" w:lineRule="exact"/>
              <w:ind w:left="28" w:right="28"/>
              <w:jc w:val="right"/>
              <w:rPr>
                <w:sz w:val="18"/>
                <w:lang w:val="es-ES_tradnl"/>
              </w:rPr>
            </w:pPr>
            <w:r w:rsidRPr="003A0AAE">
              <w:rPr>
                <w:sz w:val="18"/>
                <w:lang w:val="es-ES_tradnl"/>
              </w:rPr>
              <w:t>42 159</w:t>
            </w:r>
          </w:p>
        </w:tc>
        <w:tc>
          <w:tcPr>
            <w:tcW w:w="850" w:type="dxa"/>
            <w:shd w:val="clear" w:color="auto" w:fill="auto"/>
            <w:vAlign w:val="bottom"/>
          </w:tcPr>
          <w:p w:rsidR="00D74294" w:rsidRPr="003A0AAE" w:rsidRDefault="00D74294" w:rsidP="009C6705">
            <w:pPr>
              <w:pStyle w:val="SingleTxtG"/>
              <w:spacing w:before="40" w:after="40" w:line="220" w:lineRule="exact"/>
              <w:ind w:left="28" w:right="28"/>
              <w:jc w:val="right"/>
              <w:rPr>
                <w:sz w:val="18"/>
                <w:lang w:val="es-ES_tradnl"/>
              </w:rPr>
            </w:pPr>
            <w:r w:rsidRPr="003A0AAE">
              <w:rPr>
                <w:bCs/>
                <w:sz w:val="18"/>
                <w:lang w:val="es-ES_tradnl"/>
              </w:rPr>
              <w:t>267 904</w:t>
            </w:r>
          </w:p>
        </w:tc>
      </w:tr>
      <w:tr w:rsidR="009C6705" w:rsidRPr="00C65352" w:rsidTr="003A0AAE">
        <w:trPr>
          <w:trHeight w:val="240"/>
        </w:trPr>
        <w:tc>
          <w:tcPr>
            <w:tcW w:w="2127" w:type="dxa"/>
            <w:shd w:val="clear" w:color="auto" w:fill="auto"/>
          </w:tcPr>
          <w:p w:rsidR="00D74294" w:rsidRPr="003A0AAE" w:rsidRDefault="003A0AAE" w:rsidP="003A0AAE">
            <w:pPr>
              <w:pStyle w:val="SingleTxtG"/>
              <w:spacing w:before="40" w:after="40" w:line="220" w:lineRule="exact"/>
              <w:ind w:left="0" w:right="0"/>
              <w:jc w:val="left"/>
              <w:rPr>
                <w:bCs/>
                <w:sz w:val="18"/>
                <w:lang w:val="es-ES_tradnl"/>
              </w:rPr>
            </w:pPr>
            <w:r>
              <w:rPr>
                <w:sz w:val="18"/>
                <w:lang w:val="es-ES_tradnl"/>
              </w:rPr>
              <w:t xml:space="preserve">De </w:t>
            </w:r>
            <w:r w:rsidR="00D74294" w:rsidRPr="003A0AAE">
              <w:rPr>
                <w:sz w:val="18"/>
                <w:lang w:val="es-ES_tradnl"/>
              </w:rPr>
              <w:t>25</w:t>
            </w:r>
            <w:r>
              <w:rPr>
                <w:sz w:val="18"/>
                <w:lang w:val="es-ES_tradnl"/>
              </w:rPr>
              <w:t xml:space="preserve"> a </w:t>
            </w:r>
            <w:r w:rsidR="00D74294" w:rsidRPr="003A0AAE">
              <w:rPr>
                <w:sz w:val="18"/>
                <w:lang w:val="es-ES_tradnl"/>
              </w:rPr>
              <w:t>64</w:t>
            </w:r>
            <w:r w:rsidR="00B062D5">
              <w:rPr>
                <w:sz w:val="18"/>
                <w:lang w:val="es-ES_tradnl"/>
              </w:rPr>
              <w:t xml:space="preserve"> años</w:t>
            </w:r>
          </w:p>
        </w:tc>
        <w:tc>
          <w:tcPr>
            <w:tcW w:w="850" w:type="dxa"/>
            <w:shd w:val="clear" w:color="auto" w:fill="auto"/>
          </w:tcPr>
          <w:p w:rsidR="00D74294" w:rsidRPr="003A0AAE" w:rsidRDefault="00D74294" w:rsidP="009C6705">
            <w:pPr>
              <w:pStyle w:val="SingleTxtG"/>
              <w:spacing w:before="40" w:after="40" w:line="220" w:lineRule="exact"/>
              <w:ind w:left="28" w:right="28"/>
              <w:jc w:val="right"/>
              <w:rPr>
                <w:bCs/>
                <w:sz w:val="18"/>
                <w:lang w:val="es-ES_tradnl"/>
              </w:rPr>
            </w:pPr>
            <w:r w:rsidRPr="003A0AAE">
              <w:rPr>
                <w:bCs/>
                <w:sz w:val="18"/>
                <w:lang w:val="es-ES_tradnl"/>
              </w:rPr>
              <w:t>1 494 963</w:t>
            </w:r>
          </w:p>
        </w:tc>
        <w:tc>
          <w:tcPr>
            <w:tcW w:w="775" w:type="dxa"/>
            <w:shd w:val="clear" w:color="auto" w:fill="auto"/>
          </w:tcPr>
          <w:p w:rsidR="00D74294" w:rsidRPr="003A0AAE" w:rsidRDefault="00D74294" w:rsidP="009C6705">
            <w:pPr>
              <w:pStyle w:val="SingleTxtG"/>
              <w:spacing w:before="40" w:after="40" w:line="220" w:lineRule="exact"/>
              <w:ind w:left="28" w:right="28"/>
              <w:jc w:val="right"/>
              <w:rPr>
                <w:bCs/>
                <w:sz w:val="18"/>
                <w:lang w:val="es-ES_tradnl"/>
              </w:rPr>
            </w:pPr>
            <w:r w:rsidRPr="003A0AAE">
              <w:rPr>
                <w:bCs/>
                <w:sz w:val="18"/>
                <w:lang w:val="es-ES_tradnl"/>
              </w:rPr>
              <w:t>337 162</w:t>
            </w:r>
          </w:p>
        </w:tc>
        <w:tc>
          <w:tcPr>
            <w:tcW w:w="882" w:type="dxa"/>
            <w:shd w:val="clear" w:color="auto" w:fill="auto"/>
            <w:vAlign w:val="bottom"/>
          </w:tcPr>
          <w:p w:rsidR="00D74294" w:rsidRPr="003A0AAE" w:rsidRDefault="00D74294" w:rsidP="009C6705">
            <w:pPr>
              <w:pStyle w:val="SingleTxtG"/>
              <w:spacing w:before="40" w:after="40" w:line="220" w:lineRule="exact"/>
              <w:ind w:left="28" w:right="28"/>
              <w:jc w:val="right"/>
              <w:rPr>
                <w:bCs/>
                <w:sz w:val="18"/>
                <w:lang w:val="es-ES_tradnl"/>
              </w:rPr>
            </w:pPr>
            <w:r w:rsidRPr="003A0AAE">
              <w:rPr>
                <w:bCs/>
                <w:sz w:val="18"/>
                <w:lang w:val="es-ES_tradnl"/>
              </w:rPr>
              <w:t>1 832 125</w:t>
            </w:r>
          </w:p>
        </w:tc>
        <w:tc>
          <w:tcPr>
            <w:tcW w:w="895" w:type="dxa"/>
            <w:shd w:val="clear" w:color="auto" w:fill="auto"/>
            <w:vAlign w:val="bottom"/>
          </w:tcPr>
          <w:p w:rsidR="00D74294" w:rsidRPr="003A0AAE" w:rsidRDefault="00D74294" w:rsidP="009C6705">
            <w:pPr>
              <w:pStyle w:val="SingleTxtG"/>
              <w:spacing w:before="40" w:after="40" w:line="220" w:lineRule="exact"/>
              <w:ind w:left="28" w:right="28"/>
              <w:jc w:val="right"/>
              <w:rPr>
                <w:sz w:val="18"/>
                <w:lang w:val="es-ES_tradnl"/>
              </w:rPr>
            </w:pPr>
            <w:r w:rsidRPr="003A0AAE">
              <w:rPr>
                <w:sz w:val="18"/>
                <w:lang w:val="es-ES_tradnl"/>
              </w:rPr>
              <w:t>1 442 043</w:t>
            </w:r>
          </w:p>
        </w:tc>
        <w:tc>
          <w:tcPr>
            <w:tcW w:w="708" w:type="dxa"/>
            <w:shd w:val="clear" w:color="auto" w:fill="auto"/>
            <w:vAlign w:val="bottom"/>
          </w:tcPr>
          <w:p w:rsidR="00D74294" w:rsidRPr="003A0AAE" w:rsidRDefault="00D74294" w:rsidP="009C6705">
            <w:pPr>
              <w:pStyle w:val="SingleTxtG"/>
              <w:spacing w:before="40" w:after="40" w:line="220" w:lineRule="exact"/>
              <w:ind w:left="28" w:right="28"/>
              <w:jc w:val="right"/>
              <w:rPr>
                <w:sz w:val="18"/>
                <w:lang w:val="es-ES_tradnl"/>
              </w:rPr>
            </w:pPr>
            <w:r w:rsidRPr="003A0AAE">
              <w:rPr>
                <w:sz w:val="18"/>
                <w:lang w:val="es-ES_tradnl"/>
              </w:rPr>
              <w:t>347 681</w:t>
            </w:r>
          </w:p>
        </w:tc>
        <w:tc>
          <w:tcPr>
            <w:tcW w:w="851" w:type="dxa"/>
            <w:shd w:val="clear" w:color="auto" w:fill="auto"/>
            <w:vAlign w:val="bottom"/>
          </w:tcPr>
          <w:p w:rsidR="00D74294" w:rsidRPr="003A0AAE" w:rsidRDefault="00D74294" w:rsidP="009C6705">
            <w:pPr>
              <w:pStyle w:val="SingleTxtG"/>
              <w:spacing w:before="40" w:after="40" w:line="220" w:lineRule="exact"/>
              <w:ind w:left="28" w:right="28"/>
              <w:jc w:val="right"/>
              <w:rPr>
                <w:bCs/>
                <w:sz w:val="18"/>
                <w:lang w:val="es-ES_tradnl"/>
              </w:rPr>
            </w:pPr>
            <w:r w:rsidRPr="003A0AAE">
              <w:rPr>
                <w:bCs/>
                <w:sz w:val="18"/>
                <w:lang w:val="es-ES_tradnl"/>
              </w:rPr>
              <w:t>1 789 724</w:t>
            </w:r>
          </w:p>
        </w:tc>
        <w:tc>
          <w:tcPr>
            <w:tcW w:w="992" w:type="dxa"/>
            <w:shd w:val="clear" w:color="auto" w:fill="auto"/>
            <w:vAlign w:val="bottom"/>
          </w:tcPr>
          <w:p w:rsidR="00D74294" w:rsidRPr="003A0AAE" w:rsidRDefault="00D74294" w:rsidP="009C6705">
            <w:pPr>
              <w:pStyle w:val="SingleTxtG"/>
              <w:spacing w:before="40" w:after="40" w:line="220" w:lineRule="exact"/>
              <w:ind w:left="28" w:right="28"/>
              <w:jc w:val="right"/>
              <w:rPr>
                <w:sz w:val="18"/>
                <w:lang w:val="es-ES_tradnl"/>
              </w:rPr>
            </w:pPr>
            <w:r w:rsidRPr="003A0AAE">
              <w:rPr>
                <w:sz w:val="18"/>
                <w:lang w:val="es-ES_tradnl"/>
              </w:rPr>
              <w:t>1 501 086</w:t>
            </w:r>
          </w:p>
        </w:tc>
        <w:tc>
          <w:tcPr>
            <w:tcW w:w="709" w:type="dxa"/>
            <w:shd w:val="clear" w:color="auto" w:fill="auto"/>
            <w:vAlign w:val="bottom"/>
          </w:tcPr>
          <w:p w:rsidR="00D74294" w:rsidRPr="003A0AAE" w:rsidRDefault="00D74294" w:rsidP="009C6705">
            <w:pPr>
              <w:pStyle w:val="SingleTxtG"/>
              <w:spacing w:before="40" w:after="40" w:line="220" w:lineRule="exact"/>
              <w:ind w:left="28" w:right="28"/>
              <w:jc w:val="right"/>
              <w:rPr>
                <w:sz w:val="18"/>
                <w:lang w:val="es-ES_tradnl"/>
              </w:rPr>
            </w:pPr>
            <w:r w:rsidRPr="003A0AAE">
              <w:rPr>
                <w:sz w:val="18"/>
                <w:lang w:val="es-ES_tradnl"/>
              </w:rPr>
              <w:t>396 344</w:t>
            </w:r>
          </w:p>
        </w:tc>
        <w:tc>
          <w:tcPr>
            <w:tcW w:w="850" w:type="dxa"/>
            <w:shd w:val="clear" w:color="auto" w:fill="auto"/>
            <w:vAlign w:val="bottom"/>
          </w:tcPr>
          <w:p w:rsidR="00D74294" w:rsidRPr="003A0AAE" w:rsidRDefault="00D74294" w:rsidP="009C6705">
            <w:pPr>
              <w:pStyle w:val="SingleTxtG"/>
              <w:spacing w:before="40" w:after="40" w:line="220" w:lineRule="exact"/>
              <w:ind w:left="28" w:right="28"/>
              <w:jc w:val="right"/>
              <w:rPr>
                <w:sz w:val="18"/>
                <w:lang w:val="es-ES_tradnl"/>
              </w:rPr>
            </w:pPr>
            <w:r w:rsidRPr="003A0AAE">
              <w:rPr>
                <w:bCs/>
                <w:sz w:val="18"/>
                <w:lang w:val="es-ES_tradnl"/>
              </w:rPr>
              <w:t>1 897 430</w:t>
            </w:r>
          </w:p>
        </w:tc>
      </w:tr>
      <w:tr w:rsidR="009C6705" w:rsidRPr="00C65352" w:rsidTr="003A0AAE">
        <w:trPr>
          <w:trHeight w:val="240"/>
        </w:trPr>
        <w:tc>
          <w:tcPr>
            <w:tcW w:w="2127" w:type="dxa"/>
            <w:tcBorders>
              <w:bottom w:val="single" w:sz="4" w:space="0" w:color="auto"/>
            </w:tcBorders>
            <w:shd w:val="clear" w:color="auto" w:fill="auto"/>
          </w:tcPr>
          <w:p w:rsidR="00D74294" w:rsidRPr="003A0AAE" w:rsidRDefault="003A0AAE" w:rsidP="003A0AAE">
            <w:pPr>
              <w:pStyle w:val="SingleTxtG"/>
              <w:spacing w:before="40" w:after="40" w:line="220" w:lineRule="exact"/>
              <w:ind w:left="0" w:right="0"/>
              <w:jc w:val="left"/>
              <w:rPr>
                <w:bCs/>
                <w:sz w:val="18"/>
                <w:lang w:val="es-ES_tradnl"/>
              </w:rPr>
            </w:pPr>
            <w:r>
              <w:rPr>
                <w:sz w:val="18"/>
                <w:lang w:val="es-ES_tradnl"/>
              </w:rPr>
              <w:t xml:space="preserve">De </w:t>
            </w:r>
            <w:r w:rsidR="00D74294" w:rsidRPr="003A0AAE">
              <w:rPr>
                <w:sz w:val="18"/>
                <w:lang w:val="es-ES_tradnl"/>
              </w:rPr>
              <w:t>65</w:t>
            </w:r>
            <w:r>
              <w:rPr>
                <w:sz w:val="18"/>
                <w:lang w:val="es-ES_tradnl"/>
              </w:rPr>
              <w:t xml:space="preserve"> años y más</w:t>
            </w:r>
          </w:p>
        </w:tc>
        <w:tc>
          <w:tcPr>
            <w:tcW w:w="850" w:type="dxa"/>
            <w:tcBorders>
              <w:bottom w:val="single" w:sz="4" w:space="0" w:color="auto"/>
            </w:tcBorders>
            <w:shd w:val="clear" w:color="auto" w:fill="auto"/>
          </w:tcPr>
          <w:p w:rsidR="00D74294" w:rsidRPr="003A0AAE" w:rsidRDefault="00D74294" w:rsidP="009C6705">
            <w:pPr>
              <w:pStyle w:val="SingleTxtG"/>
              <w:spacing w:before="40" w:after="40" w:line="220" w:lineRule="exact"/>
              <w:ind w:left="28" w:right="28"/>
              <w:jc w:val="right"/>
              <w:rPr>
                <w:bCs/>
                <w:sz w:val="18"/>
                <w:lang w:val="es-ES_tradnl"/>
              </w:rPr>
            </w:pPr>
            <w:r w:rsidRPr="003A0AAE">
              <w:rPr>
                <w:bCs/>
                <w:sz w:val="18"/>
                <w:lang w:val="es-ES_tradnl"/>
              </w:rPr>
              <w:t>17 284</w:t>
            </w:r>
          </w:p>
        </w:tc>
        <w:tc>
          <w:tcPr>
            <w:tcW w:w="775" w:type="dxa"/>
            <w:tcBorders>
              <w:bottom w:val="single" w:sz="4" w:space="0" w:color="auto"/>
            </w:tcBorders>
            <w:shd w:val="clear" w:color="auto" w:fill="auto"/>
          </w:tcPr>
          <w:p w:rsidR="00D74294" w:rsidRPr="003A0AAE" w:rsidRDefault="00D74294" w:rsidP="009C6705">
            <w:pPr>
              <w:pStyle w:val="SingleTxtG"/>
              <w:spacing w:before="40" w:after="40" w:line="220" w:lineRule="exact"/>
              <w:ind w:left="28" w:right="28"/>
              <w:jc w:val="right"/>
              <w:rPr>
                <w:bCs/>
                <w:sz w:val="18"/>
                <w:lang w:val="es-ES_tradnl"/>
              </w:rPr>
            </w:pPr>
            <w:r w:rsidRPr="003A0AAE">
              <w:rPr>
                <w:bCs/>
                <w:sz w:val="18"/>
                <w:lang w:val="es-ES_tradnl"/>
              </w:rPr>
              <w:t>10 605</w:t>
            </w:r>
          </w:p>
        </w:tc>
        <w:tc>
          <w:tcPr>
            <w:tcW w:w="882" w:type="dxa"/>
            <w:tcBorders>
              <w:bottom w:val="single" w:sz="4" w:space="0" w:color="auto"/>
            </w:tcBorders>
            <w:shd w:val="clear" w:color="auto" w:fill="auto"/>
            <w:vAlign w:val="bottom"/>
          </w:tcPr>
          <w:p w:rsidR="00D74294" w:rsidRPr="003A0AAE" w:rsidRDefault="00D74294" w:rsidP="009C6705">
            <w:pPr>
              <w:pStyle w:val="SingleTxtG"/>
              <w:spacing w:before="40" w:after="40" w:line="220" w:lineRule="exact"/>
              <w:ind w:left="28" w:right="28"/>
              <w:jc w:val="right"/>
              <w:rPr>
                <w:bCs/>
                <w:sz w:val="18"/>
                <w:lang w:val="es-ES_tradnl"/>
              </w:rPr>
            </w:pPr>
            <w:r w:rsidRPr="003A0AAE">
              <w:rPr>
                <w:bCs/>
                <w:sz w:val="18"/>
                <w:lang w:val="es-ES_tradnl"/>
              </w:rPr>
              <w:t>27 889</w:t>
            </w:r>
          </w:p>
        </w:tc>
        <w:tc>
          <w:tcPr>
            <w:tcW w:w="895" w:type="dxa"/>
            <w:tcBorders>
              <w:bottom w:val="single" w:sz="4" w:space="0" w:color="auto"/>
            </w:tcBorders>
            <w:shd w:val="clear" w:color="auto" w:fill="auto"/>
            <w:vAlign w:val="bottom"/>
          </w:tcPr>
          <w:p w:rsidR="00D74294" w:rsidRPr="003A0AAE" w:rsidRDefault="00D74294" w:rsidP="009C6705">
            <w:pPr>
              <w:pStyle w:val="SingleTxtG"/>
              <w:spacing w:before="40" w:after="40" w:line="220" w:lineRule="exact"/>
              <w:ind w:left="28" w:right="28"/>
              <w:jc w:val="right"/>
              <w:rPr>
                <w:sz w:val="18"/>
                <w:lang w:val="es-ES_tradnl"/>
              </w:rPr>
            </w:pPr>
            <w:r w:rsidRPr="003A0AAE">
              <w:rPr>
                <w:sz w:val="18"/>
                <w:lang w:val="es-ES_tradnl"/>
              </w:rPr>
              <w:t>16 497</w:t>
            </w:r>
          </w:p>
        </w:tc>
        <w:tc>
          <w:tcPr>
            <w:tcW w:w="708" w:type="dxa"/>
            <w:tcBorders>
              <w:bottom w:val="single" w:sz="4" w:space="0" w:color="auto"/>
            </w:tcBorders>
            <w:shd w:val="clear" w:color="auto" w:fill="auto"/>
            <w:vAlign w:val="bottom"/>
          </w:tcPr>
          <w:p w:rsidR="00D74294" w:rsidRPr="003A0AAE" w:rsidRDefault="00D74294" w:rsidP="009C6705">
            <w:pPr>
              <w:pStyle w:val="SingleTxtG"/>
              <w:spacing w:before="40" w:after="40" w:line="220" w:lineRule="exact"/>
              <w:ind w:left="28" w:right="28"/>
              <w:jc w:val="right"/>
              <w:rPr>
                <w:sz w:val="18"/>
                <w:lang w:val="es-ES_tradnl"/>
              </w:rPr>
            </w:pPr>
            <w:r w:rsidRPr="003A0AAE">
              <w:rPr>
                <w:sz w:val="18"/>
                <w:lang w:val="es-ES_tradnl"/>
              </w:rPr>
              <w:t>10 438</w:t>
            </w:r>
          </w:p>
        </w:tc>
        <w:tc>
          <w:tcPr>
            <w:tcW w:w="851" w:type="dxa"/>
            <w:tcBorders>
              <w:bottom w:val="single" w:sz="4" w:space="0" w:color="auto"/>
            </w:tcBorders>
            <w:shd w:val="clear" w:color="auto" w:fill="auto"/>
            <w:vAlign w:val="bottom"/>
          </w:tcPr>
          <w:p w:rsidR="00D74294" w:rsidRPr="003A0AAE" w:rsidRDefault="00D74294" w:rsidP="009C6705">
            <w:pPr>
              <w:pStyle w:val="SingleTxtG"/>
              <w:spacing w:before="40" w:after="40" w:line="220" w:lineRule="exact"/>
              <w:ind w:left="28" w:right="28"/>
              <w:jc w:val="right"/>
              <w:rPr>
                <w:bCs/>
                <w:sz w:val="18"/>
                <w:lang w:val="es-ES_tradnl"/>
              </w:rPr>
            </w:pPr>
            <w:r w:rsidRPr="003A0AAE">
              <w:rPr>
                <w:bCs/>
                <w:sz w:val="18"/>
                <w:lang w:val="es-ES_tradnl"/>
              </w:rPr>
              <w:t>26 935</w:t>
            </w:r>
          </w:p>
        </w:tc>
        <w:tc>
          <w:tcPr>
            <w:tcW w:w="992" w:type="dxa"/>
            <w:tcBorders>
              <w:bottom w:val="single" w:sz="4" w:space="0" w:color="auto"/>
            </w:tcBorders>
            <w:shd w:val="clear" w:color="auto" w:fill="auto"/>
            <w:vAlign w:val="bottom"/>
          </w:tcPr>
          <w:p w:rsidR="00D74294" w:rsidRPr="003A0AAE" w:rsidRDefault="00D74294" w:rsidP="009C6705">
            <w:pPr>
              <w:pStyle w:val="SingleTxtG"/>
              <w:spacing w:before="40" w:after="40" w:line="220" w:lineRule="exact"/>
              <w:ind w:left="28" w:right="28"/>
              <w:jc w:val="right"/>
              <w:rPr>
                <w:sz w:val="18"/>
                <w:lang w:val="es-ES_tradnl"/>
              </w:rPr>
            </w:pPr>
            <w:r w:rsidRPr="003A0AAE">
              <w:rPr>
                <w:sz w:val="18"/>
                <w:lang w:val="es-ES_tradnl"/>
              </w:rPr>
              <w:t>17 510</w:t>
            </w:r>
          </w:p>
        </w:tc>
        <w:tc>
          <w:tcPr>
            <w:tcW w:w="709" w:type="dxa"/>
            <w:tcBorders>
              <w:bottom w:val="single" w:sz="4" w:space="0" w:color="auto"/>
            </w:tcBorders>
            <w:shd w:val="clear" w:color="auto" w:fill="auto"/>
            <w:vAlign w:val="bottom"/>
          </w:tcPr>
          <w:p w:rsidR="00D74294" w:rsidRPr="003A0AAE" w:rsidRDefault="00D74294" w:rsidP="009C6705">
            <w:pPr>
              <w:pStyle w:val="SingleTxtG"/>
              <w:spacing w:before="40" w:after="40" w:line="220" w:lineRule="exact"/>
              <w:ind w:left="28" w:right="28"/>
              <w:jc w:val="right"/>
              <w:rPr>
                <w:sz w:val="18"/>
                <w:lang w:val="es-ES_tradnl"/>
              </w:rPr>
            </w:pPr>
            <w:r w:rsidRPr="003A0AAE">
              <w:rPr>
                <w:sz w:val="18"/>
                <w:lang w:val="es-ES_tradnl"/>
              </w:rPr>
              <w:t>10 965</w:t>
            </w:r>
          </w:p>
        </w:tc>
        <w:tc>
          <w:tcPr>
            <w:tcW w:w="850" w:type="dxa"/>
            <w:tcBorders>
              <w:bottom w:val="single" w:sz="4" w:space="0" w:color="auto"/>
            </w:tcBorders>
            <w:shd w:val="clear" w:color="auto" w:fill="auto"/>
            <w:vAlign w:val="bottom"/>
          </w:tcPr>
          <w:p w:rsidR="00D74294" w:rsidRPr="003A0AAE" w:rsidRDefault="00D74294" w:rsidP="009C6705">
            <w:pPr>
              <w:pStyle w:val="SingleTxtG"/>
              <w:spacing w:before="40" w:after="40" w:line="220" w:lineRule="exact"/>
              <w:ind w:left="28" w:right="28"/>
              <w:jc w:val="right"/>
              <w:rPr>
                <w:sz w:val="18"/>
                <w:lang w:val="es-ES_tradnl"/>
              </w:rPr>
            </w:pPr>
            <w:r w:rsidRPr="003A0AAE">
              <w:rPr>
                <w:bCs/>
                <w:sz w:val="18"/>
                <w:lang w:val="es-ES_tradnl"/>
              </w:rPr>
              <w:t>28 475</w:t>
            </w:r>
          </w:p>
        </w:tc>
      </w:tr>
      <w:tr w:rsidR="009C6705" w:rsidRPr="009C6705" w:rsidTr="003A0AAE">
        <w:trPr>
          <w:trHeight w:val="240"/>
        </w:trPr>
        <w:tc>
          <w:tcPr>
            <w:tcW w:w="2127" w:type="dxa"/>
            <w:tcBorders>
              <w:top w:val="single" w:sz="4" w:space="0" w:color="auto"/>
              <w:bottom w:val="single" w:sz="12" w:space="0" w:color="auto"/>
            </w:tcBorders>
            <w:shd w:val="clear" w:color="auto" w:fill="auto"/>
          </w:tcPr>
          <w:p w:rsidR="00D74294" w:rsidRPr="003A0AAE" w:rsidRDefault="00D74294" w:rsidP="009C6705">
            <w:pPr>
              <w:pStyle w:val="SingleTxtG"/>
              <w:spacing w:before="80" w:after="80" w:line="220" w:lineRule="exact"/>
              <w:ind w:left="283" w:right="0"/>
              <w:jc w:val="left"/>
              <w:rPr>
                <w:b/>
                <w:bCs/>
                <w:sz w:val="18"/>
                <w:lang w:val="es-ES_tradnl"/>
              </w:rPr>
            </w:pPr>
            <w:r w:rsidRPr="003A0AAE">
              <w:rPr>
                <w:b/>
                <w:bCs/>
                <w:sz w:val="18"/>
                <w:lang w:val="es-ES_tradnl"/>
              </w:rPr>
              <w:t>Total</w:t>
            </w:r>
            <w:r w:rsidRPr="003A0AAE" w:rsidDel="00AC44C2">
              <w:rPr>
                <w:b/>
                <w:bCs/>
                <w:sz w:val="18"/>
                <w:lang w:val="es-ES_tradnl"/>
              </w:rPr>
              <w:t xml:space="preserve"> </w:t>
            </w:r>
          </w:p>
        </w:tc>
        <w:tc>
          <w:tcPr>
            <w:tcW w:w="850" w:type="dxa"/>
            <w:tcBorders>
              <w:top w:val="single" w:sz="4" w:space="0" w:color="auto"/>
              <w:bottom w:val="single" w:sz="12" w:space="0" w:color="auto"/>
            </w:tcBorders>
            <w:shd w:val="clear" w:color="auto" w:fill="auto"/>
          </w:tcPr>
          <w:p w:rsidR="00D74294" w:rsidRPr="003A0AAE" w:rsidRDefault="00D74294" w:rsidP="009C6705">
            <w:pPr>
              <w:pStyle w:val="SingleTxtG"/>
              <w:spacing w:before="80" w:after="80" w:line="220" w:lineRule="exact"/>
              <w:ind w:left="28" w:right="28"/>
              <w:jc w:val="right"/>
              <w:rPr>
                <w:b/>
                <w:bCs/>
                <w:sz w:val="18"/>
                <w:lang w:val="es-ES_tradnl"/>
              </w:rPr>
            </w:pPr>
            <w:r w:rsidRPr="003A0AAE">
              <w:rPr>
                <w:b/>
                <w:bCs/>
                <w:sz w:val="18"/>
                <w:lang w:val="es-ES_tradnl"/>
              </w:rPr>
              <w:t>1 923 933</w:t>
            </w:r>
          </w:p>
        </w:tc>
        <w:tc>
          <w:tcPr>
            <w:tcW w:w="775" w:type="dxa"/>
            <w:tcBorders>
              <w:top w:val="single" w:sz="4" w:space="0" w:color="auto"/>
              <w:bottom w:val="single" w:sz="12" w:space="0" w:color="auto"/>
            </w:tcBorders>
            <w:shd w:val="clear" w:color="auto" w:fill="auto"/>
          </w:tcPr>
          <w:p w:rsidR="00D74294" w:rsidRPr="003A0AAE" w:rsidRDefault="00D74294" w:rsidP="009C6705">
            <w:pPr>
              <w:pStyle w:val="SingleTxtG"/>
              <w:spacing w:before="80" w:after="80" w:line="220" w:lineRule="exact"/>
              <w:ind w:left="28" w:right="28"/>
              <w:jc w:val="right"/>
              <w:rPr>
                <w:b/>
                <w:bCs/>
                <w:sz w:val="18"/>
                <w:lang w:val="es-ES_tradnl"/>
              </w:rPr>
            </w:pPr>
            <w:r w:rsidRPr="003A0AAE">
              <w:rPr>
                <w:b/>
                <w:bCs/>
                <w:sz w:val="18"/>
                <w:lang w:val="es-ES_tradnl"/>
              </w:rPr>
              <w:t>547 986</w:t>
            </w:r>
          </w:p>
        </w:tc>
        <w:tc>
          <w:tcPr>
            <w:tcW w:w="882" w:type="dxa"/>
            <w:tcBorders>
              <w:top w:val="single" w:sz="4" w:space="0" w:color="auto"/>
              <w:bottom w:val="single" w:sz="12" w:space="0" w:color="auto"/>
            </w:tcBorders>
            <w:shd w:val="clear" w:color="auto" w:fill="auto"/>
            <w:vAlign w:val="bottom"/>
          </w:tcPr>
          <w:p w:rsidR="00D74294" w:rsidRPr="003A0AAE" w:rsidRDefault="00D74294" w:rsidP="009C6705">
            <w:pPr>
              <w:pStyle w:val="SingleTxtG"/>
              <w:spacing w:before="80" w:after="80" w:line="220" w:lineRule="exact"/>
              <w:ind w:left="28" w:right="28"/>
              <w:jc w:val="right"/>
              <w:rPr>
                <w:b/>
                <w:bCs/>
                <w:sz w:val="18"/>
                <w:lang w:val="es-ES_tradnl"/>
              </w:rPr>
            </w:pPr>
            <w:r w:rsidRPr="003A0AAE">
              <w:rPr>
                <w:b/>
                <w:bCs/>
                <w:sz w:val="18"/>
                <w:lang w:val="es-ES_tradnl"/>
              </w:rPr>
              <w:t>2 471 919</w:t>
            </w:r>
          </w:p>
        </w:tc>
        <w:tc>
          <w:tcPr>
            <w:tcW w:w="895" w:type="dxa"/>
            <w:tcBorders>
              <w:top w:val="single" w:sz="4" w:space="0" w:color="auto"/>
              <w:bottom w:val="single" w:sz="12" w:space="0" w:color="auto"/>
            </w:tcBorders>
            <w:shd w:val="clear" w:color="auto" w:fill="auto"/>
            <w:vAlign w:val="bottom"/>
          </w:tcPr>
          <w:p w:rsidR="00D74294" w:rsidRPr="003A0AAE" w:rsidRDefault="00D74294" w:rsidP="009C6705">
            <w:pPr>
              <w:pStyle w:val="SingleTxtG"/>
              <w:spacing w:before="80" w:after="80" w:line="220" w:lineRule="exact"/>
              <w:ind w:left="28" w:right="28"/>
              <w:jc w:val="right"/>
              <w:rPr>
                <w:b/>
                <w:bCs/>
                <w:sz w:val="18"/>
                <w:lang w:val="es-ES_tradnl"/>
              </w:rPr>
            </w:pPr>
            <w:r w:rsidRPr="003A0AAE">
              <w:rPr>
                <w:b/>
                <w:bCs/>
                <w:sz w:val="18"/>
                <w:lang w:val="es-ES_tradnl"/>
              </w:rPr>
              <w:t>1 876 892</w:t>
            </w:r>
          </w:p>
        </w:tc>
        <w:tc>
          <w:tcPr>
            <w:tcW w:w="708" w:type="dxa"/>
            <w:tcBorders>
              <w:top w:val="single" w:sz="4" w:space="0" w:color="auto"/>
              <w:bottom w:val="single" w:sz="12" w:space="0" w:color="auto"/>
            </w:tcBorders>
            <w:shd w:val="clear" w:color="auto" w:fill="auto"/>
            <w:vAlign w:val="bottom"/>
          </w:tcPr>
          <w:p w:rsidR="00D74294" w:rsidRPr="003A0AAE" w:rsidRDefault="00D74294" w:rsidP="009C6705">
            <w:pPr>
              <w:pStyle w:val="SingleTxtG"/>
              <w:spacing w:before="80" w:after="80" w:line="220" w:lineRule="exact"/>
              <w:ind w:left="28" w:right="28"/>
              <w:jc w:val="right"/>
              <w:rPr>
                <w:b/>
                <w:bCs/>
                <w:sz w:val="18"/>
                <w:lang w:val="es-ES_tradnl"/>
              </w:rPr>
            </w:pPr>
            <w:r w:rsidRPr="003A0AAE">
              <w:rPr>
                <w:b/>
                <w:bCs/>
                <w:sz w:val="18"/>
                <w:lang w:val="es-ES_tradnl"/>
              </w:rPr>
              <w:t>569 436</w:t>
            </w:r>
          </w:p>
        </w:tc>
        <w:tc>
          <w:tcPr>
            <w:tcW w:w="851" w:type="dxa"/>
            <w:tcBorders>
              <w:top w:val="single" w:sz="4" w:space="0" w:color="auto"/>
              <w:bottom w:val="single" w:sz="12" w:space="0" w:color="auto"/>
            </w:tcBorders>
            <w:shd w:val="clear" w:color="auto" w:fill="auto"/>
            <w:vAlign w:val="bottom"/>
          </w:tcPr>
          <w:p w:rsidR="00D74294" w:rsidRPr="003A0AAE" w:rsidRDefault="00D74294" w:rsidP="009C6705">
            <w:pPr>
              <w:pStyle w:val="SingleTxtG"/>
              <w:spacing w:before="80" w:after="80" w:line="220" w:lineRule="exact"/>
              <w:ind w:left="28" w:right="28"/>
              <w:jc w:val="right"/>
              <w:rPr>
                <w:b/>
                <w:bCs/>
                <w:sz w:val="18"/>
                <w:lang w:val="es-ES_tradnl"/>
              </w:rPr>
            </w:pPr>
            <w:r w:rsidRPr="003A0AAE">
              <w:rPr>
                <w:b/>
                <w:bCs/>
                <w:sz w:val="18"/>
                <w:lang w:val="es-ES_tradnl"/>
              </w:rPr>
              <w:t>2 446 328</w:t>
            </w:r>
          </w:p>
        </w:tc>
        <w:tc>
          <w:tcPr>
            <w:tcW w:w="992" w:type="dxa"/>
            <w:tcBorders>
              <w:top w:val="single" w:sz="4" w:space="0" w:color="auto"/>
              <w:bottom w:val="single" w:sz="12" w:space="0" w:color="auto"/>
            </w:tcBorders>
            <w:shd w:val="clear" w:color="auto" w:fill="auto"/>
            <w:vAlign w:val="bottom"/>
          </w:tcPr>
          <w:p w:rsidR="00D74294" w:rsidRPr="003A0AAE" w:rsidRDefault="00D74294" w:rsidP="009C6705">
            <w:pPr>
              <w:pStyle w:val="SingleTxtG"/>
              <w:spacing w:before="80" w:after="80" w:line="220" w:lineRule="exact"/>
              <w:ind w:left="28" w:right="28"/>
              <w:jc w:val="right"/>
              <w:rPr>
                <w:b/>
                <w:bCs/>
                <w:sz w:val="18"/>
                <w:lang w:val="es-ES_tradnl"/>
              </w:rPr>
            </w:pPr>
            <w:r w:rsidRPr="003A0AAE">
              <w:rPr>
                <w:b/>
                <w:bCs/>
                <w:sz w:val="18"/>
                <w:lang w:val="es-ES_tradnl"/>
              </w:rPr>
              <w:t>1 974 041</w:t>
            </w:r>
          </w:p>
        </w:tc>
        <w:tc>
          <w:tcPr>
            <w:tcW w:w="709" w:type="dxa"/>
            <w:tcBorders>
              <w:top w:val="single" w:sz="4" w:space="0" w:color="auto"/>
              <w:bottom w:val="single" w:sz="12" w:space="0" w:color="auto"/>
            </w:tcBorders>
            <w:shd w:val="clear" w:color="auto" w:fill="auto"/>
            <w:vAlign w:val="bottom"/>
          </w:tcPr>
          <w:p w:rsidR="00D74294" w:rsidRPr="003A0AAE" w:rsidRDefault="00D74294" w:rsidP="009C6705">
            <w:pPr>
              <w:pStyle w:val="SingleTxtG"/>
              <w:spacing w:before="80" w:after="80" w:line="220" w:lineRule="exact"/>
              <w:ind w:left="28" w:right="28"/>
              <w:jc w:val="right"/>
              <w:rPr>
                <w:b/>
                <w:bCs/>
                <w:sz w:val="18"/>
                <w:lang w:val="es-ES_tradnl"/>
              </w:rPr>
            </w:pPr>
            <w:r w:rsidRPr="003A0AAE">
              <w:rPr>
                <w:b/>
                <w:bCs/>
                <w:sz w:val="18"/>
                <w:lang w:val="es-ES_tradnl"/>
              </w:rPr>
              <w:t>660 193</w:t>
            </w:r>
          </w:p>
        </w:tc>
        <w:tc>
          <w:tcPr>
            <w:tcW w:w="850" w:type="dxa"/>
            <w:tcBorders>
              <w:top w:val="single" w:sz="4" w:space="0" w:color="auto"/>
              <w:bottom w:val="single" w:sz="12" w:space="0" w:color="auto"/>
            </w:tcBorders>
            <w:shd w:val="clear" w:color="auto" w:fill="auto"/>
            <w:vAlign w:val="bottom"/>
          </w:tcPr>
          <w:p w:rsidR="00D74294" w:rsidRPr="003A0AAE" w:rsidRDefault="00D74294" w:rsidP="009C6705">
            <w:pPr>
              <w:pStyle w:val="SingleTxtG"/>
              <w:spacing w:before="80" w:after="80" w:line="220" w:lineRule="exact"/>
              <w:ind w:left="28" w:right="28"/>
              <w:jc w:val="right"/>
              <w:rPr>
                <w:b/>
                <w:bCs/>
                <w:sz w:val="18"/>
                <w:lang w:val="es-ES_tradnl"/>
              </w:rPr>
            </w:pPr>
            <w:r w:rsidRPr="003A0AAE">
              <w:rPr>
                <w:b/>
                <w:bCs/>
                <w:sz w:val="18"/>
                <w:lang w:val="es-ES_tradnl"/>
              </w:rPr>
              <w:t>2 634 234</w:t>
            </w:r>
          </w:p>
        </w:tc>
      </w:tr>
    </w:tbl>
    <w:p w:rsidR="00D74294" w:rsidRPr="00C65352" w:rsidRDefault="00D74294" w:rsidP="00614F22">
      <w:pPr>
        <w:pStyle w:val="SingleTxtG"/>
        <w:spacing w:before="120" w:after="240"/>
        <w:ind w:left="0" w:right="566" w:firstLine="170"/>
        <w:jc w:val="left"/>
        <w:rPr>
          <w:sz w:val="18"/>
        </w:rPr>
      </w:pPr>
      <w:r w:rsidRPr="00C65352">
        <w:rPr>
          <w:i/>
          <w:iCs/>
          <w:sz w:val="18"/>
        </w:rPr>
        <w:t>Fuente:</w:t>
      </w:r>
      <w:r w:rsidR="00C65352" w:rsidRPr="00C65352">
        <w:rPr>
          <w:sz w:val="18"/>
        </w:rPr>
        <w:t xml:space="preserve"> </w:t>
      </w:r>
      <w:r w:rsidRPr="00C65352">
        <w:rPr>
          <w:sz w:val="18"/>
        </w:rPr>
        <w:t xml:space="preserve">Ministerio de Planificación del Desarrollo y Estadísticas, </w:t>
      </w:r>
      <w:r w:rsidRPr="00C65352">
        <w:rPr>
          <w:i/>
          <w:iCs/>
          <w:sz w:val="18"/>
        </w:rPr>
        <w:t>Estadísticas demográficas y sociales</w:t>
      </w:r>
      <w:r w:rsidRPr="00C65352">
        <w:rPr>
          <w:sz w:val="18"/>
        </w:rPr>
        <w:t>, informe del tercer trimestre, 2017.</w:t>
      </w:r>
    </w:p>
    <w:p w:rsidR="00D74294" w:rsidRPr="00D74294" w:rsidRDefault="00D74294" w:rsidP="00D74294">
      <w:pPr>
        <w:pStyle w:val="SingleTxtG"/>
      </w:pPr>
      <w:r w:rsidRPr="00D74294">
        <w:t>8.</w:t>
      </w:r>
      <w:r w:rsidRPr="00D74294">
        <w:tab/>
        <w:t>El cuadro 4, sobre la población desglosada por sexo y grupos de edad durante el tercer trimestre de 2017, muestra que, de julio a septiembre,</w:t>
      </w:r>
      <w:r w:rsidR="00B062D5">
        <w:t xml:space="preserve"> la mayor parte de la población </w:t>
      </w:r>
      <w:r w:rsidRPr="00D74294">
        <w:t xml:space="preserve">se concentraba en el grupo de 25 a 64 años: en julio de </w:t>
      </w:r>
      <w:r w:rsidR="00B062D5">
        <w:t>2017, el total era de 1.832.125 </w:t>
      </w:r>
      <w:r w:rsidRPr="00D74294">
        <w:t>habitantes; y en agosto y septiembre de ese año, de 1.789.724 y 1.897.430 habitantes, respectivamente.</w:t>
      </w:r>
    </w:p>
    <w:p w:rsidR="00D74294" w:rsidRPr="00D74294" w:rsidRDefault="00C65352" w:rsidP="00C65352">
      <w:pPr>
        <w:pStyle w:val="H23G"/>
      </w:pPr>
      <w:r>
        <w:tab/>
      </w:r>
      <w:r w:rsidR="00D74294" w:rsidRPr="00D74294">
        <w:tab/>
        <w:t>Tasa de fecundidad</w:t>
      </w:r>
    </w:p>
    <w:p w:rsidR="00D74294" w:rsidRPr="00D74294" w:rsidRDefault="00D74294" w:rsidP="00D74294">
      <w:pPr>
        <w:pStyle w:val="SingleTxtG"/>
      </w:pPr>
      <w:r w:rsidRPr="00D74294">
        <w:t>9.</w:t>
      </w:r>
      <w:r w:rsidRPr="00D74294">
        <w:tab/>
        <w:t>Los datos estadísticos disponibles ponen de manifiesto que la tasa de fecundidad global de las mujeres qataríes se mantuvo estable en los últimos años, siendo de 3,2 niños por mujer. La media de nacidos por mujer qatarí en edad reproductiva es de 3. Este indicador guarda relación con el nivel de educación y el aumento de la edad media al contraer el primer matrimonio, y también con el aumento de la tasa de participación de la mujer en la actividad económica.</w:t>
      </w:r>
    </w:p>
    <w:p w:rsidR="00D74294" w:rsidRPr="00D74294" w:rsidRDefault="00C65352" w:rsidP="00C65352">
      <w:pPr>
        <w:pStyle w:val="H23G"/>
      </w:pPr>
      <w:r w:rsidRPr="00C65352">
        <w:rPr>
          <w:b w:val="0"/>
        </w:rPr>
        <w:tab/>
      </w:r>
      <w:r w:rsidRPr="00C65352">
        <w:rPr>
          <w:b w:val="0"/>
        </w:rPr>
        <w:tab/>
        <w:t>Cuadro 5</w:t>
      </w:r>
      <w:r w:rsidRPr="00C65352">
        <w:rPr>
          <w:b w:val="0"/>
        </w:rPr>
        <w:br/>
      </w:r>
      <w:r w:rsidR="00D74294" w:rsidRPr="00D74294">
        <w:t>Tasa global de fecundidad (</w:t>
      </w:r>
      <w:proofErr w:type="spellStart"/>
      <w:r w:rsidR="00D74294" w:rsidRPr="00D74294">
        <w:t>TGF</w:t>
      </w:r>
      <w:proofErr w:type="spellEnd"/>
      <w:r w:rsidR="00D74294" w:rsidRPr="00D74294">
        <w:t>)</w:t>
      </w:r>
    </w:p>
    <w:tbl>
      <w:tblPr>
        <w:tblStyle w:val="TableElegant11"/>
        <w:tblW w:w="7370" w:type="dxa"/>
        <w:tblInd w:w="113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44"/>
        <w:gridCol w:w="1426"/>
      </w:tblGrid>
      <w:tr w:rsidR="00D74294" w:rsidRPr="00C65352" w:rsidTr="008C08D3">
        <w:trPr>
          <w:cnfStyle w:val="100000000000" w:firstRow="1" w:lastRow="0" w:firstColumn="0" w:lastColumn="0" w:oddVBand="0" w:evenVBand="0" w:oddHBand="0" w:evenHBand="0" w:firstRowFirstColumn="0" w:firstRowLastColumn="0" w:lastRowFirstColumn="0" w:lastRowLastColumn="0"/>
          <w:trHeight w:val="240"/>
          <w:tblHeader/>
        </w:trPr>
        <w:tc>
          <w:tcPr>
            <w:tcW w:w="3315" w:type="dxa"/>
            <w:tcBorders>
              <w:top w:val="single" w:sz="4" w:space="0" w:color="auto"/>
              <w:bottom w:val="single" w:sz="12" w:space="0" w:color="auto"/>
            </w:tcBorders>
            <w:shd w:val="clear" w:color="auto" w:fill="auto"/>
            <w:vAlign w:val="bottom"/>
          </w:tcPr>
          <w:p w:rsidR="00D74294" w:rsidRPr="00C65352" w:rsidRDefault="0085715B" w:rsidP="00C65352">
            <w:pPr>
              <w:pStyle w:val="SingleTxtG"/>
              <w:spacing w:before="80" w:after="80" w:line="200" w:lineRule="exact"/>
              <w:ind w:left="0" w:right="0"/>
              <w:jc w:val="left"/>
              <w:rPr>
                <w:i/>
                <w:iCs/>
                <w:caps w:val="0"/>
                <w:sz w:val="16"/>
              </w:rPr>
            </w:pPr>
            <w:r w:rsidRPr="00C65352">
              <w:rPr>
                <w:i/>
                <w:iCs/>
                <w:caps w:val="0"/>
                <w:sz w:val="16"/>
              </w:rPr>
              <w:t>Año</w:t>
            </w:r>
          </w:p>
        </w:tc>
        <w:tc>
          <w:tcPr>
            <w:tcW w:w="795" w:type="dxa"/>
            <w:tcBorders>
              <w:top w:val="single" w:sz="4" w:space="0" w:color="auto"/>
              <w:bottom w:val="single" w:sz="12" w:space="0" w:color="auto"/>
            </w:tcBorders>
            <w:shd w:val="clear" w:color="auto" w:fill="auto"/>
            <w:vAlign w:val="bottom"/>
          </w:tcPr>
          <w:p w:rsidR="00D74294" w:rsidRPr="00C65352" w:rsidRDefault="00DD147F" w:rsidP="0085715B">
            <w:pPr>
              <w:pStyle w:val="SingleTxtG"/>
              <w:spacing w:before="80" w:after="80" w:line="200" w:lineRule="exact"/>
              <w:ind w:left="113" w:right="28"/>
              <w:jc w:val="right"/>
              <w:rPr>
                <w:i/>
                <w:iCs/>
                <w:caps w:val="0"/>
                <w:sz w:val="16"/>
              </w:rPr>
            </w:pPr>
            <w:r w:rsidRPr="00C65352">
              <w:rPr>
                <w:i/>
                <w:iCs/>
                <w:caps w:val="0"/>
                <w:sz w:val="16"/>
              </w:rPr>
              <w:t>Valor</w:t>
            </w:r>
          </w:p>
        </w:tc>
      </w:tr>
      <w:tr w:rsidR="00D74294" w:rsidRPr="00C65352" w:rsidTr="008C08D3">
        <w:trPr>
          <w:trHeight w:val="240"/>
        </w:trPr>
        <w:tc>
          <w:tcPr>
            <w:tcW w:w="3315" w:type="dxa"/>
            <w:tcBorders>
              <w:top w:val="single" w:sz="12" w:space="0" w:color="auto"/>
            </w:tcBorders>
            <w:shd w:val="clear" w:color="auto" w:fill="auto"/>
          </w:tcPr>
          <w:p w:rsidR="00D74294" w:rsidRPr="00C65352" w:rsidRDefault="00D74294" w:rsidP="00C65352">
            <w:pPr>
              <w:pStyle w:val="SingleTxtG"/>
              <w:spacing w:before="40" w:after="40" w:line="220" w:lineRule="exact"/>
              <w:ind w:left="0" w:right="0"/>
              <w:jc w:val="left"/>
              <w:rPr>
                <w:sz w:val="18"/>
              </w:rPr>
            </w:pPr>
            <w:r w:rsidRPr="00C65352">
              <w:rPr>
                <w:sz w:val="18"/>
              </w:rPr>
              <w:t>2012</w:t>
            </w:r>
          </w:p>
        </w:tc>
        <w:tc>
          <w:tcPr>
            <w:tcW w:w="795" w:type="dxa"/>
            <w:tcBorders>
              <w:top w:val="single" w:sz="12" w:space="0" w:color="auto"/>
            </w:tcBorders>
            <w:shd w:val="clear" w:color="auto" w:fill="auto"/>
            <w:vAlign w:val="bottom"/>
          </w:tcPr>
          <w:p w:rsidR="00D74294" w:rsidRPr="00C65352" w:rsidRDefault="00D74294" w:rsidP="0085715B">
            <w:pPr>
              <w:pStyle w:val="SingleTxtG"/>
              <w:spacing w:before="40" w:after="40" w:line="220" w:lineRule="exact"/>
              <w:ind w:left="113" w:right="28"/>
              <w:jc w:val="right"/>
              <w:rPr>
                <w:sz w:val="18"/>
              </w:rPr>
            </w:pPr>
            <w:r w:rsidRPr="00C65352">
              <w:rPr>
                <w:sz w:val="18"/>
              </w:rPr>
              <w:t>3,2</w:t>
            </w:r>
          </w:p>
        </w:tc>
      </w:tr>
      <w:tr w:rsidR="00D74294" w:rsidRPr="00C65352" w:rsidTr="008C08D3">
        <w:trPr>
          <w:trHeight w:val="240"/>
        </w:trPr>
        <w:tc>
          <w:tcPr>
            <w:tcW w:w="3315" w:type="dxa"/>
            <w:shd w:val="clear" w:color="auto" w:fill="auto"/>
          </w:tcPr>
          <w:p w:rsidR="00D74294" w:rsidRPr="00C65352" w:rsidRDefault="00D74294" w:rsidP="00C65352">
            <w:pPr>
              <w:pStyle w:val="SingleTxtG"/>
              <w:spacing w:before="40" w:after="40" w:line="220" w:lineRule="exact"/>
              <w:ind w:left="0" w:right="0"/>
              <w:jc w:val="left"/>
              <w:rPr>
                <w:sz w:val="18"/>
              </w:rPr>
            </w:pPr>
            <w:r w:rsidRPr="00C65352">
              <w:rPr>
                <w:sz w:val="18"/>
              </w:rPr>
              <w:t>2013</w:t>
            </w:r>
          </w:p>
        </w:tc>
        <w:tc>
          <w:tcPr>
            <w:tcW w:w="795" w:type="dxa"/>
            <w:shd w:val="clear" w:color="auto" w:fill="auto"/>
            <w:vAlign w:val="bottom"/>
          </w:tcPr>
          <w:p w:rsidR="00D74294" w:rsidRPr="00C65352" w:rsidRDefault="00D74294" w:rsidP="0085715B">
            <w:pPr>
              <w:pStyle w:val="SingleTxtG"/>
              <w:spacing w:before="40" w:after="40" w:line="220" w:lineRule="exact"/>
              <w:ind w:left="113" w:right="28"/>
              <w:jc w:val="right"/>
              <w:rPr>
                <w:sz w:val="18"/>
              </w:rPr>
            </w:pPr>
            <w:r w:rsidRPr="00C65352">
              <w:rPr>
                <w:sz w:val="18"/>
              </w:rPr>
              <w:t>3,2</w:t>
            </w:r>
          </w:p>
        </w:tc>
      </w:tr>
      <w:tr w:rsidR="00D74294" w:rsidRPr="00C65352" w:rsidTr="008C08D3">
        <w:trPr>
          <w:trHeight w:val="240"/>
        </w:trPr>
        <w:tc>
          <w:tcPr>
            <w:tcW w:w="3315" w:type="dxa"/>
            <w:shd w:val="clear" w:color="auto" w:fill="auto"/>
          </w:tcPr>
          <w:p w:rsidR="00D74294" w:rsidRPr="00C65352" w:rsidRDefault="00D74294" w:rsidP="00C65352">
            <w:pPr>
              <w:pStyle w:val="SingleTxtG"/>
              <w:spacing w:before="40" w:after="40" w:line="220" w:lineRule="exact"/>
              <w:ind w:left="0" w:right="0"/>
              <w:jc w:val="left"/>
              <w:rPr>
                <w:sz w:val="18"/>
              </w:rPr>
            </w:pPr>
            <w:r w:rsidRPr="00C65352">
              <w:rPr>
                <w:sz w:val="18"/>
              </w:rPr>
              <w:t>2014</w:t>
            </w:r>
          </w:p>
        </w:tc>
        <w:tc>
          <w:tcPr>
            <w:tcW w:w="795" w:type="dxa"/>
            <w:shd w:val="clear" w:color="auto" w:fill="auto"/>
            <w:vAlign w:val="bottom"/>
          </w:tcPr>
          <w:p w:rsidR="00D74294" w:rsidRPr="00C65352" w:rsidRDefault="00D74294" w:rsidP="0085715B">
            <w:pPr>
              <w:pStyle w:val="SingleTxtG"/>
              <w:spacing w:before="40" w:after="40" w:line="220" w:lineRule="exact"/>
              <w:ind w:left="113" w:right="28"/>
              <w:jc w:val="right"/>
              <w:rPr>
                <w:sz w:val="18"/>
              </w:rPr>
            </w:pPr>
            <w:r w:rsidRPr="00C65352">
              <w:rPr>
                <w:sz w:val="18"/>
              </w:rPr>
              <w:t>3,2</w:t>
            </w:r>
          </w:p>
        </w:tc>
      </w:tr>
      <w:tr w:rsidR="00D74294" w:rsidRPr="00C65352" w:rsidTr="008C08D3">
        <w:trPr>
          <w:trHeight w:val="240"/>
        </w:trPr>
        <w:tc>
          <w:tcPr>
            <w:tcW w:w="3315" w:type="dxa"/>
            <w:shd w:val="clear" w:color="auto" w:fill="auto"/>
          </w:tcPr>
          <w:p w:rsidR="00D74294" w:rsidRPr="00C65352" w:rsidRDefault="00D74294" w:rsidP="00C65352">
            <w:pPr>
              <w:pStyle w:val="SingleTxtG"/>
              <w:spacing w:before="40" w:after="40" w:line="220" w:lineRule="exact"/>
              <w:ind w:left="0" w:right="0"/>
              <w:jc w:val="left"/>
              <w:rPr>
                <w:sz w:val="18"/>
              </w:rPr>
            </w:pPr>
            <w:r w:rsidRPr="00C65352">
              <w:rPr>
                <w:sz w:val="18"/>
              </w:rPr>
              <w:t>2015</w:t>
            </w:r>
          </w:p>
        </w:tc>
        <w:tc>
          <w:tcPr>
            <w:tcW w:w="795" w:type="dxa"/>
            <w:shd w:val="clear" w:color="auto" w:fill="auto"/>
            <w:vAlign w:val="bottom"/>
          </w:tcPr>
          <w:p w:rsidR="00D74294" w:rsidRPr="00C65352" w:rsidRDefault="00D74294" w:rsidP="0085715B">
            <w:pPr>
              <w:pStyle w:val="SingleTxtG"/>
              <w:spacing w:before="40" w:after="40" w:line="220" w:lineRule="exact"/>
              <w:ind w:left="113" w:right="28"/>
              <w:jc w:val="right"/>
              <w:rPr>
                <w:sz w:val="18"/>
              </w:rPr>
            </w:pPr>
            <w:r w:rsidRPr="00C65352">
              <w:rPr>
                <w:sz w:val="18"/>
              </w:rPr>
              <w:t>3,2</w:t>
            </w:r>
          </w:p>
        </w:tc>
      </w:tr>
      <w:tr w:rsidR="00D74294" w:rsidRPr="00C65352" w:rsidTr="008C08D3">
        <w:trPr>
          <w:trHeight w:val="240"/>
        </w:trPr>
        <w:tc>
          <w:tcPr>
            <w:tcW w:w="3315" w:type="dxa"/>
            <w:tcBorders>
              <w:bottom w:val="single" w:sz="12" w:space="0" w:color="auto"/>
            </w:tcBorders>
            <w:shd w:val="clear" w:color="auto" w:fill="auto"/>
          </w:tcPr>
          <w:p w:rsidR="00D74294" w:rsidRPr="00C65352" w:rsidRDefault="00D74294" w:rsidP="00C65352">
            <w:pPr>
              <w:pStyle w:val="SingleTxtG"/>
              <w:spacing w:before="40" w:after="40" w:line="220" w:lineRule="exact"/>
              <w:ind w:left="0" w:right="0"/>
              <w:jc w:val="left"/>
              <w:rPr>
                <w:sz w:val="18"/>
              </w:rPr>
            </w:pPr>
            <w:r w:rsidRPr="00C65352">
              <w:rPr>
                <w:sz w:val="18"/>
              </w:rPr>
              <w:t>2016</w:t>
            </w:r>
          </w:p>
        </w:tc>
        <w:tc>
          <w:tcPr>
            <w:tcW w:w="795" w:type="dxa"/>
            <w:tcBorders>
              <w:bottom w:val="single" w:sz="12" w:space="0" w:color="auto"/>
            </w:tcBorders>
            <w:shd w:val="clear" w:color="auto" w:fill="auto"/>
            <w:vAlign w:val="bottom"/>
          </w:tcPr>
          <w:p w:rsidR="00D74294" w:rsidRPr="00C65352" w:rsidRDefault="00D74294" w:rsidP="0085715B">
            <w:pPr>
              <w:pStyle w:val="SingleTxtG"/>
              <w:spacing w:before="40" w:after="40" w:line="220" w:lineRule="exact"/>
              <w:ind w:left="113" w:right="28"/>
              <w:jc w:val="right"/>
              <w:rPr>
                <w:sz w:val="18"/>
              </w:rPr>
            </w:pPr>
            <w:r w:rsidRPr="00C65352">
              <w:rPr>
                <w:sz w:val="18"/>
              </w:rPr>
              <w:t>3</w:t>
            </w:r>
          </w:p>
        </w:tc>
      </w:tr>
    </w:tbl>
    <w:p w:rsidR="00D74294" w:rsidRPr="0085715B" w:rsidRDefault="00D74294" w:rsidP="0085715B">
      <w:pPr>
        <w:pStyle w:val="SingleTxtG"/>
        <w:spacing w:before="120" w:after="240"/>
        <w:ind w:firstLine="170"/>
        <w:jc w:val="left"/>
        <w:rPr>
          <w:sz w:val="18"/>
        </w:rPr>
      </w:pPr>
      <w:r w:rsidRPr="0085715B">
        <w:rPr>
          <w:i/>
          <w:iCs/>
          <w:sz w:val="18"/>
        </w:rPr>
        <w:t>Fuente:</w:t>
      </w:r>
      <w:r w:rsidR="0085715B" w:rsidRPr="0085715B">
        <w:rPr>
          <w:sz w:val="18"/>
        </w:rPr>
        <w:t xml:space="preserve"> </w:t>
      </w:r>
      <w:r w:rsidRPr="0085715B">
        <w:rPr>
          <w:sz w:val="18"/>
        </w:rPr>
        <w:t>Ministerio de Planificación del Desarrollo y Estadísticas,</w:t>
      </w:r>
      <w:r w:rsidRPr="0085715B">
        <w:rPr>
          <w:i/>
          <w:iCs/>
          <w:sz w:val="18"/>
        </w:rPr>
        <w:t xml:space="preserve"> Informe anual de estadísticas vitales: nacimientos y defunciones</w:t>
      </w:r>
      <w:r w:rsidRPr="0085715B">
        <w:rPr>
          <w:sz w:val="18"/>
        </w:rPr>
        <w:t>, 2016.</w:t>
      </w:r>
    </w:p>
    <w:p w:rsidR="00D74294" w:rsidRPr="00D74294" w:rsidRDefault="0085715B" w:rsidP="0085715B">
      <w:pPr>
        <w:pStyle w:val="H23G"/>
      </w:pPr>
      <w:r w:rsidRPr="0085715B">
        <w:rPr>
          <w:b w:val="0"/>
        </w:rPr>
        <w:tab/>
      </w:r>
      <w:r w:rsidRPr="0085715B">
        <w:rPr>
          <w:b w:val="0"/>
        </w:rPr>
        <w:tab/>
        <w:t>Cuadro 6</w:t>
      </w:r>
      <w:r w:rsidRPr="0085715B">
        <w:rPr>
          <w:b w:val="0"/>
        </w:rPr>
        <w:br/>
      </w:r>
      <w:r w:rsidR="00D74294" w:rsidRPr="00D74294">
        <w:t>Evolución de la tasa de crecimiento de la población durante el período 2007-2016</w:t>
      </w:r>
    </w:p>
    <w:tbl>
      <w:tblPr>
        <w:tblStyle w:val="TableElegant11"/>
        <w:tblW w:w="7370" w:type="dxa"/>
        <w:tblInd w:w="113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40"/>
        <w:gridCol w:w="2380"/>
        <w:gridCol w:w="2550"/>
      </w:tblGrid>
      <w:tr w:rsidR="00D74294" w:rsidRPr="0085715B" w:rsidTr="00DD147F">
        <w:trPr>
          <w:cnfStyle w:val="100000000000" w:firstRow="1" w:lastRow="0" w:firstColumn="0" w:lastColumn="0" w:oddVBand="0" w:evenVBand="0" w:oddHBand="0" w:evenHBand="0" w:firstRowFirstColumn="0" w:firstRowLastColumn="0" w:lastRowFirstColumn="0" w:lastRowLastColumn="0"/>
          <w:trHeight w:val="255"/>
          <w:tblHeader/>
        </w:trPr>
        <w:tc>
          <w:tcPr>
            <w:tcW w:w="2440" w:type="dxa"/>
            <w:tcBorders>
              <w:top w:val="single" w:sz="4" w:space="0" w:color="auto"/>
              <w:bottom w:val="single" w:sz="12" w:space="0" w:color="auto"/>
            </w:tcBorders>
            <w:shd w:val="clear" w:color="auto" w:fill="auto"/>
            <w:noWrap/>
            <w:vAlign w:val="bottom"/>
          </w:tcPr>
          <w:p w:rsidR="00D74294" w:rsidRPr="0085715B" w:rsidRDefault="00D74294" w:rsidP="0085715B">
            <w:pPr>
              <w:pStyle w:val="SingleTxtG"/>
              <w:spacing w:before="80" w:after="80" w:line="200" w:lineRule="exact"/>
              <w:ind w:left="0" w:right="0"/>
              <w:jc w:val="left"/>
              <w:rPr>
                <w:i/>
                <w:iCs/>
                <w:caps w:val="0"/>
                <w:sz w:val="16"/>
              </w:rPr>
            </w:pPr>
            <w:r w:rsidRPr="0085715B">
              <w:rPr>
                <w:i/>
                <w:iCs/>
                <w:caps w:val="0"/>
                <w:sz w:val="16"/>
              </w:rPr>
              <w:t>Año</w:t>
            </w:r>
          </w:p>
        </w:tc>
        <w:tc>
          <w:tcPr>
            <w:tcW w:w="2380" w:type="dxa"/>
            <w:tcBorders>
              <w:top w:val="single" w:sz="4" w:space="0" w:color="auto"/>
              <w:bottom w:val="single" w:sz="12" w:space="0" w:color="auto"/>
            </w:tcBorders>
            <w:shd w:val="clear" w:color="auto" w:fill="auto"/>
            <w:noWrap/>
            <w:vAlign w:val="bottom"/>
          </w:tcPr>
          <w:p w:rsidR="00D74294" w:rsidRPr="0085715B" w:rsidRDefault="00D74294" w:rsidP="008C08D3">
            <w:pPr>
              <w:pStyle w:val="SingleTxtG"/>
              <w:spacing w:before="80" w:after="80" w:line="200" w:lineRule="exact"/>
              <w:ind w:left="113" w:right="28"/>
              <w:jc w:val="right"/>
              <w:rPr>
                <w:i/>
                <w:iCs/>
                <w:caps w:val="0"/>
                <w:sz w:val="16"/>
              </w:rPr>
            </w:pPr>
            <w:r w:rsidRPr="0085715B">
              <w:rPr>
                <w:i/>
                <w:iCs/>
                <w:caps w:val="0"/>
                <w:sz w:val="16"/>
              </w:rPr>
              <w:t>Población</w:t>
            </w:r>
          </w:p>
        </w:tc>
        <w:tc>
          <w:tcPr>
            <w:tcW w:w="2550" w:type="dxa"/>
            <w:tcBorders>
              <w:top w:val="single" w:sz="4" w:space="0" w:color="auto"/>
              <w:bottom w:val="single" w:sz="12" w:space="0" w:color="auto"/>
            </w:tcBorders>
            <w:shd w:val="clear" w:color="auto" w:fill="auto"/>
            <w:noWrap/>
            <w:vAlign w:val="bottom"/>
          </w:tcPr>
          <w:p w:rsidR="00D74294" w:rsidRPr="0085715B" w:rsidRDefault="00D74294" w:rsidP="009D6492">
            <w:pPr>
              <w:pStyle w:val="SingleTxtG"/>
              <w:spacing w:before="80" w:after="80" w:line="200" w:lineRule="exact"/>
              <w:ind w:left="113" w:right="28"/>
              <w:jc w:val="right"/>
              <w:rPr>
                <w:i/>
                <w:iCs/>
                <w:caps w:val="0"/>
                <w:sz w:val="16"/>
              </w:rPr>
            </w:pPr>
            <w:r w:rsidRPr="0085715B">
              <w:rPr>
                <w:i/>
                <w:iCs/>
                <w:caps w:val="0"/>
                <w:sz w:val="16"/>
              </w:rPr>
              <w:t>Tasa de crecimiento (</w:t>
            </w:r>
            <w:r w:rsidR="008C08D3">
              <w:rPr>
                <w:i/>
                <w:iCs/>
                <w:caps w:val="0"/>
                <w:sz w:val="16"/>
              </w:rPr>
              <w:t>porcentaje</w:t>
            </w:r>
            <w:r w:rsidRPr="0085715B">
              <w:rPr>
                <w:i/>
                <w:iCs/>
                <w:caps w:val="0"/>
                <w:sz w:val="16"/>
              </w:rPr>
              <w:t>)</w:t>
            </w:r>
          </w:p>
        </w:tc>
      </w:tr>
      <w:tr w:rsidR="00D74294" w:rsidRPr="0085715B" w:rsidTr="00DD147F">
        <w:trPr>
          <w:trHeight w:val="255"/>
        </w:trPr>
        <w:tc>
          <w:tcPr>
            <w:tcW w:w="2440" w:type="dxa"/>
            <w:tcBorders>
              <w:top w:val="single" w:sz="12" w:space="0" w:color="auto"/>
            </w:tcBorders>
            <w:shd w:val="clear" w:color="auto" w:fill="auto"/>
            <w:noWrap/>
            <w:hideMark/>
          </w:tcPr>
          <w:p w:rsidR="00D74294" w:rsidRPr="0085715B" w:rsidRDefault="00D74294" w:rsidP="0085715B">
            <w:pPr>
              <w:pStyle w:val="SingleTxtG"/>
              <w:spacing w:before="40" w:after="40" w:line="220" w:lineRule="exact"/>
              <w:ind w:left="0" w:right="0"/>
              <w:jc w:val="left"/>
              <w:rPr>
                <w:sz w:val="18"/>
              </w:rPr>
            </w:pPr>
            <w:r w:rsidRPr="0085715B">
              <w:rPr>
                <w:sz w:val="18"/>
              </w:rPr>
              <w:t>2007</w:t>
            </w:r>
          </w:p>
        </w:tc>
        <w:tc>
          <w:tcPr>
            <w:tcW w:w="2380" w:type="dxa"/>
            <w:tcBorders>
              <w:top w:val="single" w:sz="12" w:space="0" w:color="auto"/>
            </w:tcBorders>
            <w:shd w:val="clear" w:color="auto" w:fill="auto"/>
            <w:noWrap/>
            <w:vAlign w:val="bottom"/>
            <w:hideMark/>
          </w:tcPr>
          <w:p w:rsidR="00D74294" w:rsidRPr="0085715B" w:rsidRDefault="00D74294" w:rsidP="008C08D3">
            <w:pPr>
              <w:pStyle w:val="SingleTxtG"/>
              <w:spacing w:before="40" w:after="40" w:line="220" w:lineRule="exact"/>
              <w:ind w:left="113" w:right="28"/>
              <w:jc w:val="right"/>
              <w:rPr>
                <w:sz w:val="18"/>
              </w:rPr>
            </w:pPr>
            <w:r w:rsidRPr="0085715B">
              <w:rPr>
                <w:sz w:val="18"/>
              </w:rPr>
              <w:t>1 218 250</w:t>
            </w:r>
          </w:p>
        </w:tc>
        <w:tc>
          <w:tcPr>
            <w:tcW w:w="2550" w:type="dxa"/>
            <w:tcBorders>
              <w:top w:val="single" w:sz="12" w:space="0" w:color="auto"/>
            </w:tcBorders>
            <w:shd w:val="clear" w:color="auto" w:fill="auto"/>
            <w:noWrap/>
            <w:vAlign w:val="bottom"/>
            <w:hideMark/>
          </w:tcPr>
          <w:p w:rsidR="00D74294" w:rsidRPr="0085715B" w:rsidRDefault="00D74294" w:rsidP="008C08D3">
            <w:pPr>
              <w:pStyle w:val="SingleTxtG"/>
              <w:spacing w:before="40" w:after="40" w:line="220" w:lineRule="exact"/>
              <w:ind w:left="113" w:right="28"/>
              <w:jc w:val="right"/>
              <w:rPr>
                <w:sz w:val="18"/>
              </w:rPr>
            </w:pPr>
            <w:r w:rsidRPr="0085715B">
              <w:rPr>
                <w:sz w:val="18"/>
              </w:rPr>
              <w:t>16,8</w:t>
            </w:r>
          </w:p>
        </w:tc>
      </w:tr>
      <w:tr w:rsidR="00D74294" w:rsidRPr="0085715B" w:rsidTr="00DD147F">
        <w:trPr>
          <w:trHeight w:val="255"/>
        </w:trPr>
        <w:tc>
          <w:tcPr>
            <w:tcW w:w="2440" w:type="dxa"/>
            <w:shd w:val="clear" w:color="auto" w:fill="auto"/>
            <w:noWrap/>
            <w:hideMark/>
          </w:tcPr>
          <w:p w:rsidR="00D74294" w:rsidRPr="0085715B" w:rsidRDefault="00D74294" w:rsidP="0085715B">
            <w:pPr>
              <w:pStyle w:val="SingleTxtG"/>
              <w:spacing w:before="40" w:after="40" w:line="220" w:lineRule="exact"/>
              <w:ind w:left="0" w:right="0"/>
              <w:jc w:val="left"/>
              <w:rPr>
                <w:sz w:val="18"/>
              </w:rPr>
            </w:pPr>
            <w:r w:rsidRPr="0085715B">
              <w:rPr>
                <w:sz w:val="18"/>
              </w:rPr>
              <w:t>2008</w:t>
            </w:r>
          </w:p>
        </w:tc>
        <w:tc>
          <w:tcPr>
            <w:tcW w:w="2380" w:type="dxa"/>
            <w:shd w:val="clear" w:color="auto" w:fill="auto"/>
            <w:noWrap/>
            <w:vAlign w:val="bottom"/>
            <w:hideMark/>
          </w:tcPr>
          <w:p w:rsidR="00D74294" w:rsidRPr="0085715B" w:rsidRDefault="00D74294" w:rsidP="008C08D3">
            <w:pPr>
              <w:pStyle w:val="SingleTxtG"/>
              <w:spacing w:before="40" w:after="40" w:line="220" w:lineRule="exact"/>
              <w:ind w:left="113" w:right="28"/>
              <w:jc w:val="right"/>
              <w:rPr>
                <w:sz w:val="18"/>
              </w:rPr>
            </w:pPr>
            <w:r w:rsidRPr="0085715B">
              <w:rPr>
                <w:sz w:val="18"/>
              </w:rPr>
              <w:t>1 448 479</w:t>
            </w:r>
          </w:p>
        </w:tc>
        <w:tc>
          <w:tcPr>
            <w:tcW w:w="2550" w:type="dxa"/>
            <w:shd w:val="clear" w:color="auto" w:fill="auto"/>
            <w:noWrap/>
            <w:vAlign w:val="bottom"/>
            <w:hideMark/>
          </w:tcPr>
          <w:p w:rsidR="00D74294" w:rsidRPr="0085715B" w:rsidRDefault="00D74294" w:rsidP="008C08D3">
            <w:pPr>
              <w:pStyle w:val="SingleTxtG"/>
              <w:spacing w:before="40" w:after="40" w:line="220" w:lineRule="exact"/>
              <w:ind w:left="113" w:right="28"/>
              <w:jc w:val="right"/>
              <w:rPr>
                <w:sz w:val="18"/>
              </w:rPr>
            </w:pPr>
            <w:r w:rsidRPr="0085715B">
              <w:rPr>
                <w:sz w:val="18"/>
              </w:rPr>
              <w:t>18,9</w:t>
            </w:r>
          </w:p>
        </w:tc>
      </w:tr>
      <w:tr w:rsidR="00D74294" w:rsidRPr="0085715B" w:rsidTr="00DD147F">
        <w:trPr>
          <w:trHeight w:val="255"/>
        </w:trPr>
        <w:tc>
          <w:tcPr>
            <w:tcW w:w="2440" w:type="dxa"/>
            <w:shd w:val="clear" w:color="auto" w:fill="auto"/>
            <w:noWrap/>
            <w:hideMark/>
          </w:tcPr>
          <w:p w:rsidR="00D74294" w:rsidRPr="0085715B" w:rsidRDefault="00D74294" w:rsidP="0085715B">
            <w:pPr>
              <w:pStyle w:val="SingleTxtG"/>
              <w:spacing w:before="40" w:after="40" w:line="220" w:lineRule="exact"/>
              <w:ind w:left="0" w:right="0"/>
              <w:jc w:val="left"/>
              <w:rPr>
                <w:sz w:val="18"/>
              </w:rPr>
            </w:pPr>
            <w:r w:rsidRPr="0085715B">
              <w:rPr>
                <w:sz w:val="18"/>
              </w:rPr>
              <w:t>2009</w:t>
            </w:r>
          </w:p>
        </w:tc>
        <w:tc>
          <w:tcPr>
            <w:tcW w:w="2380" w:type="dxa"/>
            <w:shd w:val="clear" w:color="auto" w:fill="auto"/>
            <w:noWrap/>
            <w:vAlign w:val="bottom"/>
            <w:hideMark/>
          </w:tcPr>
          <w:p w:rsidR="00D74294" w:rsidRPr="0085715B" w:rsidRDefault="00D74294" w:rsidP="008C08D3">
            <w:pPr>
              <w:pStyle w:val="SingleTxtG"/>
              <w:spacing w:before="40" w:after="40" w:line="220" w:lineRule="exact"/>
              <w:ind w:left="113" w:right="28"/>
              <w:jc w:val="right"/>
              <w:rPr>
                <w:sz w:val="18"/>
              </w:rPr>
            </w:pPr>
            <w:r w:rsidRPr="0085715B">
              <w:rPr>
                <w:sz w:val="18"/>
              </w:rPr>
              <w:t>1 638 626</w:t>
            </w:r>
          </w:p>
        </w:tc>
        <w:tc>
          <w:tcPr>
            <w:tcW w:w="2550" w:type="dxa"/>
            <w:shd w:val="clear" w:color="auto" w:fill="auto"/>
            <w:noWrap/>
            <w:vAlign w:val="bottom"/>
            <w:hideMark/>
          </w:tcPr>
          <w:p w:rsidR="00D74294" w:rsidRPr="0085715B" w:rsidRDefault="00D74294" w:rsidP="008C08D3">
            <w:pPr>
              <w:pStyle w:val="SingleTxtG"/>
              <w:spacing w:before="40" w:after="40" w:line="220" w:lineRule="exact"/>
              <w:ind w:left="113" w:right="28"/>
              <w:jc w:val="right"/>
              <w:rPr>
                <w:sz w:val="18"/>
              </w:rPr>
            </w:pPr>
            <w:r w:rsidRPr="0085715B">
              <w:rPr>
                <w:sz w:val="18"/>
              </w:rPr>
              <w:t>13,1</w:t>
            </w:r>
          </w:p>
        </w:tc>
      </w:tr>
      <w:tr w:rsidR="00D74294" w:rsidRPr="0085715B" w:rsidTr="00DD147F">
        <w:trPr>
          <w:trHeight w:val="255"/>
        </w:trPr>
        <w:tc>
          <w:tcPr>
            <w:tcW w:w="2440" w:type="dxa"/>
            <w:shd w:val="clear" w:color="auto" w:fill="auto"/>
            <w:noWrap/>
            <w:hideMark/>
          </w:tcPr>
          <w:p w:rsidR="00D74294" w:rsidRPr="0085715B" w:rsidRDefault="00D74294" w:rsidP="0085715B">
            <w:pPr>
              <w:pStyle w:val="SingleTxtG"/>
              <w:spacing w:before="40" w:after="40" w:line="220" w:lineRule="exact"/>
              <w:ind w:left="0" w:right="0"/>
              <w:jc w:val="left"/>
              <w:rPr>
                <w:sz w:val="18"/>
              </w:rPr>
            </w:pPr>
            <w:r w:rsidRPr="0085715B">
              <w:rPr>
                <w:sz w:val="18"/>
              </w:rPr>
              <w:t>2010</w:t>
            </w:r>
          </w:p>
        </w:tc>
        <w:tc>
          <w:tcPr>
            <w:tcW w:w="2380" w:type="dxa"/>
            <w:shd w:val="clear" w:color="auto" w:fill="auto"/>
            <w:noWrap/>
            <w:vAlign w:val="bottom"/>
            <w:hideMark/>
          </w:tcPr>
          <w:p w:rsidR="00D74294" w:rsidRPr="0085715B" w:rsidRDefault="00D74294" w:rsidP="008C08D3">
            <w:pPr>
              <w:pStyle w:val="SingleTxtG"/>
              <w:spacing w:before="40" w:after="40" w:line="220" w:lineRule="exact"/>
              <w:ind w:left="113" w:right="28"/>
              <w:jc w:val="right"/>
              <w:rPr>
                <w:sz w:val="18"/>
              </w:rPr>
            </w:pPr>
            <w:r w:rsidRPr="0085715B">
              <w:rPr>
                <w:sz w:val="18"/>
              </w:rPr>
              <w:t>1 715 098</w:t>
            </w:r>
          </w:p>
        </w:tc>
        <w:tc>
          <w:tcPr>
            <w:tcW w:w="2550" w:type="dxa"/>
            <w:shd w:val="clear" w:color="auto" w:fill="auto"/>
            <w:noWrap/>
            <w:vAlign w:val="bottom"/>
            <w:hideMark/>
          </w:tcPr>
          <w:p w:rsidR="00D74294" w:rsidRPr="0085715B" w:rsidRDefault="00D74294" w:rsidP="008C08D3">
            <w:pPr>
              <w:pStyle w:val="SingleTxtG"/>
              <w:spacing w:before="40" w:after="40" w:line="220" w:lineRule="exact"/>
              <w:ind w:left="113" w:right="28"/>
              <w:jc w:val="right"/>
              <w:rPr>
                <w:sz w:val="18"/>
              </w:rPr>
            </w:pPr>
            <w:r w:rsidRPr="0085715B">
              <w:rPr>
                <w:sz w:val="18"/>
              </w:rPr>
              <w:t>4,6</w:t>
            </w:r>
          </w:p>
        </w:tc>
      </w:tr>
      <w:tr w:rsidR="00D74294" w:rsidRPr="0085715B" w:rsidTr="00DD147F">
        <w:trPr>
          <w:trHeight w:val="255"/>
        </w:trPr>
        <w:tc>
          <w:tcPr>
            <w:tcW w:w="2440" w:type="dxa"/>
            <w:shd w:val="clear" w:color="auto" w:fill="auto"/>
            <w:noWrap/>
            <w:hideMark/>
          </w:tcPr>
          <w:p w:rsidR="00D74294" w:rsidRPr="0085715B" w:rsidRDefault="00D74294" w:rsidP="0085715B">
            <w:pPr>
              <w:pStyle w:val="SingleTxtG"/>
              <w:spacing w:before="40" w:after="40" w:line="220" w:lineRule="exact"/>
              <w:ind w:left="0" w:right="0"/>
              <w:jc w:val="left"/>
              <w:rPr>
                <w:sz w:val="18"/>
              </w:rPr>
            </w:pPr>
            <w:r w:rsidRPr="0085715B">
              <w:rPr>
                <w:sz w:val="18"/>
              </w:rPr>
              <w:t>2011</w:t>
            </w:r>
          </w:p>
        </w:tc>
        <w:tc>
          <w:tcPr>
            <w:tcW w:w="2380" w:type="dxa"/>
            <w:shd w:val="clear" w:color="auto" w:fill="auto"/>
            <w:noWrap/>
            <w:vAlign w:val="bottom"/>
            <w:hideMark/>
          </w:tcPr>
          <w:p w:rsidR="00D74294" w:rsidRPr="0085715B" w:rsidRDefault="00D74294" w:rsidP="008C08D3">
            <w:pPr>
              <w:pStyle w:val="SingleTxtG"/>
              <w:spacing w:before="40" w:after="40" w:line="220" w:lineRule="exact"/>
              <w:ind w:left="113" w:right="28"/>
              <w:jc w:val="right"/>
              <w:rPr>
                <w:sz w:val="18"/>
              </w:rPr>
            </w:pPr>
            <w:r w:rsidRPr="0085715B">
              <w:rPr>
                <w:sz w:val="18"/>
              </w:rPr>
              <w:t>1 732 717</w:t>
            </w:r>
          </w:p>
        </w:tc>
        <w:tc>
          <w:tcPr>
            <w:tcW w:w="2550" w:type="dxa"/>
            <w:shd w:val="clear" w:color="auto" w:fill="auto"/>
            <w:noWrap/>
            <w:vAlign w:val="bottom"/>
            <w:hideMark/>
          </w:tcPr>
          <w:p w:rsidR="00D74294" w:rsidRPr="0085715B" w:rsidRDefault="00D74294" w:rsidP="008C08D3">
            <w:pPr>
              <w:pStyle w:val="SingleTxtG"/>
              <w:spacing w:before="40" w:after="40" w:line="220" w:lineRule="exact"/>
              <w:ind w:left="113" w:right="28"/>
              <w:jc w:val="right"/>
              <w:rPr>
                <w:sz w:val="18"/>
              </w:rPr>
            </w:pPr>
            <w:r w:rsidRPr="0085715B">
              <w:rPr>
                <w:sz w:val="18"/>
              </w:rPr>
              <w:t>1,0</w:t>
            </w:r>
          </w:p>
        </w:tc>
      </w:tr>
      <w:tr w:rsidR="00D74294" w:rsidRPr="0085715B" w:rsidTr="00DD147F">
        <w:trPr>
          <w:trHeight w:val="255"/>
        </w:trPr>
        <w:tc>
          <w:tcPr>
            <w:tcW w:w="2440" w:type="dxa"/>
            <w:shd w:val="clear" w:color="auto" w:fill="auto"/>
            <w:noWrap/>
            <w:hideMark/>
          </w:tcPr>
          <w:p w:rsidR="00D74294" w:rsidRPr="0085715B" w:rsidRDefault="00D74294" w:rsidP="0085715B">
            <w:pPr>
              <w:pStyle w:val="SingleTxtG"/>
              <w:spacing w:before="40" w:after="40" w:line="220" w:lineRule="exact"/>
              <w:ind w:left="0" w:right="0"/>
              <w:jc w:val="left"/>
              <w:rPr>
                <w:sz w:val="18"/>
              </w:rPr>
            </w:pPr>
            <w:r w:rsidRPr="0085715B">
              <w:rPr>
                <w:sz w:val="18"/>
              </w:rPr>
              <w:t>2012</w:t>
            </w:r>
          </w:p>
        </w:tc>
        <w:tc>
          <w:tcPr>
            <w:tcW w:w="2380" w:type="dxa"/>
            <w:shd w:val="clear" w:color="auto" w:fill="auto"/>
            <w:noWrap/>
            <w:vAlign w:val="bottom"/>
            <w:hideMark/>
          </w:tcPr>
          <w:p w:rsidR="00D74294" w:rsidRPr="0085715B" w:rsidRDefault="00D74294" w:rsidP="008C08D3">
            <w:pPr>
              <w:pStyle w:val="SingleTxtG"/>
              <w:spacing w:before="40" w:after="40" w:line="220" w:lineRule="exact"/>
              <w:ind w:left="113" w:right="28"/>
              <w:jc w:val="right"/>
              <w:rPr>
                <w:sz w:val="18"/>
              </w:rPr>
            </w:pPr>
            <w:r w:rsidRPr="0085715B">
              <w:rPr>
                <w:sz w:val="18"/>
              </w:rPr>
              <w:t>1 832 903</w:t>
            </w:r>
          </w:p>
        </w:tc>
        <w:tc>
          <w:tcPr>
            <w:tcW w:w="2550" w:type="dxa"/>
            <w:shd w:val="clear" w:color="auto" w:fill="auto"/>
            <w:noWrap/>
            <w:vAlign w:val="bottom"/>
            <w:hideMark/>
          </w:tcPr>
          <w:p w:rsidR="00D74294" w:rsidRPr="0085715B" w:rsidRDefault="00D74294" w:rsidP="008C08D3">
            <w:pPr>
              <w:pStyle w:val="SingleTxtG"/>
              <w:spacing w:before="40" w:after="40" w:line="220" w:lineRule="exact"/>
              <w:ind w:left="113" w:right="28"/>
              <w:jc w:val="right"/>
              <w:rPr>
                <w:sz w:val="18"/>
              </w:rPr>
            </w:pPr>
            <w:r w:rsidRPr="0085715B">
              <w:rPr>
                <w:sz w:val="18"/>
              </w:rPr>
              <w:t>5,8</w:t>
            </w:r>
          </w:p>
        </w:tc>
      </w:tr>
      <w:tr w:rsidR="00D74294" w:rsidRPr="0085715B" w:rsidTr="00DD147F">
        <w:trPr>
          <w:trHeight w:val="255"/>
        </w:trPr>
        <w:tc>
          <w:tcPr>
            <w:tcW w:w="2440" w:type="dxa"/>
            <w:shd w:val="clear" w:color="auto" w:fill="auto"/>
            <w:noWrap/>
            <w:hideMark/>
          </w:tcPr>
          <w:p w:rsidR="00D74294" w:rsidRPr="0085715B" w:rsidRDefault="00D74294" w:rsidP="0085715B">
            <w:pPr>
              <w:pStyle w:val="SingleTxtG"/>
              <w:spacing w:before="40" w:after="40" w:line="220" w:lineRule="exact"/>
              <w:ind w:left="0" w:right="0"/>
              <w:jc w:val="left"/>
              <w:rPr>
                <w:sz w:val="18"/>
              </w:rPr>
            </w:pPr>
            <w:r w:rsidRPr="0085715B">
              <w:rPr>
                <w:sz w:val="18"/>
              </w:rPr>
              <w:t>2013</w:t>
            </w:r>
          </w:p>
        </w:tc>
        <w:tc>
          <w:tcPr>
            <w:tcW w:w="2380" w:type="dxa"/>
            <w:shd w:val="clear" w:color="auto" w:fill="auto"/>
            <w:noWrap/>
            <w:vAlign w:val="bottom"/>
            <w:hideMark/>
          </w:tcPr>
          <w:p w:rsidR="00D74294" w:rsidRPr="0085715B" w:rsidRDefault="00B062D5" w:rsidP="00B062D5">
            <w:pPr>
              <w:pStyle w:val="SingleTxtG"/>
              <w:spacing w:before="40" w:after="40" w:line="220" w:lineRule="exact"/>
              <w:ind w:left="113" w:right="28"/>
              <w:jc w:val="right"/>
              <w:rPr>
                <w:sz w:val="18"/>
              </w:rPr>
            </w:pPr>
            <w:r>
              <w:rPr>
                <w:sz w:val="18"/>
              </w:rPr>
              <w:t xml:space="preserve">2 </w:t>
            </w:r>
            <w:r w:rsidR="00D74294" w:rsidRPr="0085715B">
              <w:rPr>
                <w:sz w:val="18"/>
              </w:rPr>
              <w:t>003</w:t>
            </w:r>
            <w:r>
              <w:rPr>
                <w:sz w:val="18"/>
              </w:rPr>
              <w:t xml:space="preserve"> </w:t>
            </w:r>
            <w:r w:rsidR="00D74294" w:rsidRPr="0085715B">
              <w:rPr>
                <w:sz w:val="18"/>
              </w:rPr>
              <w:t>700</w:t>
            </w:r>
          </w:p>
        </w:tc>
        <w:tc>
          <w:tcPr>
            <w:tcW w:w="2550" w:type="dxa"/>
            <w:shd w:val="clear" w:color="auto" w:fill="auto"/>
            <w:noWrap/>
            <w:vAlign w:val="bottom"/>
            <w:hideMark/>
          </w:tcPr>
          <w:p w:rsidR="00D74294" w:rsidRPr="0085715B" w:rsidRDefault="00D74294" w:rsidP="008C08D3">
            <w:pPr>
              <w:pStyle w:val="SingleTxtG"/>
              <w:spacing w:before="40" w:after="40" w:line="220" w:lineRule="exact"/>
              <w:ind w:left="113" w:right="28"/>
              <w:jc w:val="right"/>
              <w:rPr>
                <w:sz w:val="18"/>
              </w:rPr>
            </w:pPr>
            <w:r w:rsidRPr="0085715B">
              <w:rPr>
                <w:sz w:val="18"/>
              </w:rPr>
              <w:t>9,3</w:t>
            </w:r>
          </w:p>
        </w:tc>
      </w:tr>
      <w:tr w:rsidR="00D74294" w:rsidRPr="0085715B" w:rsidTr="00DD147F">
        <w:trPr>
          <w:trHeight w:val="255"/>
        </w:trPr>
        <w:tc>
          <w:tcPr>
            <w:tcW w:w="2440" w:type="dxa"/>
            <w:shd w:val="clear" w:color="auto" w:fill="auto"/>
            <w:noWrap/>
            <w:hideMark/>
          </w:tcPr>
          <w:p w:rsidR="00D74294" w:rsidRPr="0085715B" w:rsidRDefault="00D74294" w:rsidP="0085715B">
            <w:pPr>
              <w:pStyle w:val="SingleTxtG"/>
              <w:spacing w:before="40" w:after="40" w:line="220" w:lineRule="exact"/>
              <w:ind w:left="0" w:right="0"/>
              <w:jc w:val="left"/>
              <w:rPr>
                <w:sz w:val="18"/>
              </w:rPr>
            </w:pPr>
            <w:r w:rsidRPr="0085715B">
              <w:rPr>
                <w:sz w:val="18"/>
              </w:rPr>
              <w:t>2014</w:t>
            </w:r>
          </w:p>
        </w:tc>
        <w:tc>
          <w:tcPr>
            <w:tcW w:w="2380" w:type="dxa"/>
            <w:shd w:val="clear" w:color="auto" w:fill="auto"/>
            <w:noWrap/>
            <w:vAlign w:val="bottom"/>
            <w:hideMark/>
          </w:tcPr>
          <w:p w:rsidR="00D74294" w:rsidRPr="0085715B" w:rsidRDefault="00B062D5" w:rsidP="008C08D3">
            <w:pPr>
              <w:pStyle w:val="SingleTxtG"/>
              <w:spacing w:before="40" w:after="40" w:line="220" w:lineRule="exact"/>
              <w:ind w:left="113" w:right="28"/>
              <w:jc w:val="right"/>
              <w:rPr>
                <w:sz w:val="18"/>
              </w:rPr>
            </w:pPr>
            <w:r>
              <w:rPr>
                <w:sz w:val="18"/>
              </w:rPr>
              <w:t xml:space="preserve">2 216 </w:t>
            </w:r>
            <w:r w:rsidR="00D74294" w:rsidRPr="0085715B">
              <w:rPr>
                <w:sz w:val="18"/>
              </w:rPr>
              <w:t>180</w:t>
            </w:r>
          </w:p>
        </w:tc>
        <w:tc>
          <w:tcPr>
            <w:tcW w:w="2550" w:type="dxa"/>
            <w:shd w:val="clear" w:color="auto" w:fill="auto"/>
            <w:noWrap/>
            <w:vAlign w:val="bottom"/>
            <w:hideMark/>
          </w:tcPr>
          <w:p w:rsidR="00D74294" w:rsidRPr="0085715B" w:rsidRDefault="00D74294" w:rsidP="008C08D3">
            <w:pPr>
              <w:pStyle w:val="SingleTxtG"/>
              <w:spacing w:before="40" w:after="40" w:line="220" w:lineRule="exact"/>
              <w:ind w:left="113" w:right="28"/>
              <w:jc w:val="right"/>
              <w:rPr>
                <w:sz w:val="18"/>
              </w:rPr>
            </w:pPr>
            <w:r w:rsidRPr="0085715B">
              <w:rPr>
                <w:sz w:val="18"/>
              </w:rPr>
              <w:t>10,1</w:t>
            </w:r>
          </w:p>
        </w:tc>
      </w:tr>
      <w:tr w:rsidR="00D74294" w:rsidRPr="0085715B" w:rsidTr="00DD147F">
        <w:trPr>
          <w:trHeight w:val="255"/>
        </w:trPr>
        <w:tc>
          <w:tcPr>
            <w:tcW w:w="2440" w:type="dxa"/>
            <w:shd w:val="clear" w:color="auto" w:fill="auto"/>
            <w:noWrap/>
            <w:hideMark/>
          </w:tcPr>
          <w:p w:rsidR="00D74294" w:rsidRPr="0085715B" w:rsidRDefault="00D74294" w:rsidP="0085715B">
            <w:pPr>
              <w:pStyle w:val="SingleTxtG"/>
              <w:spacing w:before="40" w:after="40" w:line="220" w:lineRule="exact"/>
              <w:ind w:left="0" w:right="0"/>
              <w:jc w:val="left"/>
              <w:rPr>
                <w:sz w:val="18"/>
              </w:rPr>
            </w:pPr>
            <w:r w:rsidRPr="0085715B">
              <w:rPr>
                <w:sz w:val="18"/>
              </w:rPr>
              <w:t>2015</w:t>
            </w:r>
          </w:p>
        </w:tc>
        <w:tc>
          <w:tcPr>
            <w:tcW w:w="2380" w:type="dxa"/>
            <w:shd w:val="clear" w:color="auto" w:fill="auto"/>
            <w:noWrap/>
            <w:vAlign w:val="bottom"/>
            <w:hideMark/>
          </w:tcPr>
          <w:p w:rsidR="00D74294" w:rsidRPr="0085715B" w:rsidRDefault="00B062D5" w:rsidP="00B062D5">
            <w:pPr>
              <w:pStyle w:val="SingleTxtG"/>
              <w:spacing w:before="40" w:after="40" w:line="220" w:lineRule="exact"/>
              <w:ind w:left="113" w:right="28"/>
              <w:jc w:val="right"/>
              <w:rPr>
                <w:sz w:val="18"/>
              </w:rPr>
            </w:pPr>
            <w:r>
              <w:rPr>
                <w:sz w:val="18"/>
              </w:rPr>
              <w:t xml:space="preserve">2 </w:t>
            </w:r>
            <w:r w:rsidR="00D74294" w:rsidRPr="0085715B">
              <w:rPr>
                <w:sz w:val="18"/>
              </w:rPr>
              <w:t>437</w:t>
            </w:r>
            <w:r>
              <w:rPr>
                <w:sz w:val="18"/>
              </w:rPr>
              <w:t xml:space="preserve"> </w:t>
            </w:r>
            <w:r w:rsidR="00D74294" w:rsidRPr="0085715B">
              <w:rPr>
                <w:sz w:val="18"/>
              </w:rPr>
              <w:t>790</w:t>
            </w:r>
          </w:p>
        </w:tc>
        <w:tc>
          <w:tcPr>
            <w:tcW w:w="2550" w:type="dxa"/>
            <w:shd w:val="clear" w:color="auto" w:fill="auto"/>
            <w:noWrap/>
            <w:vAlign w:val="bottom"/>
            <w:hideMark/>
          </w:tcPr>
          <w:p w:rsidR="00D74294" w:rsidRPr="0085715B" w:rsidRDefault="00D74294" w:rsidP="008C08D3">
            <w:pPr>
              <w:pStyle w:val="SingleTxtG"/>
              <w:spacing w:before="40" w:after="40" w:line="220" w:lineRule="exact"/>
              <w:ind w:left="113" w:right="28"/>
              <w:jc w:val="right"/>
              <w:rPr>
                <w:sz w:val="18"/>
              </w:rPr>
            </w:pPr>
            <w:r w:rsidRPr="0085715B">
              <w:rPr>
                <w:sz w:val="18"/>
              </w:rPr>
              <w:t>9,5</w:t>
            </w:r>
          </w:p>
        </w:tc>
      </w:tr>
      <w:tr w:rsidR="00D74294" w:rsidRPr="0085715B" w:rsidTr="00DD147F">
        <w:trPr>
          <w:trHeight w:val="255"/>
        </w:trPr>
        <w:tc>
          <w:tcPr>
            <w:tcW w:w="2440" w:type="dxa"/>
            <w:tcBorders>
              <w:bottom w:val="single" w:sz="12" w:space="0" w:color="auto"/>
            </w:tcBorders>
            <w:shd w:val="clear" w:color="auto" w:fill="auto"/>
            <w:noWrap/>
            <w:hideMark/>
          </w:tcPr>
          <w:p w:rsidR="00D74294" w:rsidRPr="0085715B" w:rsidRDefault="00D74294" w:rsidP="0085715B">
            <w:pPr>
              <w:pStyle w:val="SingleTxtG"/>
              <w:spacing w:before="40" w:after="40" w:line="220" w:lineRule="exact"/>
              <w:ind w:left="0" w:right="0"/>
              <w:jc w:val="left"/>
              <w:rPr>
                <w:sz w:val="18"/>
              </w:rPr>
            </w:pPr>
            <w:r w:rsidRPr="0085715B">
              <w:rPr>
                <w:sz w:val="18"/>
              </w:rPr>
              <w:t>2016</w:t>
            </w:r>
          </w:p>
        </w:tc>
        <w:tc>
          <w:tcPr>
            <w:tcW w:w="2380" w:type="dxa"/>
            <w:tcBorders>
              <w:bottom w:val="single" w:sz="12" w:space="0" w:color="auto"/>
            </w:tcBorders>
            <w:shd w:val="clear" w:color="auto" w:fill="auto"/>
            <w:noWrap/>
            <w:vAlign w:val="bottom"/>
            <w:hideMark/>
          </w:tcPr>
          <w:p w:rsidR="00D74294" w:rsidRPr="0085715B" w:rsidRDefault="00B062D5" w:rsidP="008C08D3">
            <w:pPr>
              <w:pStyle w:val="SingleTxtG"/>
              <w:spacing w:before="40" w:after="40" w:line="220" w:lineRule="exact"/>
              <w:ind w:left="113" w:right="28"/>
              <w:jc w:val="right"/>
              <w:rPr>
                <w:sz w:val="18"/>
              </w:rPr>
            </w:pPr>
            <w:r>
              <w:rPr>
                <w:sz w:val="18"/>
              </w:rPr>
              <w:t xml:space="preserve">2 617 </w:t>
            </w:r>
            <w:r w:rsidR="00D74294" w:rsidRPr="0085715B">
              <w:rPr>
                <w:sz w:val="18"/>
              </w:rPr>
              <w:t>634</w:t>
            </w:r>
          </w:p>
        </w:tc>
        <w:tc>
          <w:tcPr>
            <w:tcW w:w="2550" w:type="dxa"/>
            <w:tcBorders>
              <w:bottom w:val="single" w:sz="12" w:space="0" w:color="auto"/>
            </w:tcBorders>
            <w:shd w:val="clear" w:color="auto" w:fill="auto"/>
            <w:noWrap/>
            <w:vAlign w:val="bottom"/>
            <w:hideMark/>
          </w:tcPr>
          <w:p w:rsidR="00D74294" w:rsidRPr="0085715B" w:rsidRDefault="00D74294" w:rsidP="008C08D3">
            <w:pPr>
              <w:pStyle w:val="SingleTxtG"/>
              <w:spacing w:before="40" w:after="40" w:line="220" w:lineRule="exact"/>
              <w:ind w:left="113" w:right="28"/>
              <w:jc w:val="right"/>
              <w:rPr>
                <w:sz w:val="18"/>
              </w:rPr>
            </w:pPr>
            <w:r w:rsidRPr="0085715B">
              <w:rPr>
                <w:sz w:val="18"/>
              </w:rPr>
              <w:t>7,1</w:t>
            </w:r>
          </w:p>
        </w:tc>
      </w:tr>
    </w:tbl>
    <w:p w:rsidR="00D74294" w:rsidRPr="0085715B" w:rsidRDefault="00D74294" w:rsidP="0085715B">
      <w:pPr>
        <w:pStyle w:val="SingleTxtG"/>
        <w:spacing w:before="120" w:after="240"/>
        <w:ind w:firstLine="170"/>
        <w:jc w:val="left"/>
        <w:rPr>
          <w:sz w:val="18"/>
          <w:u w:val="single"/>
        </w:rPr>
      </w:pPr>
      <w:r w:rsidRPr="0085715B">
        <w:rPr>
          <w:i/>
          <w:iCs/>
          <w:sz w:val="18"/>
        </w:rPr>
        <w:t>Fuente:</w:t>
      </w:r>
      <w:r w:rsidR="0085715B" w:rsidRPr="0085715B">
        <w:rPr>
          <w:sz w:val="18"/>
        </w:rPr>
        <w:t xml:space="preserve"> </w:t>
      </w:r>
      <w:r w:rsidRPr="0085715B">
        <w:rPr>
          <w:sz w:val="18"/>
        </w:rPr>
        <w:t xml:space="preserve">Ministerio de Planificación del Desarrollo y Estadísticas, </w:t>
      </w:r>
      <w:r w:rsidRPr="0085715B">
        <w:rPr>
          <w:i/>
          <w:iCs/>
          <w:sz w:val="18"/>
        </w:rPr>
        <w:t>Estadísticas demográficas y sociales: Qatar en cifras</w:t>
      </w:r>
      <w:r w:rsidRPr="0085715B">
        <w:rPr>
          <w:sz w:val="18"/>
        </w:rPr>
        <w:t>, 2017.</w:t>
      </w:r>
    </w:p>
    <w:p w:rsidR="00D74294" w:rsidRPr="00D74294" w:rsidRDefault="0085715B" w:rsidP="0085715B">
      <w:pPr>
        <w:pStyle w:val="H23G"/>
      </w:pPr>
      <w:r w:rsidRPr="0085715B">
        <w:rPr>
          <w:b w:val="0"/>
        </w:rPr>
        <w:tab/>
      </w:r>
      <w:r w:rsidRPr="0085715B">
        <w:rPr>
          <w:b w:val="0"/>
        </w:rPr>
        <w:tab/>
      </w:r>
      <w:r w:rsidR="00D74294" w:rsidRPr="0085715B">
        <w:rPr>
          <w:b w:val="0"/>
        </w:rPr>
        <w:t>C</w:t>
      </w:r>
      <w:r w:rsidRPr="0085715B">
        <w:rPr>
          <w:b w:val="0"/>
        </w:rPr>
        <w:t>uadro 7</w:t>
      </w:r>
      <w:r w:rsidRPr="0085715B">
        <w:rPr>
          <w:b w:val="0"/>
        </w:rPr>
        <w:br/>
      </w:r>
      <w:r w:rsidR="00D74294" w:rsidRPr="00D74294">
        <w:t>Densidad de población, 2015</w:t>
      </w:r>
    </w:p>
    <w:tbl>
      <w:tblPr>
        <w:tblStyle w:val="TableElegant11"/>
        <w:tblW w:w="7370" w:type="dxa"/>
        <w:tblInd w:w="113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4111"/>
        <w:gridCol w:w="2408"/>
      </w:tblGrid>
      <w:tr w:rsidR="00D74294" w:rsidRPr="0085715B" w:rsidTr="009D6492">
        <w:trPr>
          <w:cnfStyle w:val="100000000000" w:firstRow="1" w:lastRow="0" w:firstColumn="0" w:lastColumn="0" w:oddVBand="0" w:evenVBand="0" w:oddHBand="0" w:evenHBand="0" w:firstRowFirstColumn="0" w:firstRowLastColumn="0" w:lastRowFirstColumn="0" w:lastRowLastColumn="0"/>
          <w:trHeight w:val="240"/>
          <w:tblHeader/>
        </w:trPr>
        <w:tc>
          <w:tcPr>
            <w:tcW w:w="851" w:type="dxa"/>
            <w:tcBorders>
              <w:top w:val="single" w:sz="4" w:space="0" w:color="auto"/>
              <w:bottom w:val="single" w:sz="12" w:space="0" w:color="auto"/>
            </w:tcBorders>
            <w:shd w:val="clear" w:color="auto" w:fill="auto"/>
            <w:vAlign w:val="bottom"/>
          </w:tcPr>
          <w:p w:rsidR="00D74294" w:rsidRPr="0085715B" w:rsidRDefault="00D74294" w:rsidP="0085715B">
            <w:pPr>
              <w:pStyle w:val="SingleTxtG"/>
              <w:spacing w:before="80" w:after="80" w:line="200" w:lineRule="exact"/>
              <w:ind w:left="0" w:right="0"/>
              <w:jc w:val="left"/>
              <w:rPr>
                <w:i/>
                <w:iCs/>
                <w:caps w:val="0"/>
                <w:sz w:val="16"/>
              </w:rPr>
            </w:pPr>
            <w:r w:rsidRPr="0085715B">
              <w:rPr>
                <w:i/>
                <w:iCs/>
                <w:caps w:val="0"/>
                <w:sz w:val="16"/>
              </w:rPr>
              <w:t>Número</w:t>
            </w:r>
          </w:p>
        </w:tc>
        <w:tc>
          <w:tcPr>
            <w:tcW w:w="4111" w:type="dxa"/>
            <w:tcBorders>
              <w:top w:val="single" w:sz="4" w:space="0" w:color="auto"/>
              <w:bottom w:val="single" w:sz="12" w:space="0" w:color="auto"/>
            </w:tcBorders>
            <w:shd w:val="clear" w:color="auto" w:fill="auto"/>
            <w:vAlign w:val="bottom"/>
          </w:tcPr>
          <w:p w:rsidR="00D74294" w:rsidRPr="0085715B" w:rsidRDefault="00D74294" w:rsidP="0085715B">
            <w:pPr>
              <w:pStyle w:val="SingleTxtG"/>
              <w:spacing w:before="80" w:after="80" w:line="200" w:lineRule="exact"/>
              <w:ind w:left="0" w:right="0"/>
              <w:jc w:val="left"/>
              <w:rPr>
                <w:i/>
                <w:iCs/>
                <w:caps w:val="0"/>
                <w:sz w:val="16"/>
              </w:rPr>
            </w:pPr>
            <w:r w:rsidRPr="0085715B">
              <w:rPr>
                <w:i/>
                <w:iCs/>
                <w:caps w:val="0"/>
                <w:sz w:val="16"/>
              </w:rPr>
              <w:t>Municipio</w:t>
            </w:r>
          </w:p>
        </w:tc>
        <w:tc>
          <w:tcPr>
            <w:tcW w:w="2408" w:type="dxa"/>
            <w:tcBorders>
              <w:top w:val="single" w:sz="4" w:space="0" w:color="auto"/>
              <w:bottom w:val="single" w:sz="12" w:space="0" w:color="auto"/>
            </w:tcBorders>
            <w:shd w:val="clear" w:color="auto" w:fill="auto"/>
            <w:vAlign w:val="bottom"/>
          </w:tcPr>
          <w:p w:rsidR="00D74294" w:rsidRPr="0085715B" w:rsidRDefault="00D74294" w:rsidP="009D6492">
            <w:pPr>
              <w:pStyle w:val="SingleTxtG"/>
              <w:spacing w:before="80" w:after="80" w:line="200" w:lineRule="exact"/>
              <w:ind w:left="113" w:right="28"/>
              <w:jc w:val="right"/>
              <w:rPr>
                <w:i/>
                <w:iCs/>
                <w:caps w:val="0"/>
                <w:sz w:val="16"/>
              </w:rPr>
            </w:pPr>
            <w:r w:rsidRPr="0085715B">
              <w:rPr>
                <w:i/>
                <w:iCs/>
                <w:caps w:val="0"/>
                <w:sz w:val="16"/>
              </w:rPr>
              <w:t xml:space="preserve">Densidad de población (por </w:t>
            </w:r>
            <w:proofErr w:type="spellStart"/>
            <w:r w:rsidRPr="0085715B">
              <w:rPr>
                <w:i/>
                <w:iCs/>
                <w:caps w:val="0"/>
                <w:sz w:val="16"/>
              </w:rPr>
              <w:t>km</w:t>
            </w:r>
            <w:r w:rsidRPr="0085715B">
              <w:rPr>
                <w:i/>
                <w:iCs/>
                <w:caps w:val="0"/>
                <w:sz w:val="16"/>
                <w:vertAlign w:val="superscript"/>
              </w:rPr>
              <w:t>2</w:t>
            </w:r>
            <w:proofErr w:type="spellEnd"/>
            <w:r w:rsidRPr="0085715B">
              <w:rPr>
                <w:i/>
                <w:iCs/>
                <w:caps w:val="0"/>
                <w:sz w:val="16"/>
              </w:rPr>
              <w:t>)</w:t>
            </w:r>
          </w:p>
        </w:tc>
      </w:tr>
      <w:tr w:rsidR="00D74294" w:rsidRPr="0085715B" w:rsidTr="009D6492">
        <w:trPr>
          <w:trHeight w:val="240"/>
        </w:trPr>
        <w:tc>
          <w:tcPr>
            <w:tcW w:w="851" w:type="dxa"/>
            <w:tcBorders>
              <w:top w:val="single" w:sz="12" w:space="0" w:color="auto"/>
            </w:tcBorders>
            <w:shd w:val="clear" w:color="auto" w:fill="auto"/>
            <w:hideMark/>
          </w:tcPr>
          <w:p w:rsidR="00D74294" w:rsidRPr="0085715B" w:rsidRDefault="00D74294" w:rsidP="0085715B">
            <w:pPr>
              <w:pStyle w:val="SingleTxtG"/>
              <w:spacing w:before="40" w:after="40" w:line="220" w:lineRule="exact"/>
              <w:ind w:left="0" w:right="0"/>
              <w:jc w:val="left"/>
              <w:rPr>
                <w:sz w:val="18"/>
              </w:rPr>
            </w:pPr>
            <w:r w:rsidRPr="0085715B">
              <w:rPr>
                <w:sz w:val="18"/>
              </w:rPr>
              <w:t>1</w:t>
            </w:r>
          </w:p>
        </w:tc>
        <w:tc>
          <w:tcPr>
            <w:tcW w:w="4111" w:type="dxa"/>
            <w:tcBorders>
              <w:top w:val="single" w:sz="12" w:space="0" w:color="auto"/>
            </w:tcBorders>
            <w:shd w:val="clear" w:color="auto" w:fill="auto"/>
            <w:vAlign w:val="bottom"/>
            <w:hideMark/>
          </w:tcPr>
          <w:p w:rsidR="00D74294" w:rsidRPr="0085715B" w:rsidRDefault="00D74294" w:rsidP="0085715B">
            <w:pPr>
              <w:pStyle w:val="SingleTxtG"/>
              <w:spacing w:before="40" w:after="40" w:line="220" w:lineRule="exact"/>
              <w:ind w:left="0" w:right="0"/>
              <w:jc w:val="left"/>
              <w:rPr>
                <w:sz w:val="18"/>
              </w:rPr>
            </w:pPr>
            <w:r w:rsidRPr="0085715B">
              <w:rPr>
                <w:sz w:val="18"/>
              </w:rPr>
              <w:t>Doha</w:t>
            </w:r>
          </w:p>
        </w:tc>
        <w:tc>
          <w:tcPr>
            <w:tcW w:w="2408" w:type="dxa"/>
            <w:tcBorders>
              <w:top w:val="single" w:sz="12" w:space="0" w:color="auto"/>
            </w:tcBorders>
            <w:shd w:val="clear" w:color="auto" w:fill="auto"/>
            <w:vAlign w:val="bottom"/>
            <w:hideMark/>
          </w:tcPr>
          <w:p w:rsidR="00D74294" w:rsidRPr="0085715B" w:rsidRDefault="00D74294" w:rsidP="009D6492">
            <w:pPr>
              <w:pStyle w:val="SingleTxtG"/>
              <w:spacing w:before="40" w:after="40" w:line="220" w:lineRule="exact"/>
              <w:ind w:left="113" w:right="28"/>
              <w:jc w:val="right"/>
              <w:rPr>
                <w:sz w:val="18"/>
              </w:rPr>
            </w:pPr>
            <w:r w:rsidRPr="0085715B">
              <w:rPr>
                <w:sz w:val="18"/>
              </w:rPr>
              <w:t>4</w:t>
            </w:r>
            <w:r w:rsidR="00B062D5">
              <w:rPr>
                <w:sz w:val="18"/>
              </w:rPr>
              <w:t xml:space="preserve"> </w:t>
            </w:r>
            <w:r w:rsidRPr="0085715B">
              <w:rPr>
                <w:sz w:val="18"/>
              </w:rPr>
              <w:t>354,3</w:t>
            </w:r>
          </w:p>
        </w:tc>
      </w:tr>
      <w:tr w:rsidR="00D74294" w:rsidRPr="0085715B" w:rsidTr="009D6492">
        <w:trPr>
          <w:trHeight w:val="240"/>
        </w:trPr>
        <w:tc>
          <w:tcPr>
            <w:tcW w:w="851" w:type="dxa"/>
            <w:shd w:val="clear" w:color="auto" w:fill="auto"/>
            <w:hideMark/>
          </w:tcPr>
          <w:p w:rsidR="00D74294" w:rsidRPr="0085715B" w:rsidRDefault="00D74294" w:rsidP="0085715B">
            <w:pPr>
              <w:pStyle w:val="SingleTxtG"/>
              <w:spacing w:before="40" w:after="40" w:line="220" w:lineRule="exact"/>
              <w:ind w:left="0" w:right="0"/>
              <w:jc w:val="left"/>
              <w:rPr>
                <w:sz w:val="18"/>
              </w:rPr>
            </w:pPr>
            <w:r w:rsidRPr="0085715B">
              <w:rPr>
                <w:sz w:val="18"/>
              </w:rPr>
              <w:t>2</w:t>
            </w:r>
          </w:p>
        </w:tc>
        <w:tc>
          <w:tcPr>
            <w:tcW w:w="4111" w:type="dxa"/>
            <w:shd w:val="clear" w:color="auto" w:fill="auto"/>
            <w:vAlign w:val="bottom"/>
            <w:hideMark/>
          </w:tcPr>
          <w:p w:rsidR="00D74294" w:rsidRPr="0085715B" w:rsidRDefault="00D74294" w:rsidP="0085715B">
            <w:pPr>
              <w:pStyle w:val="SingleTxtG"/>
              <w:spacing w:before="40" w:after="40" w:line="220" w:lineRule="exact"/>
              <w:ind w:left="0" w:right="0"/>
              <w:jc w:val="left"/>
              <w:rPr>
                <w:sz w:val="18"/>
              </w:rPr>
            </w:pPr>
            <w:r w:rsidRPr="0085715B">
              <w:rPr>
                <w:sz w:val="18"/>
              </w:rPr>
              <w:t>Ar-</w:t>
            </w:r>
            <w:proofErr w:type="spellStart"/>
            <w:r w:rsidRPr="0085715B">
              <w:rPr>
                <w:sz w:val="18"/>
              </w:rPr>
              <w:t>Rayyan</w:t>
            </w:r>
            <w:proofErr w:type="spellEnd"/>
          </w:p>
        </w:tc>
        <w:tc>
          <w:tcPr>
            <w:tcW w:w="2408" w:type="dxa"/>
            <w:shd w:val="clear" w:color="auto" w:fill="auto"/>
            <w:vAlign w:val="bottom"/>
            <w:hideMark/>
          </w:tcPr>
          <w:p w:rsidR="00D74294" w:rsidRPr="0085715B" w:rsidRDefault="00D74294" w:rsidP="009D6492">
            <w:pPr>
              <w:pStyle w:val="SingleTxtG"/>
              <w:spacing w:before="40" w:after="40" w:line="220" w:lineRule="exact"/>
              <w:ind w:left="113" w:right="28"/>
              <w:jc w:val="right"/>
              <w:rPr>
                <w:sz w:val="18"/>
              </w:rPr>
            </w:pPr>
            <w:r w:rsidRPr="0085715B">
              <w:rPr>
                <w:sz w:val="18"/>
              </w:rPr>
              <w:t>247,2</w:t>
            </w:r>
          </w:p>
        </w:tc>
      </w:tr>
      <w:tr w:rsidR="00D74294" w:rsidRPr="0085715B" w:rsidTr="009D6492">
        <w:trPr>
          <w:trHeight w:val="240"/>
        </w:trPr>
        <w:tc>
          <w:tcPr>
            <w:tcW w:w="851" w:type="dxa"/>
            <w:shd w:val="clear" w:color="auto" w:fill="auto"/>
            <w:hideMark/>
          </w:tcPr>
          <w:p w:rsidR="00D74294" w:rsidRPr="0085715B" w:rsidRDefault="00D74294" w:rsidP="0085715B">
            <w:pPr>
              <w:pStyle w:val="SingleTxtG"/>
              <w:spacing w:before="40" w:after="40" w:line="220" w:lineRule="exact"/>
              <w:ind w:left="0" w:right="0"/>
              <w:jc w:val="left"/>
              <w:rPr>
                <w:sz w:val="18"/>
              </w:rPr>
            </w:pPr>
            <w:r w:rsidRPr="0085715B">
              <w:rPr>
                <w:sz w:val="18"/>
              </w:rPr>
              <w:t>3</w:t>
            </w:r>
          </w:p>
        </w:tc>
        <w:tc>
          <w:tcPr>
            <w:tcW w:w="4111" w:type="dxa"/>
            <w:shd w:val="clear" w:color="auto" w:fill="auto"/>
            <w:vAlign w:val="bottom"/>
            <w:hideMark/>
          </w:tcPr>
          <w:p w:rsidR="00D74294" w:rsidRPr="0085715B" w:rsidRDefault="00D74294" w:rsidP="0085715B">
            <w:pPr>
              <w:pStyle w:val="SingleTxtG"/>
              <w:spacing w:before="40" w:after="40" w:line="220" w:lineRule="exact"/>
              <w:ind w:left="0" w:right="0"/>
              <w:jc w:val="left"/>
              <w:rPr>
                <w:sz w:val="18"/>
              </w:rPr>
            </w:pPr>
            <w:r w:rsidRPr="0085715B">
              <w:rPr>
                <w:sz w:val="18"/>
              </w:rPr>
              <w:t>Al-</w:t>
            </w:r>
            <w:proofErr w:type="spellStart"/>
            <w:r w:rsidRPr="0085715B">
              <w:rPr>
                <w:sz w:val="18"/>
              </w:rPr>
              <w:t>Wakra</w:t>
            </w:r>
            <w:proofErr w:type="spellEnd"/>
          </w:p>
        </w:tc>
        <w:tc>
          <w:tcPr>
            <w:tcW w:w="2408" w:type="dxa"/>
            <w:shd w:val="clear" w:color="auto" w:fill="auto"/>
            <w:vAlign w:val="bottom"/>
            <w:hideMark/>
          </w:tcPr>
          <w:p w:rsidR="00D74294" w:rsidRPr="0085715B" w:rsidRDefault="00D74294" w:rsidP="009D6492">
            <w:pPr>
              <w:pStyle w:val="SingleTxtG"/>
              <w:spacing w:before="40" w:after="40" w:line="220" w:lineRule="exact"/>
              <w:ind w:left="113" w:right="28"/>
              <w:jc w:val="right"/>
              <w:rPr>
                <w:sz w:val="18"/>
              </w:rPr>
            </w:pPr>
            <w:r w:rsidRPr="0085715B">
              <w:rPr>
                <w:sz w:val="18"/>
              </w:rPr>
              <w:t>116,0</w:t>
            </w:r>
          </w:p>
        </w:tc>
      </w:tr>
      <w:tr w:rsidR="00D74294" w:rsidRPr="0085715B" w:rsidTr="009D6492">
        <w:trPr>
          <w:trHeight w:val="240"/>
        </w:trPr>
        <w:tc>
          <w:tcPr>
            <w:tcW w:w="851" w:type="dxa"/>
            <w:shd w:val="clear" w:color="auto" w:fill="auto"/>
            <w:hideMark/>
          </w:tcPr>
          <w:p w:rsidR="00D74294" w:rsidRPr="0085715B" w:rsidRDefault="00D74294" w:rsidP="0085715B">
            <w:pPr>
              <w:pStyle w:val="SingleTxtG"/>
              <w:spacing w:before="40" w:after="40" w:line="220" w:lineRule="exact"/>
              <w:ind w:left="0" w:right="0"/>
              <w:jc w:val="left"/>
              <w:rPr>
                <w:sz w:val="18"/>
              </w:rPr>
            </w:pPr>
            <w:r w:rsidRPr="0085715B">
              <w:rPr>
                <w:sz w:val="18"/>
              </w:rPr>
              <w:t>4</w:t>
            </w:r>
          </w:p>
        </w:tc>
        <w:tc>
          <w:tcPr>
            <w:tcW w:w="4111" w:type="dxa"/>
            <w:shd w:val="clear" w:color="auto" w:fill="auto"/>
            <w:vAlign w:val="bottom"/>
            <w:hideMark/>
          </w:tcPr>
          <w:p w:rsidR="00D74294" w:rsidRPr="0085715B" w:rsidRDefault="00D74294" w:rsidP="0085715B">
            <w:pPr>
              <w:pStyle w:val="SingleTxtG"/>
              <w:spacing w:before="40" w:after="40" w:line="220" w:lineRule="exact"/>
              <w:ind w:left="0" w:right="0"/>
              <w:jc w:val="left"/>
              <w:rPr>
                <w:sz w:val="18"/>
              </w:rPr>
            </w:pPr>
            <w:proofErr w:type="spellStart"/>
            <w:r w:rsidRPr="0085715B">
              <w:rPr>
                <w:sz w:val="18"/>
              </w:rPr>
              <w:t>Umm</w:t>
            </w:r>
            <w:proofErr w:type="spellEnd"/>
            <w:r w:rsidRPr="0085715B">
              <w:rPr>
                <w:sz w:val="18"/>
              </w:rPr>
              <w:t xml:space="preserve"> </w:t>
            </w:r>
            <w:proofErr w:type="spellStart"/>
            <w:r w:rsidRPr="0085715B">
              <w:rPr>
                <w:sz w:val="18"/>
              </w:rPr>
              <w:t>Salal</w:t>
            </w:r>
            <w:proofErr w:type="spellEnd"/>
          </w:p>
        </w:tc>
        <w:tc>
          <w:tcPr>
            <w:tcW w:w="2408" w:type="dxa"/>
            <w:shd w:val="clear" w:color="auto" w:fill="auto"/>
            <w:vAlign w:val="bottom"/>
            <w:hideMark/>
          </w:tcPr>
          <w:p w:rsidR="00D74294" w:rsidRPr="0085715B" w:rsidRDefault="00D74294" w:rsidP="009D6492">
            <w:pPr>
              <w:pStyle w:val="SingleTxtG"/>
              <w:spacing w:before="40" w:after="40" w:line="220" w:lineRule="exact"/>
              <w:ind w:left="113" w:right="28"/>
              <w:jc w:val="right"/>
              <w:rPr>
                <w:sz w:val="18"/>
              </w:rPr>
            </w:pPr>
            <w:r w:rsidRPr="0085715B">
              <w:rPr>
                <w:sz w:val="18"/>
              </w:rPr>
              <w:t>285,2</w:t>
            </w:r>
          </w:p>
        </w:tc>
      </w:tr>
      <w:tr w:rsidR="00D74294" w:rsidRPr="0085715B" w:rsidTr="009D6492">
        <w:trPr>
          <w:trHeight w:val="240"/>
        </w:trPr>
        <w:tc>
          <w:tcPr>
            <w:tcW w:w="851" w:type="dxa"/>
            <w:shd w:val="clear" w:color="auto" w:fill="auto"/>
            <w:hideMark/>
          </w:tcPr>
          <w:p w:rsidR="00D74294" w:rsidRPr="0085715B" w:rsidRDefault="00D74294" w:rsidP="0085715B">
            <w:pPr>
              <w:pStyle w:val="SingleTxtG"/>
              <w:spacing w:before="40" w:after="40" w:line="220" w:lineRule="exact"/>
              <w:ind w:left="0" w:right="0"/>
              <w:jc w:val="left"/>
              <w:rPr>
                <w:sz w:val="18"/>
              </w:rPr>
            </w:pPr>
            <w:r w:rsidRPr="0085715B">
              <w:rPr>
                <w:sz w:val="18"/>
              </w:rPr>
              <w:t>5</w:t>
            </w:r>
          </w:p>
        </w:tc>
        <w:tc>
          <w:tcPr>
            <w:tcW w:w="4111" w:type="dxa"/>
            <w:shd w:val="clear" w:color="auto" w:fill="auto"/>
            <w:vAlign w:val="bottom"/>
            <w:hideMark/>
          </w:tcPr>
          <w:p w:rsidR="00D74294" w:rsidRPr="0085715B" w:rsidRDefault="00D74294" w:rsidP="0085715B">
            <w:pPr>
              <w:pStyle w:val="SingleTxtG"/>
              <w:spacing w:before="40" w:after="40" w:line="220" w:lineRule="exact"/>
              <w:ind w:left="0" w:right="0"/>
              <w:jc w:val="left"/>
              <w:rPr>
                <w:sz w:val="18"/>
              </w:rPr>
            </w:pPr>
            <w:r w:rsidRPr="0085715B">
              <w:rPr>
                <w:sz w:val="18"/>
              </w:rPr>
              <w:t>Al-</w:t>
            </w:r>
            <w:proofErr w:type="spellStart"/>
            <w:r w:rsidRPr="0085715B">
              <w:rPr>
                <w:sz w:val="18"/>
              </w:rPr>
              <w:t>Jor</w:t>
            </w:r>
            <w:proofErr w:type="spellEnd"/>
            <w:r w:rsidRPr="0085715B">
              <w:rPr>
                <w:sz w:val="18"/>
              </w:rPr>
              <w:t xml:space="preserve"> y Al-</w:t>
            </w:r>
            <w:proofErr w:type="spellStart"/>
            <w:r w:rsidRPr="0085715B">
              <w:rPr>
                <w:sz w:val="18"/>
              </w:rPr>
              <w:t>Dhajira</w:t>
            </w:r>
            <w:proofErr w:type="spellEnd"/>
          </w:p>
        </w:tc>
        <w:tc>
          <w:tcPr>
            <w:tcW w:w="2408" w:type="dxa"/>
            <w:shd w:val="clear" w:color="auto" w:fill="auto"/>
            <w:vAlign w:val="bottom"/>
            <w:hideMark/>
          </w:tcPr>
          <w:p w:rsidR="00D74294" w:rsidRPr="0085715B" w:rsidRDefault="00D74294" w:rsidP="009D6492">
            <w:pPr>
              <w:pStyle w:val="SingleTxtG"/>
              <w:spacing w:before="40" w:after="40" w:line="220" w:lineRule="exact"/>
              <w:ind w:left="113" w:right="28"/>
              <w:jc w:val="right"/>
              <w:rPr>
                <w:sz w:val="18"/>
              </w:rPr>
            </w:pPr>
            <w:r w:rsidRPr="0085715B">
              <w:rPr>
                <w:sz w:val="18"/>
              </w:rPr>
              <w:t>126,1</w:t>
            </w:r>
          </w:p>
        </w:tc>
      </w:tr>
      <w:tr w:rsidR="00D74294" w:rsidRPr="0085715B" w:rsidTr="009D6492">
        <w:trPr>
          <w:trHeight w:val="240"/>
        </w:trPr>
        <w:tc>
          <w:tcPr>
            <w:tcW w:w="851" w:type="dxa"/>
            <w:shd w:val="clear" w:color="auto" w:fill="auto"/>
            <w:hideMark/>
          </w:tcPr>
          <w:p w:rsidR="00D74294" w:rsidRPr="0085715B" w:rsidRDefault="00D74294" w:rsidP="0085715B">
            <w:pPr>
              <w:pStyle w:val="SingleTxtG"/>
              <w:spacing w:before="40" w:after="40" w:line="220" w:lineRule="exact"/>
              <w:ind w:left="0" w:right="0"/>
              <w:jc w:val="left"/>
              <w:rPr>
                <w:sz w:val="18"/>
              </w:rPr>
            </w:pPr>
            <w:r w:rsidRPr="0085715B">
              <w:rPr>
                <w:sz w:val="18"/>
              </w:rPr>
              <w:t>6</w:t>
            </w:r>
          </w:p>
        </w:tc>
        <w:tc>
          <w:tcPr>
            <w:tcW w:w="4111" w:type="dxa"/>
            <w:shd w:val="clear" w:color="auto" w:fill="auto"/>
            <w:vAlign w:val="bottom"/>
            <w:hideMark/>
          </w:tcPr>
          <w:p w:rsidR="00D74294" w:rsidRPr="0085715B" w:rsidRDefault="00D74294" w:rsidP="0085715B">
            <w:pPr>
              <w:pStyle w:val="SingleTxtG"/>
              <w:spacing w:before="40" w:after="40" w:line="220" w:lineRule="exact"/>
              <w:ind w:left="0" w:right="0"/>
              <w:jc w:val="left"/>
              <w:rPr>
                <w:sz w:val="18"/>
              </w:rPr>
            </w:pPr>
            <w:proofErr w:type="spellStart"/>
            <w:r w:rsidRPr="0085715B">
              <w:rPr>
                <w:sz w:val="18"/>
              </w:rPr>
              <w:t>Ash-Shamal</w:t>
            </w:r>
            <w:proofErr w:type="spellEnd"/>
          </w:p>
        </w:tc>
        <w:tc>
          <w:tcPr>
            <w:tcW w:w="2408" w:type="dxa"/>
            <w:shd w:val="clear" w:color="auto" w:fill="auto"/>
            <w:vAlign w:val="bottom"/>
            <w:hideMark/>
          </w:tcPr>
          <w:p w:rsidR="00D74294" w:rsidRPr="0085715B" w:rsidRDefault="00D74294" w:rsidP="009D6492">
            <w:pPr>
              <w:pStyle w:val="SingleTxtG"/>
              <w:spacing w:before="40" w:after="40" w:line="220" w:lineRule="exact"/>
              <w:ind w:left="113" w:right="28"/>
              <w:jc w:val="right"/>
              <w:rPr>
                <w:sz w:val="18"/>
              </w:rPr>
            </w:pPr>
            <w:r w:rsidRPr="0085715B">
              <w:rPr>
                <w:sz w:val="18"/>
              </w:rPr>
              <w:t>10,2</w:t>
            </w:r>
          </w:p>
        </w:tc>
      </w:tr>
      <w:tr w:rsidR="00D74294" w:rsidRPr="0085715B" w:rsidTr="009D6492">
        <w:trPr>
          <w:trHeight w:val="240"/>
        </w:trPr>
        <w:tc>
          <w:tcPr>
            <w:tcW w:w="851" w:type="dxa"/>
            <w:shd w:val="clear" w:color="auto" w:fill="auto"/>
            <w:hideMark/>
          </w:tcPr>
          <w:p w:rsidR="00D74294" w:rsidRPr="0085715B" w:rsidRDefault="00D74294" w:rsidP="0085715B">
            <w:pPr>
              <w:pStyle w:val="SingleTxtG"/>
              <w:spacing w:before="40" w:after="40" w:line="220" w:lineRule="exact"/>
              <w:ind w:left="0" w:right="0"/>
              <w:jc w:val="left"/>
              <w:rPr>
                <w:sz w:val="18"/>
              </w:rPr>
            </w:pPr>
            <w:r w:rsidRPr="0085715B">
              <w:rPr>
                <w:sz w:val="18"/>
              </w:rPr>
              <w:t>7</w:t>
            </w:r>
          </w:p>
        </w:tc>
        <w:tc>
          <w:tcPr>
            <w:tcW w:w="4111" w:type="dxa"/>
            <w:shd w:val="clear" w:color="auto" w:fill="auto"/>
            <w:vAlign w:val="bottom"/>
            <w:hideMark/>
          </w:tcPr>
          <w:p w:rsidR="00D74294" w:rsidRPr="0085715B" w:rsidRDefault="00D74294" w:rsidP="0085715B">
            <w:pPr>
              <w:pStyle w:val="SingleTxtG"/>
              <w:spacing w:before="40" w:after="40" w:line="220" w:lineRule="exact"/>
              <w:ind w:left="0" w:right="0"/>
              <w:jc w:val="left"/>
              <w:rPr>
                <w:sz w:val="18"/>
              </w:rPr>
            </w:pPr>
            <w:r w:rsidRPr="0085715B">
              <w:rPr>
                <w:sz w:val="18"/>
              </w:rPr>
              <w:t>Ad-</w:t>
            </w:r>
            <w:proofErr w:type="spellStart"/>
            <w:r w:rsidRPr="0085715B">
              <w:rPr>
                <w:sz w:val="18"/>
              </w:rPr>
              <w:t>Dhaa</w:t>
            </w:r>
            <w:r w:rsidR="007C4727">
              <w:rPr>
                <w:sz w:val="18"/>
              </w:rPr>
              <w:t>’</w:t>
            </w:r>
            <w:r w:rsidRPr="0085715B">
              <w:rPr>
                <w:sz w:val="18"/>
              </w:rPr>
              <w:t>in</w:t>
            </w:r>
            <w:proofErr w:type="spellEnd"/>
          </w:p>
        </w:tc>
        <w:tc>
          <w:tcPr>
            <w:tcW w:w="2408" w:type="dxa"/>
            <w:shd w:val="clear" w:color="auto" w:fill="auto"/>
            <w:vAlign w:val="bottom"/>
            <w:hideMark/>
          </w:tcPr>
          <w:p w:rsidR="00D74294" w:rsidRPr="0085715B" w:rsidRDefault="00D74294" w:rsidP="009D6492">
            <w:pPr>
              <w:pStyle w:val="SingleTxtG"/>
              <w:spacing w:before="40" w:after="40" w:line="220" w:lineRule="exact"/>
              <w:ind w:left="113" w:right="28"/>
              <w:jc w:val="right"/>
              <w:rPr>
                <w:sz w:val="18"/>
              </w:rPr>
            </w:pPr>
            <w:r w:rsidRPr="0085715B">
              <w:rPr>
                <w:sz w:val="18"/>
              </w:rPr>
              <w:t>187,2</w:t>
            </w:r>
          </w:p>
        </w:tc>
      </w:tr>
      <w:tr w:rsidR="0085715B" w:rsidRPr="0085715B" w:rsidTr="009D6492">
        <w:trPr>
          <w:trHeight w:val="240"/>
        </w:trPr>
        <w:tc>
          <w:tcPr>
            <w:tcW w:w="851" w:type="dxa"/>
            <w:tcBorders>
              <w:bottom w:val="single" w:sz="4" w:space="0" w:color="auto"/>
            </w:tcBorders>
            <w:shd w:val="clear" w:color="auto" w:fill="auto"/>
            <w:hideMark/>
          </w:tcPr>
          <w:p w:rsidR="00D74294" w:rsidRPr="0085715B" w:rsidRDefault="00D74294" w:rsidP="0085715B">
            <w:pPr>
              <w:pStyle w:val="SingleTxtG"/>
              <w:spacing w:before="40" w:after="40" w:line="220" w:lineRule="exact"/>
              <w:ind w:left="0" w:right="0"/>
              <w:jc w:val="left"/>
              <w:rPr>
                <w:sz w:val="18"/>
              </w:rPr>
            </w:pPr>
            <w:r w:rsidRPr="0085715B">
              <w:rPr>
                <w:sz w:val="18"/>
              </w:rPr>
              <w:t>8</w:t>
            </w:r>
          </w:p>
        </w:tc>
        <w:tc>
          <w:tcPr>
            <w:tcW w:w="4111" w:type="dxa"/>
            <w:tcBorders>
              <w:bottom w:val="single" w:sz="4" w:space="0" w:color="auto"/>
            </w:tcBorders>
            <w:shd w:val="clear" w:color="auto" w:fill="auto"/>
            <w:vAlign w:val="bottom"/>
            <w:hideMark/>
          </w:tcPr>
          <w:p w:rsidR="00D74294" w:rsidRPr="0085715B" w:rsidRDefault="00D74294" w:rsidP="0085715B">
            <w:pPr>
              <w:pStyle w:val="SingleTxtG"/>
              <w:spacing w:before="40" w:after="40" w:line="220" w:lineRule="exact"/>
              <w:ind w:left="0" w:right="0"/>
              <w:jc w:val="left"/>
              <w:rPr>
                <w:sz w:val="18"/>
              </w:rPr>
            </w:pPr>
            <w:proofErr w:type="spellStart"/>
            <w:r w:rsidRPr="0085715B">
              <w:rPr>
                <w:sz w:val="18"/>
              </w:rPr>
              <w:t>Ash-Shahaneya</w:t>
            </w:r>
            <w:proofErr w:type="spellEnd"/>
          </w:p>
        </w:tc>
        <w:tc>
          <w:tcPr>
            <w:tcW w:w="2408" w:type="dxa"/>
            <w:tcBorders>
              <w:bottom w:val="single" w:sz="4" w:space="0" w:color="auto"/>
            </w:tcBorders>
            <w:shd w:val="clear" w:color="auto" w:fill="auto"/>
            <w:vAlign w:val="bottom"/>
            <w:hideMark/>
          </w:tcPr>
          <w:p w:rsidR="00D74294" w:rsidRPr="0085715B" w:rsidRDefault="00D74294" w:rsidP="009D6492">
            <w:pPr>
              <w:pStyle w:val="SingleTxtG"/>
              <w:spacing w:before="40" w:after="40" w:line="220" w:lineRule="exact"/>
              <w:ind w:left="113" w:right="28"/>
              <w:jc w:val="right"/>
              <w:rPr>
                <w:sz w:val="18"/>
              </w:rPr>
            </w:pPr>
            <w:r w:rsidRPr="0085715B">
              <w:rPr>
                <w:sz w:val="18"/>
              </w:rPr>
              <w:t>56,7</w:t>
            </w:r>
          </w:p>
        </w:tc>
      </w:tr>
      <w:tr w:rsidR="00D74294" w:rsidRPr="0085715B" w:rsidTr="009D6492">
        <w:trPr>
          <w:trHeight w:val="240"/>
        </w:trPr>
        <w:tc>
          <w:tcPr>
            <w:tcW w:w="4962" w:type="dxa"/>
            <w:gridSpan w:val="2"/>
            <w:tcBorders>
              <w:top w:val="single" w:sz="4" w:space="0" w:color="auto"/>
              <w:bottom w:val="single" w:sz="12" w:space="0" w:color="auto"/>
            </w:tcBorders>
            <w:shd w:val="clear" w:color="auto" w:fill="auto"/>
            <w:hideMark/>
          </w:tcPr>
          <w:p w:rsidR="00D74294" w:rsidRPr="0085715B" w:rsidRDefault="00D74294" w:rsidP="0085715B">
            <w:pPr>
              <w:pStyle w:val="SingleTxtG"/>
              <w:spacing w:before="80" w:after="80" w:line="220" w:lineRule="exact"/>
              <w:ind w:left="283" w:right="0"/>
              <w:jc w:val="left"/>
              <w:rPr>
                <w:b/>
                <w:bCs/>
                <w:sz w:val="18"/>
              </w:rPr>
            </w:pPr>
            <w:r w:rsidRPr="0085715B">
              <w:rPr>
                <w:b/>
                <w:bCs/>
                <w:sz w:val="18"/>
              </w:rPr>
              <w:t>Total</w:t>
            </w:r>
          </w:p>
        </w:tc>
        <w:tc>
          <w:tcPr>
            <w:tcW w:w="2408" w:type="dxa"/>
            <w:tcBorders>
              <w:top w:val="single" w:sz="4" w:space="0" w:color="auto"/>
              <w:bottom w:val="single" w:sz="12" w:space="0" w:color="auto"/>
            </w:tcBorders>
            <w:shd w:val="clear" w:color="auto" w:fill="auto"/>
            <w:vAlign w:val="bottom"/>
          </w:tcPr>
          <w:p w:rsidR="00D74294" w:rsidRPr="0085715B" w:rsidRDefault="00D74294" w:rsidP="009D6492">
            <w:pPr>
              <w:pStyle w:val="SingleTxtG"/>
              <w:spacing w:before="80" w:after="80" w:line="220" w:lineRule="exact"/>
              <w:ind w:left="0" w:right="28"/>
              <w:jc w:val="right"/>
              <w:rPr>
                <w:b/>
                <w:bCs/>
                <w:sz w:val="18"/>
              </w:rPr>
            </w:pPr>
            <w:r w:rsidRPr="0085715B">
              <w:rPr>
                <w:b/>
                <w:bCs/>
                <w:sz w:val="18"/>
              </w:rPr>
              <w:t>206,8</w:t>
            </w:r>
          </w:p>
        </w:tc>
      </w:tr>
    </w:tbl>
    <w:p w:rsidR="00D74294" w:rsidRPr="0085715B" w:rsidRDefault="00D74294" w:rsidP="0085715B">
      <w:pPr>
        <w:pStyle w:val="SingleTxtG"/>
        <w:spacing w:before="120" w:after="240"/>
        <w:ind w:firstLine="170"/>
        <w:jc w:val="left"/>
        <w:rPr>
          <w:sz w:val="18"/>
        </w:rPr>
      </w:pPr>
      <w:r w:rsidRPr="0085715B">
        <w:rPr>
          <w:i/>
          <w:iCs/>
          <w:sz w:val="18"/>
        </w:rPr>
        <w:t>Fuente:</w:t>
      </w:r>
      <w:r w:rsidR="0085715B" w:rsidRPr="0085715B">
        <w:rPr>
          <w:sz w:val="18"/>
        </w:rPr>
        <w:t xml:space="preserve"> </w:t>
      </w:r>
      <w:r w:rsidRPr="0085715B">
        <w:rPr>
          <w:sz w:val="18"/>
        </w:rPr>
        <w:t xml:space="preserve">Ministerio de Planificación </w:t>
      </w:r>
      <w:r w:rsidR="0085715B" w:rsidRPr="0085715B">
        <w:rPr>
          <w:sz w:val="18"/>
        </w:rPr>
        <w:t xml:space="preserve">del Desarrollo y Estadísticas, </w:t>
      </w:r>
      <w:r w:rsidRPr="0085715B">
        <w:rPr>
          <w:i/>
          <w:iCs/>
          <w:sz w:val="18"/>
        </w:rPr>
        <w:t>Estadísticas demográficas y sociales: Qatar en cifras</w:t>
      </w:r>
      <w:r w:rsidRPr="0085715B">
        <w:rPr>
          <w:sz w:val="18"/>
        </w:rPr>
        <w:t>, 2017.</w:t>
      </w:r>
    </w:p>
    <w:p w:rsidR="00D74294" w:rsidRPr="00D74294" w:rsidRDefault="00D74294" w:rsidP="00D74294">
      <w:pPr>
        <w:pStyle w:val="SingleTxtG"/>
      </w:pPr>
      <w:r w:rsidRPr="00D74294">
        <w:t>10.</w:t>
      </w:r>
      <w:r w:rsidRPr="00D74294">
        <w:tab/>
        <w:t xml:space="preserve">El cuadro 7 muestra que, en 2015, la densidad de población de Doha aumentó notablemente hasta los 4.354,3 habitantes por </w:t>
      </w:r>
      <w:proofErr w:type="spellStart"/>
      <w:r w:rsidRPr="00D74294">
        <w:t>km</w:t>
      </w:r>
      <w:r w:rsidRPr="00D74294">
        <w:rPr>
          <w:vertAlign w:val="superscript"/>
        </w:rPr>
        <w:t>2</w:t>
      </w:r>
      <w:proofErr w:type="spellEnd"/>
      <w:r w:rsidRPr="00D74294">
        <w:t xml:space="preserve"> debido a una serie de factores económicos y de desarrollo que se dan en este municipio del Estado. Por otro lado, encontramos una elevada densidad de población en los municipios de Ar-</w:t>
      </w:r>
      <w:proofErr w:type="spellStart"/>
      <w:r w:rsidRPr="00D74294">
        <w:t>Rayyan</w:t>
      </w:r>
      <w:proofErr w:type="spellEnd"/>
      <w:r w:rsidRPr="00D74294">
        <w:t xml:space="preserve"> (247,2/</w:t>
      </w:r>
      <w:proofErr w:type="spellStart"/>
      <w:r w:rsidRPr="00D74294">
        <w:t>km</w:t>
      </w:r>
      <w:r w:rsidRPr="00D74294">
        <w:rPr>
          <w:vertAlign w:val="superscript"/>
        </w:rPr>
        <w:t>2</w:t>
      </w:r>
      <w:proofErr w:type="spellEnd"/>
      <w:r w:rsidRPr="00D74294">
        <w:t xml:space="preserve">) y </w:t>
      </w:r>
      <w:proofErr w:type="spellStart"/>
      <w:r w:rsidRPr="00D74294">
        <w:t>Umm</w:t>
      </w:r>
      <w:proofErr w:type="spellEnd"/>
      <w:r w:rsidRPr="00D74294">
        <w:t xml:space="preserve"> </w:t>
      </w:r>
      <w:proofErr w:type="spellStart"/>
      <w:r w:rsidRPr="00D74294">
        <w:t>Salal</w:t>
      </w:r>
      <w:proofErr w:type="spellEnd"/>
      <w:r w:rsidRPr="00D74294">
        <w:t xml:space="preserve"> (285,2/</w:t>
      </w:r>
      <w:proofErr w:type="spellStart"/>
      <w:r w:rsidRPr="00D74294">
        <w:t>km</w:t>
      </w:r>
      <w:r w:rsidRPr="00D74294">
        <w:rPr>
          <w:vertAlign w:val="superscript"/>
        </w:rPr>
        <w:t>2</w:t>
      </w:r>
      <w:proofErr w:type="spellEnd"/>
      <w:r w:rsidRPr="00D74294">
        <w:t>) porque se trata de zonas que los qataríes encuentran atractivas para vivir. La densidad de población es bastante parecida en los demás municipios.</w:t>
      </w:r>
    </w:p>
    <w:p w:rsidR="00D74294" w:rsidRPr="00D74294" w:rsidRDefault="0085715B" w:rsidP="0085715B">
      <w:pPr>
        <w:pStyle w:val="H23G"/>
      </w:pPr>
      <w:r w:rsidRPr="0085715B">
        <w:rPr>
          <w:b w:val="0"/>
        </w:rPr>
        <w:tab/>
      </w:r>
      <w:r w:rsidRPr="0085715B">
        <w:rPr>
          <w:b w:val="0"/>
        </w:rPr>
        <w:tab/>
        <w:t>Cuadro 8</w:t>
      </w:r>
      <w:r w:rsidRPr="0085715B">
        <w:rPr>
          <w:b w:val="0"/>
        </w:rPr>
        <w:br/>
      </w:r>
      <w:r w:rsidR="00D74294" w:rsidRPr="00D74294">
        <w:t>Esperanza de vida al nacer en Qatar en 2016</w:t>
      </w:r>
    </w:p>
    <w:tbl>
      <w:tblPr>
        <w:tblStyle w:val="TableElegant11"/>
        <w:tblW w:w="7370" w:type="dxa"/>
        <w:tblInd w:w="1134" w:type="dxa"/>
        <w:tblBorders>
          <w:top w:val="single" w:sz="4" w:space="0" w:color="auto"/>
          <w:left w:val="none" w:sz="0" w:space="0" w:color="auto"/>
          <w:bottom w:val="single" w:sz="12" w:space="0" w:color="auto"/>
          <w:right w:val="none" w:sz="0" w:space="0" w:color="auto"/>
          <w:insideH w:val="single" w:sz="12"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2835"/>
        <w:gridCol w:w="2834"/>
      </w:tblGrid>
      <w:tr w:rsidR="00D74294" w:rsidRPr="0085715B" w:rsidTr="00B062D5">
        <w:trPr>
          <w:cnfStyle w:val="100000000000" w:firstRow="1" w:lastRow="0" w:firstColumn="0" w:lastColumn="0" w:oddVBand="0" w:evenVBand="0" w:oddHBand="0" w:evenHBand="0" w:firstRowFirstColumn="0" w:firstRowLastColumn="0" w:lastRowFirstColumn="0" w:lastRowLastColumn="0"/>
          <w:trHeight w:val="240"/>
          <w:tblHeader/>
        </w:trPr>
        <w:tc>
          <w:tcPr>
            <w:tcW w:w="1701" w:type="dxa"/>
            <w:shd w:val="clear" w:color="auto" w:fill="auto"/>
            <w:vAlign w:val="bottom"/>
          </w:tcPr>
          <w:p w:rsidR="00D74294" w:rsidRPr="0085715B" w:rsidRDefault="00D74294" w:rsidP="00B062D5">
            <w:pPr>
              <w:pStyle w:val="SingleTxtG"/>
              <w:spacing w:before="80" w:after="80" w:line="200" w:lineRule="exact"/>
              <w:ind w:left="0" w:right="28"/>
              <w:jc w:val="right"/>
              <w:rPr>
                <w:i/>
                <w:iCs/>
                <w:caps w:val="0"/>
                <w:sz w:val="16"/>
              </w:rPr>
            </w:pPr>
            <w:r w:rsidRPr="0085715B">
              <w:rPr>
                <w:i/>
                <w:iCs/>
                <w:caps w:val="0"/>
                <w:sz w:val="16"/>
              </w:rPr>
              <w:t>Hombres</w:t>
            </w:r>
          </w:p>
        </w:tc>
        <w:tc>
          <w:tcPr>
            <w:tcW w:w="2835" w:type="dxa"/>
            <w:shd w:val="clear" w:color="auto" w:fill="auto"/>
            <w:vAlign w:val="bottom"/>
          </w:tcPr>
          <w:p w:rsidR="00D74294" w:rsidRPr="0085715B" w:rsidRDefault="00D74294" w:rsidP="00B062D5">
            <w:pPr>
              <w:pStyle w:val="SingleTxtG"/>
              <w:spacing w:before="80" w:after="80" w:line="200" w:lineRule="exact"/>
              <w:ind w:left="113" w:right="28"/>
              <w:jc w:val="right"/>
              <w:rPr>
                <w:i/>
                <w:iCs/>
                <w:caps w:val="0"/>
                <w:sz w:val="16"/>
              </w:rPr>
            </w:pPr>
            <w:r w:rsidRPr="0085715B">
              <w:rPr>
                <w:i/>
                <w:iCs/>
                <w:caps w:val="0"/>
                <w:sz w:val="16"/>
              </w:rPr>
              <w:t>Mujeres</w:t>
            </w:r>
          </w:p>
        </w:tc>
        <w:tc>
          <w:tcPr>
            <w:tcW w:w="2834" w:type="dxa"/>
            <w:shd w:val="clear" w:color="auto" w:fill="auto"/>
            <w:vAlign w:val="bottom"/>
          </w:tcPr>
          <w:p w:rsidR="00D74294" w:rsidRPr="0085715B" w:rsidRDefault="00D74294" w:rsidP="00B062D5">
            <w:pPr>
              <w:pStyle w:val="SingleTxtG"/>
              <w:spacing w:before="80" w:after="80" w:line="200" w:lineRule="exact"/>
              <w:ind w:left="113" w:right="28"/>
              <w:jc w:val="right"/>
              <w:rPr>
                <w:bCs/>
                <w:i/>
                <w:iCs/>
                <w:caps w:val="0"/>
                <w:sz w:val="16"/>
              </w:rPr>
            </w:pPr>
            <w:r w:rsidRPr="0085715B">
              <w:rPr>
                <w:bCs/>
                <w:i/>
                <w:iCs/>
                <w:caps w:val="0"/>
                <w:sz w:val="16"/>
              </w:rPr>
              <w:t>Total</w:t>
            </w:r>
          </w:p>
        </w:tc>
      </w:tr>
      <w:tr w:rsidR="00D74294" w:rsidRPr="0085715B" w:rsidTr="00B062D5">
        <w:trPr>
          <w:trHeight w:val="240"/>
        </w:trPr>
        <w:tc>
          <w:tcPr>
            <w:tcW w:w="1701" w:type="dxa"/>
            <w:shd w:val="clear" w:color="auto" w:fill="auto"/>
          </w:tcPr>
          <w:p w:rsidR="00D74294" w:rsidRPr="0085715B" w:rsidRDefault="00D74294" w:rsidP="00B062D5">
            <w:pPr>
              <w:pStyle w:val="SingleTxtG"/>
              <w:spacing w:before="40" w:after="40" w:line="220" w:lineRule="exact"/>
              <w:ind w:left="0" w:right="28"/>
              <w:jc w:val="right"/>
              <w:rPr>
                <w:sz w:val="18"/>
              </w:rPr>
            </w:pPr>
            <w:r w:rsidRPr="0085715B">
              <w:rPr>
                <w:sz w:val="18"/>
              </w:rPr>
              <w:t>78,9</w:t>
            </w:r>
          </w:p>
        </w:tc>
        <w:tc>
          <w:tcPr>
            <w:tcW w:w="2835" w:type="dxa"/>
            <w:shd w:val="clear" w:color="auto" w:fill="auto"/>
            <w:vAlign w:val="bottom"/>
          </w:tcPr>
          <w:p w:rsidR="00D74294" w:rsidRPr="0085715B" w:rsidRDefault="00D74294" w:rsidP="00B062D5">
            <w:pPr>
              <w:pStyle w:val="SingleTxtG"/>
              <w:spacing w:before="40" w:after="40" w:line="220" w:lineRule="exact"/>
              <w:ind w:left="113" w:right="28"/>
              <w:jc w:val="right"/>
              <w:rPr>
                <w:sz w:val="18"/>
              </w:rPr>
            </w:pPr>
            <w:r w:rsidRPr="0085715B">
              <w:rPr>
                <w:sz w:val="18"/>
              </w:rPr>
              <w:t>82,3</w:t>
            </w:r>
          </w:p>
        </w:tc>
        <w:tc>
          <w:tcPr>
            <w:tcW w:w="2834" w:type="dxa"/>
            <w:shd w:val="clear" w:color="auto" w:fill="auto"/>
            <w:vAlign w:val="bottom"/>
          </w:tcPr>
          <w:p w:rsidR="00D74294" w:rsidRPr="0085715B" w:rsidRDefault="00D74294" w:rsidP="00B062D5">
            <w:pPr>
              <w:pStyle w:val="SingleTxtG"/>
              <w:spacing w:before="40" w:after="40" w:line="220" w:lineRule="exact"/>
              <w:ind w:left="113" w:right="28"/>
              <w:jc w:val="right"/>
              <w:rPr>
                <w:bCs/>
                <w:sz w:val="18"/>
              </w:rPr>
            </w:pPr>
            <w:r w:rsidRPr="0085715B">
              <w:rPr>
                <w:bCs/>
                <w:sz w:val="18"/>
              </w:rPr>
              <w:t>80,5</w:t>
            </w:r>
          </w:p>
        </w:tc>
      </w:tr>
    </w:tbl>
    <w:p w:rsidR="00D74294" w:rsidRPr="0085715B" w:rsidRDefault="00D74294" w:rsidP="0085715B">
      <w:pPr>
        <w:pStyle w:val="SingleTxtG"/>
        <w:spacing w:before="120" w:after="240"/>
        <w:ind w:firstLine="170"/>
        <w:jc w:val="left"/>
        <w:rPr>
          <w:sz w:val="18"/>
        </w:rPr>
      </w:pPr>
      <w:r w:rsidRPr="0085715B">
        <w:rPr>
          <w:i/>
          <w:iCs/>
          <w:sz w:val="18"/>
        </w:rPr>
        <w:t>Fuente:</w:t>
      </w:r>
      <w:r w:rsidRPr="0085715B">
        <w:rPr>
          <w:sz w:val="18"/>
        </w:rPr>
        <w:t xml:space="preserve"> Ministerio de Planificación del Desarrollo y Estadísticas,</w:t>
      </w:r>
      <w:r w:rsidRPr="0085715B">
        <w:rPr>
          <w:i/>
          <w:iCs/>
          <w:sz w:val="18"/>
        </w:rPr>
        <w:t xml:space="preserve"> Estadísticas demográficas y sociales: nacimientos y defunciones en el Estado de Qatar</w:t>
      </w:r>
      <w:r w:rsidRPr="0085715B">
        <w:rPr>
          <w:sz w:val="18"/>
        </w:rPr>
        <w:t>, 2016.</w:t>
      </w:r>
    </w:p>
    <w:p w:rsidR="00D74294" w:rsidRPr="00D74294" w:rsidRDefault="00D74294" w:rsidP="00D74294">
      <w:pPr>
        <w:pStyle w:val="SingleTxtG"/>
      </w:pPr>
      <w:r w:rsidRPr="00D74294">
        <w:t>11.</w:t>
      </w:r>
      <w:r w:rsidRPr="00D74294">
        <w:tab/>
        <w:t>El cuadro 8 muestra la esperanza de vida al nacer de los hombres y de las mujeres qataríes, que en 2016 era de 78,9 y 82,3 años, respectivamente.</w:t>
      </w:r>
    </w:p>
    <w:p w:rsidR="00D74294" w:rsidRPr="00D74294" w:rsidRDefault="0085715B" w:rsidP="00B062D5">
      <w:pPr>
        <w:pStyle w:val="H23G"/>
      </w:pPr>
      <w:r w:rsidRPr="0085715B">
        <w:rPr>
          <w:b w:val="0"/>
        </w:rPr>
        <w:tab/>
      </w:r>
      <w:r w:rsidRPr="0085715B">
        <w:rPr>
          <w:b w:val="0"/>
        </w:rPr>
        <w:tab/>
        <w:t>Cuadro 9</w:t>
      </w:r>
      <w:r w:rsidRPr="0085715B">
        <w:rPr>
          <w:b w:val="0"/>
        </w:rPr>
        <w:br/>
      </w:r>
      <w:r w:rsidR="00D74294" w:rsidRPr="00D74294">
        <w:t>Tasa de mortalidad en menores de 1 año, por sexos, para el período 2007-2016</w:t>
      </w:r>
    </w:p>
    <w:tbl>
      <w:tblPr>
        <w:tblStyle w:val="TableElegant11"/>
        <w:tblW w:w="7370" w:type="dxa"/>
        <w:tblInd w:w="1134" w:type="dxa"/>
        <w:tblBorders>
          <w:top w:val="single" w:sz="4"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93"/>
        <w:gridCol w:w="1134"/>
        <w:gridCol w:w="1843"/>
        <w:gridCol w:w="1700"/>
      </w:tblGrid>
      <w:tr w:rsidR="00972A33" w:rsidRPr="0085715B" w:rsidTr="00B062D5">
        <w:trPr>
          <w:cnfStyle w:val="100000000000" w:firstRow="1" w:lastRow="0" w:firstColumn="0" w:lastColumn="0" w:oddVBand="0" w:evenVBand="0" w:oddHBand="0" w:evenHBand="0" w:firstRowFirstColumn="0" w:firstRowLastColumn="0" w:lastRowFirstColumn="0" w:lastRowLastColumn="0"/>
          <w:trHeight w:val="240"/>
          <w:tblHeader/>
        </w:trPr>
        <w:tc>
          <w:tcPr>
            <w:tcW w:w="1828" w:type="pct"/>
            <w:tcBorders>
              <w:top w:val="single" w:sz="4" w:space="0" w:color="auto"/>
              <w:bottom w:val="nil"/>
            </w:tcBorders>
            <w:shd w:val="clear" w:color="auto" w:fill="auto"/>
          </w:tcPr>
          <w:p w:rsidR="00972A33" w:rsidRPr="009D6492" w:rsidRDefault="00972A33" w:rsidP="00B062D5">
            <w:pPr>
              <w:pStyle w:val="SingleTxtG"/>
              <w:keepNext/>
              <w:keepLines/>
              <w:spacing w:before="80" w:after="80" w:line="200" w:lineRule="exact"/>
              <w:ind w:left="0" w:right="0"/>
              <w:jc w:val="left"/>
              <w:rPr>
                <w:i/>
                <w:iCs/>
                <w:sz w:val="16"/>
              </w:rPr>
            </w:pPr>
          </w:p>
        </w:tc>
        <w:tc>
          <w:tcPr>
            <w:tcW w:w="3172" w:type="pct"/>
            <w:gridSpan w:val="3"/>
            <w:tcBorders>
              <w:top w:val="single" w:sz="4" w:space="0" w:color="auto"/>
              <w:bottom w:val="single" w:sz="4" w:space="0" w:color="auto"/>
            </w:tcBorders>
            <w:shd w:val="clear" w:color="auto" w:fill="auto"/>
          </w:tcPr>
          <w:p w:rsidR="00972A33" w:rsidRPr="0085715B" w:rsidRDefault="00972A33" w:rsidP="00B062D5">
            <w:pPr>
              <w:pStyle w:val="SingleTxtG"/>
              <w:keepNext/>
              <w:keepLines/>
              <w:spacing w:before="80" w:after="80" w:line="220" w:lineRule="exact"/>
              <w:ind w:left="113" w:right="0"/>
              <w:jc w:val="center"/>
              <w:rPr>
                <w:caps w:val="0"/>
                <w:sz w:val="18"/>
              </w:rPr>
            </w:pPr>
            <w:r w:rsidRPr="0085715B">
              <w:rPr>
                <w:i/>
                <w:iCs/>
                <w:caps w:val="0"/>
                <w:sz w:val="16"/>
              </w:rPr>
              <w:t>Total (‰)</w:t>
            </w:r>
          </w:p>
        </w:tc>
      </w:tr>
      <w:tr w:rsidR="00972A33" w:rsidRPr="0085715B" w:rsidTr="00B062D5">
        <w:trPr>
          <w:cnfStyle w:val="100000000000" w:firstRow="1" w:lastRow="0" w:firstColumn="0" w:lastColumn="0" w:oddVBand="0" w:evenVBand="0" w:oddHBand="0" w:evenHBand="0" w:firstRowFirstColumn="0" w:firstRowLastColumn="0" w:lastRowFirstColumn="0" w:lastRowLastColumn="0"/>
          <w:trHeight w:val="240"/>
          <w:tblHeader/>
        </w:trPr>
        <w:tc>
          <w:tcPr>
            <w:tcW w:w="1828" w:type="pct"/>
            <w:tcBorders>
              <w:top w:val="nil"/>
              <w:bottom w:val="single" w:sz="12" w:space="0" w:color="auto"/>
            </w:tcBorders>
            <w:shd w:val="clear" w:color="auto" w:fill="auto"/>
          </w:tcPr>
          <w:p w:rsidR="00972A33" w:rsidRPr="009D6492" w:rsidRDefault="00972A33" w:rsidP="00B062D5">
            <w:pPr>
              <w:pStyle w:val="SingleTxtG"/>
              <w:keepNext/>
              <w:keepLines/>
              <w:spacing w:before="80" w:after="80" w:line="200" w:lineRule="exact"/>
              <w:ind w:left="0" w:right="0"/>
              <w:jc w:val="left"/>
              <w:rPr>
                <w:i/>
                <w:iCs/>
                <w:caps w:val="0"/>
                <w:sz w:val="16"/>
              </w:rPr>
            </w:pPr>
            <w:r w:rsidRPr="009D6492">
              <w:rPr>
                <w:i/>
                <w:iCs/>
                <w:caps w:val="0"/>
                <w:sz w:val="16"/>
              </w:rPr>
              <w:t>Año</w:t>
            </w:r>
          </w:p>
        </w:tc>
        <w:tc>
          <w:tcPr>
            <w:tcW w:w="769" w:type="pct"/>
            <w:tcBorders>
              <w:top w:val="single" w:sz="4" w:space="0" w:color="auto"/>
              <w:bottom w:val="single" w:sz="12" w:space="0" w:color="auto"/>
            </w:tcBorders>
            <w:shd w:val="clear" w:color="auto" w:fill="auto"/>
          </w:tcPr>
          <w:p w:rsidR="00972A33" w:rsidRPr="009D6492" w:rsidRDefault="00972A33" w:rsidP="00B062D5">
            <w:pPr>
              <w:pStyle w:val="SingleTxtG"/>
              <w:keepNext/>
              <w:keepLines/>
              <w:spacing w:before="80" w:after="80" w:line="200" w:lineRule="exact"/>
              <w:ind w:left="0" w:right="28"/>
              <w:jc w:val="right"/>
              <w:rPr>
                <w:i/>
                <w:iCs/>
                <w:caps w:val="0"/>
                <w:sz w:val="16"/>
              </w:rPr>
            </w:pPr>
            <w:r w:rsidRPr="009D6492">
              <w:rPr>
                <w:i/>
                <w:iCs/>
                <w:caps w:val="0"/>
                <w:sz w:val="16"/>
              </w:rPr>
              <w:t>Hombres</w:t>
            </w:r>
          </w:p>
        </w:tc>
        <w:tc>
          <w:tcPr>
            <w:tcW w:w="1250" w:type="pct"/>
            <w:tcBorders>
              <w:top w:val="single" w:sz="4" w:space="0" w:color="auto"/>
              <w:bottom w:val="single" w:sz="12" w:space="0" w:color="auto"/>
            </w:tcBorders>
            <w:shd w:val="clear" w:color="auto" w:fill="auto"/>
          </w:tcPr>
          <w:p w:rsidR="00972A33" w:rsidRPr="009D6492" w:rsidRDefault="00972A33" w:rsidP="00B062D5">
            <w:pPr>
              <w:pStyle w:val="SingleTxtG"/>
              <w:keepNext/>
              <w:keepLines/>
              <w:spacing w:before="80" w:after="80" w:line="200" w:lineRule="exact"/>
              <w:ind w:left="0" w:right="28"/>
              <w:jc w:val="right"/>
              <w:rPr>
                <w:i/>
                <w:iCs/>
                <w:caps w:val="0"/>
                <w:sz w:val="16"/>
              </w:rPr>
            </w:pPr>
            <w:r w:rsidRPr="009D6492">
              <w:rPr>
                <w:i/>
                <w:iCs/>
                <w:caps w:val="0"/>
                <w:sz w:val="16"/>
              </w:rPr>
              <w:t>Mujeres</w:t>
            </w:r>
          </w:p>
        </w:tc>
        <w:tc>
          <w:tcPr>
            <w:tcW w:w="1153" w:type="pct"/>
            <w:tcBorders>
              <w:top w:val="single" w:sz="4" w:space="0" w:color="auto"/>
              <w:bottom w:val="single" w:sz="12" w:space="0" w:color="auto"/>
            </w:tcBorders>
            <w:shd w:val="clear" w:color="auto" w:fill="auto"/>
            <w:vAlign w:val="bottom"/>
          </w:tcPr>
          <w:p w:rsidR="00972A33" w:rsidRPr="0085715B" w:rsidRDefault="00972A33" w:rsidP="00B062D5">
            <w:pPr>
              <w:pStyle w:val="SingleTxtG"/>
              <w:keepNext/>
              <w:keepLines/>
              <w:spacing w:before="40" w:after="40" w:line="220" w:lineRule="exact"/>
              <w:ind w:left="113" w:right="28"/>
              <w:jc w:val="right"/>
              <w:rPr>
                <w:caps w:val="0"/>
                <w:sz w:val="18"/>
              </w:rPr>
            </w:pPr>
            <w:r w:rsidRPr="0085715B">
              <w:rPr>
                <w:i/>
                <w:iCs/>
                <w:caps w:val="0"/>
                <w:sz w:val="16"/>
              </w:rPr>
              <w:t>Total</w:t>
            </w:r>
          </w:p>
        </w:tc>
      </w:tr>
      <w:tr w:rsidR="00D74294" w:rsidRPr="0085715B" w:rsidTr="00B062D5">
        <w:trPr>
          <w:trHeight w:val="240"/>
        </w:trPr>
        <w:tc>
          <w:tcPr>
            <w:tcW w:w="1828" w:type="pct"/>
            <w:tcBorders>
              <w:top w:val="single" w:sz="12" w:space="0" w:color="auto"/>
              <w:bottom w:val="nil"/>
            </w:tcBorders>
            <w:shd w:val="clear" w:color="auto" w:fill="auto"/>
            <w:noWrap/>
          </w:tcPr>
          <w:p w:rsidR="00D74294" w:rsidRPr="00B14A24" w:rsidRDefault="00D74294" w:rsidP="00B062D5">
            <w:pPr>
              <w:pStyle w:val="SingleTxtG"/>
              <w:keepNext/>
              <w:keepLines/>
              <w:spacing w:before="40" w:after="40" w:line="220" w:lineRule="exact"/>
              <w:ind w:left="0" w:right="0"/>
              <w:jc w:val="left"/>
              <w:rPr>
                <w:bCs/>
                <w:sz w:val="18"/>
                <w:szCs w:val="18"/>
                <w:lang w:val="es-ES_tradnl"/>
              </w:rPr>
            </w:pPr>
            <w:r w:rsidRPr="00B14A24">
              <w:rPr>
                <w:sz w:val="18"/>
                <w:szCs w:val="18"/>
                <w:rtl/>
                <w:lang w:val="es-ES_tradnl"/>
              </w:rPr>
              <w:t>2007</w:t>
            </w:r>
          </w:p>
        </w:tc>
        <w:tc>
          <w:tcPr>
            <w:tcW w:w="769" w:type="pct"/>
            <w:tcBorders>
              <w:top w:val="single" w:sz="12" w:space="0" w:color="auto"/>
              <w:bottom w:val="nil"/>
            </w:tcBorders>
            <w:shd w:val="clear" w:color="auto" w:fill="auto"/>
            <w:noWrap/>
          </w:tcPr>
          <w:p w:rsidR="00D74294" w:rsidRPr="0085715B" w:rsidRDefault="00D74294" w:rsidP="00B062D5">
            <w:pPr>
              <w:pStyle w:val="SingleTxtG"/>
              <w:keepNext/>
              <w:keepLines/>
              <w:spacing w:before="40" w:after="40" w:line="220" w:lineRule="exact"/>
              <w:ind w:left="0" w:right="28"/>
              <w:jc w:val="right"/>
              <w:rPr>
                <w:sz w:val="18"/>
              </w:rPr>
            </w:pPr>
            <w:r w:rsidRPr="0085715B">
              <w:rPr>
                <w:sz w:val="18"/>
                <w:lang w:val="en-US"/>
              </w:rPr>
              <w:t>7,1</w:t>
            </w:r>
          </w:p>
        </w:tc>
        <w:tc>
          <w:tcPr>
            <w:tcW w:w="1250" w:type="pct"/>
            <w:tcBorders>
              <w:top w:val="single" w:sz="12" w:space="0" w:color="auto"/>
              <w:bottom w:val="nil"/>
            </w:tcBorders>
            <w:shd w:val="clear" w:color="auto" w:fill="auto"/>
            <w:noWrap/>
          </w:tcPr>
          <w:p w:rsidR="00D74294" w:rsidRPr="0085715B" w:rsidRDefault="00D74294" w:rsidP="00B062D5">
            <w:pPr>
              <w:pStyle w:val="SingleTxtG"/>
              <w:keepNext/>
              <w:keepLines/>
              <w:spacing w:before="40" w:after="40" w:line="220" w:lineRule="exact"/>
              <w:ind w:left="0" w:right="28"/>
              <w:jc w:val="right"/>
              <w:rPr>
                <w:sz w:val="18"/>
              </w:rPr>
            </w:pPr>
            <w:r w:rsidRPr="0085715B">
              <w:rPr>
                <w:sz w:val="18"/>
                <w:lang w:val="en-US"/>
              </w:rPr>
              <w:t>7,9</w:t>
            </w:r>
          </w:p>
        </w:tc>
        <w:tc>
          <w:tcPr>
            <w:tcW w:w="1153" w:type="pct"/>
            <w:tcBorders>
              <w:top w:val="single" w:sz="12" w:space="0" w:color="auto"/>
              <w:bottom w:val="nil"/>
            </w:tcBorders>
            <w:shd w:val="clear" w:color="auto" w:fill="auto"/>
            <w:vAlign w:val="bottom"/>
          </w:tcPr>
          <w:p w:rsidR="00D74294" w:rsidRPr="0085715B" w:rsidRDefault="00D74294" w:rsidP="00B062D5">
            <w:pPr>
              <w:pStyle w:val="SingleTxtG"/>
              <w:keepNext/>
              <w:keepLines/>
              <w:spacing w:before="40" w:after="40" w:line="220" w:lineRule="exact"/>
              <w:ind w:left="113" w:right="28"/>
              <w:jc w:val="right"/>
              <w:rPr>
                <w:sz w:val="18"/>
              </w:rPr>
            </w:pPr>
            <w:r w:rsidRPr="0085715B">
              <w:rPr>
                <w:bCs/>
                <w:sz w:val="18"/>
                <w:lang w:val="en-US"/>
              </w:rPr>
              <w:t>7,5</w:t>
            </w:r>
          </w:p>
        </w:tc>
      </w:tr>
      <w:tr w:rsidR="00D74294" w:rsidRPr="0085715B" w:rsidTr="00B062D5">
        <w:trPr>
          <w:trHeight w:val="240"/>
        </w:trPr>
        <w:tc>
          <w:tcPr>
            <w:tcW w:w="1828" w:type="pct"/>
            <w:tcBorders>
              <w:top w:val="nil"/>
            </w:tcBorders>
            <w:shd w:val="clear" w:color="auto" w:fill="auto"/>
            <w:noWrap/>
          </w:tcPr>
          <w:p w:rsidR="00D74294" w:rsidRPr="00B14A24" w:rsidRDefault="00D74294" w:rsidP="0085715B">
            <w:pPr>
              <w:pStyle w:val="SingleTxtG"/>
              <w:spacing w:before="40" w:after="40" w:line="220" w:lineRule="exact"/>
              <w:ind w:left="0" w:right="0"/>
              <w:jc w:val="left"/>
              <w:rPr>
                <w:bCs/>
                <w:sz w:val="18"/>
                <w:szCs w:val="18"/>
                <w:lang w:val="es-ES_tradnl"/>
              </w:rPr>
            </w:pPr>
            <w:r w:rsidRPr="00B14A24">
              <w:rPr>
                <w:sz w:val="18"/>
                <w:szCs w:val="18"/>
                <w:rtl/>
                <w:lang w:val="es-ES_tradnl"/>
              </w:rPr>
              <w:t>2008</w:t>
            </w:r>
          </w:p>
        </w:tc>
        <w:tc>
          <w:tcPr>
            <w:tcW w:w="769" w:type="pct"/>
            <w:tcBorders>
              <w:top w:val="nil"/>
            </w:tcBorders>
            <w:shd w:val="clear" w:color="auto" w:fill="auto"/>
            <w:noWrap/>
          </w:tcPr>
          <w:p w:rsidR="00D74294" w:rsidRPr="0085715B" w:rsidRDefault="00D74294" w:rsidP="009D6492">
            <w:pPr>
              <w:pStyle w:val="SingleTxtG"/>
              <w:spacing w:before="40" w:after="40" w:line="220" w:lineRule="exact"/>
              <w:ind w:left="0" w:right="28"/>
              <w:jc w:val="right"/>
              <w:rPr>
                <w:sz w:val="18"/>
              </w:rPr>
            </w:pPr>
            <w:r w:rsidRPr="0085715B">
              <w:rPr>
                <w:sz w:val="18"/>
                <w:lang w:val="en-US"/>
              </w:rPr>
              <w:t>8,4</w:t>
            </w:r>
          </w:p>
        </w:tc>
        <w:tc>
          <w:tcPr>
            <w:tcW w:w="1250" w:type="pct"/>
            <w:tcBorders>
              <w:top w:val="nil"/>
            </w:tcBorders>
            <w:shd w:val="clear" w:color="auto" w:fill="auto"/>
            <w:noWrap/>
          </w:tcPr>
          <w:p w:rsidR="00D74294" w:rsidRPr="0085715B" w:rsidRDefault="00D74294" w:rsidP="009D6492">
            <w:pPr>
              <w:pStyle w:val="SingleTxtG"/>
              <w:spacing w:before="40" w:after="40" w:line="220" w:lineRule="exact"/>
              <w:ind w:left="0" w:right="28"/>
              <w:jc w:val="right"/>
              <w:rPr>
                <w:sz w:val="18"/>
              </w:rPr>
            </w:pPr>
            <w:r w:rsidRPr="0085715B">
              <w:rPr>
                <w:sz w:val="18"/>
                <w:lang w:val="en-US"/>
              </w:rPr>
              <w:t>6,9</w:t>
            </w:r>
          </w:p>
        </w:tc>
        <w:tc>
          <w:tcPr>
            <w:tcW w:w="1153" w:type="pct"/>
            <w:tcBorders>
              <w:top w:val="nil"/>
            </w:tcBorders>
            <w:shd w:val="clear" w:color="auto" w:fill="auto"/>
            <w:vAlign w:val="bottom"/>
          </w:tcPr>
          <w:p w:rsidR="00D74294" w:rsidRPr="0085715B" w:rsidRDefault="00D74294" w:rsidP="009D6492">
            <w:pPr>
              <w:pStyle w:val="SingleTxtG"/>
              <w:spacing w:before="40" w:after="40" w:line="220" w:lineRule="exact"/>
              <w:ind w:left="113" w:right="28"/>
              <w:jc w:val="right"/>
              <w:rPr>
                <w:sz w:val="18"/>
              </w:rPr>
            </w:pPr>
            <w:r w:rsidRPr="0085715B">
              <w:rPr>
                <w:bCs/>
                <w:sz w:val="18"/>
                <w:lang w:val="en-US"/>
              </w:rPr>
              <w:t>7,7</w:t>
            </w:r>
          </w:p>
        </w:tc>
      </w:tr>
      <w:tr w:rsidR="00D74294" w:rsidRPr="0085715B" w:rsidTr="00B062D5">
        <w:trPr>
          <w:trHeight w:val="240"/>
        </w:trPr>
        <w:tc>
          <w:tcPr>
            <w:tcW w:w="1828" w:type="pct"/>
            <w:shd w:val="clear" w:color="auto" w:fill="auto"/>
            <w:noWrap/>
          </w:tcPr>
          <w:p w:rsidR="00D74294" w:rsidRPr="00B14A24" w:rsidRDefault="00D74294" w:rsidP="0085715B">
            <w:pPr>
              <w:pStyle w:val="SingleTxtG"/>
              <w:spacing w:before="40" w:after="40" w:line="220" w:lineRule="exact"/>
              <w:ind w:left="0" w:right="0"/>
              <w:jc w:val="left"/>
              <w:rPr>
                <w:bCs/>
                <w:sz w:val="18"/>
                <w:szCs w:val="18"/>
                <w:lang w:val="es-ES_tradnl"/>
              </w:rPr>
            </w:pPr>
            <w:r w:rsidRPr="00B14A24">
              <w:rPr>
                <w:sz w:val="18"/>
                <w:szCs w:val="18"/>
                <w:rtl/>
                <w:lang w:val="es-ES_tradnl"/>
              </w:rPr>
              <w:t>2009</w:t>
            </w:r>
          </w:p>
        </w:tc>
        <w:tc>
          <w:tcPr>
            <w:tcW w:w="769" w:type="pct"/>
            <w:shd w:val="clear" w:color="auto" w:fill="auto"/>
            <w:noWrap/>
          </w:tcPr>
          <w:p w:rsidR="00D74294" w:rsidRPr="0085715B" w:rsidRDefault="00D74294" w:rsidP="009D6492">
            <w:pPr>
              <w:pStyle w:val="SingleTxtG"/>
              <w:spacing w:before="40" w:after="40" w:line="220" w:lineRule="exact"/>
              <w:ind w:left="0" w:right="28"/>
              <w:jc w:val="right"/>
              <w:rPr>
                <w:sz w:val="18"/>
              </w:rPr>
            </w:pPr>
            <w:r w:rsidRPr="0085715B">
              <w:rPr>
                <w:sz w:val="18"/>
                <w:lang w:val="en-US"/>
              </w:rPr>
              <w:t>7,7</w:t>
            </w:r>
          </w:p>
        </w:tc>
        <w:tc>
          <w:tcPr>
            <w:tcW w:w="1250" w:type="pct"/>
            <w:shd w:val="clear" w:color="auto" w:fill="auto"/>
            <w:noWrap/>
          </w:tcPr>
          <w:p w:rsidR="00D74294" w:rsidRPr="0085715B" w:rsidRDefault="00D74294" w:rsidP="009D6492">
            <w:pPr>
              <w:pStyle w:val="SingleTxtG"/>
              <w:spacing w:before="40" w:after="40" w:line="220" w:lineRule="exact"/>
              <w:ind w:left="0" w:right="28"/>
              <w:jc w:val="right"/>
              <w:rPr>
                <w:sz w:val="18"/>
              </w:rPr>
            </w:pPr>
            <w:r w:rsidRPr="0085715B">
              <w:rPr>
                <w:sz w:val="18"/>
                <w:lang w:val="en-US"/>
              </w:rPr>
              <w:t>6,5</w:t>
            </w:r>
          </w:p>
        </w:tc>
        <w:tc>
          <w:tcPr>
            <w:tcW w:w="1153" w:type="pct"/>
            <w:shd w:val="clear" w:color="auto" w:fill="auto"/>
            <w:vAlign w:val="bottom"/>
          </w:tcPr>
          <w:p w:rsidR="00D74294" w:rsidRPr="0085715B" w:rsidRDefault="00D74294" w:rsidP="009D6492">
            <w:pPr>
              <w:pStyle w:val="SingleTxtG"/>
              <w:spacing w:before="40" w:after="40" w:line="220" w:lineRule="exact"/>
              <w:ind w:left="113" w:right="28"/>
              <w:jc w:val="right"/>
              <w:rPr>
                <w:sz w:val="18"/>
              </w:rPr>
            </w:pPr>
            <w:r w:rsidRPr="0085715B">
              <w:rPr>
                <w:bCs/>
                <w:sz w:val="18"/>
                <w:lang w:val="en-US"/>
              </w:rPr>
              <w:t>7,1</w:t>
            </w:r>
          </w:p>
        </w:tc>
      </w:tr>
      <w:tr w:rsidR="00D74294" w:rsidRPr="0085715B" w:rsidTr="00B062D5">
        <w:trPr>
          <w:trHeight w:val="240"/>
        </w:trPr>
        <w:tc>
          <w:tcPr>
            <w:tcW w:w="1828" w:type="pct"/>
            <w:shd w:val="clear" w:color="auto" w:fill="auto"/>
            <w:noWrap/>
          </w:tcPr>
          <w:p w:rsidR="00D74294" w:rsidRPr="00B14A24" w:rsidRDefault="00D74294" w:rsidP="0085715B">
            <w:pPr>
              <w:pStyle w:val="SingleTxtG"/>
              <w:spacing w:before="40" w:after="40" w:line="220" w:lineRule="exact"/>
              <w:ind w:left="0" w:right="0"/>
              <w:jc w:val="left"/>
              <w:rPr>
                <w:bCs/>
                <w:sz w:val="18"/>
                <w:szCs w:val="18"/>
                <w:lang w:val="es-ES_tradnl"/>
              </w:rPr>
            </w:pPr>
            <w:r w:rsidRPr="00B14A24">
              <w:rPr>
                <w:sz w:val="18"/>
                <w:szCs w:val="18"/>
                <w:rtl/>
                <w:lang w:val="es-ES_tradnl"/>
              </w:rPr>
              <w:t>2010</w:t>
            </w:r>
          </w:p>
        </w:tc>
        <w:tc>
          <w:tcPr>
            <w:tcW w:w="769" w:type="pct"/>
            <w:shd w:val="clear" w:color="auto" w:fill="auto"/>
            <w:noWrap/>
          </w:tcPr>
          <w:p w:rsidR="00D74294" w:rsidRPr="0085715B" w:rsidRDefault="00D74294" w:rsidP="009D6492">
            <w:pPr>
              <w:pStyle w:val="SingleTxtG"/>
              <w:spacing w:before="40" w:after="40" w:line="220" w:lineRule="exact"/>
              <w:ind w:left="0" w:right="28"/>
              <w:jc w:val="right"/>
              <w:rPr>
                <w:sz w:val="18"/>
              </w:rPr>
            </w:pPr>
            <w:r w:rsidRPr="0085715B">
              <w:rPr>
                <w:sz w:val="18"/>
                <w:lang w:val="en-US"/>
              </w:rPr>
              <w:t>6,9</w:t>
            </w:r>
          </w:p>
        </w:tc>
        <w:tc>
          <w:tcPr>
            <w:tcW w:w="1250" w:type="pct"/>
            <w:shd w:val="clear" w:color="auto" w:fill="auto"/>
            <w:noWrap/>
          </w:tcPr>
          <w:p w:rsidR="00D74294" w:rsidRPr="0085715B" w:rsidRDefault="00D74294" w:rsidP="009D6492">
            <w:pPr>
              <w:pStyle w:val="SingleTxtG"/>
              <w:spacing w:before="40" w:after="40" w:line="220" w:lineRule="exact"/>
              <w:ind w:left="0" w:right="28"/>
              <w:jc w:val="right"/>
              <w:rPr>
                <w:sz w:val="18"/>
              </w:rPr>
            </w:pPr>
            <w:r w:rsidRPr="0085715B">
              <w:rPr>
                <w:sz w:val="18"/>
                <w:lang w:val="en-US"/>
              </w:rPr>
              <w:t>6,7</w:t>
            </w:r>
          </w:p>
        </w:tc>
        <w:tc>
          <w:tcPr>
            <w:tcW w:w="1153" w:type="pct"/>
            <w:shd w:val="clear" w:color="auto" w:fill="auto"/>
            <w:vAlign w:val="bottom"/>
          </w:tcPr>
          <w:p w:rsidR="00D74294" w:rsidRPr="0085715B" w:rsidRDefault="00D74294" w:rsidP="009D6492">
            <w:pPr>
              <w:pStyle w:val="SingleTxtG"/>
              <w:spacing w:before="40" w:after="40" w:line="220" w:lineRule="exact"/>
              <w:ind w:left="113" w:right="28"/>
              <w:jc w:val="right"/>
              <w:rPr>
                <w:sz w:val="18"/>
              </w:rPr>
            </w:pPr>
            <w:r w:rsidRPr="0085715B">
              <w:rPr>
                <w:bCs/>
                <w:sz w:val="18"/>
                <w:lang w:val="en-US"/>
              </w:rPr>
              <w:t>6,8</w:t>
            </w:r>
          </w:p>
        </w:tc>
      </w:tr>
      <w:tr w:rsidR="00D74294" w:rsidRPr="0085715B" w:rsidTr="00B062D5">
        <w:trPr>
          <w:trHeight w:val="240"/>
        </w:trPr>
        <w:tc>
          <w:tcPr>
            <w:tcW w:w="1828" w:type="pct"/>
            <w:shd w:val="clear" w:color="auto" w:fill="auto"/>
            <w:noWrap/>
          </w:tcPr>
          <w:p w:rsidR="00D74294" w:rsidRPr="00B14A24" w:rsidRDefault="00D74294" w:rsidP="0085715B">
            <w:pPr>
              <w:pStyle w:val="SingleTxtG"/>
              <w:spacing w:before="40" w:after="40" w:line="220" w:lineRule="exact"/>
              <w:ind w:left="0" w:right="0"/>
              <w:jc w:val="left"/>
              <w:rPr>
                <w:bCs/>
                <w:sz w:val="18"/>
                <w:szCs w:val="18"/>
                <w:lang w:val="es-ES_tradnl"/>
              </w:rPr>
            </w:pPr>
            <w:r w:rsidRPr="00B14A24">
              <w:rPr>
                <w:sz w:val="18"/>
                <w:szCs w:val="18"/>
                <w:rtl/>
                <w:lang w:val="es-ES_tradnl"/>
              </w:rPr>
              <w:t>2011</w:t>
            </w:r>
          </w:p>
        </w:tc>
        <w:tc>
          <w:tcPr>
            <w:tcW w:w="769" w:type="pct"/>
            <w:shd w:val="clear" w:color="auto" w:fill="auto"/>
            <w:noWrap/>
          </w:tcPr>
          <w:p w:rsidR="00D74294" w:rsidRPr="0085715B" w:rsidRDefault="00D74294" w:rsidP="009D6492">
            <w:pPr>
              <w:pStyle w:val="SingleTxtG"/>
              <w:spacing w:before="40" w:after="40" w:line="220" w:lineRule="exact"/>
              <w:ind w:left="0" w:right="28"/>
              <w:jc w:val="right"/>
              <w:rPr>
                <w:sz w:val="18"/>
              </w:rPr>
            </w:pPr>
            <w:r w:rsidRPr="0085715B">
              <w:rPr>
                <w:sz w:val="18"/>
                <w:lang w:val="en-US"/>
              </w:rPr>
              <w:t>8,9</w:t>
            </w:r>
          </w:p>
        </w:tc>
        <w:tc>
          <w:tcPr>
            <w:tcW w:w="1250" w:type="pct"/>
            <w:shd w:val="clear" w:color="auto" w:fill="auto"/>
            <w:noWrap/>
          </w:tcPr>
          <w:p w:rsidR="00D74294" w:rsidRPr="0085715B" w:rsidRDefault="00D74294" w:rsidP="009D6492">
            <w:pPr>
              <w:pStyle w:val="SingleTxtG"/>
              <w:spacing w:before="40" w:after="40" w:line="220" w:lineRule="exact"/>
              <w:ind w:left="0" w:right="28"/>
              <w:jc w:val="right"/>
              <w:rPr>
                <w:sz w:val="18"/>
              </w:rPr>
            </w:pPr>
            <w:r w:rsidRPr="0085715B">
              <w:rPr>
                <w:sz w:val="18"/>
                <w:lang w:val="en-US"/>
              </w:rPr>
              <w:t>6,2</w:t>
            </w:r>
          </w:p>
        </w:tc>
        <w:tc>
          <w:tcPr>
            <w:tcW w:w="1153" w:type="pct"/>
            <w:shd w:val="clear" w:color="auto" w:fill="auto"/>
            <w:vAlign w:val="bottom"/>
          </w:tcPr>
          <w:p w:rsidR="00D74294" w:rsidRPr="0085715B" w:rsidRDefault="00D74294" w:rsidP="009D6492">
            <w:pPr>
              <w:pStyle w:val="SingleTxtG"/>
              <w:spacing w:before="40" w:after="40" w:line="220" w:lineRule="exact"/>
              <w:ind w:left="113" w:right="28"/>
              <w:jc w:val="right"/>
              <w:rPr>
                <w:sz w:val="18"/>
              </w:rPr>
            </w:pPr>
            <w:r w:rsidRPr="0085715B">
              <w:rPr>
                <w:bCs/>
                <w:sz w:val="18"/>
                <w:lang w:val="en-US"/>
              </w:rPr>
              <w:t>7,6</w:t>
            </w:r>
          </w:p>
        </w:tc>
      </w:tr>
      <w:tr w:rsidR="00D74294" w:rsidRPr="0085715B" w:rsidTr="00B062D5">
        <w:trPr>
          <w:trHeight w:val="240"/>
        </w:trPr>
        <w:tc>
          <w:tcPr>
            <w:tcW w:w="1828" w:type="pct"/>
            <w:shd w:val="clear" w:color="auto" w:fill="auto"/>
            <w:noWrap/>
          </w:tcPr>
          <w:p w:rsidR="00D74294" w:rsidRPr="00B14A24" w:rsidRDefault="00D74294" w:rsidP="0085715B">
            <w:pPr>
              <w:pStyle w:val="SingleTxtG"/>
              <w:spacing w:before="40" w:after="40" w:line="220" w:lineRule="exact"/>
              <w:ind w:left="0" w:right="0"/>
              <w:jc w:val="left"/>
              <w:rPr>
                <w:bCs/>
                <w:sz w:val="18"/>
                <w:szCs w:val="18"/>
                <w:lang w:val="es-ES_tradnl"/>
              </w:rPr>
            </w:pPr>
            <w:r w:rsidRPr="00B14A24">
              <w:rPr>
                <w:sz w:val="18"/>
                <w:szCs w:val="18"/>
                <w:rtl/>
                <w:lang w:val="es-ES_tradnl"/>
              </w:rPr>
              <w:t>2012</w:t>
            </w:r>
          </w:p>
        </w:tc>
        <w:tc>
          <w:tcPr>
            <w:tcW w:w="769" w:type="pct"/>
            <w:shd w:val="clear" w:color="auto" w:fill="auto"/>
            <w:noWrap/>
          </w:tcPr>
          <w:p w:rsidR="00D74294" w:rsidRPr="0085715B" w:rsidRDefault="00D74294" w:rsidP="009D6492">
            <w:pPr>
              <w:pStyle w:val="SingleTxtG"/>
              <w:spacing w:before="40" w:after="40" w:line="220" w:lineRule="exact"/>
              <w:ind w:left="0" w:right="28"/>
              <w:jc w:val="right"/>
              <w:rPr>
                <w:sz w:val="18"/>
              </w:rPr>
            </w:pPr>
            <w:r w:rsidRPr="0085715B">
              <w:rPr>
                <w:sz w:val="18"/>
                <w:lang w:val="en-US"/>
              </w:rPr>
              <w:t>8,5</w:t>
            </w:r>
          </w:p>
        </w:tc>
        <w:tc>
          <w:tcPr>
            <w:tcW w:w="1250" w:type="pct"/>
            <w:shd w:val="clear" w:color="auto" w:fill="auto"/>
            <w:noWrap/>
          </w:tcPr>
          <w:p w:rsidR="00D74294" w:rsidRPr="0085715B" w:rsidRDefault="00D74294" w:rsidP="009D6492">
            <w:pPr>
              <w:pStyle w:val="SingleTxtG"/>
              <w:spacing w:before="40" w:after="40" w:line="220" w:lineRule="exact"/>
              <w:ind w:left="0" w:right="28"/>
              <w:jc w:val="right"/>
              <w:rPr>
                <w:sz w:val="18"/>
              </w:rPr>
            </w:pPr>
            <w:r w:rsidRPr="0085715B">
              <w:rPr>
                <w:sz w:val="18"/>
                <w:lang w:val="en-US"/>
              </w:rPr>
              <w:t>5,2</w:t>
            </w:r>
          </w:p>
        </w:tc>
        <w:tc>
          <w:tcPr>
            <w:tcW w:w="1153" w:type="pct"/>
            <w:shd w:val="clear" w:color="auto" w:fill="auto"/>
            <w:vAlign w:val="bottom"/>
          </w:tcPr>
          <w:p w:rsidR="00D74294" w:rsidRPr="0085715B" w:rsidRDefault="00D74294" w:rsidP="009D6492">
            <w:pPr>
              <w:pStyle w:val="SingleTxtG"/>
              <w:spacing w:before="40" w:after="40" w:line="220" w:lineRule="exact"/>
              <w:ind w:left="113" w:right="28"/>
              <w:jc w:val="right"/>
              <w:rPr>
                <w:sz w:val="18"/>
              </w:rPr>
            </w:pPr>
            <w:r w:rsidRPr="0085715B">
              <w:rPr>
                <w:bCs/>
                <w:sz w:val="18"/>
                <w:lang w:val="en-US"/>
              </w:rPr>
              <w:t>6,9</w:t>
            </w:r>
          </w:p>
        </w:tc>
      </w:tr>
      <w:tr w:rsidR="00D74294" w:rsidRPr="0085715B" w:rsidTr="00B062D5">
        <w:trPr>
          <w:trHeight w:val="240"/>
        </w:trPr>
        <w:tc>
          <w:tcPr>
            <w:tcW w:w="1828" w:type="pct"/>
            <w:shd w:val="clear" w:color="auto" w:fill="auto"/>
            <w:noWrap/>
          </w:tcPr>
          <w:p w:rsidR="00D74294" w:rsidRPr="00B14A24" w:rsidRDefault="00D74294" w:rsidP="0085715B">
            <w:pPr>
              <w:pStyle w:val="SingleTxtG"/>
              <w:spacing w:before="40" w:after="40" w:line="220" w:lineRule="exact"/>
              <w:ind w:left="0" w:right="0"/>
              <w:jc w:val="left"/>
              <w:rPr>
                <w:bCs/>
                <w:sz w:val="18"/>
                <w:szCs w:val="18"/>
                <w:lang w:val="es-ES_tradnl"/>
              </w:rPr>
            </w:pPr>
            <w:r w:rsidRPr="00B14A24">
              <w:rPr>
                <w:sz w:val="18"/>
                <w:szCs w:val="18"/>
                <w:rtl/>
                <w:lang w:val="es-ES_tradnl"/>
              </w:rPr>
              <w:t>2013</w:t>
            </w:r>
          </w:p>
        </w:tc>
        <w:tc>
          <w:tcPr>
            <w:tcW w:w="769" w:type="pct"/>
            <w:shd w:val="clear" w:color="auto" w:fill="auto"/>
            <w:noWrap/>
          </w:tcPr>
          <w:p w:rsidR="00D74294" w:rsidRPr="0085715B" w:rsidRDefault="00D74294" w:rsidP="009D6492">
            <w:pPr>
              <w:pStyle w:val="SingleTxtG"/>
              <w:spacing w:before="40" w:after="40" w:line="220" w:lineRule="exact"/>
              <w:ind w:left="0" w:right="28"/>
              <w:jc w:val="right"/>
              <w:rPr>
                <w:sz w:val="18"/>
              </w:rPr>
            </w:pPr>
            <w:r w:rsidRPr="0085715B">
              <w:rPr>
                <w:sz w:val="18"/>
                <w:lang w:val="en-US"/>
              </w:rPr>
              <w:t>8,1</w:t>
            </w:r>
          </w:p>
        </w:tc>
        <w:tc>
          <w:tcPr>
            <w:tcW w:w="1250" w:type="pct"/>
            <w:shd w:val="clear" w:color="auto" w:fill="auto"/>
            <w:noWrap/>
          </w:tcPr>
          <w:p w:rsidR="00D74294" w:rsidRPr="0085715B" w:rsidRDefault="00D74294" w:rsidP="009D6492">
            <w:pPr>
              <w:pStyle w:val="SingleTxtG"/>
              <w:spacing w:before="40" w:after="40" w:line="220" w:lineRule="exact"/>
              <w:ind w:left="0" w:right="28"/>
              <w:jc w:val="right"/>
              <w:rPr>
                <w:sz w:val="18"/>
              </w:rPr>
            </w:pPr>
            <w:r w:rsidRPr="0085715B">
              <w:rPr>
                <w:sz w:val="18"/>
                <w:lang w:val="en-US"/>
              </w:rPr>
              <w:t>5,2</w:t>
            </w:r>
          </w:p>
        </w:tc>
        <w:tc>
          <w:tcPr>
            <w:tcW w:w="1153" w:type="pct"/>
            <w:shd w:val="clear" w:color="auto" w:fill="auto"/>
            <w:vAlign w:val="bottom"/>
          </w:tcPr>
          <w:p w:rsidR="00D74294" w:rsidRPr="0085715B" w:rsidRDefault="00D74294" w:rsidP="009D6492">
            <w:pPr>
              <w:pStyle w:val="SingleTxtG"/>
              <w:spacing w:before="40" w:after="40" w:line="220" w:lineRule="exact"/>
              <w:ind w:left="113" w:right="28"/>
              <w:jc w:val="right"/>
              <w:rPr>
                <w:sz w:val="18"/>
              </w:rPr>
            </w:pPr>
            <w:r w:rsidRPr="0085715B">
              <w:rPr>
                <w:bCs/>
                <w:sz w:val="18"/>
                <w:lang w:val="en-US"/>
              </w:rPr>
              <w:t>6,7</w:t>
            </w:r>
          </w:p>
        </w:tc>
      </w:tr>
      <w:tr w:rsidR="00D74294" w:rsidRPr="0085715B" w:rsidTr="00B062D5">
        <w:trPr>
          <w:trHeight w:val="240"/>
        </w:trPr>
        <w:tc>
          <w:tcPr>
            <w:tcW w:w="1828" w:type="pct"/>
            <w:shd w:val="clear" w:color="auto" w:fill="auto"/>
            <w:noWrap/>
          </w:tcPr>
          <w:p w:rsidR="00D74294" w:rsidRPr="00B14A24" w:rsidRDefault="00D74294" w:rsidP="0085715B">
            <w:pPr>
              <w:pStyle w:val="SingleTxtG"/>
              <w:spacing w:before="40" w:after="40" w:line="220" w:lineRule="exact"/>
              <w:ind w:left="0" w:right="0"/>
              <w:jc w:val="left"/>
              <w:rPr>
                <w:bCs/>
                <w:sz w:val="18"/>
                <w:szCs w:val="18"/>
                <w:lang w:val="es-ES_tradnl"/>
              </w:rPr>
            </w:pPr>
            <w:r w:rsidRPr="00B14A24">
              <w:rPr>
                <w:sz w:val="18"/>
                <w:szCs w:val="18"/>
                <w:rtl/>
                <w:lang w:val="es-ES_tradnl"/>
              </w:rPr>
              <w:t>2014</w:t>
            </w:r>
          </w:p>
        </w:tc>
        <w:tc>
          <w:tcPr>
            <w:tcW w:w="769" w:type="pct"/>
            <w:shd w:val="clear" w:color="auto" w:fill="auto"/>
            <w:noWrap/>
          </w:tcPr>
          <w:p w:rsidR="00D74294" w:rsidRPr="0085715B" w:rsidRDefault="00D74294" w:rsidP="009D6492">
            <w:pPr>
              <w:pStyle w:val="SingleTxtG"/>
              <w:spacing w:before="40" w:after="40" w:line="220" w:lineRule="exact"/>
              <w:ind w:left="0" w:right="28"/>
              <w:jc w:val="right"/>
              <w:rPr>
                <w:sz w:val="18"/>
              </w:rPr>
            </w:pPr>
            <w:r w:rsidRPr="0085715B">
              <w:rPr>
                <w:sz w:val="18"/>
                <w:lang w:val="en-US"/>
              </w:rPr>
              <w:t>6,6</w:t>
            </w:r>
          </w:p>
        </w:tc>
        <w:tc>
          <w:tcPr>
            <w:tcW w:w="1250" w:type="pct"/>
            <w:shd w:val="clear" w:color="auto" w:fill="auto"/>
            <w:noWrap/>
          </w:tcPr>
          <w:p w:rsidR="00D74294" w:rsidRPr="0085715B" w:rsidRDefault="00D74294" w:rsidP="009D6492">
            <w:pPr>
              <w:pStyle w:val="SingleTxtG"/>
              <w:spacing w:before="40" w:after="40" w:line="220" w:lineRule="exact"/>
              <w:ind w:left="0" w:right="28"/>
              <w:jc w:val="right"/>
              <w:rPr>
                <w:sz w:val="18"/>
              </w:rPr>
            </w:pPr>
            <w:r w:rsidRPr="0085715B">
              <w:rPr>
                <w:sz w:val="18"/>
                <w:lang w:val="en-US"/>
              </w:rPr>
              <w:t>6,7</w:t>
            </w:r>
          </w:p>
        </w:tc>
        <w:tc>
          <w:tcPr>
            <w:tcW w:w="1153" w:type="pct"/>
            <w:shd w:val="clear" w:color="auto" w:fill="auto"/>
            <w:vAlign w:val="bottom"/>
          </w:tcPr>
          <w:p w:rsidR="00D74294" w:rsidRPr="0085715B" w:rsidRDefault="00D74294" w:rsidP="009D6492">
            <w:pPr>
              <w:pStyle w:val="SingleTxtG"/>
              <w:spacing w:before="40" w:after="40" w:line="220" w:lineRule="exact"/>
              <w:ind w:left="113" w:right="28"/>
              <w:jc w:val="right"/>
              <w:rPr>
                <w:sz w:val="18"/>
              </w:rPr>
            </w:pPr>
            <w:r w:rsidRPr="0085715B">
              <w:rPr>
                <w:bCs/>
                <w:sz w:val="18"/>
                <w:lang w:val="en-US"/>
              </w:rPr>
              <w:t>6,6</w:t>
            </w:r>
          </w:p>
        </w:tc>
      </w:tr>
      <w:tr w:rsidR="00D74294" w:rsidRPr="0085715B" w:rsidTr="00B062D5">
        <w:trPr>
          <w:trHeight w:val="240"/>
        </w:trPr>
        <w:tc>
          <w:tcPr>
            <w:tcW w:w="1828" w:type="pct"/>
            <w:shd w:val="clear" w:color="auto" w:fill="auto"/>
            <w:noWrap/>
          </w:tcPr>
          <w:p w:rsidR="00D74294" w:rsidRPr="00B14A24" w:rsidRDefault="00D74294" w:rsidP="0085715B">
            <w:pPr>
              <w:pStyle w:val="SingleTxtG"/>
              <w:spacing w:before="40" w:after="40" w:line="220" w:lineRule="exact"/>
              <w:ind w:left="0" w:right="0"/>
              <w:jc w:val="left"/>
              <w:rPr>
                <w:bCs/>
                <w:sz w:val="18"/>
                <w:szCs w:val="18"/>
                <w:lang w:val="es-ES_tradnl"/>
              </w:rPr>
            </w:pPr>
            <w:r w:rsidRPr="00B14A24">
              <w:rPr>
                <w:sz w:val="18"/>
                <w:szCs w:val="18"/>
                <w:rtl/>
                <w:lang w:val="es-ES_tradnl"/>
              </w:rPr>
              <w:t>2015</w:t>
            </w:r>
          </w:p>
        </w:tc>
        <w:tc>
          <w:tcPr>
            <w:tcW w:w="769" w:type="pct"/>
            <w:shd w:val="clear" w:color="auto" w:fill="auto"/>
            <w:noWrap/>
          </w:tcPr>
          <w:p w:rsidR="00D74294" w:rsidRPr="0085715B" w:rsidRDefault="00D74294" w:rsidP="009D6492">
            <w:pPr>
              <w:pStyle w:val="SingleTxtG"/>
              <w:spacing w:before="40" w:after="40" w:line="220" w:lineRule="exact"/>
              <w:ind w:left="0" w:right="28"/>
              <w:jc w:val="right"/>
              <w:rPr>
                <w:sz w:val="18"/>
              </w:rPr>
            </w:pPr>
            <w:r w:rsidRPr="0085715B">
              <w:rPr>
                <w:sz w:val="18"/>
                <w:lang w:val="en-US"/>
              </w:rPr>
              <w:t>7,5</w:t>
            </w:r>
          </w:p>
        </w:tc>
        <w:tc>
          <w:tcPr>
            <w:tcW w:w="1250" w:type="pct"/>
            <w:shd w:val="clear" w:color="auto" w:fill="auto"/>
            <w:noWrap/>
          </w:tcPr>
          <w:p w:rsidR="00D74294" w:rsidRPr="0085715B" w:rsidRDefault="00D74294" w:rsidP="009D6492">
            <w:pPr>
              <w:pStyle w:val="SingleTxtG"/>
              <w:spacing w:before="40" w:after="40" w:line="220" w:lineRule="exact"/>
              <w:ind w:left="0" w:right="28"/>
              <w:jc w:val="right"/>
              <w:rPr>
                <w:sz w:val="18"/>
              </w:rPr>
            </w:pPr>
            <w:r w:rsidRPr="0085715B">
              <w:rPr>
                <w:sz w:val="18"/>
                <w:lang w:val="en-US"/>
              </w:rPr>
              <w:t>7,3</w:t>
            </w:r>
          </w:p>
        </w:tc>
        <w:tc>
          <w:tcPr>
            <w:tcW w:w="1153" w:type="pct"/>
            <w:shd w:val="clear" w:color="auto" w:fill="auto"/>
            <w:vAlign w:val="bottom"/>
          </w:tcPr>
          <w:p w:rsidR="00D74294" w:rsidRPr="0085715B" w:rsidRDefault="00D74294" w:rsidP="009D6492">
            <w:pPr>
              <w:pStyle w:val="SingleTxtG"/>
              <w:spacing w:before="40" w:after="40" w:line="220" w:lineRule="exact"/>
              <w:ind w:left="113" w:right="28"/>
              <w:jc w:val="right"/>
              <w:rPr>
                <w:sz w:val="18"/>
              </w:rPr>
            </w:pPr>
            <w:r w:rsidRPr="0085715B">
              <w:rPr>
                <w:bCs/>
                <w:sz w:val="18"/>
                <w:lang w:val="en-US"/>
              </w:rPr>
              <w:t>7,4</w:t>
            </w:r>
          </w:p>
        </w:tc>
      </w:tr>
      <w:tr w:rsidR="00D74294" w:rsidRPr="0085715B" w:rsidTr="00B062D5">
        <w:trPr>
          <w:trHeight w:val="240"/>
        </w:trPr>
        <w:tc>
          <w:tcPr>
            <w:tcW w:w="1828" w:type="pct"/>
            <w:shd w:val="clear" w:color="auto" w:fill="auto"/>
            <w:noWrap/>
          </w:tcPr>
          <w:p w:rsidR="00D74294" w:rsidRPr="00B14A24" w:rsidRDefault="00D74294" w:rsidP="0085715B">
            <w:pPr>
              <w:pStyle w:val="SingleTxtG"/>
              <w:spacing w:before="40" w:after="40" w:line="220" w:lineRule="exact"/>
              <w:ind w:left="0" w:right="0"/>
              <w:jc w:val="left"/>
              <w:rPr>
                <w:bCs/>
                <w:sz w:val="18"/>
                <w:szCs w:val="18"/>
                <w:lang w:val="es-ES_tradnl"/>
              </w:rPr>
            </w:pPr>
            <w:r w:rsidRPr="00B14A24">
              <w:rPr>
                <w:sz w:val="18"/>
                <w:szCs w:val="18"/>
                <w:rtl/>
                <w:lang w:val="es-ES_tradnl"/>
              </w:rPr>
              <w:t>2016</w:t>
            </w:r>
          </w:p>
        </w:tc>
        <w:tc>
          <w:tcPr>
            <w:tcW w:w="769" w:type="pct"/>
            <w:shd w:val="clear" w:color="auto" w:fill="auto"/>
            <w:noWrap/>
          </w:tcPr>
          <w:p w:rsidR="00D74294" w:rsidRPr="0085715B" w:rsidRDefault="00D74294" w:rsidP="009D6492">
            <w:pPr>
              <w:pStyle w:val="SingleTxtG"/>
              <w:spacing w:before="40" w:after="40" w:line="220" w:lineRule="exact"/>
              <w:ind w:left="0" w:right="28"/>
              <w:jc w:val="right"/>
              <w:rPr>
                <w:sz w:val="18"/>
              </w:rPr>
            </w:pPr>
            <w:r w:rsidRPr="0085715B">
              <w:rPr>
                <w:sz w:val="18"/>
                <w:lang w:val="en-US"/>
              </w:rPr>
              <w:t>6,0</w:t>
            </w:r>
          </w:p>
        </w:tc>
        <w:tc>
          <w:tcPr>
            <w:tcW w:w="1250" w:type="pct"/>
            <w:shd w:val="clear" w:color="auto" w:fill="auto"/>
            <w:noWrap/>
          </w:tcPr>
          <w:p w:rsidR="00D74294" w:rsidRPr="0085715B" w:rsidRDefault="00D74294" w:rsidP="009D6492">
            <w:pPr>
              <w:pStyle w:val="SingleTxtG"/>
              <w:spacing w:before="40" w:after="40" w:line="220" w:lineRule="exact"/>
              <w:ind w:left="0" w:right="28"/>
              <w:jc w:val="right"/>
              <w:rPr>
                <w:sz w:val="18"/>
              </w:rPr>
            </w:pPr>
            <w:r w:rsidRPr="0085715B">
              <w:rPr>
                <w:sz w:val="18"/>
                <w:lang w:val="en-US"/>
              </w:rPr>
              <w:t>6,0</w:t>
            </w:r>
          </w:p>
        </w:tc>
        <w:tc>
          <w:tcPr>
            <w:tcW w:w="1153" w:type="pct"/>
            <w:shd w:val="clear" w:color="auto" w:fill="auto"/>
            <w:vAlign w:val="bottom"/>
          </w:tcPr>
          <w:p w:rsidR="00D74294" w:rsidRPr="0085715B" w:rsidRDefault="00D74294" w:rsidP="009D6492">
            <w:pPr>
              <w:pStyle w:val="SingleTxtG"/>
              <w:spacing w:before="40" w:after="40" w:line="220" w:lineRule="exact"/>
              <w:ind w:left="113" w:right="28"/>
              <w:jc w:val="right"/>
              <w:rPr>
                <w:sz w:val="18"/>
              </w:rPr>
            </w:pPr>
            <w:r w:rsidRPr="0085715B">
              <w:rPr>
                <w:bCs/>
                <w:sz w:val="18"/>
                <w:lang w:val="en-US"/>
              </w:rPr>
              <w:t>6,0</w:t>
            </w:r>
          </w:p>
        </w:tc>
      </w:tr>
    </w:tbl>
    <w:p w:rsidR="00D74294" w:rsidRPr="0085715B" w:rsidRDefault="00D74294" w:rsidP="0085715B">
      <w:pPr>
        <w:pStyle w:val="SingleTxtG"/>
        <w:spacing w:before="120" w:after="240"/>
        <w:ind w:firstLine="170"/>
        <w:jc w:val="left"/>
        <w:rPr>
          <w:sz w:val="18"/>
          <w:u w:val="single"/>
        </w:rPr>
      </w:pPr>
      <w:r w:rsidRPr="0085715B">
        <w:rPr>
          <w:i/>
          <w:iCs/>
          <w:sz w:val="18"/>
        </w:rPr>
        <w:t>Fuente:</w:t>
      </w:r>
      <w:r w:rsidR="0085715B" w:rsidRPr="0085715B">
        <w:rPr>
          <w:sz w:val="18"/>
        </w:rPr>
        <w:t xml:space="preserve"> </w:t>
      </w:r>
      <w:r w:rsidRPr="0085715B">
        <w:rPr>
          <w:sz w:val="18"/>
        </w:rPr>
        <w:t xml:space="preserve">Ministerio de Planificación del Desarrollo y Estadísticas, </w:t>
      </w:r>
      <w:r w:rsidRPr="0085715B">
        <w:rPr>
          <w:i/>
          <w:iCs/>
          <w:sz w:val="18"/>
        </w:rPr>
        <w:t>Informe anual de estadísticas vitales: nacimientos y defunciones</w:t>
      </w:r>
      <w:r w:rsidRPr="0085715B">
        <w:rPr>
          <w:sz w:val="18"/>
        </w:rPr>
        <w:t>, 2016.</w:t>
      </w:r>
    </w:p>
    <w:p w:rsidR="00D74294" w:rsidRPr="00D74294" w:rsidRDefault="00D74294" w:rsidP="00D74294">
      <w:pPr>
        <w:pStyle w:val="SingleTxtG"/>
      </w:pPr>
      <w:r w:rsidRPr="00D74294">
        <w:t>12.</w:t>
      </w:r>
      <w:r w:rsidRPr="00D74294">
        <w:tab/>
        <w:t>La tasa de mortalidad en menores de 1 año (lactantes) es un indicador eficaz para establecer los resultados en materia de desarrollo infantil. Esta tasa indica el número de niños fallecidos antes de cumplir el primer año de vida por cada 1.000 niños nacidos vivos. La mortalidad en menores de 1 año no solo refleja el grado de idoneidad de la asistencia y de las condiciones prenatales y postnatales, sino que también constituye un importante parámetro para definir la situación social, económica y ambiental en la que viven los niños. Los datos disponibles ponen de manifiesto que la tasa de mortalidad entre menores de 1 año entre 2007 y 2016 experimentó un descenso, pasando de 7,1</w:t>
      </w:r>
      <w:r w:rsidR="00695B94">
        <w:t xml:space="preserve"> </w:t>
      </w:r>
      <w:r w:rsidRPr="00D74294">
        <w:t>‰ a 6</w:t>
      </w:r>
      <w:r w:rsidR="00695B94">
        <w:t xml:space="preserve"> </w:t>
      </w:r>
      <w:r w:rsidRPr="00D74294">
        <w:t>‰ en 2016, una cifra válida para ambos sexos.</w:t>
      </w:r>
    </w:p>
    <w:p w:rsidR="00D74294" w:rsidRPr="00D74294" w:rsidRDefault="00D74294" w:rsidP="00D74294">
      <w:pPr>
        <w:pStyle w:val="SingleTxtG"/>
      </w:pPr>
      <w:r w:rsidRPr="00D74294">
        <w:t>13.</w:t>
      </w:r>
      <w:r w:rsidRPr="00D74294">
        <w:tab/>
        <w:t>Los qataríes profesan la fe islámica. La inmensa mayoría de la población es suní. Existen otras religiones en nuestro territorio, ya que para satisfacer las necesidades de sus ambiciosos planes de desarrollo el Estado de Qatar acoge cada año un gran volumen de mano de obra de todos los niveles y especialidades. Estos trabajadores extranjeros, que proceden de todas las regiones del mundo, conviven entre sí y aportan al país sus propias religiones, culturas y diferentes modos de vida. La experiencia de Qatar demuestra que la concurrencia de una elevada proporción de ciudadanos no nacionales y de una gran diversidad de nacionalidades, religiones y culturas no supone un obstáculo para la positiva convivencia entre los diferentes colectivos que componen la sociedad. La sociedad qatarí es un modelo de convivencia entre gentes de confesiones y culturas diferentes.</w:t>
      </w:r>
    </w:p>
    <w:p w:rsidR="00D74294" w:rsidRPr="00D74294" w:rsidRDefault="0085715B" w:rsidP="0085715B">
      <w:pPr>
        <w:pStyle w:val="H23G"/>
      </w:pPr>
      <w:bookmarkStart w:id="8" w:name="_Toc282337883"/>
      <w:r>
        <w:tab/>
      </w:r>
      <w:r w:rsidR="00D74294" w:rsidRPr="00D74294">
        <w:tab/>
        <w:t>Reseña histórica</w:t>
      </w:r>
      <w:bookmarkEnd w:id="8"/>
    </w:p>
    <w:p w:rsidR="00D74294" w:rsidRPr="00D74294" w:rsidRDefault="00D74294" w:rsidP="00D74294">
      <w:pPr>
        <w:pStyle w:val="SingleTxtG"/>
      </w:pPr>
      <w:r w:rsidRPr="00D74294">
        <w:t>14.</w:t>
      </w:r>
      <w:r w:rsidRPr="00D74294">
        <w:tab/>
        <w:t xml:space="preserve">La dinastía Al </w:t>
      </w:r>
      <w:proofErr w:type="spellStart"/>
      <w:r w:rsidRPr="00D74294">
        <w:t>Thani</w:t>
      </w:r>
      <w:proofErr w:type="spellEnd"/>
      <w:r w:rsidRPr="00D74294">
        <w:t xml:space="preserve"> ha regido los destinos del Estado de Qatar desde principios del siglo XVIII. El Jeque </w:t>
      </w:r>
      <w:proofErr w:type="spellStart"/>
      <w:r w:rsidRPr="00D74294">
        <w:t>Yasim</w:t>
      </w:r>
      <w:proofErr w:type="spellEnd"/>
      <w:r w:rsidRPr="00D74294">
        <w:t xml:space="preserve"> </w:t>
      </w:r>
      <w:proofErr w:type="spellStart"/>
      <w:r w:rsidRPr="00D74294">
        <w:t>Bin</w:t>
      </w:r>
      <w:proofErr w:type="spellEnd"/>
      <w:r w:rsidRPr="00D74294">
        <w:t xml:space="preserve"> Muhammad Al </w:t>
      </w:r>
      <w:proofErr w:type="spellStart"/>
      <w:r w:rsidRPr="00D74294">
        <w:t>Thani</w:t>
      </w:r>
      <w:proofErr w:type="spellEnd"/>
      <w:r w:rsidRPr="00D74294">
        <w:t xml:space="preserve">, que reinó entre 1878 y 1913, se considera el fundador del moderno Estado de Qatar. El Estado de Qatar conmemora su Fiesta Nacional el 18 de diciembre, día en que el jeque </w:t>
      </w:r>
      <w:proofErr w:type="spellStart"/>
      <w:r w:rsidRPr="00D74294">
        <w:t>Yasim</w:t>
      </w:r>
      <w:proofErr w:type="spellEnd"/>
      <w:r w:rsidRPr="00D74294">
        <w:t xml:space="preserve"> </w:t>
      </w:r>
      <w:proofErr w:type="spellStart"/>
      <w:r w:rsidRPr="00D74294">
        <w:t>Bin</w:t>
      </w:r>
      <w:proofErr w:type="spellEnd"/>
      <w:r w:rsidRPr="00D74294">
        <w:t xml:space="preserve"> Muhammad ascendió al trono. El estallido de la Primera Guerra Mundial y sus secuelas hicieron que el Estado de Qatar firmara en 1916 un acuerdo por el que el territorio de Qatar y sus habitantes pasaron a ser un protectorado de la Gran Bretaña. La influencia británica en el país se limitó a la supervisión de ciertos aspectos administrativos, hasta que el Estado de Qatar logró su independencia en 1971.</w:t>
      </w:r>
    </w:p>
    <w:p w:rsidR="00D74294" w:rsidRPr="00D74294" w:rsidRDefault="00D74294" w:rsidP="00D74294">
      <w:pPr>
        <w:pStyle w:val="SingleTxtG"/>
      </w:pPr>
      <w:r w:rsidRPr="00D74294">
        <w:t>15.</w:t>
      </w:r>
      <w:r w:rsidRPr="00D74294">
        <w:tab/>
        <w:t>Qatar es un Estado reciente. En la esfera de la educación, por ejemplo, el primer centro educativo para niños con un programa reglado de enseñanza moderna se puso en marcha al inicio del curso académico</w:t>
      </w:r>
      <w:r w:rsidR="00695B94">
        <w:t xml:space="preserve"> 1950/</w:t>
      </w:r>
      <w:r w:rsidRPr="00D74294">
        <w:t>51, e incluía cuatro aulas, en las que estudiaban 190 alumnos. Al comenzar el curso académico 1953</w:t>
      </w:r>
      <w:r w:rsidR="00695B94">
        <w:t>/</w:t>
      </w:r>
      <w:r w:rsidRPr="00D74294">
        <w:t>54 se inauguró el primer centro femenino de educación primaria. A principios del curso 1957</w:t>
      </w:r>
      <w:r w:rsidR="00695B94">
        <w:t>/</w:t>
      </w:r>
      <w:r w:rsidRPr="00D74294">
        <w:t xml:space="preserve">58 se creó el Ministerio de Educación (literalmente, </w:t>
      </w:r>
      <w:r w:rsidR="007C4727">
        <w:t>“</w:t>
      </w:r>
      <w:r w:rsidRPr="00D74294">
        <w:t>Ministerio de Conocimientos</w:t>
      </w:r>
      <w:r w:rsidR="007C4727">
        <w:t>”</w:t>
      </w:r>
      <w:r w:rsidRPr="00D74294">
        <w:t xml:space="preserve">), primer Ministerio en la historia del país, que comenzó a sentar las bases para la universalización y el desarrollo de la educación gratuita en todas las etapas de estudio y para la instauración de la enseñanza primaria obligatoria. La educación superior se inició en 1973 con la creación de las Facultades de Educación, masculina y femenina, que contaban con un número total de estudiantes que no superaba los 150. Seguidamente, en 1977, se fundó la Universidad de Qatar (Universidad Estatal Nacional), que actualmente cuenta con siete Facultades, a saber, Humanidades y Ciencias; Ingeniería; Administración y Economía; </w:t>
      </w:r>
      <w:proofErr w:type="spellStart"/>
      <w:r w:rsidRPr="00D74294">
        <w:rPr>
          <w:i/>
          <w:iCs/>
        </w:rPr>
        <w:t>Sharia</w:t>
      </w:r>
      <w:proofErr w:type="spellEnd"/>
      <w:r w:rsidRPr="00D74294">
        <w:t xml:space="preserve"> y Estudios Islámicos; Derecho; Educación, y Farmacia.</w:t>
      </w:r>
    </w:p>
    <w:p w:rsidR="00D74294" w:rsidRPr="00D74294" w:rsidRDefault="00D74294" w:rsidP="00D74294">
      <w:pPr>
        <w:pStyle w:val="SingleTxtG"/>
      </w:pPr>
      <w:r w:rsidRPr="00D74294">
        <w:t>16.</w:t>
      </w:r>
      <w:r w:rsidRPr="00D74294">
        <w:tab/>
        <w:t xml:space="preserve">En la esfera de la salud, el primer hospital se inauguró en 1945. En 1951 se creó el Servicio Médico. Desde entonces, los tratamientos médicos son gratuitos y corren a cargo del Estado. En 1953 se creó el Servicio de Salud Pública, responsable de supervisar todas las cuestiones sanitarias. En 1954 se inauguraron tres dispensarios públicos y se concedió a todos los ciudadanos qataríes y a los funcionarios públicos no qataríes el derecho a recibir, con cargo al Estado, tratamientos médicos en el extranjero, caso de que estos no estén disponibles en el país. Inmediatamente después se construyeron hospitales públicos especializados. El Ministerio de Salud, sin embargo, no se creó hasta 1970. </w:t>
      </w:r>
    </w:p>
    <w:p w:rsidR="00D74294" w:rsidRPr="00D74294" w:rsidRDefault="00D74294" w:rsidP="00D74294">
      <w:pPr>
        <w:pStyle w:val="SingleTxtG"/>
      </w:pPr>
      <w:r w:rsidRPr="00D74294">
        <w:t>17.</w:t>
      </w:r>
      <w:r w:rsidRPr="00D74294">
        <w:tab/>
        <w:t xml:space="preserve">Desde 1995, el país ha conocido un proceso de desarrollo general en todas las esferas. Para completar la construcción del Estado moderno fortaleciendo la función de la </w:t>
      </w:r>
      <w:proofErr w:type="spellStart"/>
      <w:r w:rsidRPr="00D74294">
        <w:rPr>
          <w:i/>
          <w:iCs/>
        </w:rPr>
        <w:t>shura</w:t>
      </w:r>
      <w:proofErr w:type="spellEnd"/>
      <w:r w:rsidRPr="00D74294">
        <w:t xml:space="preserve"> (consulta) y de la democracia, fomentando la participación de los ciudadanos en la gestión de sus propios asuntos y formulando las políticas nacionales, su Alteza promulgó el Decreto del Emir núm. 11/1999 por el que se constituyó la comisión para la elaboración de la Constitución Permanente, que se finalizó en 2002. En abril de 2003, todo el pueblo qatarí, hombres y mujeres, participó en un referéndum </w:t>
      </w:r>
      <w:r w:rsidR="00915741">
        <w:t>general sobre la Constitución. E</w:t>
      </w:r>
      <w:r w:rsidRPr="00D74294">
        <w:t>sta fue aprobada con el apoyo del 96,64 % del total de electores qataríes con derecho a voto.</w:t>
      </w:r>
    </w:p>
    <w:p w:rsidR="00D74294" w:rsidRPr="00D74294" w:rsidRDefault="00D74294" w:rsidP="00D74294">
      <w:pPr>
        <w:pStyle w:val="SingleTxtG"/>
      </w:pPr>
      <w:r w:rsidRPr="00D74294">
        <w:t>18.</w:t>
      </w:r>
      <w:r w:rsidRPr="00D74294">
        <w:tab/>
        <w:t xml:space="preserve">El Estado de Qatar ha trabajado para afianzar el principio de igualdad </w:t>
      </w:r>
      <w:r w:rsidRPr="00D74294">
        <w:rPr>
          <w:i/>
          <w:iCs/>
        </w:rPr>
        <w:t>de facto</w:t>
      </w:r>
      <w:r w:rsidRPr="00D74294">
        <w:t xml:space="preserve"> entre los sexos. Con ello, partiendo de sus preceptos constitucionales, cristaliza una voluntad política consciente por una vía de cambios paulatinos que se inspira en los fines supremos del islam y que toma en consideración las necesidades de apertura y desarrollo del país. La integración de la mujer en el proceso de desarrollo en cuanto que agente y beneficiario de los frutos de dicho proceso se ha convertido en una prioridad nacional. Como consecuencia, la participación de la mujer en la fuerza de trabajo ha crecido hasta superar el 36</w:t>
      </w:r>
      <w:r w:rsidR="00695B94">
        <w:t xml:space="preserve"> </w:t>
      </w:r>
      <w:r w:rsidRPr="00D74294">
        <w:t xml:space="preserve">%, lo que constituye una de las tasas más altas entre los países árabes. La mujer qatarí, por otra parte, ha ascendido a los puestos más altos de los procesos de toma de decisiones. Varias mujeres qataríes fueron nombradas ministras, de las que la primera fue Su Excelencia la </w:t>
      </w:r>
      <w:proofErr w:type="spellStart"/>
      <w:r w:rsidRPr="00D74294">
        <w:t>Sheija</w:t>
      </w:r>
      <w:proofErr w:type="spellEnd"/>
      <w:r w:rsidRPr="00D74294">
        <w:t xml:space="preserve"> </w:t>
      </w:r>
      <w:proofErr w:type="spellStart"/>
      <w:r w:rsidRPr="00D74294">
        <w:t>bint</w:t>
      </w:r>
      <w:proofErr w:type="spellEnd"/>
      <w:r w:rsidRPr="00D74294">
        <w:t xml:space="preserve"> Ahmed al-</w:t>
      </w:r>
      <w:proofErr w:type="spellStart"/>
      <w:r w:rsidRPr="00D74294">
        <w:t>Mahmoud</w:t>
      </w:r>
      <w:proofErr w:type="spellEnd"/>
      <w:r w:rsidRPr="00D74294">
        <w:t xml:space="preserve">, nombrada en 2003 </w:t>
      </w:r>
      <w:r w:rsidR="00695B94" w:rsidRPr="00D74294">
        <w:t xml:space="preserve">Ministra </w:t>
      </w:r>
      <w:r w:rsidRPr="00D74294">
        <w:t xml:space="preserve">de Educación. Con ello, el Estado de Qatar se convirtió en el primer país del Golfo en el que una mujer ocupaba una cartera ministerial. La citada fue </w:t>
      </w:r>
      <w:r w:rsidR="00B02853" w:rsidRPr="00D74294">
        <w:t xml:space="preserve">Ministra </w:t>
      </w:r>
      <w:r w:rsidRPr="00D74294">
        <w:t>hasta 2009. Desde entonces, varias mujeres qataríes ocuparon ministerios como, por ejemplo, el de Salud Pública o el de Comunicaciones y Tecnología de la Información. El Decreto del Emir núm. 22/2017 dispuso el nombramiento de cuatro mujeres qataríes como miembros del Consejo Consultivo (</w:t>
      </w:r>
      <w:proofErr w:type="spellStart"/>
      <w:r w:rsidRPr="00D74294">
        <w:t>Shura</w:t>
      </w:r>
      <w:proofErr w:type="spellEnd"/>
      <w:r w:rsidRPr="00D74294">
        <w:t>), lo cual pone de manifiesto que el Estado cree en la importancia del papel de la mujer en el sistema legislativo y que apoya los derechos de la mujer consagrados en la Constitución.</w:t>
      </w:r>
    </w:p>
    <w:p w:rsidR="00D74294" w:rsidRPr="00D74294" w:rsidRDefault="00D74294" w:rsidP="00D74294">
      <w:pPr>
        <w:pStyle w:val="SingleTxtG"/>
      </w:pPr>
      <w:r w:rsidRPr="00D74294">
        <w:t>19.</w:t>
      </w:r>
      <w:r w:rsidRPr="00D74294">
        <w:tab/>
        <w:t xml:space="preserve">El Decreto del Emir núm. 44/2008 aprobó la estrategia global de desarrollo Visión Nacional de Qatar 2030. El decreto dictaminó su entrada en vigor y publicación en el </w:t>
      </w:r>
      <w:r w:rsidRPr="00915741">
        <w:rPr>
          <w:i/>
        </w:rPr>
        <w:t>Boletín Oficial</w:t>
      </w:r>
      <w:r w:rsidRPr="00D74294">
        <w:t xml:space="preserve">. Esta estrategia pretende convertir a Qatar en un Estado avanzado y capaz de lograr el desarrollo sostenible. El proyecto Visión Nacional de Qatar 2030 se funda en los preceptos constitucionales y en las directrices de la cúpula política y trabaja para crear una sociedad basada en la justicia y la caridad, en la igualdad y la protección de las libertades públicas, en los valores éticos y religiosos y en las tradiciones, así como para lograr la igualdad de oportunidades y garantizar la seguridad y la estabilidad. </w:t>
      </w:r>
    </w:p>
    <w:p w:rsidR="00D74294" w:rsidRPr="00D74294" w:rsidRDefault="00D74294" w:rsidP="00D74294">
      <w:pPr>
        <w:pStyle w:val="SingleTxtG"/>
      </w:pPr>
      <w:r w:rsidRPr="00D74294">
        <w:t>20.</w:t>
      </w:r>
      <w:r w:rsidRPr="00D74294">
        <w:tab/>
        <w:t xml:space="preserve">La Visión se asienta sobre cuatro pilares. El primero de ellos es el desarrollo humano y con él se pretende lograr que la población de Qatar progrese hasta ser capaz de construir una sociedad próspera. El segundo se centra en el desarrollo social y busca hacer realidad una sociedad justa y segura basada en las buenas costumbres y en la protección social; una sociedad capaz de interactuar con las otras sociedades. El tercer pilar es el desarrollo económico y con él se pretende potenciar una economía nacional diversificada, competitiva y capaz de satisfacer las necesidades de los ciudadanos del Estado de Qatar. El cuarto pilar gira en torno al desarrollo medioambiental y busca la armonía y la coherencia entre el desarrollo económico y social, por una parte, y la protección del medio ambiente, por otra. Asimismo, la Visión, que define las tendencias generales del futuro, permite la elaboración de estrategias y planes operativos. </w:t>
      </w:r>
      <w:bookmarkStart w:id="9" w:name="_Toc282337884"/>
    </w:p>
    <w:p w:rsidR="00D74294" w:rsidRPr="00D74294" w:rsidRDefault="00D74294" w:rsidP="00D74294">
      <w:pPr>
        <w:pStyle w:val="SingleTxtG"/>
      </w:pPr>
      <w:r w:rsidRPr="00D74294">
        <w:t>21.</w:t>
      </w:r>
      <w:r w:rsidRPr="00D74294">
        <w:tab/>
        <w:t xml:space="preserve">La Visión nacional y las estrategias asociadas a su implementación constituyen un entorno propicio y firme para la realización de los derechos humanos consagrados en los tratados y las convenciones internacionales, en particular, </w:t>
      </w:r>
      <w:r w:rsidRPr="00D74294">
        <w:rPr>
          <w:b/>
          <w:bCs/>
        </w:rPr>
        <w:t>la Primera Estrategia Nacional de Desarrollo (2011-2016) y la Segunda Estrateg</w:t>
      </w:r>
      <w:r w:rsidR="00B02853">
        <w:rPr>
          <w:b/>
          <w:bCs/>
        </w:rPr>
        <w:t>ia Nacional de Desarrollo (2018</w:t>
      </w:r>
      <w:r w:rsidR="00B02853">
        <w:rPr>
          <w:b/>
          <w:bCs/>
        </w:rPr>
        <w:noBreakHyphen/>
      </w:r>
      <w:r w:rsidRPr="00D74294">
        <w:rPr>
          <w:b/>
          <w:bCs/>
        </w:rPr>
        <w:t>2022)</w:t>
      </w:r>
      <w:r w:rsidRPr="00D74294">
        <w:t>, así como otras políticas y estrategias sectoriales, a saber:</w:t>
      </w:r>
    </w:p>
    <w:p w:rsidR="00D74294" w:rsidRPr="00D74294" w:rsidRDefault="00D74294" w:rsidP="0085715B">
      <w:pPr>
        <w:pStyle w:val="Bullet1G"/>
      </w:pPr>
      <w:r w:rsidRPr="00D74294">
        <w:rPr>
          <w:b/>
          <w:bCs/>
        </w:rPr>
        <w:t>La Estrategia para el Mercado de Trabajo (2018-2022)</w:t>
      </w:r>
      <w:r w:rsidRPr="00D74294">
        <w:t>, que tiene como objetivo lograr un mercado laboral competitivo que permita a todos los habitantes de Qatar participar en el proceso de desarrollo, construir una sociedad próspera y satisfacer las necesidades de la generación actual sin comprometer las necesidades de las generaciones futuras, todo ello mediante la participación efectiva de los trabajadores en el mercado laboral, la obtención de una alta productividad, la atracción y retención de mano de obra cualificada y la implementación de un sistema de información moderno y transparente que proporcione datos sobre la oferta y la demanda de empleo y formación.</w:t>
      </w:r>
    </w:p>
    <w:p w:rsidR="00D74294" w:rsidRPr="00D74294" w:rsidRDefault="00D74294" w:rsidP="0085715B">
      <w:pPr>
        <w:pStyle w:val="Bullet1G"/>
      </w:pPr>
      <w:r w:rsidRPr="00D74294">
        <w:rPr>
          <w:b/>
          <w:bCs/>
        </w:rPr>
        <w:t>La Estrategia Sectorial de Promoción de la Cohesión Familiar y el Empoderamiento de la Mujer (2011-2016)</w:t>
      </w:r>
      <w:r w:rsidRPr="00D74294">
        <w:t>, que pretende reforzar la cohesión familiar, racionalizar el empleo de los trabajadores domésticos y poner coto a sus efectos, reducir los casos de violencia doméstica y proporcionar protección y apoyo a las familias afectadas, apoyar y empoderar a las familias económica y socialmente vulnerables, ayudar a las mujeres a conciliar su vida laboral y familiar y empoderar a la mujer en todos los ámbitos.</w:t>
      </w:r>
    </w:p>
    <w:p w:rsidR="00D74294" w:rsidRPr="00D74294" w:rsidRDefault="00D74294" w:rsidP="0085715B">
      <w:pPr>
        <w:pStyle w:val="Bullet1G"/>
      </w:pPr>
      <w:r w:rsidRPr="00D74294">
        <w:rPr>
          <w:b/>
          <w:bCs/>
        </w:rPr>
        <w:t>La Estrategia Nacional de Salud (2018-2022)</w:t>
      </w:r>
      <w:r w:rsidRPr="00D74294">
        <w:t xml:space="preserve">, que tiene como objetivo introducir cambios en el sistema de atención sanitaria y ofrecer una atención de la salud integral a un precio razonable, a un nivel mundial y accesible a toda la población, teniendo en consideración las necesidades de los distintos grupos que la integran, es decir, de los hombres, las mujeres y los niños. Esta </w:t>
      </w:r>
      <w:r w:rsidR="00B02853" w:rsidRPr="00D74294">
        <w:t xml:space="preserve">Estrategia </w:t>
      </w:r>
      <w:r w:rsidRPr="00D74294">
        <w:t>integra 35 proyectos.</w:t>
      </w:r>
    </w:p>
    <w:p w:rsidR="00D74294" w:rsidRPr="00D74294" w:rsidRDefault="00D74294" w:rsidP="0085715B">
      <w:pPr>
        <w:pStyle w:val="Bullet1G"/>
      </w:pPr>
      <w:r w:rsidRPr="00D74294">
        <w:rPr>
          <w:b/>
          <w:bCs/>
        </w:rPr>
        <w:t>La Estrategia Nacional de Atención Primaria de la Salud (2013-2018)</w:t>
      </w:r>
      <w:r w:rsidRPr="00D74294">
        <w:t xml:space="preserve">, cuya finalidad es afrontar los futuros retos mediante el logro de objetivos en los ocho ámbitos siguientes: la mejora de la salud, la investigación, los servicios de urgencias, las enfermedades crónicas no infecciosas, los cuidados a domicilio, la salud mental, y las madres, los recién nacidos, los niños y los adolescentes. </w:t>
      </w:r>
    </w:p>
    <w:p w:rsidR="00D74294" w:rsidRPr="00D74294" w:rsidRDefault="00D74294" w:rsidP="0085715B">
      <w:pPr>
        <w:pStyle w:val="Bullet1G"/>
      </w:pPr>
      <w:r w:rsidRPr="00D74294">
        <w:rPr>
          <w:b/>
          <w:bCs/>
        </w:rPr>
        <w:t>La Estrategia para la Enseñanza y la Formación (2011-2016)</w:t>
      </w:r>
      <w:r w:rsidRPr="00D74294">
        <w:t xml:space="preserve">, cuyo objetivo es establecer un sistema de enseñanza que se sitúe al nivel de los mejores sistemas de enseñanza mundiales y satisfaga las necesidades de los ciudadanos y de la sociedad de Qatar a través de métodos pedagógicos y programas de estudios que respondan a las necesidades actuales y futuras del mercado de trabajo, que brinde oportunidades de educación y formación de excelencia ajustados a las aspiraciones y las capacidades de todas las personas, y que ofrezca a todos programas de educación permanente a lo largo de toda la vida. La Estrategia pretende asimismo establecer una red nacional de educación académica y no académica que motive a los niños y los jóvenes de Qatar y </w:t>
      </w:r>
      <w:proofErr w:type="gramStart"/>
      <w:r w:rsidRPr="00D74294">
        <w:t>los dote</w:t>
      </w:r>
      <w:proofErr w:type="gramEnd"/>
      <w:r w:rsidRPr="00D74294">
        <w:t xml:space="preserve"> de las capacidades necesarias para participar en la construcción de la sociedad en la que viven y para hacerla progresar. Con tal fin, se prevé afianzar los valores y las tradiciones de la sociedad nacional y preservar su patrimonio, alentar a las nuevas generaciones a crear, innovar y desarrollar sus capacidades, fomentar el espíritu de pertenencia y ciudadanía y promover la participación en toda una serie de actividades culturales y deportivas. La Estrategia propicia también unas instituciones académicas avanzadas e independientes, que se </w:t>
      </w:r>
      <w:proofErr w:type="spellStart"/>
      <w:r w:rsidRPr="00D74294">
        <w:t>autogestionen</w:t>
      </w:r>
      <w:proofErr w:type="spellEnd"/>
      <w:r w:rsidRPr="00D74294">
        <w:t xml:space="preserve"> eficientemente conforme a unas instrucciones centralizadas y estén sujetas a un sistema de rendición de cuentas, y un sistema eficaz de financiación de la investigación científica, basado en el principio de la asociación entre el sector público y el sector privado, en colaboración con los organismos internacionales competentes y los centros mundiales de investigación más punteros, y un papel activo a nivel internacional en el ámbito de las actividades culturales e intelectuales y de la investigación científica.</w:t>
      </w:r>
    </w:p>
    <w:p w:rsidR="00D74294" w:rsidRPr="00D74294" w:rsidRDefault="00D74294" w:rsidP="0085715B">
      <w:pPr>
        <w:pStyle w:val="Bullet1G"/>
      </w:pPr>
      <w:r w:rsidRPr="00D74294">
        <w:rPr>
          <w:b/>
          <w:bCs/>
        </w:rPr>
        <w:t>La Estrategia para la Protección Social (2011-2016)</w:t>
      </w:r>
      <w:r w:rsidRPr="00D74294">
        <w:t>, que pretende renovar el compromiso con los valores y principios árabes e islámicos para proteger a la familia qatarí y convertirla en el eje central del desarrollo social.</w:t>
      </w:r>
    </w:p>
    <w:p w:rsidR="00D74294" w:rsidRPr="00D74294" w:rsidRDefault="00D74294" w:rsidP="0085715B">
      <w:pPr>
        <w:pStyle w:val="Bullet1G"/>
      </w:pPr>
      <w:r w:rsidRPr="00D74294">
        <w:rPr>
          <w:b/>
          <w:bCs/>
        </w:rPr>
        <w:t xml:space="preserve">Estrategia Nacional de Seguridad Vial (2013-2022) </w:t>
      </w:r>
      <w:r w:rsidRPr="00D74294">
        <w:t xml:space="preserve">tiene como objetivo reducir el número de víctimas de los accidentes de tráfico y las cifras anuales de muertos y heridos graves a consecuencia de esos accidentes, como primer paso para la aplicación de la Visión de Qatar a largo plazo en lo relativo a la seguridad vial. La Estrategia se centra en el establecimiento de un marco de trabajo general y compartido entre las autoridades competentes que permita fijar los compromisos necesarios en la materia, así como en la elaboración de un documento de referencia para aplicar las iniciativas en la materia prioritarias y más efectivas. Esta </w:t>
      </w:r>
      <w:r w:rsidR="00A737E5" w:rsidRPr="00D74294">
        <w:t xml:space="preserve">Estrategia </w:t>
      </w:r>
      <w:r w:rsidRPr="00D74294">
        <w:t>complementa a otras ya en marcha en el Estado, como la Estrategia de Planificación Global, la Estrategia de Transporte Sostenible y la Estrategia de Gestión de la Demanda de Transporte. La Estrategia incluye un Plan de Acción Nacional de Seguridad Vial en Qatar para 2013-2017, implementado por 13 entidades diferentes en el Estado, con el objetivo de mejorar la seguridad vial para situarse entre los mejores del mundo en este ámbito y hacer de sus carreteras las más seguras a nivel mundial. Ello se logrará a través de un ambicioso programa de actividades y proyectos que se implementarán en los próximos cinco años.</w:t>
      </w:r>
    </w:p>
    <w:p w:rsidR="00D74294" w:rsidRPr="00D74294" w:rsidRDefault="00D74294" w:rsidP="0085715B">
      <w:pPr>
        <w:pStyle w:val="Bullet1G"/>
      </w:pPr>
      <w:r w:rsidRPr="00D74294">
        <w:rPr>
          <w:b/>
          <w:bCs/>
        </w:rPr>
        <w:t>La Estrategia Nacional para el Autismo (2017-2021)</w:t>
      </w:r>
      <w:r w:rsidRPr="00D74294">
        <w:t xml:space="preserve"> busca elaborar un enfoque amplio e integrado para la atención a las personas autistas de todas las edades.</w:t>
      </w:r>
    </w:p>
    <w:p w:rsidR="00D74294" w:rsidRPr="00D74294" w:rsidRDefault="00D74294" w:rsidP="0085715B">
      <w:pPr>
        <w:pStyle w:val="Bullet1G"/>
      </w:pPr>
      <w:r w:rsidRPr="00D74294">
        <w:rPr>
          <w:b/>
          <w:bCs/>
        </w:rPr>
        <w:t>La Estrategia Nacional de Población (2017-2022)</w:t>
      </w:r>
      <w:r w:rsidRPr="00D74294">
        <w:t xml:space="preserve"> tiene como objetivo controlar la elevada tasa de crecimiento de la población y reducir el impacto de los cambios en su composición; incluye una política de población que se centra en las cuestiones relacionadas con las mujeres y los niños, cuyo objetivo primordial es apoyar la participación social de las mujeres y crear las condiciones necesarias para aumentar su participación en la fuerza de trabajo, así como preservar la cohesión familiar y garantizar un entorno seguro para los niños.</w:t>
      </w:r>
    </w:p>
    <w:p w:rsidR="00D74294" w:rsidRPr="00D74294" w:rsidRDefault="0085715B" w:rsidP="0085715B">
      <w:pPr>
        <w:pStyle w:val="H23G"/>
      </w:pPr>
      <w:r>
        <w:tab/>
      </w:r>
      <w:r w:rsidR="00D74294" w:rsidRPr="00D74294">
        <w:tab/>
        <w:t xml:space="preserve">Indicadores sociales y económicos </w:t>
      </w:r>
      <w:bookmarkEnd w:id="9"/>
    </w:p>
    <w:p w:rsidR="00D74294" w:rsidRPr="00D74294" w:rsidRDefault="00D74294" w:rsidP="00D74294">
      <w:pPr>
        <w:pStyle w:val="SingleTxtG"/>
      </w:pPr>
      <w:r w:rsidRPr="00D74294">
        <w:t>22.</w:t>
      </w:r>
      <w:r w:rsidRPr="00D74294">
        <w:tab/>
        <w:t xml:space="preserve">El Estado de Qatar procura proporcionar estadísticas recientes y fiables. Para ello creó el Ministerio de Planificación del Desarrollo y Estadísticas, que resultó de la fusión de la Secretaría General para la Planificación del Desarrollo y el Instituto de Estadísticas, y que forma parte del nuevo Gobierno formado en virtud del Decreto del Emir núm. 4/2013. El Ministerio de Planificación del Desarrollo y Estadísticas se encarga de elaborar y desarrollar la visión general del Estado, preparar estrategias nacionales de desarrollo y hacer un seguimiento de su implementación en cooperación con las autoridades pertinentes. También se encarga de elaborar estudios sobre estas estrategias y otras políticas en materia de población, apoyar la planificación en los organismos públicos, vincular las prioridades de desarrollo al presupuesto general del Estado, así como hacer un seguimiento del progreso de la implementación de dichos planes. Por otro lado, establece un sistema estadístico integrado y se encarga de la realización, organización y supervisión de los procesos estadísticos oficiales, de la implementación de los distintos censos y encuestas y de la difusión de datos y materiales estadísticos. </w:t>
      </w:r>
    </w:p>
    <w:p w:rsidR="00D74294" w:rsidRPr="00D74294" w:rsidRDefault="00D74294" w:rsidP="00D74294">
      <w:pPr>
        <w:pStyle w:val="SingleTxtG"/>
      </w:pPr>
      <w:r w:rsidRPr="00D74294">
        <w:t>23.</w:t>
      </w:r>
      <w:r w:rsidRPr="00D74294">
        <w:tab/>
        <w:t xml:space="preserve">El Estado de Qatar vive una etapa de avance extraordinario hacia el desarrollo global e integral. Las estimaciones sobre el producto interno bruto (PIB) real registraron un crecimiento del 2,2 % en 2016, lo que sitúa el PIB en 796.000 millones de riales qataríes, frente a los 779.000 millones en 2015. Qatar se encuentra entre los países con un nivel alto de desarrollo humano y ocupa el puesto 33º en la clasificación mundial según el índice de desarrollo humano del </w:t>
      </w:r>
      <w:r w:rsidRPr="00D74294">
        <w:rPr>
          <w:i/>
          <w:iCs/>
        </w:rPr>
        <w:t>Informe sobre desarrollo humano 2016</w:t>
      </w:r>
      <w:r w:rsidRPr="00D74294">
        <w:t>, publicado por el Programa de las Naciones Unidas para el Desarrollo (</w:t>
      </w:r>
      <w:proofErr w:type="spellStart"/>
      <w:r w:rsidRPr="00D74294">
        <w:t>PNUD</w:t>
      </w:r>
      <w:proofErr w:type="spellEnd"/>
      <w:r w:rsidRPr="00D74294">
        <w:t>). El puesto que ocupa da cuenta de los progresos notables y constantes realizados por Qatar en la esfera del desarrollo humano. El informe indica que Qatar mejoró su índice de desarrollo humano, pasando del 0,855, según el informe de 2015, al 0,856, según el de 2016. Esto pone de manifiesto los progresos registrados en cuanto al PIB y en materia de educación y salud. En materia educativa, el informe señala un aumento de la tasa de alfabetismo de adultos para ambos sexos, la cual pasó del 96,7 % en el informe de 2015 al 97,8 % en el de 2016. También se produjo un aumento de los índices de matriculación en la educación superior entre las personas en edad universitaria, del 16 %, según el informe de 2016, al 14 % en 2015. En lo que se refiere a la renta per cápita respecto de la renta nacional bruta (</w:t>
      </w:r>
      <w:proofErr w:type="spellStart"/>
      <w:r w:rsidRPr="00D74294">
        <w:t>RNB</w:t>
      </w:r>
      <w:proofErr w:type="spellEnd"/>
      <w:r w:rsidRPr="00D74294">
        <w:t>), el informe indica que el Estado de Qatar registró un aumento de 66,18 dólares de los Estad</w:t>
      </w:r>
      <w:r w:rsidR="00A737E5">
        <w:t>os Unidos en 2015 y de 57,82 en </w:t>
      </w:r>
      <w:r w:rsidRPr="00D74294">
        <w:t xml:space="preserve">2016. Igualmente, la tasa de participación en la fuerza </w:t>
      </w:r>
      <w:r w:rsidR="00A737E5">
        <w:t>de trabajo de los mayores de 15 </w:t>
      </w:r>
      <w:r w:rsidRPr="00D74294">
        <w:t>años alcanzó el 84,6 % (más que Noruega, que ocupó el primer lugar en el índice de desarrollo humano de 2016). La tasa de desempleo juvenil (grupo de edad de 15 a 24 años) disminuyó del 1,1 % en 2015 al 0,8 % en 2016. El informe determinó que el porcentaje de usuarios de Internet había aumentado, del 91,5</w:t>
      </w:r>
      <w:r w:rsidR="00A737E5">
        <w:t xml:space="preserve"> </w:t>
      </w:r>
      <w:r w:rsidRPr="00D74294">
        <w:t xml:space="preserve">% en 2015 </w:t>
      </w:r>
      <w:r w:rsidR="00A737E5">
        <w:t>al 92,9 % en 2016. Aunque entre </w:t>
      </w:r>
      <w:r w:rsidRPr="00D74294">
        <w:t>2010 y 2015 descendió a 2,1 hijos nacidos vivos por mujer, la tasa global de fecundidad de las mujeres en edad reproductiva del país continúa siendo alta en comparación con la de Noruega (1,8), Hong Kong (1,2) y Singapur (1,2).</w:t>
      </w:r>
    </w:p>
    <w:p w:rsidR="00D74294" w:rsidRPr="00D74294" w:rsidRDefault="00D74294" w:rsidP="00D74294">
      <w:pPr>
        <w:pStyle w:val="SingleTxtG"/>
      </w:pPr>
      <w:r w:rsidRPr="00D74294">
        <w:t>24.</w:t>
      </w:r>
      <w:r w:rsidRPr="00D74294">
        <w:tab/>
        <w:t>Qatar se ha comprometido con la evaluación de sus progresos en la aplicación de los Objetivos de Desarrollo del Milenio. Ha publicado cinco informes de seguimiento, el último en enero de 2017. Este quinto informe revela que el Estado de Qatar ha cumplido con la mayoría de los Objetivos de Desarrollo del Milenio y ha realizado progresos tangibles en aquellos que todavía no se han alcanzado. Las principales conclusiones de este informe son las siguientes:</w:t>
      </w:r>
    </w:p>
    <w:p w:rsidR="00D74294" w:rsidRPr="00D74294" w:rsidRDefault="00D74294" w:rsidP="0085715B">
      <w:pPr>
        <w:pStyle w:val="Bullet1G"/>
      </w:pPr>
      <w:bookmarkStart w:id="10" w:name="_Toc281916558"/>
      <w:bookmarkStart w:id="11" w:name="_Toc281916773"/>
      <w:bookmarkStart w:id="12" w:name="_Toc281916929"/>
      <w:bookmarkStart w:id="13" w:name="_Toc282337885"/>
      <w:r w:rsidRPr="00D74294">
        <w:t>No hay casos de pobreza. El Estado ha estado en condiciones de brindar buenas condiciones de vida para todos los ciudadanos y residentes en su territorio.</w:t>
      </w:r>
    </w:p>
    <w:p w:rsidR="00D74294" w:rsidRPr="00D74294" w:rsidRDefault="00D74294" w:rsidP="0085715B">
      <w:pPr>
        <w:pStyle w:val="Bullet1G"/>
      </w:pPr>
      <w:r w:rsidRPr="00D74294">
        <w:t>Qatar está cerca de lograr el Objetivo relativo a la consecución de la enseñanza primaria universal para todos los niños y las niñas antes de 2015 (la tasa de asistencia escolar en la educación primaria para uno y otro sexo supera el 91 %).</w:t>
      </w:r>
    </w:p>
    <w:p w:rsidR="00D74294" w:rsidRPr="00D74294" w:rsidRDefault="00D74294" w:rsidP="0085715B">
      <w:pPr>
        <w:pStyle w:val="Bullet1G"/>
      </w:pPr>
      <w:r w:rsidRPr="00D74294">
        <w:t xml:space="preserve">Qatar ha registrado importantes avances de cara a la consecución de la igualdad de género, con una tasa de paridad de género en la enseñanza superior de 1,94. </w:t>
      </w:r>
    </w:p>
    <w:p w:rsidR="00D74294" w:rsidRPr="00D74294" w:rsidRDefault="00D74294" w:rsidP="0085715B">
      <w:pPr>
        <w:pStyle w:val="Bullet1G"/>
      </w:pPr>
      <w:r w:rsidRPr="00D74294">
        <w:t xml:space="preserve">El Estado ha logrado el cuarto Objetivo de reducir la mortalidad en la niñez, reduciendo en dos terceras partes la mortalidad de los niños menores de 5 años. </w:t>
      </w:r>
    </w:p>
    <w:p w:rsidR="00D74294" w:rsidRPr="00D74294" w:rsidRDefault="00D74294" w:rsidP="0085715B">
      <w:pPr>
        <w:pStyle w:val="Bullet1G"/>
      </w:pPr>
      <w:r w:rsidRPr="00D74294">
        <w:t xml:space="preserve">Qatar también ha sobrepasado la meta de reducir la mortalidad materna en tres cuartas partes. </w:t>
      </w:r>
    </w:p>
    <w:p w:rsidR="00D74294" w:rsidRPr="00D74294" w:rsidRDefault="00D74294" w:rsidP="0085715B">
      <w:pPr>
        <w:pStyle w:val="Bullet1G"/>
      </w:pPr>
      <w:r w:rsidRPr="00D74294">
        <w:t>El Estado ha logrado eliminar la malaria y otras enfermedades, cumpliendo así la meta incluida en los Objetivos de Desarrollo del Milenio.</w:t>
      </w:r>
    </w:p>
    <w:p w:rsidR="00D74294" w:rsidRPr="00D74294" w:rsidRDefault="00D74294" w:rsidP="0085715B">
      <w:pPr>
        <w:pStyle w:val="Bullet1G"/>
      </w:pPr>
      <w:r w:rsidRPr="00D74294">
        <w:t>El Estado de Qatar ha logrado la mayoría de las metas en relación con la garantía de la sostenibilidad ambiental.</w:t>
      </w:r>
    </w:p>
    <w:p w:rsidR="00D74294" w:rsidRPr="00D74294" w:rsidRDefault="0085715B" w:rsidP="0085715B">
      <w:pPr>
        <w:pStyle w:val="H23G"/>
      </w:pPr>
      <w:r>
        <w:tab/>
      </w:r>
      <w:r w:rsidR="00D74294" w:rsidRPr="00D74294">
        <w:tab/>
        <w:t>Tasas brutas y netas de matriculación</w:t>
      </w:r>
    </w:p>
    <w:p w:rsidR="00D74294" w:rsidRPr="00D74294" w:rsidRDefault="00D74294" w:rsidP="00D74294">
      <w:pPr>
        <w:pStyle w:val="SingleTxtG"/>
      </w:pPr>
      <w:r w:rsidRPr="00D74294">
        <w:t>25.</w:t>
      </w:r>
      <w:r w:rsidRPr="00D74294">
        <w:tab/>
        <w:t>En 2016-2017, la tasa bruta de matriculación en la etapa primaria fue del 106,2 para los hombres y del 106,0 para las mujeres, con una tasa de paridad del 100</w:t>
      </w:r>
      <w:r w:rsidR="0085715B">
        <w:t xml:space="preserve"> </w:t>
      </w:r>
      <w:r w:rsidRPr="00D74294">
        <w:t>%. En el mismo curso académico, la tasa neta de matriculación fue del 96,3 para los hombres y del 96,5 para las mujeres, con una tasa de paridad del 100,2</w:t>
      </w:r>
      <w:r w:rsidR="0085715B">
        <w:t xml:space="preserve"> </w:t>
      </w:r>
      <w:r w:rsidRPr="00D74294">
        <w:t>%.</w:t>
      </w:r>
    </w:p>
    <w:p w:rsidR="00D74294" w:rsidRDefault="0085715B" w:rsidP="0085715B">
      <w:pPr>
        <w:pStyle w:val="H23G"/>
      </w:pPr>
      <w:r w:rsidRPr="0085715B">
        <w:rPr>
          <w:b w:val="0"/>
        </w:rPr>
        <w:tab/>
      </w:r>
      <w:r w:rsidRPr="0085715B">
        <w:rPr>
          <w:b w:val="0"/>
        </w:rPr>
        <w:tab/>
        <w:t>Cuadro 10</w:t>
      </w:r>
      <w:r w:rsidRPr="0085715B">
        <w:rPr>
          <w:b w:val="0"/>
        </w:rPr>
        <w:br/>
      </w:r>
      <w:r w:rsidR="00D74294" w:rsidRPr="00D74294">
        <w:t>Tasas bruta y neta de matriculación en la etapa prima</w:t>
      </w:r>
      <w:r w:rsidR="00972A33">
        <w:t>ria, por nacionalidad, para los </w:t>
      </w:r>
      <w:r w:rsidR="00D74294" w:rsidRPr="00D74294">
        <w:t>cursos 2010/11 a 2016/17</w:t>
      </w:r>
    </w:p>
    <w:tbl>
      <w:tblPr>
        <w:tblStyle w:val="TableElegant11"/>
        <w:tblW w:w="7370" w:type="dxa"/>
        <w:tblInd w:w="113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gridCol w:w="1275"/>
        <w:gridCol w:w="1418"/>
        <w:gridCol w:w="1101"/>
        <w:gridCol w:w="1449"/>
      </w:tblGrid>
      <w:tr w:rsidR="00B70FD1" w:rsidRPr="00B70FD1" w:rsidTr="00A737E5">
        <w:trPr>
          <w:cnfStyle w:val="100000000000" w:firstRow="1" w:lastRow="0" w:firstColumn="0" w:lastColumn="0" w:oddVBand="0" w:evenVBand="0" w:oddHBand="0" w:evenHBand="0" w:firstRowFirstColumn="0" w:firstRowLastColumn="0" w:lastRowFirstColumn="0" w:lastRowLastColumn="0"/>
          <w:trHeight w:val="240"/>
          <w:tblHeader/>
        </w:trPr>
        <w:tc>
          <w:tcPr>
            <w:tcW w:w="2127" w:type="dxa"/>
            <w:tcBorders>
              <w:top w:val="single" w:sz="4" w:space="0" w:color="auto"/>
              <w:bottom w:val="nil"/>
            </w:tcBorders>
            <w:shd w:val="clear" w:color="auto" w:fill="auto"/>
          </w:tcPr>
          <w:p w:rsidR="00B70FD1" w:rsidRPr="00B70FD1" w:rsidRDefault="00B70FD1" w:rsidP="00B70FD1">
            <w:pPr>
              <w:pStyle w:val="SingleTxtG"/>
              <w:spacing w:before="80" w:after="80" w:line="200" w:lineRule="exact"/>
              <w:ind w:left="0" w:right="0"/>
              <w:jc w:val="left"/>
              <w:rPr>
                <w:i/>
                <w:iCs/>
                <w:sz w:val="18"/>
                <w:lang w:val="es-ES_tradnl"/>
              </w:rPr>
            </w:pPr>
          </w:p>
        </w:tc>
        <w:tc>
          <w:tcPr>
            <w:tcW w:w="2693" w:type="dxa"/>
            <w:gridSpan w:val="2"/>
            <w:tcBorders>
              <w:top w:val="single" w:sz="4" w:space="0" w:color="auto"/>
              <w:bottom w:val="single" w:sz="4" w:space="0" w:color="auto"/>
              <w:right w:val="single" w:sz="24" w:space="0" w:color="FFFFFF" w:themeColor="background1"/>
            </w:tcBorders>
            <w:shd w:val="clear" w:color="auto" w:fill="auto"/>
          </w:tcPr>
          <w:p w:rsidR="00B70FD1" w:rsidRPr="00B70FD1" w:rsidRDefault="00B70FD1" w:rsidP="00B70FD1">
            <w:pPr>
              <w:pStyle w:val="SingleTxtG"/>
              <w:spacing w:before="80" w:after="80" w:line="200" w:lineRule="exact"/>
              <w:ind w:left="0" w:right="0"/>
              <w:jc w:val="center"/>
              <w:rPr>
                <w:i/>
                <w:iCs/>
                <w:sz w:val="16"/>
                <w:lang w:val="es-ES_tradnl"/>
              </w:rPr>
            </w:pPr>
            <w:r w:rsidRPr="00B70FD1">
              <w:rPr>
                <w:i/>
                <w:iCs/>
                <w:caps w:val="0"/>
                <w:sz w:val="16"/>
                <w:lang w:val="es-ES_tradnl"/>
              </w:rPr>
              <w:t>Tasa bruta de matriculación</w:t>
            </w:r>
          </w:p>
        </w:tc>
        <w:tc>
          <w:tcPr>
            <w:tcW w:w="2550" w:type="dxa"/>
            <w:gridSpan w:val="2"/>
            <w:tcBorders>
              <w:top w:val="single" w:sz="4" w:space="0" w:color="auto"/>
              <w:left w:val="single" w:sz="24" w:space="0" w:color="FFFFFF" w:themeColor="background1"/>
              <w:bottom w:val="single" w:sz="4" w:space="0" w:color="auto"/>
            </w:tcBorders>
            <w:shd w:val="clear" w:color="auto" w:fill="auto"/>
            <w:vAlign w:val="bottom"/>
          </w:tcPr>
          <w:p w:rsidR="00B70FD1" w:rsidRPr="00B70FD1" w:rsidRDefault="00B70FD1" w:rsidP="00B70FD1">
            <w:pPr>
              <w:pStyle w:val="SingleTxtG"/>
              <w:spacing w:before="80" w:after="80" w:line="200" w:lineRule="exact"/>
              <w:ind w:left="0" w:right="0"/>
              <w:jc w:val="center"/>
              <w:rPr>
                <w:i/>
                <w:iCs/>
                <w:caps w:val="0"/>
                <w:sz w:val="16"/>
                <w:lang w:val="es-ES_tradnl"/>
              </w:rPr>
            </w:pPr>
            <w:r w:rsidRPr="00B70FD1">
              <w:rPr>
                <w:i/>
                <w:iCs/>
                <w:caps w:val="0"/>
                <w:sz w:val="16"/>
                <w:lang w:val="es-ES_tradnl"/>
              </w:rPr>
              <w:t>Tasa neta de matriculación</w:t>
            </w:r>
          </w:p>
        </w:tc>
      </w:tr>
      <w:tr w:rsidR="00B70FD1" w:rsidRPr="00B70FD1" w:rsidTr="00A737E5">
        <w:trPr>
          <w:cnfStyle w:val="100000000000" w:firstRow="1" w:lastRow="0" w:firstColumn="0" w:lastColumn="0" w:oddVBand="0" w:evenVBand="0" w:oddHBand="0" w:evenHBand="0" w:firstRowFirstColumn="0" w:firstRowLastColumn="0" w:lastRowFirstColumn="0" w:lastRowLastColumn="0"/>
          <w:trHeight w:val="240"/>
          <w:tblHeader/>
        </w:trPr>
        <w:tc>
          <w:tcPr>
            <w:tcW w:w="2127" w:type="dxa"/>
            <w:tcBorders>
              <w:top w:val="nil"/>
              <w:bottom w:val="single" w:sz="12" w:space="0" w:color="auto"/>
            </w:tcBorders>
            <w:shd w:val="clear" w:color="auto" w:fill="auto"/>
          </w:tcPr>
          <w:p w:rsidR="00B70FD1" w:rsidRPr="00B70FD1" w:rsidRDefault="00B70FD1" w:rsidP="00B70FD1">
            <w:pPr>
              <w:pStyle w:val="SingleTxtG"/>
              <w:spacing w:before="80" w:after="80" w:line="200" w:lineRule="exact"/>
              <w:ind w:left="0" w:right="0"/>
              <w:jc w:val="left"/>
              <w:rPr>
                <w:i/>
                <w:iCs/>
                <w:sz w:val="18"/>
                <w:lang w:val="es-ES_tradnl"/>
              </w:rPr>
            </w:pPr>
            <w:r w:rsidRPr="00B70FD1">
              <w:rPr>
                <w:i/>
                <w:iCs/>
                <w:caps w:val="0"/>
                <w:sz w:val="18"/>
                <w:lang w:val="es-ES_tradnl"/>
              </w:rPr>
              <w:t>Curso académico</w:t>
            </w:r>
          </w:p>
        </w:tc>
        <w:tc>
          <w:tcPr>
            <w:tcW w:w="1275" w:type="dxa"/>
            <w:tcBorders>
              <w:top w:val="single" w:sz="4" w:space="0" w:color="auto"/>
              <w:bottom w:val="single" w:sz="12" w:space="0" w:color="auto"/>
            </w:tcBorders>
            <w:shd w:val="clear" w:color="auto" w:fill="auto"/>
          </w:tcPr>
          <w:p w:rsidR="00B70FD1" w:rsidRPr="00B70FD1" w:rsidRDefault="00B70FD1" w:rsidP="00B70FD1">
            <w:pPr>
              <w:pStyle w:val="SingleTxtG"/>
              <w:spacing w:before="80" w:after="80" w:line="200" w:lineRule="exact"/>
              <w:ind w:left="113" w:right="28"/>
              <w:jc w:val="right"/>
              <w:rPr>
                <w:i/>
                <w:iCs/>
                <w:sz w:val="16"/>
                <w:lang w:val="es-ES_tradnl"/>
              </w:rPr>
            </w:pPr>
            <w:r w:rsidRPr="00B70FD1">
              <w:rPr>
                <w:i/>
                <w:iCs/>
                <w:caps w:val="0"/>
                <w:sz w:val="16"/>
                <w:lang w:val="es-ES_tradnl"/>
              </w:rPr>
              <w:t>Qataríes</w:t>
            </w:r>
          </w:p>
        </w:tc>
        <w:tc>
          <w:tcPr>
            <w:tcW w:w="1418" w:type="dxa"/>
            <w:tcBorders>
              <w:top w:val="single" w:sz="4" w:space="0" w:color="auto"/>
              <w:bottom w:val="single" w:sz="12" w:space="0" w:color="auto"/>
              <w:right w:val="single" w:sz="24" w:space="0" w:color="FFFFFF" w:themeColor="background1"/>
            </w:tcBorders>
            <w:shd w:val="clear" w:color="auto" w:fill="auto"/>
            <w:vAlign w:val="bottom"/>
          </w:tcPr>
          <w:p w:rsidR="00B70FD1" w:rsidRPr="00B70FD1" w:rsidRDefault="00B70FD1" w:rsidP="00B70FD1">
            <w:pPr>
              <w:pStyle w:val="SingleTxtG"/>
              <w:spacing w:before="80" w:after="80" w:line="200" w:lineRule="exact"/>
              <w:ind w:left="113" w:right="28"/>
              <w:jc w:val="right"/>
              <w:rPr>
                <w:i/>
                <w:iCs/>
                <w:sz w:val="16"/>
                <w:lang w:val="es-ES_tradnl"/>
              </w:rPr>
            </w:pPr>
            <w:r w:rsidRPr="00B70FD1">
              <w:rPr>
                <w:i/>
                <w:iCs/>
                <w:caps w:val="0"/>
                <w:sz w:val="16"/>
                <w:lang w:val="es-ES_tradnl"/>
              </w:rPr>
              <w:t>No qataríes</w:t>
            </w:r>
          </w:p>
        </w:tc>
        <w:tc>
          <w:tcPr>
            <w:tcW w:w="1101" w:type="dxa"/>
            <w:tcBorders>
              <w:top w:val="single" w:sz="4" w:space="0" w:color="auto"/>
              <w:left w:val="single" w:sz="24" w:space="0" w:color="FFFFFF" w:themeColor="background1"/>
              <w:bottom w:val="single" w:sz="12" w:space="0" w:color="auto"/>
            </w:tcBorders>
            <w:shd w:val="clear" w:color="auto" w:fill="auto"/>
            <w:vAlign w:val="bottom"/>
          </w:tcPr>
          <w:p w:rsidR="00B70FD1" w:rsidRPr="00B70FD1" w:rsidRDefault="00B70FD1" w:rsidP="00B70FD1">
            <w:pPr>
              <w:pStyle w:val="SingleTxtG"/>
              <w:spacing w:before="80" w:after="80" w:line="200" w:lineRule="exact"/>
              <w:ind w:left="113" w:right="28"/>
              <w:jc w:val="right"/>
              <w:rPr>
                <w:i/>
                <w:iCs/>
                <w:sz w:val="16"/>
                <w:lang w:val="es-ES_tradnl"/>
              </w:rPr>
            </w:pPr>
            <w:r w:rsidRPr="00B70FD1">
              <w:rPr>
                <w:i/>
                <w:iCs/>
                <w:caps w:val="0"/>
                <w:sz w:val="16"/>
                <w:lang w:val="es-ES_tradnl"/>
              </w:rPr>
              <w:t>Qataríes</w:t>
            </w:r>
          </w:p>
        </w:tc>
        <w:tc>
          <w:tcPr>
            <w:tcW w:w="1449" w:type="dxa"/>
            <w:tcBorders>
              <w:top w:val="single" w:sz="4" w:space="0" w:color="auto"/>
              <w:bottom w:val="single" w:sz="12" w:space="0" w:color="auto"/>
            </w:tcBorders>
            <w:shd w:val="clear" w:color="auto" w:fill="auto"/>
            <w:vAlign w:val="bottom"/>
          </w:tcPr>
          <w:p w:rsidR="00B70FD1" w:rsidRPr="00B70FD1" w:rsidRDefault="00B70FD1" w:rsidP="00B70FD1">
            <w:pPr>
              <w:pStyle w:val="SingleTxtG"/>
              <w:spacing w:before="80" w:after="80" w:line="200" w:lineRule="exact"/>
              <w:ind w:left="113" w:right="28"/>
              <w:jc w:val="right"/>
              <w:rPr>
                <w:i/>
                <w:iCs/>
                <w:caps w:val="0"/>
                <w:sz w:val="16"/>
                <w:lang w:val="es-ES_tradnl"/>
              </w:rPr>
            </w:pPr>
            <w:r w:rsidRPr="00B70FD1">
              <w:rPr>
                <w:i/>
                <w:iCs/>
                <w:caps w:val="0"/>
                <w:sz w:val="16"/>
                <w:lang w:val="es-ES_tradnl"/>
              </w:rPr>
              <w:t>No qataríes</w:t>
            </w:r>
          </w:p>
        </w:tc>
      </w:tr>
      <w:tr w:rsidR="00D74294" w:rsidRPr="00B70FD1" w:rsidTr="00A737E5">
        <w:trPr>
          <w:trHeight w:val="240"/>
        </w:trPr>
        <w:tc>
          <w:tcPr>
            <w:tcW w:w="2127" w:type="dxa"/>
            <w:tcBorders>
              <w:top w:val="single" w:sz="12" w:space="0" w:color="auto"/>
            </w:tcBorders>
            <w:shd w:val="clear" w:color="auto" w:fill="auto"/>
          </w:tcPr>
          <w:p w:rsidR="00D74294" w:rsidRPr="001F308D" w:rsidRDefault="001F308D" w:rsidP="0085715B">
            <w:pPr>
              <w:pStyle w:val="SingleTxtG"/>
              <w:spacing w:before="40" w:after="40" w:line="220" w:lineRule="exact"/>
              <w:ind w:left="0" w:right="0"/>
              <w:jc w:val="left"/>
              <w:rPr>
                <w:sz w:val="18"/>
                <w:szCs w:val="18"/>
                <w:lang w:val="es-ES_tradnl"/>
              </w:rPr>
            </w:pPr>
            <w:r w:rsidRPr="001F308D">
              <w:rPr>
                <w:sz w:val="18"/>
              </w:rPr>
              <w:t>2010/11</w:t>
            </w:r>
          </w:p>
        </w:tc>
        <w:tc>
          <w:tcPr>
            <w:tcW w:w="1275" w:type="dxa"/>
            <w:tcBorders>
              <w:top w:val="single" w:sz="12" w:space="0" w:color="auto"/>
            </w:tcBorders>
            <w:shd w:val="clear" w:color="auto" w:fill="auto"/>
          </w:tcPr>
          <w:p w:rsidR="00D74294" w:rsidRPr="00B70FD1" w:rsidRDefault="00D74294" w:rsidP="00B70FD1">
            <w:pPr>
              <w:pStyle w:val="SingleTxtG"/>
              <w:spacing w:before="40" w:after="40" w:line="220" w:lineRule="exact"/>
              <w:ind w:left="0" w:right="28"/>
              <w:jc w:val="right"/>
              <w:rPr>
                <w:sz w:val="18"/>
                <w:lang w:val="es-ES_tradnl"/>
              </w:rPr>
            </w:pPr>
            <w:r w:rsidRPr="00B70FD1">
              <w:rPr>
                <w:sz w:val="18"/>
                <w:lang w:val="es-ES_tradnl"/>
              </w:rPr>
              <w:t>94,5</w:t>
            </w:r>
          </w:p>
        </w:tc>
        <w:tc>
          <w:tcPr>
            <w:tcW w:w="1418" w:type="dxa"/>
            <w:tcBorders>
              <w:top w:val="single" w:sz="12" w:space="0" w:color="auto"/>
            </w:tcBorders>
            <w:shd w:val="clear" w:color="auto" w:fill="auto"/>
            <w:vAlign w:val="bottom"/>
          </w:tcPr>
          <w:p w:rsidR="00D74294" w:rsidRPr="00B70FD1" w:rsidRDefault="00D74294" w:rsidP="00B70FD1">
            <w:pPr>
              <w:pStyle w:val="SingleTxtG"/>
              <w:spacing w:before="40" w:after="40" w:line="220" w:lineRule="exact"/>
              <w:ind w:left="113" w:right="28"/>
              <w:jc w:val="right"/>
              <w:rPr>
                <w:sz w:val="18"/>
                <w:lang w:val="es-ES_tradnl"/>
              </w:rPr>
            </w:pPr>
            <w:r w:rsidRPr="00B70FD1">
              <w:rPr>
                <w:sz w:val="18"/>
                <w:lang w:val="es-ES_tradnl"/>
              </w:rPr>
              <w:t>102,3</w:t>
            </w:r>
          </w:p>
        </w:tc>
        <w:tc>
          <w:tcPr>
            <w:tcW w:w="1101" w:type="dxa"/>
            <w:tcBorders>
              <w:top w:val="single" w:sz="12" w:space="0" w:color="auto"/>
            </w:tcBorders>
            <w:shd w:val="clear" w:color="auto" w:fill="auto"/>
            <w:vAlign w:val="bottom"/>
          </w:tcPr>
          <w:p w:rsidR="00D74294" w:rsidRPr="00B70FD1" w:rsidRDefault="00D74294" w:rsidP="00B70FD1">
            <w:pPr>
              <w:pStyle w:val="SingleTxtG"/>
              <w:spacing w:before="40" w:after="40" w:line="220" w:lineRule="exact"/>
              <w:ind w:left="113" w:right="28"/>
              <w:jc w:val="right"/>
              <w:rPr>
                <w:sz w:val="18"/>
                <w:lang w:val="es-ES_tradnl"/>
              </w:rPr>
            </w:pPr>
            <w:r w:rsidRPr="00B70FD1">
              <w:rPr>
                <w:sz w:val="18"/>
                <w:lang w:val="es-ES_tradnl"/>
              </w:rPr>
              <w:t>86,8</w:t>
            </w:r>
          </w:p>
        </w:tc>
        <w:tc>
          <w:tcPr>
            <w:tcW w:w="1449" w:type="dxa"/>
            <w:tcBorders>
              <w:top w:val="single" w:sz="12" w:space="0" w:color="auto"/>
            </w:tcBorders>
            <w:shd w:val="clear" w:color="auto" w:fill="auto"/>
            <w:vAlign w:val="bottom"/>
          </w:tcPr>
          <w:p w:rsidR="00D74294" w:rsidRPr="00B70FD1" w:rsidRDefault="00D74294" w:rsidP="00B70FD1">
            <w:pPr>
              <w:pStyle w:val="SingleTxtG"/>
              <w:spacing w:before="40" w:after="40" w:line="220" w:lineRule="exact"/>
              <w:ind w:left="113" w:right="28"/>
              <w:jc w:val="right"/>
              <w:rPr>
                <w:sz w:val="18"/>
                <w:lang w:val="es-ES_tradnl"/>
              </w:rPr>
            </w:pPr>
            <w:r w:rsidRPr="00B70FD1">
              <w:rPr>
                <w:sz w:val="18"/>
                <w:lang w:val="es-ES_tradnl"/>
              </w:rPr>
              <w:t>92,7</w:t>
            </w:r>
          </w:p>
        </w:tc>
      </w:tr>
      <w:tr w:rsidR="00D74294" w:rsidRPr="00B70FD1" w:rsidTr="00A737E5">
        <w:trPr>
          <w:trHeight w:val="240"/>
        </w:trPr>
        <w:tc>
          <w:tcPr>
            <w:tcW w:w="2127" w:type="dxa"/>
            <w:shd w:val="clear" w:color="auto" w:fill="auto"/>
          </w:tcPr>
          <w:p w:rsidR="00D74294" w:rsidRPr="001F308D" w:rsidRDefault="001F308D" w:rsidP="0085715B">
            <w:pPr>
              <w:pStyle w:val="SingleTxtG"/>
              <w:spacing w:before="40" w:after="40" w:line="220" w:lineRule="exact"/>
              <w:ind w:left="0" w:right="0"/>
              <w:jc w:val="left"/>
              <w:rPr>
                <w:sz w:val="18"/>
                <w:szCs w:val="18"/>
                <w:lang w:val="es-ES_tradnl"/>
              </w:rPr>
            </w:pPr>
            <w:r w:rsidRPr="001F308D">
              <w:rPr>
                <w:sz w:val="18"/>
              </w:rPr>
              <w:t>2011/12</w:t>
            </w:r>
          </w:p>
        </w:tc>
        <w:tc>
          <w:tcPr>
            <w:tcW w:w="1275" w:type="dxa"/>
            <w:shd w:val="clear" w:color="auto" w:fill="auto"/>
          </w:tcPr>
          <w:p w:rsidR="00D74294" w:rsidRPr="00B70FD1" w:rsidRDefault="00D74294" w:rsidP="00B70FD1">
            <w:pPr>
              <w:pStyle w:val="SingleTxtG"/>
              <w:spacing w:before="40" w:after="40" w:line="220" w:lineRule="exact"/>
              <w:ind w:left="0" w:right="28"/>
              <w:jc w:val="right"/>
              <w:rPr>
                <w:sz w:val="18"/>
                <w:lang w:val="es-ES_tradnl"/>
              </w:rPr>
            </w:pPr>
            <w:r w:rsidRPr="00B70FD1">
              <w:rPr>
                <w:sz w:val="18"/>
                <w:lang w:val="es-ES_tradnl"/>
              </w:rPr>
              <w:t>96,9</w:t>
            </w:r>
          </w:p>
        </w:tc>
        <w:tc>
          <w:tcPr>
            <w:tcW w:w="1418" w:type="dxa"/>
            <w:shd w:val="clear" w:color="auto" w:fill="auto"/>
            <w:vAlign w:val="bottom"/>
          </w:tcPr>
          <w:p w:rsidR="00D74294" w:rsidRPr="00B70FD1" w:rsidRDefault="00D74294" w:rsidP="00B70FD1">
            <w:pPr>
              <w:pStyle w:val="SingleTxtG"/>
              <w:spacing w:before="40" w:after="40" w:line="220" w:lineRule="exact"/>
              <w:ind w:left="113" w:right="28"/>
              <w:jc w:val="right"/>
              <w:rPr>
                <w:sz w:val="18"/>
                <w:lang w:val="es-ES_tradnl"/>
              </w:rPr>
            </w:pPr>
            <w:r w:rsidRPr="00B70FD1">
              <w:rPr>
                <w:sz w:val="18"/>
                <w:lang w:val="es-ES_tradnl"/>
              </w:rPr>
              <w:t>105,9</w:t>
            </w:r>
          </w:p>
        </w:tc>
        <w:tc>
          <w:tcPr>
            <w:tcW w:w="1101" w:type="dxa"/>
            <w:shd w:val="clear" w:color="auto" w:fill="auto"/>
            <w:vAlign w:val="bottom"/>
          </w:tcPr>
          <w:p w:rsidR="00D74294" w:rsidRPr="00B70FD1" w:rsidRDefault="00D74294" w:rsidP="00B70FD1">
            <w:pPr>
              <w:pStyle w:val="SingleTxtG"/>
              <w:spacing w:before="40" w:after="40" w:line="220" w:lineRule="exact"/>
              <w:ind w:left="113" w:right="28"/>
              <w:jc w:val="right"/>
              <w:rPr>
                <w:sz w:val="18"/>
                <w:lang w:val="es-ES_tradnl"/>
              </w:rPr>
            </w:pPr>
            <w:r w:rsidRPr="00B70FD1">
              <w:rPr>
                <w:sz w:val="18"/>
                <w:lang w:val="es-ES_tradnl"/>
              </w:rPr>
              <w:t>89,4</w:t>
            </w:r>
          </w:p>
        </w:tc>
        <w:tc>
          <w:tcPr>
            <w:tcW w:w="1449" w:type="dxa"/>
            <w:shd w:val="clear" w:color="auto" w:fill="auto"/>
            <w:vAlign w:val="bottom"/>
          </w:tcPr>
          <w:p w:rsidR="00D74294" w:rsidRPr="00B70FD1" w:rsidRDefault="00D74294" w:rsidP="00B70FD1">
            <w:pPr>
              <w:pStyle w:val="SingleTxtG"/>
              <w:spacing w:before="40" w:after="40" w:line="220" w:lineRule="exact"/>
              <w:ind w:left="113" w:right="28"/>
              <w:jc w:val="right"/>
              <w:rPr>
                <w:sz w:val="18"/>
                <w:lang w:val="es-ES_tradnl"/>
              </w:rPr>
            </w:pPr>
            <w:r w:rsidRPr="00B70FD1">
              <w:rPr>
                <w:sz w:val="18"/>
                <w:lang w:val="es-ES_tradnl"/>
              </w:rPr>
              <w:t>96,4</w:t>
            </w:r>
          </w:p>
        </w:tc>
      </w:tr>
      <w:tr w:rsidR="00D74294" w:rsidRPr="00B70FD1" w:rsidTr="00A737E5">
        <w:trPr>
          <w:trHeight w:val="240"/>
        </w:trPr>
        <w:tc>
          <w:tcPr>
            <w:tcW w:w="2127" w:type="dxa"/>
            <w:shd w:val="clear" w:color="auto" w:fill="auto"/>
          </w:tcPr>
          <w:p w:rsidR="00D74294" w:rsidRPr="001F308D" w:rsidRDefault="001F308D" w:rsidP="0085715B">
            <w:pPr>
              <w:pStyle w:val="SingleTxtG"/>
              <w:spacing w:before="40" w:after="40" w:line="220" w:lineRule="exact"/>
              <w:ind w:left="0" w:right="0"/>
              <w:jc w:val="left"/>
              <w:rPr>
                <w:sz w:val="18"/>
                <w:szCs w:val="18"/>
                <w:lang w:val="es-ES_tradnl"/>
              </w:rPr>
            </w:pPr>
            <w:r w:rsidRPr="001F308D">
              <w:rPr>
                <w:sz w:val="18"/>
              </w:rPr>
              <w:t>2012/13</w:t>
            </w:r>
          </w:p>
        </w:tc>
        <w:tc>
          <w:tcPr>
            <w:tcW w:w="1275" w:type="dxa"/>
            <w:shd w:val="clear" w:color="auto" w:fill="auto"/>
          </w:tcPr>
          <w:p w:rsidR="00D74294" w:rsidRPr="00B70FD1" w:rsidRDefault="00D74294" w:rsidP="00B70FD1">
            <w:pPr>
              <w:pStyle w:val="SingleTxtG"/>
              <w:spacing w:before="40" w:after="40" w:line="220" w:lineRule="exact"/>
              <w:ind w:left="0" w:right="28"/>
              <w:jc w:val="right"/>
              <w:rPr>
                <w:sz w:val="18"/>
                <w:lang w:val="es-ES_tradnl"/>
              </w:rPr>
            </w:pPr>
            <w:r w:rsidRPr="00B70FD1">
              <w:rPr>
                <w:sz w:val="18"/>
                <w:lang w:val="es-ES_tradnl"/>
              </w:rPr>
              <w:t>98,0</w:t>
            </w:r>
          </w:p>
        </w:tc>
        <w:tc>
          <w:tcPr>
            <w:tcW w:w="1418" w:type="dxa"/>
            <w:shd w:val="clear" w:color="auto" w:fill="auto"/>
            <w:vAlign w:val="bottom"/>
          </w:tcPr>
          <w:p w:rsidR="00D74294" w:rsidRPr="00B70FD1" w:rsidRDefault="00D74294" w:rsidP="00B70FD1">
            <w:pPr>
              <w:pStyle w:val="SingleTxtG"/>
              <w:spacing w:before="40" w:after="40" w:line="220" w:lineRule="exact"/>
              <w:ind w:left="113" w:right="28"/>
              <w:jc w:val="right"/>
              <w:rPr>
                <w:sz w:val="18"/>
                <w:lang w:val="es-ES_tradnl"/>
              </w:rPr>
            </w:pPr>
            <w:r w:rsidRPr="00B70FD1">
              <w:rPr>
                <w:sz w:val="18"/>
                <w:lang w:val="es-ES_tradnl"/>
              </w:rPr>
              <w:t>101,3</w:t>
            </w:r>
          </w:p>
        </w:tc>
        <w:tc>
          <w:tcPr>
            <w:tcW w:w="1101" w:type="dxa"/>
            <w:shd w:val="clear" w:color="auto" w:fill="auto"/>
            <w:vAlign w:val="bottom"/>
          </w:tcPr>
          <w:p w:rsidR="00D74294" w:rsidRPr="00B70FD1" w:rsidRDefault="00D74294" w:rsidP="00B70FD1">
            <w:pPr>
              <w:pStyle w:val="SingleTxtG"/>
              <w:spacing w:before="40" w:after="40" w:line="220" w:lineRule="exact"/>
              <w:ind w:left="113" w:right="28"/>
              <w:jc w:val="right"/>
              <w:rPr>
                <w:sz w:val="18"/>
                <w:lang w:val="es-ES_tradnl"/>
              </w:rPr>
            </w:pPr>
            <w:r w:rsidRPr="00B70FD1">
              <w:rPr>
                <w:sz w:val="18"/>
                <w:lang w:val="es-ES_tradnl"/>
              </w:rPr>
              <w:t>89,9</w:t>
            </w:r>
          </w:p>
        </w:tc>
        <w:tc>
          <w:tcPr>
            <w:tcW w:w="1449" w:type="dxa"/>
            <w:shd w:val="clear" w:color="auto" w:fill="auto"/>
            <w:vAlign w:val="bottom"/>
          </w:tcPr>
          <w:p w:rsidR="00D74294" w:rsidRPr="00B70FD1" w:rsidRDefault="00D74294" w:rsidP="00B70FD1">
            <w:pPr>
              <w:pStyle w:val="SingleTxtG"/>
              <w:spacing w:before="40" w:after="40" w:line="220" w:lineRule="exact"/>
              <w:ind w:left="113" w:right="28"/>
              <w:jc w:val="right"/>
              <w:rPr>
                <w:sz w:val="18"/>
                <w:lang w:val="es-ES_tradnl"/>
              </w:rPr>
            </w:pPr>
            <w:r w:rsidRPr="00B70FD1">
              <w:rPr>
                <w:sz w:val="18"/>
                <w:lang w:val="es-ES_tradnl"/>
              </w:rPr>
              <w:t>92,5</w:t>
            </w:r>
          </w:p>
        </w:tc>
      </w:tr>
      <w:tr w:rsidR="00D74294" w:rsidRPr="00B70FD1" w:rsidTr="00A737E5">
        <w:trPr>
          <w:trHeight w:val="240"/>
        </w:trPr>
        <w:tc>
          <w:tcPr>
            <w:tcW w:w="2127" w:type="dxa"/>
            <w:shd w:val="clear" w:color="auto" w:fill="auto"/>
          </w:tcPr>
          <w:p w:rsidR="00D74294" w:rsidRPr="001F308D" w:rsidRDefault="001F308D" w:rsidP="0085715B">
            <w:pPr>
              <w:pStyle w:val="SingleTxtG"/>
              <w:spacing w:before="40" w:after="40" w:line="220" w:lineRule="exact"/>
              <w:ind w:left="0" w:right="0"/>
              <w:jc w:val="left"/>
              <w:rPr>
                <w:sz w:val="18"/>
                <w:szCs w:val="18"/>
                <w:lang w:val="es-ES_tradnl"/>
              </w:rPr>
            </w:pPr>
            <w:r w:rsidRPr="001F308D">
              <w:rPr>
                <w:sz w:val="18"/>
              </w:rPr>
              <w:t>2013/14</w:t>
            </w:r>
          </w:p>
        </w:tc>
        <w:tc>
          <w:tcPr>
            <w:tcW w:w="1275" w:type="dxa"/>
            <w:shd w:val="clear" w:color="auto" w:fill="auto"/>
          </w:tcPr>
          <w:p w:rsidR="00D74294" w:rsidRPr="00B70FD1" w:rsidRDefault="00D74294" w:rsidP="00B70FD1">
            <w:pPr>
              <w:pStyle w:val="SingleTxtG"/>
              <w:spacing w:before="40" w:after="40" w:line="220" w:lineRule="exact"/>
              <w:ind w:left="0" w:right="28"/>
              <w:jc w:val="right"/>
              <w:rPr>
                <w:sz w:val="18"/>
                <w:lang w:val="es-ES_tradnl"/>
              </w:rPr>
            </w:pPr>
            <w:r w:rsidRPr="00B70FD1">
              <w:rPr>
                <w:sz w:val="18"/>
                <w:lang w:val="es-ES_tradnl"/>
              </w:rPr>
              <w:t>100,8</w:t>
            </w:r>
          </w:p>
        </w:tc>
        <w:tc>
          <w:tcPr>
            <w:tcW w:w="1418" w:type="dxa"/>
            <w:shd w:val="clear" w:color="auto" w:fill="auto"/>
            <w:vAlign w:val="bottom"/>
          </w:tcPr>
          <w:p w:rsidR="00D74294" w:rsidRPr="00B70FD1" w:rsidRDefault="00D74294" w:rsidP="00B70FD1">
            <w:pPr>
              <w:pStyle w:val="SingleTxtG"/>
              <w:spacing w:before="40" w:after="40" w:line="220" w:lineRule="exact"/>
              <w:ind w:left="113" w:right="28"/>
              <w:jc w:val="right"/>
              <w:rPr>
                <w:sz w:val="18"/>
                <w:lang w:val="es-ES_tradnl"/>
              </w:rPr>
            </w:pPr>
            <w:r w:rsidRPr="00B70FD1">
              <w:rPr>
                <w:sz w:val="18"/>
                <w:lang w:val="es-ES_tradnl"/>
              </w:rPr>
              <w:t>102,7</w:t>
            </w:r>
          </w:p>
        </w:tc>
        <w:tc>
          <w:tcPr>
            <w:tcW w:w="1101" w:type="dxa"/>
            <w:shd w:val="clear" w:color="auto" w:fill="auto"/>
            <w:vAlign w:val="bottom"/>
          </w:tcPr>
          <w:p w:rsidR="00D74294" w:rsidRPr="00B70FD1" w:rsidRDefault="00D74294" w:rsidP="00B70FD1">
            <w:pPr>
              <w:pStyle w:val="SingleTxtG"/>
              <w:spacing w:before="40" w:after="40" w:line="220" w:lineRule="exact"/>
              <w:ind w:left="113" w:right="28"/>
              <w:jc w:val="right"/>
              <w:rPr>
                <w:sz w:val="18"/>
                <w:lang w:val="es-ES_tradnl"/>
              </w:rPr>
            </w:pPr>
            <w:r w:rsidRPr="00B70FD1">
              <w:rPr>
                <w:sz w:val="18"/>
                <w:lang w:val="es-ES_tradnl"/>
              </w:rPr>
              <w:t>91,9</w:t>
            </w:r>
          </w:p>
        </w:tc>
        <w:tc>
          <w:tcPr>
            <w:tcW w:w="1449" w:type="dxa"/>
            <w:shd w:val="clear" w:color="auto" w:fill="auto"/>
            <w:vAlign w:val="bottom"/>
          </w:tcPr>
          <w:p w:rsidR="00D74294" w:rsidRPr="00B70FD1" w:rsidRDefault="00D74294" w:rsidP="00B70FD1">
            <w:pPr>
              <w:pStyle w:val="SingleTxtG"/>
              <w:spacing w:before="40" w:after="40" w:line="220" w:lineRule="exact"/>
              <w:ind w:left="113" w:right="28"/>
              <w:jc w:val="right"/>
              <w:rPr>
                <w:sz w:val="18"/>
                <w:lang w:val="es-ES_tradnl"/>
              </w:rPr>
            </w:pPr>
            <w:r w:rsidRPr="00B70FD1">
              <w:rPr>
                <w:sz w:val="18"/>
                <w:lang w:val="es-ES_tradnl"/>
              </w:rPr>
              <w:t>93,0</w:t>
            </w:r>
          </w:p>
        </w:tc>
      </w:tr>
      <w:tr w:rsidR="00D74294" w:rsidRPr="00B70FD1" w:rsidTr="00A737E5">
        <w:trPr>
          <w:trHeight w:val="240"/>
        </w:trPr>
        <w:tc>
          <w:tcPr>
            <w:tcW w:w="2127" w:type="dxa"/>
            <w:shd w:val="clear" w:color="auto" w:fill="auto"/>
          </w:tcPr>
          <w:p w:rsidR="00D74294" w:rsidRPr="001F308D" w:rsidRDefault="001F308D" w:rsidP="0085715B">
            <w:pPr>
              <w:pStyle w:val="SingleTxtG"/>
              <w:spacing w:before="40" w:after="40" w:line="220" w:lineRule="exact"/>
              <w:ind w:left="0" w:right="0"/>
              <w:jc w:val="left"/>
              <w:rPr>
                <w:sz w:val="18"/>
                <w:szCs w:val="18"/>
                <w:lang w:val="es-ES_tradnl"/>
              </w:rPr>
            </w:pPr>
            <w:r w:rsidRPr="001F308D">
              <w:rPr>
                <w:sz w:val="18"/>
              </w:rPr>
              <w:t>2014/15</w:t>
            </w:r>
          </w:p>
        </w:tc>
        <w:tc>
          <w:tcPr>
            <w:tcW w:w="1275" w:type="dxa"/>
            <w:shd w:val="clear" w:color="auto" w:fill="auto"/>
          </w:tcPr>
          <w:p w:rsidR="00D74294" w:rsidRPr="00B70FD1" w:rsidRDefault="00D74294" w:rsidP="00B70FD1">
            <w:pPr>
              <w:pStyle w:val="SingleTxtG"/>
              <w:spacing w:before="40" w:after="40" w:line="220" w:lineRule="exact"/>
              <w:ind w:left="0" w:right="28"/>
              <w:jc w:val="right"/>
              <w:rPr>
                <w:sz w:val="18"/>
                <w:lang w:val="es-ES_tradnl"/>
              </w:rPr>
            </w:pPr>
            <w:r w:rsidRPr="00B70FD1">
              <w:rPr>
                <w:sz w:val="18"/>
                <w:lang w:val="es-ES_tradnl"/>
              </w:rPr>
              <w:t>102,5</w:t>
            </w:r>
          </w:p>
        </w:tc>
        <w:tc>
          <w:tcPr>
            <w:tcW w:w="1418" w:type="dxa"/>
            <w:shd w:val="clear" w:color="auto" w:fill="auto"/>
            <w:vAlign w:val="bottom"/>
          </w:tcPr>
          <w:p w:rsidR="00D74294" w:rsidRPr="00B70FD1" w:rsidRDefault="00D74294" w:rsidP="00B70FD1">
            <w:pPr>
              <w:pStyle w:val="SingleTxtG"/>
              <w:spacing w:before="40" w:after="40" w:line="220" w:lineRule="exact"/>
              <w:ind w:left="113" w:right="28"/>
              <w:jc w:val="right"/>
              <w:rPr>
                <w:sz w:val="18"/>
                <w:lang w:val="es-ES_tradnl"/>
              </w:rPr>
            </w:pPr>
            <w:r w:rsidRPr="00B70FD1">
              <w:rPr>
                <w:sz w:val="18"/>
                <w:lang w:val="es-ES_tradnl"/>
              </w:rPr>
              <w:t>100,4</w:t>
            </w:r>
          </w:p>
        </w:tc>
        <w:tc>
          <w:tcPr>
            <w:tcW w:w="1101" w:type="dxa"/>
            <w:shd w:val="clear" w:color="auto" w:fill="auto"/>
            <w:vAlign w:val="bottom"/>
          </w:tcPr>
          <w:p w:rsidR="00D74294" w:rsidRPr="00B70FD1" w:rsidRDefault="00D74294" w:rsidP="00B70FD1">
            <w:pPr>
              <w:pStyle w:val="SingleTxtG"/>
              <w:spacing w:before="40" w:after="40" w:line="220" w:lineRule="exact"/>
              <w:ind w:left="113" w:right="28"/>
              <w:jc w:val="right"/>
              <w:rPr>
                <w:sz w:val="18"/>
                <w:lang w:val="es-ES_tradnl"/>
              </w:rPr>
            </w:pPr>
            <w:r w:rsidRPr="00B70FD1">
              <w:rPr>
                <w:sz w:val="18"/>
                <w:lang w:val="es-ES_tradnl"/>
              </w:rPr>
              <w:t>92,9</w:t>
            </w:r>
          </w:p>
        </w:tc>
        <w:tc>
          <w:tcPr>
            <w:tcW w:w="1449" w:type="dxa"/>
            <w:shd w:val="clear" w:color="auto" w:fill="auto"/>
            <w:vAlign w:val="bottom"/>
          </w:tcPr>
          <w:p w:rsidR="00D74294" w:rsidRPr="00B70FD1" w:rsidRDefault="00D74294" w:rsidP="00B70FD1">
            <w:pPr>
              <w:pStyle w:val="SingleTxtG"/>
              <w:spacing w:before="40" w:after="40" w:line="220" w:lineRule="exact"/>
              <w:ind w:left="113" w:right="28"/>
              <w:jc w:val="right"/>
              <w:rPr>
                <w:sz w:val="18"/>
                <w:lang w:val="es-ES_tradnl"/>
              </w:rPr>
            </w:pPr>
            <w:r w:rsidRPr="00B70FD1">
              <w:rPr>
                <w:sz w:val="18"/>
                <w:lang w:val="es-ES_tradnl"/>
              </w:rPr>
              <w:t>90,4</w:t>
            </w:r>
          </w:p>
        </w:tc>
      </w:tr>
      <w:tr w:rsidR="00D74294" w:rsidRPr="00B70FD1" w:rsidTr="00A737E5">
        <w:trPr>
          <w:trHeight w:val="240"/>
        </w:trPr>
        <w:tc>
          <w:tcPr>
            <w:tcW w:w="2127" w:type="dxa"/>
            <w:shd w:val="clear" w:color="auto" w:fill="auto"/>
          </w:tcPr>
          <w:p w:rsidR="00D74294" w:rsidRPr="001F308D" w:rsidRDefault="001F308D" w:rsidP="0085715B">
            <w:pPr>
              <w:pStyle w:val="SingleTxtG"/>
              <w:spacing w:before="40" w:after="40" w:line="220" w:lineRule="exact"/>
              <w:ind w:left="0" w:right="0"/>
              <w:jc w:val="left"/>
              <w:rPr>
                <w:sz w:val="18"/>
                <w:szCs w:val="18"/>
                <w:lang w:val="es-ES_tradnl"/>
              </w:rPr>
            </w:pPr>
            <w:r w:rsidRPr="001F308D">
              <w:rPr>
                <w:sz w:val="18"/>
              </w:rPr>
              <w:t>2015/16</w:t>
            </w:r>
          </w:p>
        </w:tc>
        <w:tc>
          <w:tcPr>
            <w:tcW w:w="1275" w:type="dxa"/>
            <w:shd w:val="clear" w:color="auto" w:fill="auto"/>
          </w:tcPr>
          <w:p w:rsidR="00D74294" w:rsidRPr="00B70FD1" w:rsidRDefault="00D74294" w:rsidP="00B70FD1">
            <w:pPr>
              <w:pStyle w:val="SingleTxtG"/>
              <w:spacing w:before="40" w:after="40" w:line="220" w:lineRule="exact"/>
              <w:ind w:left="0" w:right="28"/>
              <w:jc w:val="right"/>
              <w:rPr>
                <w:sz w:val="18"/>
                <w:lang w:val="es-ES_tradnl"/>
              </w:rPr>
            </w:pPr>
            <w:r w:rsidRPr="00B70FD1">
              <w:rPr>
                <w:sz w:val="18"/>
                <w:lang w:val="es-ES_tradnl"/>
              </w:rPr>
              <w:t>103,3</w:t>
            </w:r>
          </w:p>
        </w:tc>
        <w:tc>
          <w:tcPr>
            <w:tcW w:w="1418" w:type="dxa"/>
            <w:shd w:val="clear" w:color="auto" w:fill="auto"/>
            <w:vAlign w:val="bottom"/>
          </w:tcPr>
          <w:p w:rsidR="00D74294" w:rsidRPr="00B70FD1" w:rsidRDefault="00D74294" w:rsidP="00B70FD1">
            <w:pPr>
              <w:pStyle w:val="SingleTxtG"/>
              <w:spacing w:before="40" w:after="40" w:line="220" w:lineRule="exact"/>
              <w:ind w:left="113" w:right="28"/>
              <w:jc w:val="right"/>
              <w:rPr>
                <w:sz w:val="18"/>
                <w:lang w:val="es-ES_tradnl"/>
              </w:rPr>
            </w:pPr>
            <w:r w:rsidRPr="00B70FD1">
              <w:rPr>
                <w:sz w:val="18"/>
                <w:lang w:val="es-ES_tradnl"/>
              </w:rPr>
              <w:t>103,9</w:t>
            </w:r>
          </w:p>
        </w:tc>
        <w:tc>
          <w:tcPr>
            <w:tcW w:w="1101" w:type="dxa"/>
            <w:shd w:val="clear" w:color="auto" w:fill="auto"/>
            <w:vAlign w:val="bottom"/>
          </w:tcPr>
          <w:p w:rsidR="00D74294" w:rsidRPr="00B70FD1" w:rsidRDefault="00D74294" w:rsidP="00B70FD1">
            <w:pPr>
              <w:pStyle w:val="SingleTxtG"/>
              <w:spacing w:before="40" w:after="40" w:line="220" w:lineRule="exact"/>
              <w:ind w:left="113" w:right="28"/>
              <w:jc w:val="right"/>
              <w:rPr>
                <w:sz w:val="18"/>
                <w:lang w:val="es-ES_tradnl"/>
              </w:rPr>
            </w:pPr>
            <w:r w:rsidRPr="00B70FD1">
              <w:rPr>
                <w:sz w:val="18"/>
                <w:lang w:val="es-ES_tradnl"/>
              </w:rPr>
              <w:t>93,7</w:t>
            </w:r>
          </w:p>
        </w:tc>
        <w:tc>
          <w:tcPr>
            <w:tcW w:w="1449" w:type="dxa"/>
            <w:shd w:val="clear" w:color="auto" w:fill="auto"/>
            <w:vAlign w:val="bottom"/>
          </w:tcPr>
          <w:p w:rsidR="00D74294" w:rsidRPr="00B70FD1" w:rsidRDefault="00D74294" w:rsidP="00B70FD1">
            <w:pPr>
              <w:pStyle w:val="SingleTxtG"/>
              <w:spacing w:before="40" w:after="40" w:line="220" w:lineRule="exact"/>
              <w:ind w:left="113" w:right="28"/>
              <w:jc w:val="right"/>
              <w:rPr>
                <w:sz w:val="18"/>
                <w:lang w:val="es-ES_tradnl"/>
              </w:rPr>
            </w:pPr>
            <w:r w:rsidRPr="00B70FD1">
              <w:rPr>
                <w:sz w:val="18"/>
                <w:lang w:val="es-ES_tradnl"/>
              </w:rPr>
              <w:t>94,1</w:t>
            </w:r>
          </w:p>
        </w:tc>
      </w:tr>
      <w:tr w:rsidR="00D74294" w:rsidRPr="00B70FD1" w:rsidTr="00A737E5">
        <w:trPr>
          <w:trHeight w:val="240"/>
        </w:trPr>
        <w:tc>
          <w:tcPr>
            <w:tcW w:w="2127" w:type="dxa"/>
            <w:tcBorders>
              <w:bottom w:val="single" w:sz="12" w:space="0" w:color="auto"/>
            </w:tcBorders>
            <w:shd w:val="clear" w:color="auto" w:fill="auto"/>
          </w:tcPr>
          <w:p w:rsidR="00D74294" w:rsidRPr="001F308D" w:rsidRDefault="001F308D" w:rsidP="0085715B">
            <w:pPr>
              <w:pStyle w:val="SingleTxtG"/>
              <w:spacing w:before="40" w:after="40" w:line="220" w:lineRule="exact"/>
              <w:ind w:left="0" w:right="0"/>
              <w:jc w:val="left"/>
              <w:rPr>
                <w:sz w:val="18"/>
                <w:szCs w:val="18"/>
                <w:lang w:val="es-ES_tradnl"/>
              </w:rPr>
            </w:pPr>
            <w:r w:rsidRPr="001F308D">
              <w:rPr>
                <w:sz w:val="18"/>
              </w:rPr>
              <w:t>2016/17</w:t>
            </w:r>
          </w:p>
        </w:tc>
        <w:tc>
          <w:tcPr>
            <w:tcW w:w="1275" w:type="dxa"/>
            <w:tcBorders>
              <w:bottom w:val="single" w:sz="12" w:space="0" w:color="auto"/>
            </w:tcBorders>
            <w:shd w:val="clear" w:color="auto" w:fill="auto"/>
          </w:tcPr>
          <w:p w:rsidR="00D74294" w:rsidRPr="00B70FD1" w:rsidRDefault="00D74294" w:rsidP="00B70FD1">
            <w:pPr>
              <w:pStyle w:val="SingleTxtG"/>
              <w:spacing w:before="40" w:after="40" w:line="220" w:lineRule="exact"/>
              <w:ind w:left="0" w:right="28"/>
              <w:jc w:val="right"/>
              <w:rPr>
                <w:sz w:val="18"/>
                <w:lang w:val="es-ES_tradnl"/>
              </w:rPr>
            </w:pPr>
            <w:r w:rsidRPr="00B70FD1">
              <w:rPr>
                <w:sz w:val="18"/>
                <w:lang w:val="es-ES_tradnl"/>
              </w:rPr>
              <w:t>102,1</w:t>
            </w:r>
          </w:p>
        </w:tc>
        <w:tc>
          <w:tcPr>
            <w:tcW w:w="1418" w:type="dxa"/>
            <w:tcBorders>
              <w:bottom w:val="single" w:sz="12" w:space="0" w:color="auto"/>
            </w:tcBorders>
            <w:shd w:val="clear" w:color="auto" w:fill="auto"/>
            <w:vAlign w:val="bottom"/>
          </w:tcPr>
          <w:p w:rsidR="00D74294" w:rsidRPr="00B70FD1" w:rsidRDefault="00D74294" w:rsidP="00B70FD1">
            <w:pPr>
              <w:pStyle w:val="SingleTxtG"/>
              <w:spacing w:before="40" w:after="40" w:line="220" w:lineRule="exact"/>
              <w:ind w:left="113" w:right="28"/>
              <w:jc w:val="right"/>
              <w:rPr>
                <w:sz w:val="18"/>
                <w:lang w:val="es-ES_tradnl"/>
              </w:rPr>
            </w:pPr>
            <w:r w:rsidRPr="00B70FD1">
              <w:rPr>
                <w:sz w:val="18"/>
                <w:lang w:val="es-ES_tradnl"/>
              </w:rPr>
              <w:t>108,0</w:t>
            </w:r>
          </w:p>
        </w:tc>
        <w:tc>
          <w:tcPr>
            <w:tcW w:w="1101" w:type="dxa"/>
            <w:tcBorders>
              <w:bottom w:val="single" w:sz="12" w:space="0" w:color="auto"/>
            </w:tcBorders>
            <w:shd w:val="clear" w:color="auto" w:fill="auto"/>
            <w:vAlign w:val="bottom"/>
          </w:tcPr>
          <w:p w:rsidR="00D74294" w:rsidRPr="00B70FD1" w:rsidRDefault="00D74294" w:rsidP="00B70FD1">
            <w:pPr>
              <w:pStyle w:val="SingleTxtG"/>
              <w:spacing w:before="40" w:after="40" w:line="220" w:lineRule="exact"/>
              <w:ind w:left="113" w:right="28"/>
              <w:jc w:val="right"/>
              <w:rPr>
                <w:sz w:val="18"/>
                <w:lang w:val="es-ES_tradnl"/>
              </w:rPr>
            </w:pPr>
            <w:r w:rsidRPr="00B70FD1">
              <w:rPr>
                <w:sz w:val="18"/>
                <w:lang w:val="es-ES_tradnl"/>
              </w:rPr>
              <w:t>92,7</w:t>
            </w:r>
          </w:p>
        </w:tc>
        <w:tc>
          <w:tcPr>
            <w:tcW w:w="1449" w:type="dxa"/>
            <w:tcBorders>
              <w:bottom w:val="single" w:sz="12" w:space="0" w:color="auto"/>
            </w:tcBorders>
            <w:shd w:val="clear" w:color="auto" w:fill="auto"/>
            <w:vAlign w:val="bottom"/>
          </w:tcPr>
          <w:p w:rsidR="00D74294" w:rsidRPr="00B70FD1" w:rsidRDefault="00D74294" w:rsidP="00B70FD1">
            <w:pPr>
              <w:pStyle w:val="SingleTxtG"/>
              <w:spacing w:before="40" w:after="40" w:line="220" w:lineRule="exact"/>
              <w:ind w:left="113" w:right="28"/>
              <w:jc w:val="right"/>
              <w:rPr>
                <w:sz w:val="18"/>
                <w:lang w:val="es-ES_tradnl"/>
              </w:rPr>
            </w:pPr>
            <w:r w:rsidRPr="00B70FD1">
              <w:rPr>
                <w:sz w:val="18"/>
                <w:lang w:val="es-ES_tradnl"/>
              </w:rPr>
              <w:t>98,1</w:t>
            </w:r>
          </w:p>
        </w:tc>
      </w:tr>
    </w:tbl>
    <w:p w:rsidR="00D74294" w:rsidRPr="0085715B" w:rsidRDefault="00D74294" w:rsidP="0085715B">
      <w:pPr>
        <w:pStyle w:val="SingleTxtG"/>
        <w:spacing w:before="120" w:after="240"/>
        <w:ind w:firstLine="170"/>
        <w:jc w:val="left"/>
        <w:rPr>
          <w:sz w:val="18"/>
        </w:rPr>
      </w:pPr>
      <w:r w:rsidRPr="0085715B">
        <w:rPr>
          <w:i/>
          <w:iCs/>
          <w:sz w:val="18"/>
        </w:rPr>
        <w:t>Fuente:</w:t>
      </w:r>
      <w:r w:rsidR="0085715B" w:rsidRPr="0085715B">
        <w:rPr>
          <w:sz w:val="18"/>
        </w:rPr>
        <w:t xml:space="preserve"> </w:t>
      </w:r>
      <w:r w:rsidRPr="0085715B">
        <w:rPr>
          <w:sz w:val="18"/>
        </w:rPr>
        <w:t xml:space="preserve">Ministerio de Planificación del Desarrollo y Estadísticas. </w:t>
      </w:r>
      <w:r w:rsidR="00B813F6">
        <w:rPr>
          <w:i/>
          <w:iCs/>
          <w:sz w:val="18"/>
        </w:rPr>
        <w:t>La educación en Qatar: sinopsis </w:t>
      </w:r>
      <w:r w:rsidRPr="0085715B">
        <w:rPr>
          <w:i/>
          <w:iCs/>
          <w:sz w:val="18"/>
        </w:rPr>
        <w:t>estadística, 2017</w:t>
      </w:r>
      <w:r w:rsidRPr="0085715B">
        <w:rPr>
          <w:sz w:val="18"/>
        </w:rPr>
        <w:t xml:space="preserve">; Ministerio de Planificación del Desarrollo y Estadísticas. </w:t>
      </w:r>
      <w:r w:rsidR="00B813F6">
        <w:rPr>
          <w:i/>
          <w:iCs/>
          <w:sz w:val="18"/>
        </w:rPr>
        <w:t>Capítulo sobre </w:t>
      </w:r>
      <w:r w:rsidRPr="0085715B">
        <w:rPr>
          <w:i/>
          <w:iCs/>
          <w:sz w:val="18"/>
        </w:rPr>
        <w:t>educación</w:t>
      </w:r>
      <w:r w:rsidR="00B70FD1">
        <w:rPr>
          <w:sz w:val="18"/>
        </w:rPr>
        <w:t>, 2015/</w:t>
      </w:r>
      <w:r w:rsidRPr="0085715B">
        <w:rPr>
          <w:sz w:val="18"/>
        </w:rPr>
        <w:t>16 y 2016</w:t>
      </w:r>
      <w:r w:rsidR="00580CD8">
        <w:rPr>
          <w:sz w:val="18"/>
        </w:rPr>
        <w:t>/</w:t>
      </w:r>
      <w:r w:rsidRPr="0085715B">
        <w:rPr>
          <w:sz w:val="18"/>
        </w:rPr>
        <w:t>17.</w:t>
      </w:r>
    </w:p>
    <w:p w:rsidR="00D74294" w:rsidRPr="00D74294" w:rsidRDefault="0085715B" w:rsidP="0085715B">
      <w:pPr>
        <w:pStyle w:val="H23G"/>
      </w:pPr>
      <w:r>
        <w:tab/>
      </w:r>
      <w:r w:rsidR="00D74294" w:rsidRPr="00D74294">
        <w:tab/>
        <w:t>Personal docente en la etapa secundaria</w:t>
      </w:r>
    </w:p>
    <w:p w:rsidR="00D74294" w:rsidRPr="00D74294" w:rsidRDefault="00D74294" w:rsidP="00D74294">
      <w:pPr>
        <w:pStyle w:val="SingleTxtG"/>
      </w:pPr>
      <w:r w:rsidRPr="00D74294">
        <w:t>26.</w:t>
      </w:r>
      <w:r w:rsidRPr="00D74294">
        <w:tab/>
        <w:t>El número de docentes en la etapa secundaria aument</w:t>
      </w:r>
      <w:r w:rsidR="008E5789">
        <w:t>ó de 4.392 docentes en el curso </w:t>
      </w:r>
      <w:r w:rsidRPr="00D74294">
        <w:t>2010/11 a 4.902 en el 2015/16, de los cuales el 14 % eran qataríes y el 86 %</w:t>
      </w:r>
      <w:r w:rsidR="00580CD8">
        <w:t xml:space="preserve"> no qataríes. En el curso 2015/</w:t>
      </w:r>
      <w:r w:rsidRPr="00D74294">
        <w:t>16, el número total de profesores y profesoras en las escuelas masculinas fue de 1.691 y, en las escuelas femeninas, de 1.652. En las escuelas mixtas el número de profesores y profesoras fue de 1.559.</w:t>
      </w:r>
    </w:p>
    <w:p w:rsidR="00D74294" w:rsidRPr="00D74294" w:rsidRDefault="0085715B" w:rsidP="0085715B">
      <w:pPr>
        <w:pStyle w:val="H23G"/>
      </w:pPr>
      <w:r>
        <w:tab/>
      </w:r>
      <w:r w:rsidR="00D74294" w:rsidRPr="00D74294">
        <w:tab/>
        <w:t>Tasas brutas y netas de matriculación</w:t>
      </w:r>
    </w:p>
    <w:p w:rsidR="00D74294" w:rsidRPr="00D74294" w:rsidRDefault="00D74294" w:rsidP="00D74294">
      <w:pPr>
        <w:pStyle w:val="SingleTxtG"/>
      </w:pPr>
      <w:r w:rsidRPr="00D74294">
        <w:t>27.</w:t>
      </w:r>
      <w:r w:rsidRPr="00D74294">
        <w:tab/>
        <w:t>En el curso 2016/17, la tasa bruta de matriculación</w:t>
      </w:r>
      <w:r w:rsidR="008E5789">
        <w:t xml:space="preserve"> en la etapa secundaria fue del </w:t>
      </w:r>
      <w:r w:rsidRPr="00D74294">
        <w:t>104,1 para los hombres y del 102,6 para las mujer</w:t>
      </w:r>
      <w:r w:rsidR="006B559A">
        <w:t xml:space="preserve">es, con una tasa de paridad del </w:t>
      </w:r>
      <w:r w:rsidRPr="00D74294">
        <w:t>103,4</w:t>
      </w:r>
      <w:r w:rsidR="008E5789">
        <w:t> </w:t>
      </w:r>
      <w:r w:rsidRPr="00D74294">
        <w:t>%. Asimismo, en 2016/17, la tasa neta de matriculac</w:t>
      </w:r>
      <w:r w:rsidR="006B559A">
        <w:t xml:space="preserve">ión de los hombres fue del </w:t>
      </w:r>
      <w:r w:rsidR="008E5789">
        <w:t xml:space="preserve">84,8 </w:t>
      </w:r>
      <w:r w:rsidRPr="00D74294">
        <w:t>y la de las mujeres del 84,8, con una tasa de paridad del 100</w:t>
      </w:r>
      <w:r w:rsidR="008E5789">
        <w:t xml:space="preserve"> </w:t>
      </w:r>
      <w:r w:rsidRPr="00D74294">
        <w:t>%.</w:t>
      </w:r>
    </w:p>
    <w:p w:rsidR="00D74294" w:rsidRDefault="0085715B" w:rsidP="0085715B">
      <w:pPr>
        <w:pStyle w:val="H23G"/>
      </w:pPr>
      <w:r w:rsidRPr="0085715B">
        <w:rPr>
          <w:b w:val="0"/>
        </w:rPr>
        <w:tab/>
      </w:r>
      <w:r w:rsidRPr="0085715B">
        <w:rPr>
          <w:b w:val="0"/>
        </w:rPr>
        <w:tab/>
        <w:t>Cuadro 11</w:t>
      </w:r>
      <w:r w:rsidRPr="0085715B">
        <w:rPr>
          <w:b w:val="0"/>
        </w:rPr>
        <w:br/>
      </w:r>
      <w:r w:rsidR="00D74294" w:rsidRPr="00D74294">
        <w:t>Tasas bruta y neta de matriculación en la etapa secundaria, por naci</w:t>
      </w:r>
      <w:r w:rsidR="002F5021">
        <w:t>onalidad, para los cursos 2010/11 a 2016/</w:t>
      </w:r>
      <w:r w:rsidR="00D74294" w:rsidRPr="00D74294">
        <w:t>17</w:t>
      </w:r>
    </w:p>
    <w:tbl>
      <w:tblPr>
        <w:tblStyle w:val="TableElegant11"/>
        <w:tblW w:w="7370" w:type="dxa"/>
        <w:tblInd w:w="113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gridCol w:w="1190"/>
        <w:gridCol w:w="1219"/>
        <w:gridCol w:w="1276"/>
        <w:gridCol w:w="1558"/>
      </w:tblGrid>
      <w:tr w:rsidR="00376619" w:rsidRPr="00B70FD1" w:rsidTr="008E5789">
        <w:trPr>
          <w:cnfStyle w:val="100000000000" w:firstRow="1" w:lastRow="0" w:firstColumn="0" w:lastColumn="0" w:oddVBand="0" w:evenVBand="0" w:oddHBand="0" w:evenHBand="0" w:firstRowFirstColumn="0" w:firstRowLastColumn="0" w:lastRowFirstColumn="0" w:lastRowLastColumn="0"/>
          <w:trHeight w:val="240"/>
          <w:tblHeader/>
        </w:trPr>
        <w:tc>
          <w:tcPr>
            <w:tcW w:w="2127" w:type="dxa"/>
            <w:tcBorders>
              <w:top w:val="single" w:sz="4" w:space="0" w:color="auto"/>
              <w:bottom w:val="nil"/>
            </w:tcBorders>
            <w:shd w:val="clear" w:color="auto" w:fill="auto"/>
          </w:tcPr>
          <w:p w:rsidR="00376619" w:rsidRPr="00B70FD1" w:rsidRDefault="00376619" w:rsidP="00695B94">
            <w:pPr>
              <w:pStyle w:val="SingleTxtG"/>
              <w:spacing w:before="80" w:after="80" w:line="200" w:lineRule="exact"/>
              <w:ind w:left="0" w:right="0"/>
              <w:jc w:val="left"/>
              <w:rPr>
                <w:i/>
                <w:iCs/>
                <w:sz w:val="18"/>
                <w:lang w:val="es-ES_tradnl"/>
              </w:rPr>
            </w:pPr>
          </w:p>
        </w:tc>
        <w:tc>
          <w:tcPr>
            <w:tcW w:w="2409" w:type="dxa"/>
            <w:gridSpan w:val="2"/>
            <w:tcBorders>
              <w:top w:val="single" w:sz="4" w:space="0" w:color="auto"/>
              <w:bottom w:val="single" w:sz="4" w:space="0" w:color="auto"/>
              <w:right w:val="single" w:sz="24" w:space="0" w:color="FFFFFF" w:themeColor="background1"/>
            </w:tcBorders>
            <w:shd w:val="clear" w:color="auto" w:fill="auto"/>
          </w:tcPr>
          <w:p w:rsidR="00376619" w:rsidRPr="00B70FD1" w:rsidRDefault="00376619" w:rsidP="00695B94">
            <w:pPr>
              <w:pStyle w:val="SingleTxtG"/>
              <w:spacing w:before="80" w:after="80" w:line="200" w:lineRule="exact"/>
              <w:ind w:left="0" w:right="0"/>
              <w:jc w:val="center"/>
              <w:rPr>
                <w:i/>
                <w:iCs/>
                <w:sz w:val="16"/>
                <w:lang w:val="es-ES_tradnl"/>
              </w:rPr>
            </w:pPr>
            <w:r w:rsidRPr="00B70FD1">
              <w:rPr>
                <w:i/>
                <w:iCs/>
                <w:caps w:val="0"/>
                <w:sz w:val="16"/>
                <w:lang w:val="es-ES_tradnl"/>
              </w:rPr>
              <w:t>Tasa bruta de matriculación</w:t>
            </w:r>
          </w:p>
        </w:tc>
        <w:tc>
          <w:tcPr>
            <w:tcW w:w="2834" w:type="dxa"/>
            <w:gridSpan w:val="2"/>
            <w:tcBorders>
              <w:top w:val="single" w:sz="4" w:space="0" w:color="auto"/>
              <w:left w:val="single" w:sz="24" w:space="0" w:color="FFFFFF" w:themeColor="background1"/>
              <w:bottom w:val="single" w:sz="4" w:space="0" w:color="auto"/>
            </w:tcBorders>
            <w:shd w:val="clear" w:color="auto" w:fill="auto"/>
            <w:vAlign w:val="bottom"/>
          </w:tcPr>
          <w:p w:rsidR="00376619" w:rsidRPr="00B70FD1" w:rsidRDefault="00376619" w:rsidP="00695B94">
            <w:pPr>
              <w:pStyle w:val="SingleTxtG"/>
              <w:spacing w:before="80" w:after="80" w:line="200" w:lineRule="exact"/>
              <w:ind w:left="0" w:right="0"/>
              <w:jc w:val="center"/>
              <w:rPr>
                <w:i/>
                <w:iCs/>
                <w:caps w:val="0"/>
                <w:sz w:val="16"/>
                <w:lang w:val="es-ES_tradnl"/>
              </w:rPr>
            </w:pPr>
            <w:r w:rsidRPr="00B70FD1">
              <w:rPr>
                <w:i/>
                <w:iCs/>
                <w:caps w:val="0"/>
                <w:sz w:val="16"/>
                <w:lang w:val="es-ES_tradnl"/>
              </w:rPr>
              <w:t>Tasa neta de matriculación</w:t>
            </w:r>
          </w:p>
        </w:tc>
      </w:tr>
      <w:tr w:rsidR="00376619" w:rsidRPr="00B70FD1" w:rsidTr="008E5789">
        <w:trPr>
          <w:cnfStyle w:val="100000000000" w:firstRow="1" w:lastRow="0" w:firstColumn="0" w:lastColumn="0" w:oddVBand="0" w:evenVBand="0" w:oddHBand="0" w:evenHBand="0" w:firstRowFirstColumn="0" w:firstRowLastColumn="0" w:lastRowFirstColumn="0" w:lastRowLastColumn="0"/>
          <w:trHeight w:val="240"/>
          <w:tblHeader/>
        </w:trPr>
        <w:tc>
          <w:tcPr>
            <w:tcW w:w="2127" w:type="dxa"/>
            <w:tcBorders>
              <w:top w:val="nil"/>
              <w:bottom w:val="single" w:sz="12" w:space="0" w:color="auto"/>
            </w:tcBorders>
            <w:shd w:val="clear" w:color="auto" w:fill="auto"/>
          </w:tcPr>
          <w:p w:rsidR="00376619" w:rsidRPr="00B70FD1" w:rsidRDefault="00376619" w:rsidP="00695B94">
            <w:pPr>
              <w:pStyle w:val="SingleTxtG"/>
              <w:spacing w:before="80" w:after="80" w:line="200" w:lineRule="exact"/>
              <w:ind w:left="0" w:right="0"/>
              <w:jc w:val="left"/>
              <w:rPr>
                <w:i/>
                <w:iCs/>
                <w:sz w:val="18"/>
                <w:lang w:val="es-ES_tradnl"/>
              </w:rPr>
            </w:pPr>
            <w:r w:rsidRPr="00B70FD1">
              <w:rPr>
                <w:i/>
                <w:iCs/>
                <w:caps w:val="0"/>
                <w:sz w:val="18"/>
                <w:lang w:val="es-ES_tradnl"/>
              </w:rPr>
              <w:t>Curso académico</w:t>
            </w:r>
          </w:p>
        </w:tc>
        <w:tc>
          <w:tcPr>
            <w:tcW w:w="1190" w:type="dxa"/>
            <w:tcBorders>
              <w:top w:val="single" w:sz="4" w:space="0" w:color="auto"/>
              <w:bottom w:val="single" w:sz="12" w:space="0" w:color="auto"/>
            </w:tcBorders>
            <w:shd w:val="clear" w:color="auto" w:fill="auto"/>
          </w:tcPr>
          <w:p w:rsidR="00376619" w:rsidRPr="00B70FD1" w:rsidRDefault="00376619" w:rsidP="00C3191F">
            <w:pPr>
              <w:pStyle w:val="SingleTxtG"/>
              <w:spacing w:before="80" w:after="80" w:line="200" w:lineRule="exact"/>
              <w:ind w:left="113" w:right="28"/>
              <w:jc w:val="right"/>
              <w:rPr>
                <w:i/>
                <w:iCs/>
                <w:sz w:val="16"/>
                <w:lang w:val="es-ES_tradnl"/>
              </w:rPr>
            </w:pPr>
            <w:r w:rsidRPr="00B70FD1">
              <w:rPr>
                <w:i/>
                <w:iCs/>
                <w:caps w:val="0"/>
                <w:sz w:val="16"/>
                <w:lang w:val="es-ES_tradnl"/>
              </w:rPr>
              <w:t>Qataríes</w:t>
            </w:r>
          </w:p>
        </w:tc>
        <w:tc>
          <w:tcPr>
            <w:tcW w:w="1219" w:type="dxa"/>
            <w:tcBorders>
              <w:top w:val="single" w:sz="4" w:space="0" w:color="auto"/>
              <w:bottom w:val="single" w:sz="12" w:space="0" w:color="auto"/>
              <w:right w:val="single" w:sz="24" w:space="0" w:color="FFFFFF" w:themeColor="background1"/>
            </w:tcBorders>
            <w:shd w:val="clear" w:color="auto" w:fill="auto"/>
            <w:vAlign w:val="bottom"/>
          </w:tcPr>
          <w:p w:rsidR="00376619" w:rsidRPr="00B70FD1" w:rsidRDefault="00376619" w:rsidP="00C3191F">
            <w:pPr>
              <w:pStyle w:val="SingleTxtG"/>
              <w:spacing w:before="80" w:after="80" w:line="200" w:lineRule="exact"/>
              <w:ind w:left="113" w:right="28"/>
              <w:jc w:val="right"/>
              <w:rPr>
                <w:i/>
                <w:iCs/>
                <w:sz w:val="16"/>
                <w:lang w:val="es-ES_tradnl"/>
              </w:rPr>
            </w:pPr>
            <w:r w:rsidRPr="00B70FD1">
              <w:rPr>
                <w:i/>
                <w:iCs/>
                <w:caps w:val="0"/>
                <w:sz w:val="16"/>
                <w:lang w:val="es-ES_tradnl"/>
              </w:rPr>
              <w:t>No qataríes</w:t>
            </w:r>
          </w:p>
        </w:tc>
        <w:tc>
          <w:tcPr>
            <w:tcW w:w="1276" w:type="dxa"/>
            <w:tcBorders>
              <w:top w:val="single" w:sz="4" w:space="0" w:color="auto"/>
              <w:left w:val="single" w:sz="24" w:space="0" w:color="FFFFFF" w:themeColor="background1"/>
              <w:bottom w:val="single" w:sz="12" w:space="0" w:color="auto"/>
            </w:tcBorders>
            <w:shd w:val="clear" w:color="auto" w:fill="auto"/>
            <w:vAlign w:val="bottom"/>
          </w:tcPr>
          <w:p w:rsidR="00376619" w:rsidRPr="00B70FD1" w:rsidRDefault="00376619" w:rsidP="00C3191F">
            <w:pPr>
              <w:pStyle w:val="SingleTxtG"/>
              <w:spacing w:before="80" w:after="80" w:line="200" w:lineRule="exact"/>
              <w:ind w:left="113" w:right="28"/>
              <w:jc w:val="right"/>
              <w:rPr>
                <w:i/>
                <w:iCs/>
                <w:sz w:val="16"/>
                <w:lang w:val="es-ES_tradnl"/>
              </w:rPr>
            </w:pPr>
            <w:r w:rsidRPr="00B70FD1">
              <w:rPr>
                <w:i/>
                <w:iCs/>
                <w:caps w:val="0"/>
                <w:sz w:val="16"/>
                <w:lang w:val="es-ES_tradnl"/>
              </w:rPr>
              <w:t>Qataríes</w:t>
            </w:r>
          </w:p>
        </w:tc>
        <w:tc>
          <w:tcPr>
            <w:tcW w:w="1558" w:type="dxa"/>
            <w:tcBorders>
              <w:top w:val="single" w:sz="4" w:space="0" w:color="auto"/>
              <w:bottom w:val="single" w:sz="12" w:space="0" w:color="auto"/>
            </w:tcBorders>
            <w:shd w:val="clear" w:color="auto" w:fill="auto"/>
            <w:vAlign w:val="bottom"/>
          </w:tcPr>
          <w:p w:rsidR="00376619" w:rsidRPr="00B70FD1" w:rsidRDefault="00376619" w:rsidP="00C3191F">
            <w:pPr>
              <w:pStyle w:val="SingleTxtG"/>
              <w:spacing w:before="80" w:after="80" w:line="200" w:lineRule="exact"/>
              <w:ind w:left="113" w:right="28"/>
              <w:jc w:val="right"/>
              <w:rPr>
                <w:i/>
                <w:iCs/>
                <w:caps w:val="0"/>
                <w:sz w:val="16"/>
                <w:lang w:val="es-ES_tradnl"/>
              </w:rPr>
            </w:pPr>
            <w:r w:rsidRPr="00B70FD1">
              <w:rPr>
                <w:i/>
                <w:iCs/>
                <w:caps w:val="0"/>
                <w:sz w:val="16"/>
                <w:lang w:val="es-ES_tradnl"/>
              </w:rPr>
              <w:t>No qataríes</w:t>
            </w:r>
          </w:p>
        </w:tc>
      </w:tr>
      <w:tr w:rsidR="002F5021" w:rsidRPr="00B70FD1" w:rsidTr="008E5789">
        <w:trPr>
          <w:trHeight w:val="240"/>
        </w:trPr>
        <w:tc>
          <w:tcPr>
            <w:tcW w:w="2127" w:type="dxa"/>
            <w:tcBorders>
              <w:top w:val="single" w:sz="12" w:space="0" w:color="auto"/>
            </w:tcBorders>
            <w:shd w:val="clear" w:color="auto" w:fill="auto"/>
          </w:tcPr>
          <w:p w:rsidR="002F5021" w:rsidRPr="001F308D" w:rsidRDefault="002F5021" w:rsidP="002F5021">
            <w:pPr>
              <w:pStyle w:val="SingleTxtG"/>
              <w:spacing w:before="40" w:after="40" w:line="220" w:lineRule="exact"/>
              <w:ind w:left="0" w:right="0"/>
              <w:jc w:val="left"/>
              <w:rPr>
                <w:sz w:val="18"/>
                <w:szCs w:val="18"/>
                <w:lang w:val="es-ES_tradnl"/>
              </w:rPr>
            </w:pPr>
            <w:r w:rsidRPr="001F308D">
              <w:rPr>
                <w:sz w:val="18"/>
              </w:rPr>
              <w:t>2010/11</w:t>
            </w:r>
          </w:p>
        </w:tc>
        <w:tc>
          <w:tcPr>
            <w:tcW w:w="1190" w:type="dxa"/>
            <w:tcBorders>
              <w:top w:val="single" w:sz="12" w:space="0" w:color="auto"/>
            </w:tcBorders>
            <w:shd w:val="clear" w:color="auto" w:fill="auto"/>
          </w:tcPr>
          <w:p w:rsidR="002F5021" w:rsidRPr="0085715B" w:rsidRDefault="002F5021" w:rsidP="002F5021">
            <w:pPr>
              <w:pStyle w:val="SingleTxtG"/>
              <w:spacing w:before="40" w:after="40" w:line="220" w:lineRule="exact"/>
              <w:ind w:left="0" w:right="28"/>
              <w:jc w:val="right"/>
              <w:rPr>
                <w:sz w:val="18"/>
              </w:rPr>
            </w:pPr>
            <w:r w:rsidRPr="0085715B">
              <w:rPr>
                <w:sz w:val="18"/>
                <w:lang w:val="en-US"/>
              </w:rPr>
              <w:t>96,0</w:t>
            </w:r>
          </w:p>
        </w:tc>
        <w:tc>
          <w:tcPr>
            <w:tcW w:w="1219" w:type="dxa"/>
            <w:tcBorders>
              <w:top w:val="single" w:sz="12" w:space="0" w:color="auto"/>
            </w:tcBorders>
            <w:shd w:val="clear" w:color="auto" w:fill="auto"/>
            <w:vAlign w:val="bottom"/>
          </w:tcPr>
          <w:p w:rsidR="002F5021" w:rsidRPr="0085715B" w:rsidRDefault="002F5021" w:rsidP="002F5021">
            <w:pPr>
              <w:pStyle w:val="SingleTxtG"/>
              <w:spacing w:before="40" w:after="40" w:line="220" w:lineRule="exact"/>
              <w:ind w:left="113" w:right="28"/>
              <w:jc w:val="right"/>
              <w:rPr>
                <w:sz w:val="18"/>
              </w:rPr>
            </w:pPr>
            <w:r w:rsidRPr="0085715B">
              <w:rPr>
                <w:sz w:val="18"/>
                <w:lang w:val="en-US"/>
              </w:rPr>
              <w:t>99,4</w:t>
            </w:r>
          </w:p>
        </w:tc>
        <w:tc>
          <w:tcPr>
            <w:tcW w:w="1276" w:type="dxa"/>
            <w:tcBorders>
              <w:top w:val="single" w:sz="12" w:space="0" w:color="auto"/>
            </w:tcBorders>
            <w:shd w:val="clear" w:color="auto" w:fill="auto"/>
            <w:vAlign w:val="bottom"/>
          </w:tcPr>
          <w:p w:rsidR="002F5021" w:rsidRPr="0085715B" w:rsidRDefault="002F5021" w:rsidP="002F5021">
            <w:pPr>
              <w:pStyle w:val="SingleTxtG"/>
              <w:spacing w:before="40" w:after="40" w:line="220" w:lineRule="exact"/>
              <w:ind w:left="113" w:right="28"/>
              <w:jc w:val="right"/>
              <w:rPr>
                <w:sz w:val="18"/>
              </w:rPr>
            </w:pPr>
            <w:r w:rsidRPr="0085715B">
              <w:rPr>
                <w:sz w:val="18"/>
                <w:lang w:val="en-US"/>
              </w:rPr>
              <w:t>77,8</w:t>
            </w:r>
          </w:p>
        </w:tc>
        <w:tc>
          <w:tcPr>
            <w:tcW w:w="1558" w:type="dxa"/>
            <w:tcBorders>
              <w:top w:val="single" w:sz="12" w:space="0" w:color="auto"/>
            </w:tcBorders>
            <w:shd w:val="clear" w:color="auto" w:fill="auto"/>
            <w:vAlign w:val="bottom"/>
          </w:tcPr>
          <w:p w:rsidR="002F5021" w:rsidRPr="0085715B" w:rsidRDefault="002F5021" w:rsidP="002F5021">
            <w:pPr>
              <w:pStyle w:val="SingleTxtG"/>
              <w:spacing w:before="40" w:after="40" w:line="220" w:lineRule="exact"/>
              <w:ind w:left="113" w:right="28"/>
              <w:jc w:val="right"/>
              <w:rPr>
                <w:sz w:val="18"/>
              </w:rPr>
            </w:pPr>
            <w:r w:rsidRPr="0085715B">
              <w:rPr>
                <w:sz w:val="18"/>
                <w:lang w:val="en-US"/>
              </w:rPr>
              <w:t>82,0</w:t>
            </w:r>
          </w:p>
        </w:tc>
      </w:tr>
      <w:tr w:rsidR="002F5021" w:rsidRPr="00B70FD1" w:rsidTr="008E5789">
        <w:trPr>
          <w:trHeight w:val="240"/>
        </w:trPr>
        <w:tc>
          <w:tcPr>
            <w:tcW w:w="2127" w:type="dxa"/>
            <w:shd w:val="clear" w:color="auto" w:fill="auto"/>
          </w:tcPr>
          <w:p w:rsidR="002F5021" w:rsidRPr="001F308D" w:rsidRDefault="002F5021" w:rsidP="002F5021">
            <w:pPr>
              <w:pStyle w:val="SingleTxtG"/>
              <w:spacing w:before="40" w:after="40" w:line="220" w:lineRule="exact"/>
              <w:ind w:left="0" w:right="0"/>
              <w:jc w:val="left"/>
              <w:rPr>
                <w:sz w:val="18"/>
                <w:szCs w:val="18"/>
                <w:lang w:val="es-ES_tradnl"/>
              </w:rPr>
            </w:pPr>
            <w:r w:rsidRPr="001F308D">
              <w:rPr>
                <w:sz w:val="18"/>
              </w:rPr>
              <w:t>2011/12</w:t>
            </w:r>
          </w:p>
        </w:tc>
        <w:tc>
          <w:tcPr>
            <w:tcW w:w="1190" w:type="dxa"/>
            <w:shd w:val="clear" w:color="auto" w:fill="auto"/>
          </w:tcPr>
          <w:p w:rsidR="002F5021" w:rsidRPr="0085715B" w:rsidRDefault="002F5021" w:rsidP="002F5021">
            <w:pPr>
              <w:pStyle w:val="SingleTxtG"/>
              <w:spacing w:before="40" w:after="40" w:line="220" w:lineRule="exact"/>
              <w:ind w:left="0" w:right="28"/>
              <w:jc w:val="right"/>
              <w:rPr>
                <w:sz w:val="18"/>
              </w:rPr>
            </w:pPr>
            <w:r w:rsidRPr="0085715B">
              <w:rPr>
                <w:sz w:val="18"/>
                <w:lang w:val="en-US"/>
              </w:rPr>
              <w:t>98,7</w:t>
            </w:r>
          </w:p>
        </w:tc>
        <w:tc>
          <w:tcPr>
            <w:tcW w:w="1219" w:type="dxa"/>
            <w:shd w:val="clear" w:color="auto" w:fill="auto"/>
            <w:vAlign w:val="bottom"/>
          </w:tcPr>
          <w:p w:rsidR="002F5021" w:rsidRPr="0085715B" w:rsidRDefault="002F5021" w:rsidP="002F5021">
            <w:pPr>
              <w:pStyle w:val="SingleTxtG"/>
              <w:spacing w:before="40" w:after="40" w:line="220" w:lineRule="exact"/>
              <w:ind w:left="113" w:right="28"/>
              <w:jc w:val="right"/>
              <w:rPr>
                <w:sz w:val="18"/>
              </w:rPr>
            </w:pPr>
            <w:r w:rsidRPr="0085715B">
              <w:rPr>
                <w:sz w:val="18"/>
                <w:lang w:val="en-US"/>
              </w:rPr>
              <w:t>96,1</w:t>
            </w:r>
          </w:p>
        </w:tc>
        <w:tc>
          <w:tcPr>
            <w:tcW w:w="1276" w:type="dxa"/>
            <w:shd w:val="clear" w:color="auto" w:fill="auto"/>
            <w:vAlign w:val="bottom"/>
          </w:tcPr>
          <w:p w:rsidR="002F5021" w:rsidRPr="0085715B" w:rsidRDefault="002F5021" w:rsidP="002F5021">
            <w:pPr>
              <w:pStyle w:val="SingleTxtG"/>
              <w:spacing w:before="40" w:after="40" w:line="220" w:lineRule="exact"/>
              <w:ind w:left="113" w:right="28"/>
              <w:jc w:val="right"/>
              <w:rPr>
                <w:sz w:val="18"/>
              </w:rPr>
            </w:pPr>
            <w:r w:rsidRPr="0085715B">
              <w:rPr>
                <w:sz w:val="18"/>
                <w:lang w:val="en-US"/>
              </w:rPr>
              <w:t>80,8</w:t>
            </w:r>
          </w:p>
        </w:tc>
        <w:tc>
          <w:tcPr>
            <w:tcW w:w="1558" w:type="dxa"/>
            <w:shd w:val="clear" w:color="auto" w:fill="auto"/>
            <w:vAlign w:val="bottom"/>
          </w:tcPr>
          <w:p w:rsidR="002F5021" w:rsidRPr="0085715B" w:rsidRDefault="002F5021" w:rsidP="002F5021">
            <w:pPr>
              <w:pStyle w:val="SingleTxtG"/>
              <w:spacing w:before="40" w:after="40" w:line="220" w:lineRule="exact"/>
              <w:ind w:left="113" w:right="28"/>
              <w:jc w:val="right"/>
              <w:rPr>
                <w:sz w:val="18"/>
              </w:rPr>
            </w:pPr>
            <w:r w:rsidRPr="0085715B">
              <w:rPr>
                <w:sz w:val="18"/>
                <w:lang w:val="en-US"/>
              </w:rPr>
              <w:t>79,3</w:t>
            </w:r>
          </w:p>
        </w:tc>
      </w:tr>
      <w:tr w:rsidR="002F5021" w:rsidRPr="00B70FD1" w:rsidTr="008E5789">
        <w:trPr>
          <w:trHeight w:val="240"/>
        </w:trPr>
        <w:tc>
          <w:tcPr>
            <w:tcW w:w="2127" w:type="dxa"/>
            <w:shd w:val="clear" w:color="auto" w:fill="auto"/>
          </w:tcPr>
          <w:p w:rsidR="002F5021" w:rsidRPr="001F308D" w:rsidRDefault="002F5021" w:rsidP="002F5021">
            <w:pPr>
              <w:pStyle w:val="SingleTxtG"/>
              <w:spacing w:before="40" w:after="40" w:line="220" w:lineRule="exact"/>
              <w:ind w:left="0" w:right="0"/>
              <w:jc w:val="left"/>
              <w:rPr>
                <w:sz w:val="18"/>
                <w:szCs w:val="18"/>
                <w:lang w:val="es-ES_tradnl"/>
              </w:rPr>
            </w:pPr>
            <w:r w:rsidRPr="001F308D">
              <w:rPr>
                <w:sz w:val="18"/>
              </w:rPr>
              <w:t>2012/13</w:t>
            </w:r>
          </w:p>
        </w:tc>
        <w:tc>
          <w:tcPr>
            <w:tcW w:w="1190" w:type="dxa"/>
            <w:shd w:val="clear" w:color="auto" w:fill="auto"/>
          </w:tcPr>
          <w:p w:rsidR="002F5021" w:rsidRPr="0085715B" w:rsidRDefault="002F5021" w:rsidP="002F5021">
            <w:pPr>
              <w:pStyle w:val="SingleTxtG"/>
              <w:spacing w:before="40" w:after="40" w:line="220" w:lineRule="exact"/>
              <w:ind w:left="0" w:right="28"/>
              <w:jc w:val="right"/>
              <w:rPr>
                <w:sz w:val="18"/>
              </w:rPr>
            </w:pPr>
            <w:r w:rsidRPr="0085715B">
              <w:rPr>
                <w:sz w:val="18"/>
                <w:lang w:val="en-US"/>
              </w:rPr>
              <w:t>98,3</w:t>
            </w:r>
          </w:p>
        </w:tc>
        <w:tc>
          <w:tcPr>
            <w:tcW w:w="1219" w:type="dxa"/>
            <w:shd w:val="clear" w:color="auto" w:fill="auto"/>
            <w:vAlign w:val="bottom"/>
          </w:tcPr>
          <w:p w:rsidR="002F5021" w:rsidRPr="0085715B" w:rsidRDefault="002F5021" w:rsidP="002F5021">
            <w:pPr>
              <w:pStyle w:val="SingleTxtG"/>
              <w:spacing w:before="40" w:after="40" w:line="220" w:lineRule="exact"/>
              <w:ind w:left="113" w:right="28"/>
              <w:jc w:val="right"/>
              <w:rPr>
                <w:sz w:val="18"/>
              </w:rPr>
            </w:pPr>
            <w:r w:rsidRPr="0085715B">
              <w:rPr>
                <w:sz w:val="18"/>
                <w:lang w:val="en-US"/>
              </w:rPr>
              <w:t>100,0</w:t>
            </w:r>
          </w:p>
        </w:tc>
        <w:tc>
          <w:tcPr>
            <w:tcW w:w="1276" w:type="dxa"/>
            <w:shd w:val="clear" w:color="auto" w:fill="auto"/>
            <w:vAlign w:val="bottom"/>
          </w:tcPr>
          <w:p w:rsidR="002F5021" w:rsidRPr="0085715B" w:rsidRDefault="002F5021" w:rsidP="002F5021">
            <w:pPr>
              <w:pStyle w:val="SingleTxtG"/>
              <w:spacing w:before="40" w:after="40" w:line="220" w:lineRule="exact"/>
              <w:ind w:left="113" w:right="28"/>
              <w:jc w:val="right"/>
              <w:rPr>
                <w:sz w:val="18"/>
              </w:rPr>
            </w:pPr>
            <w:r w:rsidRPr="0085715B">
              <w:rPr>
                <w:sz w:val="18"/>
                <w:lang w:val="en-US"/>
              </w:rPr>
              <w:t>81,3</w:t>
            </w:r>
          </w:p>
        </w:tc>
        <w:tc>
          <w:tcPr>
            <w:tcW w:w="1558" w:type="dxa"/>
            <w:shd w:val="clear" w:color="auto" w:fill="auto"/>
            <w:vAlign w:val="bottom"/>
          </w:tcPr>
          <w:p w:rsidR="002F5021" w:rsidRPr="0085715B" w:rsidRDefault="002F5021" w:rsidP="002F5021">
            <w:pPr>
              <w:pStyle w:val="SingleTxtG"/>
              <w:spacing w:before="40" w:after="40" w:line="220" w:lineRule="exact"/>
              <w:ind w:left="113" w:right="28"/>
              <w:jc w:val="right"/>
              <w:rPr>
                <w:sz w:val="18"/>
              </w:rPr>
            </w:pPr>
            <w:r w:rsidRPr="0085715B">
              <w:rPr>
                <w:sz w:val="18"/>
                <w:lang w:val="en-US"/>
              </w:rPr>
              <w:t>82,8</w:t>
            </w:r>
          </w:p>
        </w:tc>
      </w:tr>
      <w:tr w:rsidR="002F5021" w:rsidRPr="00B70FD1" w:rsidTr="008E5789">
        <w:trPr>
          <w:trHeight w:val="240"/>
        </w:trPr>
        <w:tc>
          <w:tcPr>
            <w:tcW w:w="2127" w:type="dxa"/>
            <w:shd w:val="clear" w:color="auto" w:fill="auto"/>
          </w:tcPr>
          <w:p w:rsidR="002F5021" w:rsidRPr="001F308D" w:rsidRDefault="002F5021" w:rsidP="002F5021">
            <w:pPr>
              <w:pStyle w:val="SingleTxtG"/>
              <w:spacing w:before="40" w:after="40" w:line="220" w:lineRule="exact"/>
              <w:ind w:left="0" w:right="0"/>
              <w:jc w:val="left"/>
              <w:rPr>
                <w:sz w:val="18"/>
                <w:szCs w:val="18"/>
                <w:lang w:val="es-ES_tradnl"/>
              </w:rPr>
            </w:pPr>
            <w:r w:rsidRPr="001F308D">
              <w:rPr>
                <w:sz w:val="18"/>
              </w:rPr>
              <w:t>2013/14</w:t>
            </w:r>
          </w:p>
        </w:tc>
        <w:tc>
          <w:tcPr>
            <w:tcW w:w="1190" w:type="dxa"/>
            <w:shd w:val="clear" w:color="auto" w:fill="auto"/>
          </w:tcPr>
          <w:p w:rsidR="002F5021" w:rsidRPr="0085715B" w:rsidRDefault="002F5021" w:rsidP="002F5021">
            <w:pPr>
              <w:pStyle w:val="SingleTxtG"/>
              <w:spacing w:before="40" w:after="40" w:line="220" w:lineRule="exact"/>
              <w:ind w:left="0" w:right="28"/>
              <w:jc w:val="right"/>
              <w:rPr>
                <w:sz w:val="18"/>
              </w:rPr>
            </w:pPr>
            <w:r w:rsidRPr="0085715B">
              <w:rPr>
                <w:sz w:val="18"/>
                <w:lang w:val="en-US"/>
              </w:rPr>
              <w:t>100,1</w:t>
            </w:r>
          </w:p>
        </w:tc>
        <w:tc>
          <w:tcPr>
            <w:tcW w:w="1219" w:type="dxa"/>
            <w:shd w:val="clear" w:color="auto" w:fill="auto"/>
            <w:vAlign w:val="bottom"/>
          </w:tcPr>
          <w:p w:rsidR="002F5021" w:rsidRPr="0085715B" w:rsidRDefault="002F5021" w:rsidP="002F5021">
            <w:pPr>
              <w:pStyle w:val="SingleTxtG"/>
              <w:spacing w:before="40" w:after="40" w:line="220" w:lineRule="exact"/>
              <w:ind w:left="113" w:right="28"/>
              <w:jc w:val="right"/>
              <w:rPr>
                <w:sz w:val="18"/>
              </w:rPr>
            </w:pPr>
            <w:r w:rsidRPr="0085715B">
              <w:rPr>
                <w:sz w:val="18"/>
                <w:lang w:val="en-US"/>
              </w:rPr>
              <w:t>99,0</w:t>
            </w:r>
          </w:p>
        </w:tc>
        <w:tc>
          <w:tcPr>
            <w:tcW w:w="1276" w:type="dxa"/>
            <w:shd w:val="clear" w:color="auto" w:fill="auto"/>
            <w:vAlign w:val="bottom"/>
          </w:tcPr>
          <w:p w:rsidR="002F5021" w:rsidRPr="0085715B" w:rsidRDefault="002F5021" w:rsidP="002F5021">
            <w:pPr>
              <w:pStyle w:val="SingleTxtG"/>
              <w:spacing w:before="40" w:after="40" w:line="220" w:lineRule="exact"/>
              <w:ind w:left="113" w:right="28"/>
              <w:jc w:val="right"/>
              <w:rPr>
                <w:sz w:val="18"/>
              </w:rPr>
            </w:pPr>
            <w:r w:rsidRPr="0085715B">
              <w:rPr>
                <w:sz w:val="18"/>
                <w:lang w:val="en-US"/>
              </w:rPr>
              <w:t>82,5</w:t>
            </w:r>
          </w:p>
        </w:tc>
        <w:tc>
          <w:tcPr>
            <w:tcW w:w="1558" w:type="dxa"/>
            <w:shd w:val="clear" w:color="auto" w:fill="auto"/>
            <w:vAlign w:val="bottom"/>
          </w:tcPr>
          <w:p w:rsidR="002F5021" w:rsidRPr="0085715B" w:rsidRDefault="002F5021" w:rsidP="002F5021">
            <w:pPr>
              <w:pStyle w:val="SingleTxtG"/>
              <w:spacing w:before="40" w:after="40" w:line="220" w:lineRule="exact"/>
              <w:ind w:left="113" w:right="28"/>
              <w:jc w:val="right"/>
              <w:rPr>
                <w:sz w:val="18"/>
              </w:rPr>
            </w:pPr>
            <w:r w:rsidRPr="0085715B">
              <w:rPr>
                <w:sz w:val="18"/>
                <w:lang w:val="en-US"/>
              </w:rPr>
              <w:t>82,0</w:t>
            </w:r>
          </w:p>
        </w:tc>
      </w:tr>
      <w:tr w:rsidR="002F5021" w:rsidRPr="00B70FD1" w:rsidTr="008E5789">
        <w:trPr>
          <w:trHeight w:val="240"/>
        </w:trPr>
        <w:tc>
          <w:tcPr>
            <w:tcW w:w="2127" w:type="dxa"/>
            <w:shd w:val="clear" w:color="auto" w:fill="auto"/>
          </w:tcPr>
          <w:p w:rsidR="002F5021" w:rsidRPr="001F308D" w:rsidRDefault="002F5021" w:rsidP="002F5021">
            <w:pPr>
              <w:pStyle w:val="SingleTxtG"/>
              <w:spacing w:before="40" w:after="40" w:line="220" w:lineRule="exact"/>
              <w:ind w:left="0" w:right="0"/>
              <w:jc w:val="left"/>
              <w:rPr>
                <w:sz w:val="18"/>
                <w:szCs w:val="18"/>
                <w:lang w:val="es-ES_tradnl"/>
              </w:rPr>
            </w:pPr>
            <w:r w:rsidRPr="001F308D">
              <w:rPr>
                <w:sz w:val="18"/>
              </w:rPr>
              <w:t>2014/15</w:t>
            </w:r>
          </w:p>
        </w:tc>
        <w:tc>
          <w:tcPr>
            <w:tcW w:w="1190" w:type="dxa"/>
            <w:shd w:val="clear" w:color="auto" w:fill="auto"/>
          </w:tcPr>
          <w:p w:rsidR="002F5021" w:rsidRPr="0085715B" w:rsidRDefault="002F5021" w:rsidP="002F5021">
            <w:pPr>
              <w:pStyle w:val="SingleTxtG"/>
              <w:spacing w:before="40" w:after="40" w:line="220" w:lineRule="exact"/>
              <w:ind w:left="0" w:right="28"/>
              <w:jc w:val="right"/>
              <w:rPr>
                <w:sz w:val="18"/>
              </w:rPr>
            </w:pPr>
            <w:r w:rsidRPr="0085715B">
              <w:rPr>
                <w:sz w:val="18"/>
                <w:lang w:val="en-US"/>
              </w:rPr>
              <w:t>98,3</w:t>
            </w:r>
          </w:p>
        </w:tc>
        <w:tc>
          <w:tcPr>
            <w:tcW w:w="1219" w:type="dxa"/>
            <w:shd w:val="clear" w:color="auto" w:fill="auto"/>
            <w:vAlign w:val="bottom"/>
          </w:tcPr>
          <w:p w:rsidR="002F5021" w:rsidRPr="0085715B" w:rsidRDefault="002F5021" w:rsidP="002F5021">
            <w:pPr>
              <w:pStyle w:val="SingleTxtG"/>
              <w:spacing w:before="40" w:after="40" w:line="220" w:lineRule="exact"/>
              <w:ind w:left="113" w:right="28"/>
              <w:jc w:val="right"/>
              <w:rPr>
                <w:sz w:val="18"/>
              </w:rPr>
            </w:pPr>
            <w:r w:rsidRPr="0085715B">
              <w:rPr>
                <w:sz w:val="18"/>
                <w:lang w:val="en-US"/>
              </w:rPr>
              <w:t>95,5</w:t>
            </w:r>
          </w:p>
        </w:tc>
        <w:tc>
          <w:tcPr>
            <w:tcW w:w="1276" w:type="dxa"/>
            <w:shd w:val="clear" w:color="auto" w:fill="auto"/>
            <w:vAlign w:val="bottom"/>
          </w:tcPr>
          <w:p w:rsidR="002F5021" w:rsidRPr="0085715B" w:rsidRDefault="002F5021" w:rsidP="002F5021">
            <w:pPr>
              <w:pStyle w:val="SingleTxtG"/>
              <w:spacing w:before="40" w:after="40" w:line="220" w:lineRule="exact"/>
              <w:ind w:left="113" w:right="28"/>
              <w:jc w:val="right"/>
              <w:rPr>
                <w:sz w:val="18"/>
              </w:rPr>
            </w:pPr>
            <w:r w:rsidRPr="0085715B">
              <w:rPr>
                <w:sz w:val="18"/>
                <w:lang w:val="en-US"/>
              </w:rPr>
              <w:t>80,3</w:t>
            </w:r>
          </w:p>
        </w:tc>
        <w:tc>
          <w:tcPr>
            <w:tcW w:w="1558" w:type="dxa"/>
            <w:shd w:val="clear" w:color="auto" w:fill="auto"/>
            <w:vAlign w:val="bottom"/>
          </w:tcPr>
          <w:p w:rsidR="002F5021" w:rsidRPr="0085715B" w:rsidRDefault="002F5021" w:rsidP="002F5021">
            <w:pPr>
              <w:pStyle w:val="SingleTxtG"/>
              <w:spacing w:before="40" w:after="40" w:line="220" w:lineRule="exact"/>
              <w:ind w:left="113" w:right="28"/>
              <w:jc w:val="right"/>
              <w:rPr>
                <w:sz w:val="18"/>
              </w:rPr>
            </w:pPr>
            <w:r w:rsidRPr="0085715B">
              <w:rPr>
                <w:sz w:val="18"/>
                <w:lang w:val="en-US"/>
              </w:rPr>
              <w:t>78,8</w:t>
            </w:r>
          </w:p>
        </w:tc>
      </w:tr>
      <w:tr w:rsidR="002F5021" w:rsidRPr="00B70FD1" w:rsidTr="008E5789">
        <w:trPr>
          <w:trHeight w:val="240"/>
        </w:trPr>
        <w:tc>
          <w:tcPr>
            <w:tcW w:w="2127" w:type="dxa"/>
            <w:shd w:val="clear" w:color="auto" w:fill="auto"/>
          </w:tcPr>
          <w:p w:rsidR="002F5021" w:rsidRPr="001F308D" w:rsidRDefault="002F5021" w:rsidP="002F5021">
            <w:pPr>
              <w:pStyle w:val="SingleTxtG"/>
              <w:spacing w:before="40" w:after="40" w:line="220" w:lineRule="exact"/>
              <w:ind w:left="0" w:right="0"/>
              <w:jc w:val="left"/>
              <w:rPr>
                <w:sz w:val="18"/>
                <w:szCs w:val="18"/>
                <w:lang w:val="es-ES_tradnl"/>
              </w:rPr>
            </w:pPr>
            <w:r w:rsidRPr="001F308D">
              <w:rPr>
                <w:sz w:val="18"/>
              </w:rPr>
              <w:t>2015/16</w:t>
            </w:r>
          </w:p>
        </w:tc>
        <w:tc>
          <w:tcPr>
            <w:tcW w:w="1190" w:type="dxa"/>
            <w:shd w:val="clear" w:color="auto" w:fill="auto"/>
          </w:tcPr>
          <w:p w:rsidR="002F5021" w:rsidRPr="0085715B" w:rsidRDefault="002F5021" w:rsidP="002F5021">
            <w:pPr>
              <w:pStyle w:val="SingleTxtG"/>
              <w:spacing w:before="40" w:after="40" w:line="220" w:lineRule="exact"/>
              <w:ind w:left="0" w:right="28"/>
              <w:jc w:val="right"/>
              <w:rPr>
                <w:sz w:val="18"/>
              </w:rPr>
            </w:pPr>
            <w:r w:rsidRPr="0085715B">
              <w:rPr>
                <w:sz w:val="18"/>
                <w:lang w:val="en-US"/>
              </w:rPr>
              <w:t>100,9</w:t>
            </w:r>
          </w:p>
        </w:tc>
        <w:tc>
          <w:tcPr>
            <w:tcW w:w="1219" w:type="dxa"/>
            <w:shd w:val="clear" w:color="auto" w:fill="auto"/>
            <w:vAlign w:val="bottom"/>
          </w:tcPr>
          <w:p w:rsidR="002F5021" w:rsidRPr="0085715B" w:rsidRDefault="002F5021" w:rsidP="002F5021">
            <w:pPr>
              <w:pStyle w:val="SingleTxtG"/>
              <w:spacing w:before="40" w:after="40" w:line="220" w:lineRule="exact"/>
              <w:ind w:left="113" w:right="28"/>
              <w:jc w:val="right"/>
              <w:rPr>
                <w:sz w:val="18"/>
              </w:rPr>
            </w:pPr>
            <w:r w:rsidRPr="0085715B">
              <w:rPr>
                <w:sz w:val="18"/>
                <w:lang w:val="en-US"/>
              </w:rPr>
              <w:t>95,2</w:t>
            </w:r>
          </w:p>
        </w:tc>
        <w:tc>
          <w:tcPr>
            <w:tcW w:w="1276" w:type="dxa"/>
            <w:shd w:val="clear" w:color="auto" w:fill="auto"/>
            <w:vAlign w:val="bottom"/>
          </w:tcPr>
          <w:p w:rsidR="002F5021" w:rsidRPr="0085715B" w:rsidRDefault="002F5021" w:rsidP="002F5021">
            <w:pPr>
              <w:pStyle w:val="SingleTxtG"/>
              <w:spacing w:before="40" w:after="40" w:line="220" w:lineRule="exact"/>
              <w:ind w:left="113" w:right="28"/>
              <w:jc w:val="right"/>
              <w:rPr>
                <w:sz w:val="18"/>
              </w:rPr>
            </w:pPr>
            <w:r w:rsidRPr="0085715B">
              <w:rPr>
                <w:sz w:val="18"/>
                <w:lang w:val="en-US"/>
              </w:rPr>
              <w:t>83,0</w:t>
            </w:r>
          </w:p>
        </w:tc>
        <w:tc>
          <w:tcPr>
            <w:tcW w:w="1558" w:type="dxa"/>
            <w:shd w:val="clear" w:color="auto" w:fill="auto"/>
            <w:vAlign w:val="bottom"/>
          </w:tcPr>
          <w:p w:rsidR="002F5021" w:rsidRPr="0085715B" w:rsidRDefault="002F5021" w:rsidP="002F5021">
            <w:pPr>
              <w:pStyle w:val="SingleTxtG"/>
              <w:spacing w:before="40" w:after="40" w:line="220" w:lineRule="exact"/>
              <w:ind w:left="113" w:right="28"/>
              <w:jc w:val="right"/>
              <w:rPr>
                <w:sz w:val="18"/>
              </w:rPr>
            </w:pPr>
            <w:r w:rsidRPr="0085715B">
              <w:rPr>
                <w:sz w:val="18"/>
                <w:lang w:val="en-US"/>
              </w:rPr>
              <w:t>79,3</w:t>
            </w:r>
          </w:p>
        </w:tc>
      </w:tr>
      <w:tr w:rsidR="002F5021" w:rsidRPr="00B70FD1" w:rsidTr="008E5789">
        <w:trPr>
          <w:trHeight w:val="240"/>
        </w:trPr>
        <w:tc>
          <w:tcPr>
            <w:tcW w:w="2127" w:type="dxa"/>
            <w:tcBorders>
              <w:bottom w:val="single" w:sz="12" w:space="0" w:color="auto"/>
            </w:tcBorders>
            <w:shd w:val="clear" w:color="auto" w:fill="auto"/>
          </w:tcPr>
          <w:p w:rsidR="002F5021" w:rsidRPr="001F308D" w:rsidRDefault="002F5021" w:rsidP="002F5021">
            <w:pPr>
              <w:pStyle w:val="SingleTxtG"/>
              <w:spacing w:before="40" w:after="40" w:line="220" w:lineRule="exact"/>
              <w:ind w:left="0" w:right="0"/>
              <w:jc w:val="left"/>
              <w:rPr>
                <w:sz w:val="18"/>
                <w:szCs w:val="18"/>
                <w:lang w:val="es-ES_tradnl"/>
              </w:rPr>
            </w:pPr>
            <w:r w:rsidRPr="001F308D">
              <w:rPr>
                <w:sz w:val="18"/>
              </w:rPr>
              <w:t>2016/17</w:t>
            </w:r>
          </w:p>
        </w:tc>
        <w:tc>
          <w:tcPr>
            <w:tcW w:w="1190" w:type="dxa"/>
            <w:tcBorders>
              <w:bottom w:val="single" w:sz="12" w:space="0" w:color="auto"/>
            </w:tcBorders>
            <w:shd w:val="clear" w:color="auto" w:fill="auto"/>
          </w:tcPr>
          <w:p w:rsidR="002F5021" w:rsidRPr="0085715B" w:rsidRDefault="002F5021" w:rsidP="002F5021">
            <w:pPr>
              <w:pStyle w:val="SingleTxtG"/>
              <w:spacing w:before="40" w:after="40" w:line="220" w:lineRule="exact"/>
              <w:ind w:left="0" w:right="28"/>
              <w:jc w:val="right"/>
              <w:rPr>
                <w:sz w:val="18"/>
              </w:rPr>
            </w:pPr>
            <w:r w:rsidRPr="0085715B">
              <w:rPr>
                <w:sz w:val="18"/>
                <w:lang w:val="en-US"/>
              </w:rPr>
              <w:t>105,2</w:t>
            </w:r>
          </w:p>
        </w:tc>
        <w:tc>
          <w:tcPr>
            <w:tcW w:w="1219" w:type="dxa"/>
            <w:tcBorders>
              <w:bottom w:val="single" w:sz="12" w:space="0" w:color="auto"/>
            </w:tcBorders>
            <w:shd w:val="clear" w:color="auto" w:fill="auto"/>
            <w:vAlign w:val="bottom"/>
          </w:tcPr>
          <w:p w:rsidR="002F5021" w:rsidRPr="0085715B" w:rsidRDefault="002F5021" w:rsidP="002F5021">
            <w:pPr>
              <w:pStyle w:val="SingleTxtG"/>
              <w:spacing w:before="40" w:after="40" w:line="220" w:lineRule="exact"/>
              <w:ind w:left="113" w:right="28"/>
              <w:jc w:val="right"/>
              <w:rPr>
                <w:sz w:val="18"/>
              </w:rPr>
            </w:pPr>
            <w:r w:rsidRPr="0085715B">
              <w:rPr>
                <w:sz w:val="18"/>
                <w:lang w:val="en-US"/>
              </w:rPr>
              <w:t>102,4</w:t>
            </w:r>
          </w:p>
        </w:tc>
        <w:tc>
          <w:tcPr>
            <w:tcW w:w="1276" w:type="dxa"/>
            <w:tcBorders>
              <w:bottom w:val="single" w:sz="12" w:space="0" w:color="auto"/>
            </w:tcBorders>
            <w:shd w:val="clear" w:color="auto" w:fill="auto"/>
            <w:vAlign w:val="bottom"/>
          </w:tcPr>
          <w:p w:rsidR="002F5021" w:rsidRPr="0085715B" w:rsidRDefault="002F5021" w:rsidP="002F5021">
            <w:pPr>
              <w:pStyle w:val="SingleTxtG"/>
              <w:spacing w:before="40" w:after="40" w:line="220" w:lineRule="exact"/>
              <w:ind w:left="113" w:right="28"/>
              <w:jc w:val="right"/>
              <w:rPr>
                <w:sz w:val="18"/>
              </w:rPr>
            </w:pPr>
            <w:r w:rsidRPr="0085715B">
              <w:rPr>
                <w:sz w:val="18"/>
                <w:lang w:val="en-US"/>
              </w:rPr>
              <w:t>84,2</w:t>
            </w:r>
          </w:p>
        </w:tc>
        <w:tc>
          <w:tcPr>
            <w:tcW w:w="1558" w:type="dxa"/>
            <w:tcBorders>
              <w:bottom w:val="single" w:sz="12" w:space="0" w:color="auto"/>
            </w:tcBorders>
            <w:shd w:val="clear" w:color="auto" w:fill="auto"/>
            <w:vAlign w:val="bottom"/>
          </w:tcPr>
          <w:p w:rsidR="002F5021" w:rsidRPr="0085715B" w:rsidRDefault="002F5021" w:rsidP="002F5021">
            <w:pPr>
              <w:pStyle w:val="SingleTxtG"/>
              <w:spacing w:before="40" w:after="40" w:line="220" w:lineRule="exact"/>
              <w:ind w:left="113" w:right="28"/>
              <w:jc w:val="right"/>
              <w:rPr>
                <w:sz w:val="18"/>
              </w:rPr>
            </w:pPr>
            <w:r w:rsidRPr="0085715B">
              <w:rPr>
                <w:sz w:val="18"/>
                <w:lang w:val="en-US"/>
              </w:rPr>
              <w:t>85,2</w:t>
            </w:r>
          </w:p>
        </w:tc>
      </w:tr>
    </w:tbl>
    <w:p w:rsidR="00D74294" w:rsidRPr="0085715B" w:rsidRDefault="00D74294" w:rsidP="0085715B">
      <w:pPr>
        <w:pStyle w:val="SingleTxtG"/>
        <w:spacing w:before="120" w:after="240"/>
        <w:ind w:firstLine="170"/>
        <w:jc w:val="left"/>
        <w:rPr>
          <w:sz w:val="18"/>
        </w:rPr>
      </w:pPr>
      <w:r w:rsidRPr="0085715B">
        <w:rPr>
          <w:i/>
          <w:iCs/>
          <w:sz w:val="18"/>
        </w:rPr>
        <w:t>Fuente:</w:t>
      </w:r>
      <w:r w:rsidR="0085715B" w:rsidRPr="0085715B">
        <w:rPr>
          <w:sz w:val="18"/>
        </w:rPr>
        <w:t xml:space="preserve"> </w:t>
      </w:r>
      <w:r w:rsidRPr="0085715B">
        <w:rPr>
          <w:sz w:val="18"/>
        </w:rPr>
        <w:t xml:space="preserve">Ministerio de Planificación del Desarrollo y Estadísticas. </w:t>
      </w:r>
      <w:r w:rsidRPr="0085715B">
        <w:rPr>
          <w:i/>
          <w:iCs/>
          <w:sz w:val="18"/>
        </w:rPr>
        <w:t>La educación en Qatar: sinopsis estadística, 2017</w:t>
      </w:r>
      <w:r w:rsidRPr="0085715B">
        <w:rPr>
          <w:sz w:val="18"/>
        </w:rPr>
        <w:t xml:space="preserve">; Ministerio de Planificación del Desarrollo y Estadísticas, </w:t>
      </w:r>
      <w:r w:rsidRPr="0085715B">
        <w:rPr>
          <w:i/>
          <w:iCs/>
          <w:sz w:val="18"/>
        </w:rPr>
        <w:t>C</w:t>
      </w:r>
      <w:r w:rsidR="00376619">
        <w:rPr>
          <w:i/>
          <w:iCs/>
          <w:sz w:val="18"/>
        </w:rPr>
        <w:t>apítulo sobre educación, 2015/</w:t>
      </w:r>
      <w:r w:rsidRPr="0085715B">
        <w:rPr>
          <w:i/>
          <w:iCs/>
          <w:sz w:val="18"/>
        </w:rPr>
        <w:t>16 y 2016/17</w:t>
      </w:r>
      <w:r w:rsidRPr="0085715B">
        <w:rPr>
          <w:sz w:val="18"/>
        </w:rPr>
        <w:t>.</w:t>
      </w:r>
    </w:p>
    <w:bookmarkEnd w:id="1"/>
    <w:bookmarkEnd w:id="10"/>
    <w:bookmarkEnd w:id="11"/>
    <w:bookmarkEnd w:id="12"/>
    <w:bookmarkEnd w:id="13"/>
    <w:p w:rsidR="00D74294" w:rsidRPr="00D74294" w:rsidRDefault="0085715B" w:rsidP="0085715B">
      <w:pPr>
        <w:pStyle w:val="H23G"/>
      </w:pPr>
      <w:r>
        <w:tab/>
      </w:r>
      <w:r w:rsidR="00D74294" w:rsidRPr="00D74294">
        <w:tab/>
        <w:t>Tasa de desempleo</w:t>
      </w:r>
    </w:p>
    <w:p w:rsidR="00D74294" w:rsidRPr="00D74294" w:rsidRDefault="00D74294" w:rsidP="00D74294">
      <w:pPr>
        <w:pStyle w:val="SingleTxtG"/>
      </w:pPr>
      <w:r w:rsidRPr="00D74294">
        <w:t>28.</w:t>
      </w:r>
      <w:r w:rsidRPr="00D74294">
        <w:tab/>
        <w:t>La tasa de desempleo es del 0,1 % entre la población activa. El informe anual sobre la fuerza de trabajo para 2017 registró 2.736 solicitantes de empleo (según la definición de la Organización Internacional del Trabajo) en Qatar. De est</w:t>
      </w:r>
      <w:r w:rsidR="002F5021">
        <w:t>os, el 37,9 % eran hombres y el </w:t>
      </w:r>
      <w:r w:rsidRPr="00D74294">
        <w:t>62,1 % mujeres. La tasa de desempleo fue del 0,1 % en el tercer trimestre de 2017, frente al 0,2 % registrado en el mismo periodo del año anterior.</w:t>
      </w:r>
    </w:p>
    <w:p w:rsidR="00D74294" w:rsidRPr="00D74294" w:rsidRDefault="00D74294" w:rsidP="00D74294">
      <w:pPr>
        <w:pStyle w:val="SingleTxtG"/>
      </w:pPr>
      <w:r w:rsidRPr="00D74294">
        <w:t>29.</w:t>
      </w:r>
      <w:r w:rsidRPr="00D74294">
        <w:tab/>
        <w:t>En cuanto a la distribución por sexos, en 2017, la tasa de desempleo entre los hombres fue del 0,1 % mientras que entre las mujeres fue del 0,6 %. Entre los qataríes, la tasa de desempleo era del 0,3 %, del que el 0,2 % eran hombres y el 0,6 % mujeres. Las mayores tasas de desempleo se registraron entre el grupo de edad de 20 a 24 años (0,5</w:t>
      </w:r>
      <w:r w:rsidR="002F5021">
        <w:t xml:space="preserve"> </w:t>
      </w:r>
      <w:r w:rsidRPr="00D74294">
        <w:t>%, según el informe anual sobre la fuerza de trabajo para 2017).</w:t>
      </w:r>
    </w:p>
    <w:p w:rsidR="00D74294" w:rsidRPr="00D74294" w:rsidRDefault="0085715B" w:rsidP="0085715B">
      <w:pPr>
        <w:pStyle w:val="H23G"/>
      </w:pPr>
      <w:r>
        <w:tab/>
      </w:r>
      <w:r w:rsidR="00D74294" w:rsidRPr="00D74294">
        <w:tab/>
        <w:t>Tasa de participación económica por grupo de edad</w:t>
      </w:r>
    </w:p>
    <w:p w:rsidR="001B44C0" w:rsidRPr="00D74294" w:rsidRDefault="00D74294" w:rsidP="00D74294">
      <w:pPr>
        <w:pStyle w:val="SingleTxtG"/>
      </w:pPr>
      <w:r w:rsidRPr="00D74294">
        <w:t>30.</w:t>
      </w:r>
      <w:r w:rsidRPr="00D74294">
        <w:tab/>
        <w:t>La tasa de participación económica entre los qataríes alcanza su punto más alto en el grupo de edad de 35 a 39 años. Disminuye gradualmente hasta llegar a niveles muy bajos entre las personas de 59 años o más, lo que es natural en vista de su vinculación con la edad de jubilación. Estas tendencias se observan tanto en los hombres como en las mujeres qataríes en edad económicamente activa. Todo ello demuestra que el primer sector de la población (menor de 25 años) se dedica al estudio a tiempo completo, mientras que el segundo (de 25 a 59 años) se encuentra en una fase de trabajo y producción. El tercer sector de la población (mayor de 60 años) está constituido por jubilados que ya no participan en la actividad económica.</w:t>
      </w:r>
    </w:p>
    <w:p w:rsidR="00D74294" w:rsidRPr="00D74294" w:rsidRDefault="0085715B" w:rsidP="00F71C89">
      <w:pPr>
        <w:pStyle w:val="H23G"/>
        <w:tabs>
          <w:tab w:val="left" w:pos="8504"/>
        </w:tabs>
        <w:ind w:left="0" w:right="0" w:firstLine="0"/>
      </w:pPr>
      <w:r w:rsidRPr="0085715B">
        <w:rPr>
          <w:b w:val="0"/>
        </w:rPr>
        <w:t>Cuadro 12</w:t>
      </w:r>
      <w:r w:rsidRPr="0085715B">
        <w:rPr>
          <w:b w:val="0"/>
        </w:rPr>
        <w:br/>
      </w:r>
      <w:r w:rsidR="00D74294" w:rsidRPr="00D74294">
        <w:t>Población económicamente activa de 15 años o más, por género, nacionalidad y grupo de edad (2017)</w:t>
      </w:r>
    </w:p>
    <w:tbl>
      <w:tblPr>
        <w:tblStyle w:val="TableElegant11"/>
        <w:tblW w:w="9639"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851"/>
        <w:gridCol w:w="806"/>
        <w:gridCol w:w="753"/>
        <w:gridCol w:w="1067"/>
        <w:gridCol w:w="867"/>
        <w:gridCol w:w="889"/>
        <w:gridCol w:w="889"/>
        <w:gridCol w:w="746"/>
        <w:gridCol w:w="928"/>
      </w:tblGrid>
      <w:tr w:rsidR="00E465BD" w:rsidRPr="00B25B0A" w:rsidTr="00E465BD">
        <w:trPr>
          <w:cnfStyle w:val="100000000000" w:firstRow="1" w:lastRow="0" w:firstColumn="0" w:lastColumn="0" w:oddVBand="0" w:evenVBand="0" w:oddHBand="0" w:evenHBand="0" w:firstRowFirstColumn="0" w:firstRowLastColumn="0" w:lastRowFirstColumn="0" w:lastRowLastColumn="0"/>
          <w:trHeight w:val="240"/>
          <w:tblHeader/>
        </w:trPr>
        <w:tc>
          <w:tcPr>
            <w:tcW w:w="1843" w:type="dxa"/>
            <w:tcBorders>
              <w:top w:val="single" w:sz="4" w:space="0" w:color="auto"/>
              <w:bottom w:val="nil"/>
            </w:tcBorders>
            <w:shd w:val="clear" w:color="auto" w:fill="auto"/>
          </w:tcPr>
          <w:p w:rsidR="00E465BD" w:rsidRPr="00B25B0A" w:rsidRDefault="00E465BD" w:rsidP="00E465BD">
            <w:pPr>
              <w:pStyle w:val="SingleTxtG"/>
              <w:spacing w:before="80" w:after="80" w:line="200" w:lineRule="exact"/>
              <w:ind w:left="0" w:right="0"/>
              <w:jc w:val="left"/>
              <w:rPr>
                <w:i/>
                <w:iCs/>
                <w:caps w:val="0"/>
                <w:sz w:val="16"/>
                <w:lang w:val="es-ES_tradnl"/>
              </w:rPr>
            </w:pPr>
          </w:p>
        </w:tc>
        <w:tc>
          <w:tcPr>
            <w:tcW w:w="2410" w:type="dxa"/>
            <w:gridSpan w:val="3"/>
            <w:tcBorders>
              <w:top w:val="single" w:sz="4" w:space="0" w:color="auto"/>
              <w:bottom w:val="single" w:sz="4" w:space="0" w:color="auto"/>
              <w:right w:val="single" w:sz="24" w:space="0" w:color="FFFFFF" w:themeColor="background1"/>
            </w:tcBorders>
            <w:shd w:val="clear" w:color="auto" w:fill="auto"/>
            <w:vAlign w:val="bottom"/>
          </w:tcPr>
          <w:p w:rsidR="00E465BD" w:rsidRPr="00B25B0A" w:rsidRDefault="00067590" w:rsidP="00067590">
            <w:pPr>
              <w:pStyle w:val="SingleTxtG"/>
              <w:spacing w:before="80" w:after="80" w:line="200" w:lineRule="exact"/>
              <w:ind w:left="0" w:right="0"/>
              <w:jc w:val="center"/>
              <w:rPr>
                <w:i/>
                <w:iCs/>
                <w:caps w:val="0"/>
                <w:sz w:val="16"/>
                <w:lang w:val="es-ES_tradnl"/>
              </w:rPr>
            </w:pPr>
            <w:r>
              <w:rPr>
                <w:i/>
                <w:iCs/>
                <w:caps w:val="0"/>
                <w:sz w:val="16"/>
                <w:lang w:val="es-ES_tradnl"/>
              </w:rPr>
              <w:t>Qatarí</w:t>
            </w:r>
          </w:p>
        </w:tc>
        <w:tc>
          <w:tcPr>
            <w:tcW w:w="2823"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E465BD" w:rsidRPr="00B25B0A" w:rsidRDefault="00067590" w:rsidP="00067590">
            <w:pPr>
              <w:pStyle w:val="SingleTxtG"/>
              <w:spacing w:before="80" w:after="80" w:line="200" w:lineRule="exact"/>
              <w:ind w:left="0" w:right="0"/>
              <w:jc w:val="center"/>
              <w:rPr>
                <w:i/>
                <w:iCs/>
                <w:caps w:val="0"/>
                <w:sz w:val="16"/>
                <w:lang w:val="es-ES_tradnl"/>
              </w:rPr>
            </w:pPr>
            <w:r>
              <w:rPr>
                <w:i/>
                <w:iCs/>
                <w:caps w:val="0"/>
                <w:sz w:val="16"/>
                <w:lang w:val="es-ES_tradnl"/>
              </w:rPr>
              <w:t>No qatarí</w:t>
            </w:r>
          </w:p>
        </w:tc>
        <w:tc>
          <w:tcPr>
            <w:tcW w:w="2563" w:type="dxa"/>
            <w:gridSpan w:val="3"/>
            <w:tcBorders>
              <w:top w:val="single" w:sz="4" w:space="0" w:color="auto"/>
              <w:left w:val="single" w:sz="24" w:space="0" w:color="FFFFFF" w:themeColor="background1"/>
              <w:bottom w:val="single" w:sz="4" w:space="0" w:color="auto"/>
            </w:tcBorders>
            <w:shd w:val="clear" w:color="auto" w:fill="auto"/>
            <w:vAlign w:val="bottom"/>
          </w:tcPr>
          <w:p w:rsidR="00E465BD" w:rsidRPr="00067590" w:rsidRDefault="00067590" w:rsidP="00067590">
            <w:pPr>
              <w:pStyle w:val="SingleTxtG"/>
              <w:spacing w:before="80" w:after="80" w:line="200" w:lineRule="exact"/>
              <w:ind w:left="0" w:right="0"/>
              <w:jc w:val="center"/>
              <w:rPr>
                <w:i/>
                <w:iCs/>
                <w:caps w:val="0"/>
                <w:sz w:val="16"/>
                <w:rtl/>
                <w:lang w:val="es-ES_tradnl"/>
              </w:rPr>
            </w:pPr>
            <w:r>
              <w:rPr>
                <w:i/>
                <w:iCs/>
                <w:caps w:val="0"/>
                <w:sz w:val="16"/>
                <w:lang w:val="es-ES_tradnl"/>
              </w:rPr>
              <w:t>Total</w:t>
            </w:r>
          </w:p>
        </w:tc>
      </w:tr>
      <w:tr w:rsidR="00E465BD" w:rsidRPr="00B25B0A" w:rsidTr="00E465BD">
        <w:trPr>
          <w:cnfStyle w:val="100000000000" w:firstRow="1" w:lastRow="0" w:firstColumn="0" w:lastColumn="0" w:oddVBand="0" w:evenVBand="0" w:oddHBand="0" w:evenHBand="0" w:firstRowFirstColumn="0" w:firstRowLastColumn="0" w:lastRowFirstColumn="0" w:lastRowLastColumn="0"/>
          <w:trHeight w:val="240"/>
          <w:tblHeader/>
        </w:trPr>
        <w:tc>
          <w:tcPr>
            <w:tcW w:w="1843" w:type="dxa"/>
            <w:tcBorders>
              <w:top w:val="nil"/>
              <w:bottom w:val="single" w:sz="12" w:space="0" w:color="auto"/>
            </w:tcBorders>
            <w:shd w:val="clear" w:color="auto" w:fill="auto"/>
          </w:tcPr>
          <w:p w:rsidR="00E465BD" w:rsidRPr="00B25B0A" w:rsidRDefault="00E465BD" w:rsidP="00E465BD">
            <w:pPr>
              <w:pStyle w:val="SingleTxtG"/>
              <w:spacing w:before="80" w:after="80" w:line="200" w:lineRule="exact"/>
              <w:ind w:left="0" w:right="0"/>
              <w:jc w:val="left"/>
              <w:rPr>
                <w:i/>
                <w:iCs/>
                <w:caps w:val="0"/>
                <w:sz w:val="16"/>
                <w:lang w:val="es-ES_tradnl"/>
              </w:rPr>
            </w:pPr>
            <w:r w:rsidRPr="00B25B0A">
              <w:rPr>
                <w:i/>
                <w:iCs/>
                <w:caps w:val="0"/>
                <w:sz w:val="16"/>
                <w:lang w:val="es-ES_tradnl"/>
              </w:rPr>
              <w:t>Grupo de edad</w:t>
            </w:r>
          </w:p>
        </w:tc>
        <w:tc>
          <w:tcPr>
            <w:tcW w:w="851" w:type="dxa"/>
            <w:tcBorders>
              <w:top w:val="single" w:sz="4" w:space="0" w:color="auto"/>
              <w:bottom w:val="single" w:sz="12" w:space="0" w:color="auto"/>
            </w:tcBorders>
            <w:shd w:val="clear" w:color="auto" w:fill="auto"/>
            <w:vAlign w:val="bottom"/>
          </w:tcPr>
          <w:p w:rsidR="00E465BD" w:rsidRPr="00B25B0A" w:rsidRDefault="00E465BD" w:rsidP="00E465BD">
            <w:pPr>
              <w:pStyle w:val="SingleTxtG"/>
              <w:spacing w:before="80" w:after="80" w:line="200" w:lineRule="exact"/>
              <w:ind w:left="0" w:right="28"/>
              <w:jc w:val="right"/>
              <w:rPr>
                <w:i/>
                <w:iCs/>
                <w:caps w:val="0"/>
                <w:sz w:val="16"/>
                <w:lang w:val="es-ES_tradnl"/>
              </w:rPr>
            </w:pPr>
            <w:r w:rsidRPr="00B25B0A">
              <w:rPr>
                <w:i/>
                <w:iCs/>
                <w:caps w:val="0"/>
                <w:sz w:val="16"/>
                <w:lang w:val="es-ES_tradnl"/>
              </w:rPr>
              <w:t>Hombres</w:t>
            </w:r>
          </w:p>
        </w:tc>
        <w:tc>
          <w:tcPr>
            <w:tcW w:w="806" w:type="dxa"/>
            <w:tcBorders>
              <w:top w:val="single" w:sz="4" w:space="0" w:color="auto"/>
              <w:bottom w:val="single" w:sz="12" w:space="0" w:color="auto"/>
            </w:tcBorders>
            <w:shd w:val="clear" w:color="auto" w:fill="auto"/>
            <w:vAlign w:val="bottom"/>
          </w:tcPr>
          <w:p w:rsidR="00E465BD" w:rsidRPr="00B25B0A" w:rsidRDefault="00E465BD" w:rsidP="00E465BD">
            <w:pPr>
              <w:pStyle w:val="SingleTxtG"/>
              <w:spacing w:before="80" w:after="80" w:line="200" w:lineRule="exact"/>
              <w:ind w:left="0" w:right="28"/>
              <w:jc w:val="right"/>
              <w:rPr>
                <w:i/>
                <w:iCs/>
                <w:caps w:val="0"/>
                <w:sz w:val="16"/>
                <w:lang w:val="es-ES_tradnl"/>
              </w:rPr>
            </w:pPr>
            <w:r w:rsidRPr="00B25B0A">
              <w:rPr>
                <w:i/>
                <w:iCs/>
                <w:caps w:val="0"/>
                <w:sz w:val="16"/>
                <w:lang w:val="es-ES_tradnl"/>
              </w:rPr>
              <w:t>Mujeres</w:t>
            </w:r>
          </w:p>
        </w:tc>
        <w:tc>
          <w:tcPr>
            <w:tcW w:w="753" w:type="dxa"/>
            <w:tcBorders>
              <w:top w:val="single" w:sz="4" w:space="0" w:color="auto"/>
              <w:bottom w:val="single" w:sz="12" w:space="0" w:color="auto"/>
              <w:right w:val="single" w:sz="24" w:space="0" w:color="FFFFFF" w:themeColor="background1"/>
            </w:tcBorders>
            <w:shd w:val="clear" w:color="auto" w:fill="auto"/>
            <w:noWrap/>
            <w:vAlign w:val="bottom"/>
          </w:tcPr>
          <w:p w:rsidR="00E465BD" w:rsidRPr="00B25B0A" w:rsidRDefault="00E465BD" w:rsidP="00E465BD">
            <w:pPr>
              <w:pStyle w:val="SingleTxtG"/>
              <w:spacing w:before="80" w:after="80" w:line="200" w:lineRule="exact"/>
              <w:ind w:left="0" w:right="28"/>
              <w:jc w:val="right"/>
              <w:rPr>
                <w:i/>
                <w:iCs/>
                <w:caps w:val="0"/>
                <w:sz w:val="16"/>
                <w:lang w:val="es-ES_tradnl"/>
              </w:rPr>
            </w:pPr>
            <w:r w:rsidRPr="00B25B0A">
              <w:rPr>
                <w:i/>
                <w:iCs/>
                <w:caps w:val="0"/>
                <w:sz w:val="16"/>
                <w:lang w:val="es-ES_tradnl"/>
              </w:rPr>
              <w:t>Total</w:t>
            </w:r>
          </w:p>
        </w:tc>
        <w:tc>
          <w:tcPr>
            <w:tcW w:w="1067" w:type="dxa"/>
            <w:tcBorders>
              <w:top w:val="single" w:sz="4" w:space="0" w:color="auto"/>
              <w:left w:val="single" w:sz="24" w:space="0" w:color="FFFFFF" w:themeColor="background1"/>
              <w:bottom w:val="single" w:sz="12" w:space="0" w:color="auto"/>
            </w:tcBorders>
            <w:shd w:val="clear" w:color="auto" w:fill="auto"/>
            <w:vAlign w:val="bottom"/>
          </w:tcPr>
          <w:p w:rsidR="00E465BD" w:rsidRPr="00B25B0A" w:rsidRDefault="00E465BD" w:rsidP="00E465BD">
            <w:pPr>
              <w:pStyle w:val="SingleTxtG"/>
              <w:spacing w:before="80" w:after="80" w:line="200" w:lineRule="exact"/>
              <w:ind w:left="0" w:right="28"/>
              <w:jc w:val="right"/>
              <w:rPr>
                <w:i/>
                <w:iCs/>
                <w:caps w:val="0"/>
                <w:sz w:val="16"/>
                <w:lang w:val="es-ES_tradnl"/>
              </w:rPr>
            </w:pPr>
            <w:r w:rsidRPr="00B25B0A">
              <w:rPr>
                <w:i/>
                <w:iCs/>
                <w:caps w:val="0"/>
                <w:sz w:val="16"/>
                <w:lang w:val="es-ES_tradnl"/>
              </w:rPr>
              <w:t>Hombres</w:t>
            </w:r>
          </w:p>
        </w:tc>
        <w:tc>
          <w:tcPr>
            <w:tcW w:w="867" w:type="dxa"/>
            <w:tcBorders>
              <w:top w:val="single" w:sz="4" w:space="0" w:color="auto"/>
              <w:bottom w:val="single" w:sz="12" w:space="0" w:color="auto"/>
            </w:tcBorders>
            <w:shd w:val="clear" w:color="auto" w:fill="auto"/>
            <w:vAlign w:val="bottom"/>
          </w:tcPr>
          <w:p w:rsidR="00E465BD" w:rsidRPr="00B25B0A" w:rsidRDefault="00E465BD" w:rsidP="00E465BD">
            <w:pPr>
              <w:pStyle w:val="SingleTxtG"/>
              <w:spacing w:before="80" w:after="80" w:line="200" w:lineRule="exact"/>
              <w:ind w:left="0" w:right="28"/>
              <w:jc w:val="right"/>
              <w:rPr>
                <w:i/>
                <w:iCs/>
                <w:caps w:val="0"/>
                <w:sz w:val="16"/>
                <w:lang w:val="es-ES_tradnl"/>
              </w:rPr>
            </w:pPr>
            <w:r w:rsidRPr="00B25B0A">
              <w:rPr>
                <w:i/>
                <w:iCs/>
                <w:caps w:val="0"/>
                <w:sz w:val="16"/>
                <w:lang w:val="es-ES_tradnl"/>
              </w:rPr>
              <w:t>Mujeres</w:t>
            </w:r>
          </w:p>
        </w:tc>
        <w:tc>
          <w:tcPr>
            <w:tcW w:w="889" w:type="dxa"/>
            <w:tcBorders>
              <w:top w:val="single" w:sz="4" w:space="0" w:color="auto"/>
              <w:bottom w:val="single" w:sz="12" w:space="0" w:color="auto"/>
              <w:right w:val="single" w:sz="24" w:space="0" w:color="FFFFFF" w:themeColor="background1"/>
            </w:tcBorders>
            <w:shd w:val="clear" w:color="auto" w:fill="auto"/>
            <w:noWrap/>
            <w:vAlign w:val="bottom"/>
          </w:tcPr>
          <w:p w:rsidR="00E465BD" w:rsidRPr="00B25B0A" w:rsidRDefault="00E465BD" w:rsidP="00E465BD">
            <w:pPr>
              <w:pStyle w:val="SingleTxtG"/>
              <w:spacing w:before="80" w:after="80" w:line="200" w:lineRule="exact"/>
              <w:ind w:left="0" w:right="28"/>
              <w:jc w:val="right"/>
              <w:rPr>
                <w:i/>
                <w:iCs/>
                <w:caps w:val="0"/>
                <w:sz w:val="16"/>
                <w:lang w:val="es-ES_tradnl"/>
              </w:rPr>
            </w:pPr>
            <w:r w:rsidRPr="00B25B0A">
              <w:rPr>
                <w:i/>
                <w:iCs/>
                <w:caps w:val="0"/>
                <w:sz w:val="16"/>
                <w:lang w:val="es-ES_tradnl"/>
              </w:rPr>
              <w:t>Total</w:t>
            </w:r>
          </w:p>
        </w:tc>
        <w:tc>
          <w:tcPr>
            <w:tcW w:w="889" w:type="dxa"/>
            <w:tcBorders>
              <w:top w:val="single" w:sz="4" w:space="0" w:color="auto"/>
              <w:left w:val="single" w:sz="24" w:space="0" w:color="FFFFFF" w:themeColor="background1"/>
              <w:bottom w:val="single" w:sz="12" w:space="0" w:color="auto"/>
            </w:tcBorders>
            <w:shd w:val="clear" w:color="auto" w:fill="auto"/>
            <w:vAlign w:val="bottom"/>
          </w:tcPr>
          <w:p w:rsidR="00E465BD" w:rsidRPr="00B25B0A" w:rsidRDefault="00E465BD" w:rsidP="00E465BD">
            <w:pPr>
              <w:pStyle w:val="SingleTxtG"/>
              <w:spacing w:before="80" w:after="80" w:line="200" w:lineRule="exact"/>
              <w:ind w:left="0" w:right="28"/>
              <w:jc w:val="right"/>
              <w:rPr>
                <w:i/>
                <w:iCs/>
                <w:caps w:val="0"/>
                <w:sz w:val="16"/>
                <w:lang w:val="es-ES_tradnl"/>
              </w:rPr>
            </w:pPr>
            <w:r w:rsidRPr="00B25B0A">
              <w:rPr>
                <w:i/>
                <w:iCs/>
                <w:caps w:val="0"/>
                <w:sz w:val="16"/>
                <w:lang w:val="es-ES_tradnl"/>
              </w:rPr>
              <w:t>Hombres</w:t>
            </w:r>
          </w:p>
        </w:tc>
        <w:tc>
          <w:tcPr>
            <w:tcW w:w="746" w:type="dxa"/>
            <w:tcBorders>
              <w:top w:val="single" w:sz="4" w:space="0" w:color="auto"/>
              <w:bottom w:val="single" w:sz="12" w:space="0" w:color="auto"/>
            </w:tcBorders>
            <w:shd w:val="clear" w:color="auto" w:fill="auto"/>
            <w:vAlign w:val="bottom"/>
          </w:tcPr>
          <w:p w:rsidR="00E465BD" w:rsidRPr="00B25B0A" w:rsidRDefault="00E465BD" w:rsidP="00E465BD">
            <w:pPr>
              <w:pStyle w:val="SingleTxtG"/>
              <w:spacing w:before="80" w:after="80" w:line="200" w:lineRule="exact"/>
              <w:ind w:left="0" w:right="28"/>
              <w:jc w:val="right"/>
              <w:rPr>
                <w:i/>
                <w:iCs/>
                <w:caps w:val="0"/>
                <w:sz w:val="16"/>
                <w:lang w:val="es-ES_tradnl"/>
              </w:rPr>
            </w:pPr>
            <w:r w:rsidRPr="00B25B0A">
              <w:rPr>
                <w:i/>
                <w:iCs/>
                <w:caps w:val="0"/>
                <w:sz w:val="16"/>
                <w:lang w:val="es-ES_tradnl"/>
              </w:rPr>
              <w:t>Mujeres</w:t>
            </w:r>
          </w:p>
        </w:tc>
        <w:tc>
          <w:tcPr>
            <w:tcW w:w="928" w:type="dxa"/>
            <w:tcBorders>
              <w:top w:val="single" w:sz="4" w:space="0" w:color="auto"/>
              <w:bottom w:val="single" w:sz="12" w:space="0" w:color="auto"/>
            </w:tcBorders>
            <w:shd w:val="clear" w:color="auto" w:fill="auto"/>
            <w:vAlign w:val="bottom"/>
          </w:tcPr>
          <w:p w:rsidR="00E465BD" w:rsidRPr="00B25B0A" w:rsidRDefault="00E465BD" w:rsidP="00E465BD">
            <w:pPr>
              <w:pStyle w:val="SingleTxtG"/>
              <w:spacing w:before="40" w:after="40" w:line="220" w:lineRule="exact"/>
              <w:ind w:left="0" w:right="28"/>
              <w:jc w:val="right"/>
              <w:rPr>
                <w:iCs/>
                <w:caps w:val="0"/>
                <w:sz w:val="18"/>
                <w:rtl/>
                <w:lang w:val="es-ES_tradnl" w:bidi="ar-QA"/>
              </w:rPr>
            </w:pPr>
            <w:r w:rsidRPr="00B25B0A">
              <w:rPr>
                <w:i/>
                <w:iCs/>
                <w:caps w:val="0"/>
                <w:sz w:val="16"/>
                <w:lang w:val="es-ES_tradnl"/>
              </w:rPr>
              <w:t>Total</w:t>
            </w:r>
          </w:p>
        </w:tc>
      </w:tr>
      <w:tr w:rsidR="001B44C0" w:rsidRPr="00B25B0A" w:rsidTr="0019554A">
        <w:trPr>
          <w:trHeight w:val="240"/>
        </w:trPr>
        <w:tc>
          <w:tcPr>
            <w:tcW w:w="1843" w:type="dxa"/>
            <w:tcBorders>
              <w:top w:val="single" w:sz="12" w:space="0" w:color="auto"/>
            </w:tcBorders>
            <w:shd w:val="clear" w:color="auto" w:fill="auto"/>
          </w:tcPr>
          <w:p w:rsidR="00D74294" w:rsidRPr="001B44C0" w:rsidRDefault="001B44C0" w:rsidP="001B44C0">
            <w:pPr>
              <w:pStyle w:val="SingleTxtG"/>
              <w:spacing w:before="40" w:after="40" w:line="220" w:lineRule="exact"/>
              <w:ind w:left="0" w:right="0"/>
              <w:jc w:val="left"/>
              <w:rPr>
                <w:bCs/>
                <w:sz w:val="18"/>
                <w:szCs w:val="18"/>
                <w:lang w:val="es-ES_tradnl"/>
              </w:rPr>
            </w:pPr>
            <w:r w:rsidRPr="001B44C0">
              <w:rPr>
                <w:sz w:val="18"/>
              </w:rPr>
              <w:t>De 15 a 24 años</w:t>
            </w:r>
          </w:p>
        </w:tc>
        <w:tc>
          <w:tcPr>
            <w:tcW w:w="851" w:type="dxa"/>
            <w:tcBorders>
              <w:top w:val="single" w:sz="12" w:space="0" w:color="auto"/>
            </w:tcBorders>
            <w:shd w:val="clear" w:color="auto" w:fill="auto"/>
          </w:tcPr>
          <w:p w:rsidR="00D74294" w:rsidRPr="00B25B0A" w:rsidRDefault="00D74294" w:rsidP="00147E30">
            <w:pPr>
              <w:pStyle w:val="SingleTxtG"/>
              <w:spacing w:before="40" w:after="40" w:line="220" w:lineRule="exact"/>
              <w:ind w:left="0" w:right="28"/>
              <w:jc w:val="right"/>
              <w:rPr>
                <w:sz w:val="18"/>
                <w:lang w:val="es-ES_tradnl"/>
              </w:rPr>
            </w:pPr>
            <w:r w:rsidRPr="00B25B0A">
              <w:rPr>
                <w:sz w:val="18"/>
                <w:lang w:val="es-ES_tradnl"/>
              </w:rPr>
              <w:t>13 603</w:t>
            </w:r>
          </w:p>
        </w:tc>
        <w:tc>
          <w:tcPr>
            <w:tcW w:w="806" w:type="dxa"/>
            <w:tcBorders>
              <w:top w:val="single" w:sz="12" w:space="0" w:color="auto"/>
            </w:tcBorders>
            <w:shd w:val="clear" w:color="auto" w:fill="auto"/>
          </w:tcPr>
          <w:p w:rsidR="00D74294" w:rsidRPr="00B25B0A" w:rsidRDefault="00D74294" w:rsidP="00147E30">
            <w:pPr>
              <w:pStyle w:val="SingleTxtG"/>
              <w:spacing w:before="40" w:after="40" w:line="220" w:lineRule="exact"/>
              <w:ind w:left="0" w:right="28"/>
              <w:jc w:val="right"/>
              <w:rPr>
                <w:sz w:val="18"/>
                <w:lang w:val="es-ES_tradnl"/>
              </w:rPr>
            </w:pPr>
            <w:r w:rsidRPr="00B25B0A">
              <w:rPr>
                <w:sz w:val="18"/>
                <w:lang w:val="es-ES_tradnl"/>
              </w:rPr>
              <w:t>5 576</w:t>
            </w:r>
          </w:p>
        </w:tc>
        <w:tc>
          <w:tcPr>
            <w:tcW w:w="753" w:type="dxa"/>
            <w:tcBorders>
              <w:top w:val="single" w:sz="12" w:space="0" w:color="auto"/>
            </w:tcBorders>
            <w:shd w:val="clear" w:color="auto" w:fill="auto"/>
            <w:noWrap/>
            <w:vAlign w:val="bottom"/>
          </w:tcPr>
          <w:p w:rsidR="00D74294" w:rsidRPr="00B25B0A" w:rsidRDefault="00D74294" w:rsidP="00147E30">
            <w:pPr>
              <w:pStyle w:val="SingleTxtG"/>
              <w:spacing w:before="40" w:after="40" w:line="220" w:lineRule="exact"/>
              <w:ind w:left="0" w:right="28"/>
              <w:jc w:val="right"/>
              <w:rPr>
                <w:bCs/>
                <w:sz w:val="18"/>
                <w:lang w:val="es-ES_tradnl"/>
              </w:rPr>
            </w:pPr>
            <w:r w:rsidRPr="00B25B0A">
              <w:rPr>
                <w:bCs/>
                <w:sz w:val="18"/>
                <w:lang w:val="es-ES_tradnl"/>
              </w:rPr>
              <w:t>19 179</w:t>
            </w:r>
          </w:p>
        </w:tc>
        <w:tc>
          <w:tcPr>
            <w:tcW w:w="1067" w:type="dxa"/>
            <w:tcBorders>
              <w:top w:val="single" w:sz="12" w:space="0" w:color="auto"/>
            </w:tcBorders>
            <w:shd w:val="clear" w:color="auto" w:fill="auto"/>
            <w:vAlign w:val="bottom"/>
          </w:tcPr>
          <w:p w:rsidR="00D74294" w:rsidRPr="00B25B0A" w:rsidRDefault="00D74294" w:rsidP="00147E30">
            <w:pPr>
              <w:pStyle w:val="SingleTxtG"/>
              <w:spacing w:before="40" w:after="40" w:line="220" w:lineRule="exact"/>
              <w:ind w:left="0" w:right="28"/>
              <w:jc w:val="right"/>
              <w:rPr>
                <w:sz w:val="18"/>
                <w:lang w:val="es-ES_tradnl"/>
              </w:rPr>
            </w:pPr>
            <w:r w:rsidRPr="00B25B0A">
              <w:rPr>
                <w:sz w:val="18"/>
                <w:lang w:val="es-ES_tradnl"/>
              </w:rPr>
              <w:t>181 591</w:t>
            </w:r>
          </w:p>
        </w:tc>
        <w:tc>
          <w:tcPr>
            <w:tcW w:w="867" w:type="dxa"/>
            <w:tcBorders>
              <w:top w:val="single" w:sz="12" w:space="0" w:color="auto"/>
            </w:tcBorders>
            <w:shd w:val="clear" w:color="auto" w:fill="auto"/>
            <w:vAlign w:val="bottom"/>
          </w:tcPr>
          <w:p w:rsidR="00D74294" w:rsidRPr="00B25B0A" w:rsidRDefault="00D74294" w:rsidP="00147E30">
            <w:pPr>
              <w:pStyle w:val="SingleTxtG"/>
              <w:spacing w:before="40" w:after="40" w:line="220" w:lineRule="exact"/>
              <w:ind w:left="0" w:right="28"/>
              <w:jc w:val="right"/>
              <w:rPr>
                <w:sz w:val="18"/>
                <w:lang w:val="es-ES_tradnl"/>
              </w:rPr>
            </w:pPr>
            <w:r w:rsidRPr="00B25B0A">
              <w:rPr>
                <w:sz w:val="18"/>
                <w:lang w:val="es-ES_tradnl"/>
              </w:rPr>
              <w:t>34 684</w:t>
            </w:r>
          </w:p>
        </w:tc>
        <w:tc>
          <w:tcPr>
            <w:tcW w:w="889" w:type="dxa"/>
            <w:tcBorders>
              <w:top w:val="single" w:sz="12" w:space="0" w:color="auto"/>
            </w:tcBorders>
            <w:shd w:val="clear" w:color="auto" w:fill="auto"/>
            <w:noWrap/>
            <w:vAlign w:val="bottom"/>
          </w:tcPr>
          <w:p w:rsidR="00D74294" w:rsidRPr="00B25B0A" w:rsidRDefault="00D74294" w:rsidP="00147E30">
            <w:pPr>
              <w:pStyle w:val="SingleTxtG"/>
              <w:spacing w:before="40" w:after="40" w:line="220" w:lineRule="exact"/>
              <w:ind w:left="0" w:right="28"/>
              <w:jc w:val="right"/>
              <w:rPr>
                <w:bCs/>
                <w:sz w:val="18"/>
                <w:lang w:val="es-ES_tradnl"/>
              </w:rPr>
            </w:pPr>
            <w:r w:rsidRPr="00B25B0A">
              <w:rPr>
                <w:bCs/>
                <w:sz w:val="18"/>
                <w:lang w:val="es-ES_tradnl"/>
              </w:rPr>
              <w:t>216 275</w:t>
            </w:r>
          </w:p>
        </w:tc>
        <w:tc>
          <w:tcPr>
            <w:tcW w:w="889" w:type="dxa"/>
            <w:tcBorders>
              <w:top w:val="single" w:sz="12" w:space="0" w:color="auto"/>
            </w:tcBorders>
            <w:shd w:val="clear" w:color="auto" w:fill="auto"/>
            <w:noWrap/>
            <w:vAlign w:val="bottom"/>
          </w:tcPr>
          <w:p w:rsidR="00D74294" w:rsidRPr="00B25B0A" w:rsidRDefault="00D74294" w:rsidP="00147E30">
            <w:pPr>
              <w:pStyle w:val="SingleTxtG"/>
              <w:spacing w:before="40" w:after="40" w:line="220" w:lineRule="exact"/>
              <w:ind w:left="0" w:right="28"/>
              <w:jc w:val="right"/>
              <w:rPr>
                <w:sz w:val="18"/>
                <w:lang w:val="es-ES_tradnl"/>
              </w:rPr>
            </w:pPr>
            <w:r w:rsidRPr="00B25B0A">
              <w:rPr>
                <w:sz w:val="18"/>
                <w:lang w:val="es-ES_tradnl"/>
              </w:rPr>
              <w:t>195 194</w:t>
            </w:r>
          </w:p>
        </w:tc>
        <w:tc>
          <w:tcPr>
            <w:tcW w:w="746" w:type="dxa"/>
            <w:tcBorders>
              <w:top w:val="single" w:sz="12" w:space="0" w:color="auto"/>
            </w:tcBorders>
            <w:shd w:val="clear" w:color="auto" w:fill="auto"/>
            <w:vAlign w:val="bottom"/>
          </w:tcPr>
          <w:p w:rsidR="00D74294" w:rsidRPr="00B25B0A" w:rsidRDefault="00D74294" w:rsidP="00147E30">
            <w:pPr>
              <w:pStyle w:val="SingleTxtG"/>
              <w:spacing w:before="40" w:after="40" w:line="220" w:lineRule="exact"/>
              <w:ind w:left="0" w:right="28"/>
              <w:jc w:val="right"/>
              <w:rPr>
                <w:sz w:val="18"/>
                <w:lang w:val="es-ES_tradnl"/>
              </w:rPr>
            </w:pPr>
            <w:r w:rsidRPr="00B25B0A">
              <w:rPr>
                <w:sz w:val="18"/>
                <w:lang w:val="es-ES_tradnl"/>
              </w:rPr>
              <w:t>40 260</w:t>
            </w:r>
          </w:p>
        </w:tc>
        <w:tc>
          <w:tcPr>
            <w:tcW w:w="928" w:type="dxa"/>
            <w:tcBorders>
              <w:top w:val="single" w:sz="12" w:space="0" w:color="auto"/>
            </w:tcBorders>
            <w:shd w:val="clear" w:color="auto" w:fill="auto"/>
            <w:noWrap/>
            <w:vAlign w:val="bottom"/>
          </w:tcPr>
          <w:p w:rsidR="00D74294" w:rsidRPr="00B25B0A" w:rsidRDefault="00D74294" w:rsidP="00147E30">
            <w:pPr>
              <w:pStyle w:val="SingleTxtG"/>
              <w:spacing w:before="40" w:after="40" w:line="220" w:lineRule="exact"/>
              <w:ind w:left="0" w:right="28"/>
              <w:jc w:val="right"/>
              <w:rPr>
                <w:sz w:val="18"/>
                <w:lang w:val="es-ES_tradnl"/>
              </w:rPr>
            </w:pPr>
            <w:r w:rsidRPr="00B25B0A">
              <w:rPr>
                <w:bCs/>
                <w:sz w:val="18"/>
                <w:lang w:val="es-ES_tradnl"/>
              </w:rPr>
              <w:t>235 454</w:t>
            </w:r>
          </w:p>
        </w:tc>
      </w:tr>
      <w:tr w:rsidR="001B44C0" w:rsidRPr="00B25B0A" w:rsidTr="0019554A">
        <w:trPr>
          <w:trHeight w:val="240"/>
        </w:trPr>
        <w:tc>
          <w:tcPr>
            <w:tcW w:w="1843" w:type="dxa"/>
            <w:shd w:val="clear" w:color="auto" w:fill="auto"/>
          </w:tcPr>
          <w:p w:rsidR="00D74294" w:rsidRPr="001B44C0" w:rsidRDefault="001B44C0" w:rsidP="001B44C0">
            <w:pPr>
              <w:pStyle w:val="SingleTxtG"/>
              <w:spacing w:before="40" w:after="40" w:line="220" w:lineRule="exact"/>
              <w:ind w:left="0" w:right="0"/>
              <w:jc w:val="left"/>
              <w:rPr>
                <w:bCs/>
                <w:sz w:val="18"/>
                <w:lang w:val="es-ES_tradnl"/>
              </w:rPr>
            </w:pPr>
            <w:r w:rsidRPr="001B44C0">
              <w:rPr>
                <w:sz w:val="18"/>
              </w:rPr>
              <w:t>De 25 a 34 años</w:t>
            </w:r>
          </w:p>
        </w:tc>
        <w:tc>
          <w:tcPr>
            <w:tcW w:w="851" w:type="dxa"/>
            <w:shd w:val="clear" w:color="auto" w:fill="auto"/>
          </w:tcPr>
          <w:p w:rsidR="00D74294" w:rsidRPr="00B25B0A" w:rsidRDefault="00D74294" w:rsidP="00147E30">
            <w:pPr>
              <w:pStyle w:val="SingleTxtG"/>
              <w:spacing w:before="40" w:after="40" w:line="220" w:lineRule="exact"/>
              <w:ind w:left="0" w:right="28"/>
              <w:jc w:val="right"/>
              <w:rPr>
                <w:sz w:val="18"/>
                <w:lang w:val="es-ES_tradnl"/>
              </w:rPr>
            </w:pPr>
            <w:r w:rsidRPr="00B25B0A">
              <w:rPr>
                <w:sz w:val="18"/>
                <w:lang w:val="es-ES_tradnl"/>
              </w:rPr>
              <w:t>21 893</w:t>
            </w:r>
          </w:p>
        </w:tc>
        <w:tc>
          <w:tcPr>
            <w:tcW w:w="806" w:type="dxa"/>
            <w:shd w:val="clear" w:color="auto" w:fill="auto"/>
          </w:tcPr>
          <w:p w:rsidR="00D74294" w:rsidRPr="00B25B0A" w:rsidRDefault="00D74294" w:rsidP="00147E30">
            <w:pPr>
              <w:pStyle w:val="SingleTxtG"/>
              <w:spacing w:before="40" w:after="40" w:line="220" w:lineRule="exact"/>
              <w:ind w:left="0" w:right="28"/>
              <w:jc w:val="right"/>
              <w:rPr>
                <w:sz w:val="18"/>
                <w:lang w:val="es-ES_tradnl"/>
              </w:rPr>
            </w:pPr>
            <w:r w:rsidRPr="00B25B0A">
              <w:rPr>
                <w:sz w:val="18"/>
                <w:lang w:val="es-ES_tradnl"/>
              </w:rPr>
              <w:t>16 368</w:t>
            </w:r>
          </w:p>
        </w:tc>
        <w:tc>
          <w:tcPr>
            <w:tcW w:w="753" w:type="dxa"/>
            <w:shd w:val="clear" w:color="auto" w:fill="auto"/>
            <w:noWrap/>
            <w:vAlign w:val="bottom"/>
          </w:tcPr>
          <w:p w:rsidR="00D74294" w:rsidRPr="00B25B0A" w:rsidRDefault="00D74294" w:rsidP="00147E30">
            <w:pPr>
              <w:pStyle w:val="SingleTxtG"/>
              <w:spacing w:before="40" w:after="40" w:line="220" w:lineRule="exact"/>
              <w:ind w:left="0" w:right="28"/>
              <w:jc w:val="right"/>
              <w:rPr>
                <w:bCs/>
                <w:sz w:val="18"/>
                <w:lang w:val="es-ES_tradnl"/>
              </w:rPr>
            </w:pPr>
            <w:r w:rsidRPr="00B25B0A">
              <w:rPr>
                <w:bCs/>
                <w:sz w:val="18"/>
                <w:lang w:val="es-ES_tradnl"/>
              </w:rPr>
              <w:t>38 261</w:t>
            </w:r>
          </w:p>
        </w:tc>
        <w:tc>
          <w:tcPr>
            <w:tcW w:w="1067" w:type="dxa"/>
            <w:shd w:val="clear" w:color="auto" w:fill="auto"/>
            <w:vAlign w:val="bottom"/>
          </w:tcPr>
          <w:p w:rsidR="00D74294" w:rsidRPr="00B25B0A" w:rsidRDefault="00D74294" w:rsidP="00147E30">
            <w:pPr>
              <w:pStyle w:val="SingleTxtG"/>
              <w:spacing w:before="40" w:after="40" w:line="220" w:lineRule="exact"/>
              <w:ind w:left="0" w:right="28"/>
              <w:jc w:val="right"/>
              <w:rPr>
                <w:sz w:val="18"/>
                <w:lang w:val="es-ES_tradnl"/>
              </w:rPr>
            </w:pPr>
            <w:r w:rsidRPr="00B25B0A">
              <w:rPr>
                <w:sz w:val="18"/>
                <w:lang w:val="es-ES_tradnl"/>
              </w:rPr>
              <w:t>684 692</w:t>
            </w:r>
          </w:p>
        </w:tc>
        <w:tc>
          <w:tcPr>
            <w:tcW w:w="867" w:type="dxa"/>
            <w:shd w:val="clear" w:color="auto" w:fill="auto"/>
            <w:vAlign w:val="bottom"/>
          </w:tcPr>
          <w:p w:rsidR="00D74294" w:rsidRPr="00B25B0A" w:rsidRDefault="00D74294" w:rsidP="00147E30">
            <w:pPr>
              <w:pStyle w:val="SingleTxtG"/>
              <w:spacing w:before="40" w:after="40" w:line="220" w:lineRule="exact"/>
              <w:ind w:left="0" w:right="28"/>
              <w:jc w:val="right"/>
              <w:rPr>
                <w:sz w:val="18"/>
                <w:lang w:val="es-ES_tradnl"/>
              </w:rPr>
            </w:pPr>
            <w:r w:rsidRPr="00B25B0A">
              <w:rPr>
                <w:sz w:val="18"/>
                <w:lang w:val="es-ES_tradnl"/>
              </w:rPr>
              <w:t>99 233</w:t>
            </w:r>
          </w:p>
        </w:tc>
        <w:tc>
          <w:tcPr>
            <w:tcW w:w="889" w:type="dxa"/>
            <w:shd w:val="clear" w:color="auto" w:fill="auto"/>
            <w:noWrap/>
            <w:vAlign w:val="bottom"/>
          </w:tcPr>
          <w:p w:rsidR="00D74294" w:rsidRPr="00B25B0A" w:rsidRDefault="00D74294" w:rsidP="00147E30">
            <w:pPr>
              <w:pStyle w:val="SingleTxtG"/>
              <w:spacing w:before="40" w:after="40" w:line="220" w:lineRule="exact"/>
              <w:ind w:left="0" w:right="28"/>
              <w:jc w:val="right"/>
              <w:rPr>
                <w:bCs/>
                <w:sz w:val="18"/>
                <w:lang w:val="es-ES_tradnl"/>
              </w:rPr>
            </w:pPr>
            <w:r w:rsidRPr="00B25B0A">
              <w:rPr>
                <w:bCs/>
                <w:sz w:val="18"/>
                <w:lang w:val="es-ES_tradnl"/>
              </w:rPr>
              <w:t>783 925</w:t>
            </w:r>
          </w:p>
        </w:tc>
        <w:tc>
          <w:tcPr>
            <w:tcW w:w="889" w:type="dxa"/>
            <w:shd w:val="clear" w:color="auto" w:fill="auto"/>
            <w:noWrap/>
            <w:vAlign w:val="bottom"/>
          </w:tcPr>
          <w:p w:rsidR="00D74294" w:rsidRPr="00B25B0A" w:rsidRDefault="00D74294" w:rsidP="00147E30">
            <w:pPr>
              <w:pStyle w:val="SingleTxtG"/>
              <w:spacing w:before="40" w:after="40" w:line="220" w:lineRule="exact"/>
              <w:ind w:left="0" w:right="28"/>
              <w:jc w:val="right"/>
              <w:rPr>
                <w:sz w:val="18"/>
                <w:lang w:val="es-ES_tradnl"/>
              </w:rPr>
            </w:pPr>
            <w:r w:rsidRPr="00B25B0A">
              <w:rPr>
                <w:sz w:val="18"/>
                <w:lang w:val="es-ES_tradnl"/>
              </w:rPr>
              <w:t>706 585</w:t>
            </w:r>
          </w:p>
        </w:tc>
        <w:tc>
          <w:tcPr>
            <w:tcW w:w="746" w:type="dxa"/>
            <w:shd w:val="clear" w:color="auto" w:fill="auto"/>
            <w:vAlign w:val="bottom"/>
          </w:tcPr>
          <w:p w:rsidR="00D74294" w:rsidRPr="00B25B0A" w:rsidRDefault="00D74294" w:rsidP="00147E30">
            <w:pPr>
              <w:pStyle w:val="SingleTxtG"/>
              <w:spacing w:before="40" w:after="40" w:line="220" w:lineRule="exact"/>
              <w:ind w:left="0" w:right="28"/>
              <w:jc w:val="right"/>
              <w:rPr>
                <w:sz w:val="18"/>
                <w:lang w:val="es-ES_tradnl"/>
              </w:rPr>
            </w:pPr>
            <w:r w:rsidRPr="00B25B0A">
              <w:rPr>
                <w:sz w:val="18"/>
                <w:lang w:val="es-ES_tradnl"/>
              </w:rPr>
              <w:t>115 601</w:t>
            </w:r>
          </w:p>
        </w:tc>
        <w:tc>
          <w:tcPr>
            <w:tcW w:w="928" w:type="dxa"/>
            <w:shd w:val="clear" w:color="auto" w:fill="auto"/>
            <w:noWrap/>
            <w:vAlign w:val="bottom"/>
          </w:tcPr>
          <w:p w:rsidR="00D74294" w:rsidRPr="00B25B0A" w:rsidRDefault="00D74294" w:rsidP="00147E30">
            <w:pPr>
              <w:pStyle w:val="SingleTxtG"/>
              <w:spacing w:before="40" w:after="40" w:line="220" w:lineRule="exact"/>
              <w:ind w:left="0" w:right="28"/>
              <w:jc w:val="right"/>
              <w:rPr>
                <w:sz w:val="18"/>
                <w:lang w:val="es-ES_tradnl"/>
              </w:rPr>
            </w:pPr>
            <w:r w:rsidRPr="00B25B0A">
              <w:rPr>
                <w:bCs/>
                <w:sz w:val="18"/>
                <w:lang w:val="es-ES_tradnl"/>
              </w:rPr>
              <w:t>822 186</w:t>
            </w:r>
          </w:p>
        </w:tc>
      </w:tr>
      <w:tr w:rsidR="001B44C0" w:rsidRPr="00B25B0A" w:rsidTr="0019554A">
        <w:trPr>
          <w:trHeight w:val="240"/>
        </w:trPr>
        <w:tc>
          <w:tcPr>
            <w:tcW w:w="1843" w:type="dxa"/>
            <w:shd w:val="clear" w:color="auto" w:fill="auto"/>
          </w:tcPr>
          <w:p w:rsidR="00D74294" w:rsidRPr="001B44C0" w:rsidRDefault="001B44C0" w:rsidP="001B44C0">
            <w:pPr>
              <w:pStyle w:val="SingleTxtG"/>
              <w:spacing w:before="40" w:after="40" w:line="220" w:lineRule="exact"/>
              <w:ind w:left="0" w:right="0"/>
              <w:jc w:val="left"/>
              <w:rPr>
                <w:bCs/>
                <w:sz w:val="18"/>
                <w:lang w:val="es-ES_tradnl"/>
              </w:rPr>
            </w:pPr>
            <w:r w:rsidRPr="001B44C0">
              <w:rPr>
                <w:sz w:val="18"/>
              </w:rPr>
              <w:t>De 35 a 44 años</w:t>
            </w:r>
          </w:p>
        </w:tc>
        <w:tc>
          <w:tcPr>
            <w:tcW w:w="851" w:type="dxa"/>
            <w:shd w:val="clear" w:color="auto" w:fill="auto"/>
          </w:tcPr>
          <w:p w:rsidR="00D74294" w:rsidRPr="00B25B0A" w:rsidRDefault="00D74294" w:rsidP="00147E30">
            <w:pPr>
              <w:pStyle w:val="SingleTxtG"/>
              <w:spacing w:before="40" w:after="40" w:line="220" w:lineRule="exact"/>
              <w:ind w:left="0" w:right="28"/>
              <w:jc w:val="right"/>
              <w:rPr>
                <w:sz w:val="18"/>
                <w:lang w:val="es-ES_tradnl"/>
              </w:rPr>
            </w:pPr>
            <w:r w:rsidRPr="00B25B0A">
              <w:rPr>
                <w:sz w:val="18"/>
                <w:lang w:val="es-ES_tradnl"/>
              </w:rPr>
              <w:t>15 310</w:t>
            </w:r>
          </w:p>
        </w:tc>
        <w:tc>
          <w:tcPr>
            <w:tcW w:w="806" w:type="dxa"/>
            <w:shd w:val="clear" w:color="auto" w:fill="auto"/>
          </w:tcPr>
          <w:p w:rsidR="00D74294" w:rsidRPr="00B25B0A" w:rsidRDefault="00D74294" w:rsidP="00147E30">
            <w:pPr>
              <w:pStyle w:val="SingleTxtG"/>
              <w:spacing w:before="40" w:after="40" w:line="220" w:lineRule="exact"/>
              <w:ind w:left="0" w:right="28"/>
              <w:jc w:val="right"/>
              <w:rPr>
                <w:sz w:val="18"/>
                <w:lang w:val="es-ES_tradnl"/>
              </w:rPr>
            </w:pPr>
            <w:r w:rsidRPr="00B25B0A">
              <w:rPr>
                <w:sz w:val="18"/>
                <w:lang w:val="es-ES_tradnl"/>
              </w:rPr>
              <w:t>9 733</w:t>
            </w:r>
          </w:p>
        </w:tc>
        <w:tc>
          <w:tcPr>
            <w:tcW w:w="753" w:type="dxa"/>
            <w:shd w:val="clear" w:color="auto" w:fill="auto"/>
            <w:noWrap/>
            <w:vAlign w:val="bottom"/>
          </w:tcPr>
          <w:p w:rsidR="00D74294" w:rsidRPr="00B25B0A" w:rsidRDefault="00D74294" w:rsidP="00147E30">
            <w:pPr>
              <w:pStyle w:val="SingleTxtG"/>
              <w:spacing w:before="40" w:after="40" w:line="220" w:lineRule="exact"/>
              <w:ind w:left="0" w:right="28"/>
              <w:jc w:val="right"/>
              <w:rPr>
                <w:bCs/>
                <w:sz w:val="18"/>
                <w:lang w:val="es-ES_tradnl"/>
              </w:rPr>
            </w:pPr>
            <w:r w:rsidRPr="00B25B0A">
              <w:rPr>
                <w:bCs/>
                <w:sz w:val="18"/>
                <w:lang w:val="es-ES_tradnl"/>
              </w:rPr>
              <w:t>25 043</w:t>
            </w:r>
          </w:p>
        </w:tc>
        <w:tc>
          <w:tcPr>
            <w:tcW w:w="1067" w:type="dxa"/>
            <w:shd w:val="clear" w:color="auto" w:fill="auto"/>
            <w:vAlign w:val="bottom"/>
          </w:tcPr>
          <w:p w:rsidR="00D74294" w:rsidRPr="00B25B0A" w:rsidRDefault="00D74294" w:rsidP="00147E30">
            <w:pPr>
              <w:pStyle w:val="SingleTxtG"/>
              <w:spacing w:before="40" w:after="40" w:line="220" w:lineRule="exact"/>
              <w:ind w:left="0" w:right="28"/>
              <w:jc w:val="right"/>
              <w:rPr>
                <w:sz w:val="18"/>
                <w:lang w:val="es-ES_tradnl"/>
              </w:rPr>
            </w:pPr>
            <w:r w:rsidRPr="00B25B0A">
              <w:rPr>
                <w:sz w:val="18"/>
                <w:lang w:val="es-ES_tradnl"/>
              </w:rPr>
              <w:t>514 441</w:t>
            </w:r>
          </w:p>
        </w:tc>
        <w:tc>
          <w:tcPr>
            <w:tcW w:w="867" w:type="dxa"/>
            <w:shd w:val="clear" w:color="auto" w:fill="auto"/>
            <w:vAlign w:val="bottom"/>
          </w:tcPr>
          <w:p w:rsidR="00D74294" w:rsidRPr="00B25B0A" w:rsidRDefault="00D74294" w:rsidP="00147E30">
            <w:pPr>
              <w:pStyle w:val="SingleTxtG"/>
              <w:spacing w:before="40" w:after="40" w:line="220" w:lineRule="exact"/>
              <w:ind w:left="0" w:right="28"/>
              <w:jc w:val="right"/>
              <w:rPr>
                <w:sz w:val="18"/>
                <w:lang w:val="es-ES_tradnl"/>
              </w:rPr>
            </w:pPr>
            <w:r w:rsidRPr="00B25B0A">
              <w:rPr>
                <w:sz w:val="18"/>
                <w:lang w:val="es-ES_tradnl"/>
              </w:rPr>
              <w:t>82 853</w:t>
            </w:r>
          </w:p>
        </w:tc>
        <w:tc>
          <w:tcPr>
            <w:tcW w:w="889" w:type="dxa"/>
            <w:shd w:val="clear" w:color="auto" w:fill="auto"/>
            <w:noWrap/>
            <w:vAlign w:val="bottom"/>
          </w:tcPr>
          <w:p w:rsidR="00D74294" w:rsidRPr="00B25B0A" w:rsidRDefault="00D74294" w:rsidP="00147E30">
            <w:pPr>
              <w:pStyle w:val="SingleTxtG"/>
              <w:spacing w:before="40" w:after="40" w:line="220" w:lineRule="exact"/>
              <w:ind w:left="0" w:right="28"/>
              <w:jc w:val="right"/>
              <w:rPr>
                <w:bCs/>
                <w:sz w:val="18"/>
                <w:lang w:val="es-ES_tradnl"/>
              </w:rPr>
            </w:pPr>
            <w:r w:rsidRPr="00B25B0A">
              <w:rPr>
                <w:bCs/>
                <w:sz w:val="18"/>
                <w:lang w:val="es-ES_tradnl"/>
              </w:rPr>
              <w:t>597 294</w:t>
            </w:r>
          </w:p>
        </w:tc>
        <w:tc>
          <w:tcPr>
            <w:tcW w:w="889" w:type="dxa"/>
            <w:shd w:val="clear" w:color="auto" w:fill="auto"/>
            <w:noWrap/>
            <w:vAlign w:val="bottom"/>
          </w:tcPr>
          <w:p w:rsidR="00D74294" w:rsidRPr="00B25B0A" w:rsidRDefault="00D74294" w:rsidP="00147E30">
            <w:pPr>
              <w:pStyle w:val="SingleTxtG"/>
              <w:spacing w:before="40" w:after="40" w:line="220" w:lineRule="exact"/>
              <w:ind w:left="0" w:right="28"/>
              <w:jc w:val="right"/>
              <w:rPr>
                <w:sz w:val="18"/>
                <w:lang w:val="es-ES_tradnl"/>
              </w:rPr>
            </w:pPr>
            <w:r w:rsidRPr="00B25B0A">
              <w:rPr>
                <w:sz w:val="18"/>
                <w:lang w:val="es-ES_tradnl"/>
              </w:rPr>
              <w:t>529 751</w:t>
            </w:r>
          </w:p>
        </w:tc>
        <w:tc>
          <w:tcPr>
            <w:tcW w:w="746" w:type="dxa"/>
            <w:shd w:val="clear" w:color="auto" w:fill="auto"/>
            <w:vAlign w:val="bottom"/>
          </w:tcPr>
          <w:p w:rsidR="00D74294" w:rsidRPr="00B25B0A" w:rsidRDefault="00D74294" w:rsidP="00147E30">
            <w:pPr>
              <w:pStyle w:val="SingleTxtG"/>
              <w:spacing w:before="40" w:after="40" w:line="220" w:lineRule="exact"/>
              <w:ind w:left="0" w:right="28"/>
              <w:jc w:val="right"/>
              <w:rPr>
                <w:sz w:val="18"/>
                <w:lang w:val="es-ES_tradnl"/>
              </w:rPr>
            </w:pPr>
            <w:r w:rsidRPr="00B25B0A">
              <w:rPr>
                <w:sz w:val="18"/>
                <w:lang w:val="es-ES_tradnl"/>
              </w:rPr>
              <w:t>92 586</w:t>
            </w:r>
          </w:p>
        </w:tc>
        <w:tc>
          <w:tcPr>
            <w:tcW w:w="928" w:type="dxa"/>
            <w:shd w:val="clear" w:color="auto" w:fill="auto"/>
            <w:noWrap/>
            <w:vAlign w:val="bottom"/>
          </w:tcPr>
          <w:p w:rsidR="00D74294" w:rsidRPr="00B25B0A" w:rsidRDefault="00D74294" w:rsidP="00147E30">
            <w:pPr>
              <w:pStyle w:val="SingleTxtG"/>
              <w:spacing w:before="40" w:after="40" w:line="220" w:lineRule="exact"/>
              <w:ind w:left="0" w:right="28"/>
              <w:jc w:val="right"/>
              <w:rPr>
                <w:sz w:val="18"/>
                <w:lang w:val="es-ES_tradnl"/>
              </w:rPr>
            </w:pPr>
            <w:r w:rsidRPr="00B25B0A">
              <w:rPr>
                <w:bCs/>
                <w:sz w:val="18"/>
                <w:lang w:val="es-ES_tradnl"/>
              </w:rPr>
              <w:t>622 337</w:t>
            </w:r>
          </w:p>
        </w:tc>
      </w:tr>
      <w:tr w:rsidR="001B44C0" w:rsidRPr="00B25B0A" w:rsidTr="0019554A">
        <w:trPr>
          <w:trHeight w:val="240"/>
        </w:trPr>
        <w:tc>
          <w:tcPr>
            <w:tcW w:w="1843" w:type="dxa"/>
            <w:shd w:val="clear" w:color="auto" w:fill="auto"/>
          </w:tcPr>
          <w:p w:rsidR="001B44C0" w:rsidRPr="001B44C0" w:rsidRDefault="001B44C0" w:rsidP="001B44C0">
            <w:pPr>
              <w:pStyle w:val="SingleTxtG"/>
              <w:spacing w:before="40" w:after="40" w:line="220" w:lineRule="exact"/>
              <w:ind w:left="0" w:right="0"/>
              <w:jc w:val="left"/>
              <w:rPr>
                <w:bCs/>
                <w:sz w:val="18"/>
                <w:szCs w:val="18"/>
                <w:lang w:val="es-ES_tradnl"/>
              </w:rPr>
            </w:pPr>
            <w:r w:rsidRPr="001B44C0">
              <w:rPr>
                <w:sz w:val="18"/>
              </w:rPr>
              <w:t>De 45 a 54 años</w:t>
            </w:r>
          </w:p>
        </w:tc>
        <w:tc>
          <w:tcPr>
            <w:tcW w:w="851" w:type="dxa"/>
            <w:shd w:val="clear" w:color="auto" w:fill="auto"/>
          </w:tcPr>
          <w:p w:rsidR="001B44C0" w:rsidRPr="00B25B0A" w:rsidRDefault="001B44C0" w:rsidP="001B44C0">
            <w:pPr>
              <w:pStyle w:val="SingleTxtG"/>
              <w:spacing w:before="40" w:after="40" w:line="220" w:lineRule="exact"/>
              <w:ind w:left="0" w:right="28"/>
              <w:jc w:val="right"/>
              <w:rPr>
                <w:sz w:val="18"/>
                <w:lang w:val="es-ES_tradnl"/>
              </w:rPr>
            </w:pPr>
            <w:r w:rsidRPr="00B25B0A">
              <w:rPr>
                <w:sz w:val="18"/>
                <w:lang w:val="es-ES_tradnl"/>
              </w:rPr>
              <w:t>12 524</w:t>
            </w:r>
          </w:p>
        </w:tc>
        <w:tc>
          <w:tcPr>
            <w:tcW w:w="806" w:type="dxa"/>
            <w:shd w:val="clear" w:color="auto" w:fill="auto"/>
          </w:tcPr>
          <w:p w:rsidR="001B44C0" w:rsidRPr="00B25B0A" w:rsidRDefault="001B44C0" w:rsidP="001B44C0">
            <w:pPr>
              <w:pStyle w:val="SingleTxtG"/>
              <w:spacing w:before="40" w:after="40" w:line="220" w:lineRule="exact"/>
              <w:ind w:left="0" w:right="28"/>
              <w:jc w:val="right"/>
              <w:rPr>
                <w:sz w:val="18"/>
                <w:lang w:val="es-ES_tradnl"/>
              </w:rPr>
            </w:pPr>
            <w:r w:rsidRPr="00B25B0A">
              <w:rPr>
                <w:sz w:val="18"/>
                <w:lang w:val="es-ES_tradnl"/>
              </w:rPr>
              <w:t>4 679</w:t>
            </w:r>
          </w:p>
        </w:tc>
        <w:tc>
          <w:tcPr>
            <w:tcW w:w="753" w:type="dxa"/>
            <w:shd w:val="clear" w:color="auto" w:fill="auto"/>
            <w:noWrap/>
            <w:vAlign w:val="bottom"/>
          </w:tcPr>
          <w:p w:rsidR="001B44C0" w:rsidRPr="00B25B0A" w:rsidRDefault="001B44C0" w:rsidP="001B44C0">
            <w:pPr>
              <w:pStyle w:val="SingleTxtG"/>
              <w:spacing w:before="40" w:after="40" w:line="220" w:lineRule="exact"/>
              <w:ind w:left="0" w:right="28"/>
              <w:jc w:val="right"/>
              <w:rPr>
                <w:bCs/>
                <w:sz w:val="18"/>
                <w:lang w:val="es-ES_tradnl"/>
              </w:rPr>
            </w:pPr>
            <w:r w:rsidRPr="00B25B0A">
              <w:rPr>
                <w:bCs/>
                <w:sz w:val="18"/>
                <w:lang w:val="es-ES_tradnl"/>
              </w:rPr>
              <w:t>17 203</w:t>
            </w:r>
          </w:p>
        </w:tc>
        <w:tc>
          <w:tcPr>
            <w:tcW w:w="1067" w:type="dxa"/>
            <w:shd w:val="clear" w:color="auto" w:fill="auto"/>
            <w:vAlign w:val="bottom"/>
          </w:tcPr>
          <w:p w:rsidR="001B44C0" w:rsidRPr="00B25B0A" w:rsidRDefault="001B44C0" w:rsidP="001B44C0">
            <w:pPr>
              <w:pStyle w:val="SingleTxtG"/>
              <w:spacing w:before="40" w:after="40" w:line="220" w:lineRule="exact"/>
              <w:ind w:left="0" w:right="28"/>
              <w:jc w:val="right"/>
              <w:rPr>
                <w:sz w:val="18"/>
                <w:lang w:val="es-ES_tradnl"/>
              </w:rPr>
            </w:pPr>
            <w:r w:rsidRPr="00B25B0A">
              <w:rPr>
                <w:sz w:val="18"/>
                <w:lang w:val="es-ES_tradnl"/>
              </w:rPr>
              <w:t>248 671</w:t>
            </w:r>
          </w:p>
        </w:tc>
        <w:tc>
          <w:tcPr>
            <w:tcW w:w="867" w:type="dxa"/>
            <w:shd w:val="clear" w:color="auto" w:fill="auto"/>
            <w:vAlign w:val="bottom"/>
          </w:tcPr>
          <w:p w:rsidR="001B44C0" w:rsidRPr="00B25B0A" w:rsidRDefault="001B44C0" w:rsidP="001B44C0">
            <w:pPr>
              <w:pStyle w:val="SingleTxtG"/>
              <w:spacing w:before="40" w:after="40" w:line="220" w:lineRule="exact"/>
              <w:ind w:left="0" w:right="28"/>
              <w:jc w:val="right"/>
              <w:rPr>
                <w:sz w:val="18"/>
                <w:lang w:val="es-ES_tradnl"/>
              </w:rPr>
            </w:pPr>
            <w:r w:rsidRPr="00B25B0A">
              <w:rPr>
                <w:sz w:val="18"/>
                <w:lang w:val="es-ES_tradnl"/>
              </w:rPr>
              <w:t>17 949</w:t>
            </w:r>
          </w:p>
        </w:tc>
        <w:tc>
          <w:tcPr>
            <w:tcW w:w="889" w:type="dxa"/>
            <w:shd w:val="clear" w:color="auto" w:fill="auto"/>
            <w:noWrap/>
            <w:vAlign w:val="bottom"/>
          </w:tcPr>
          <w:p w:rsidR="001B44C0" w:rsidRPr="00B25B0A" w:rsidRDefault="001B44C0" w:rsidP="001B44C0">
            <w:pPr>
              <w:pStyle w:val="SingleTxtG"/>
              <w:spacing w:before="40" w:after="40" w:line="220" w:lineRule="exact"/>
              <w:ind w:left="0" w:right="28"/>
              <w:jc w:val="right"/>
              <w:rPr>
                <w:bCs/>
                <w:sz w:val="18"/>
                <w:lang w:val="es-ES_tradnl"/>
              </w:rPr>
            </w:pPr>
            <w:r w:rsidRPr="00B25B0A">
              <w:rPr>
                <w:bCs/>
                <w:sz w:val="18"/>
                <w:lang w:val="es-ES_tradnl"/>
              </w:rPr>
              <w:t>266 620</w:t>
            </w:r>
          </w:p>
        </w:tc>
        <w:tc>
          <w:tcPr>
            <w:tcW w:w="889" w:type="dxa"/>
            <w:shd w:val="clear" w:color="auto" w:fill="auto"/>
            <w:noWrap/>
            <w:vAlign w:val="bottom"/>
          </w:tcPr>
          <w:p w:rsidR="001B44C0" w:rsidRPr="00B25B0A" w:rsidRDefault="001B44C0" w:rsidP="001B44C0">
            <w:pPr>
              <w:pStyle w:val="SingleTxtG"/>
              <w:spacing w:before="40" w:after="40" w:line="220" w:lineRule="exact"/>
              <w:ind w:left="0" w:right="28"/>
              <w:jc w:val="right"/>
              <w:rPr>
                <w:sz w:val="18"/>
                <w:lang w:val="es-ES_tradnl"/>
              </w:rPr>
            </w:pPr>
            <w:r w:rsidRPr="00B25B0A">
              <w:rPr>
                <w:sz w:val="18"/>
                <w:lang w:val="es-ES_tradnl"/>
              </w:rPr>
              <w:t>261 195</w:t>
            </w:r>
          </w:p>
        </w:tc>
        <w:tc>
          <w:tcPr>
            <w:tcW w:w="746" w:type="dxa"/>
            <w:shd w:val="clear" w:color="auto" w:fill="auto"/>
            <w:vAlign w:val="bottom"/>
          </w:tcPr>
          <w:p w:rsidR="001B44C0" w:rsidRPr="00B25B0A" w:rsidRDefault="001B44C0" w:rsidP="001B44C0">
            <w:pPr>
              <w:pStyle w:val="SingleTxtG"/>
              <w:spacing w:before="40" w:after="40" w:line="220" w:lineRule="exact"/>
              <w:ind w:left="0" w:right="28"/>
              <w:jc w:val="right"/>
              <w:rPr>
                <w:sz w:val="18"/>
                <w:lang w:val="es-ES_tradnl"/>
              </w:rPr>
            </w:pPr>
            <w:r w:rsidRPr="00B25B0A">
              <w:rPr>
                <w:sz w:val="18"/>
                <w:lang w:val="es-ES_tradnl"/>
              </w:rPr>
              <w:t>22 628</w:t>
            </w:r>
          </w:p>
        </w:tc>
        <w:tc>
          <w:tcPr>
            <w:tcW w:w="928" w:type="dxa"/>
            <w:shd w:val="clear" w:color="auto" w:fill="auto"/>
            <w:noWrap/>
            <w:vAlign w:val="bottom"/>
          </w:tcPr>
          <w:p w:rsidR="001B44C0" w:rsidRPr="00B25B0A" w:rsidRDefault="001B44C0" w:rsidP="001B44C0">
            <w:pPr>
              <w:pStyle w:val="SingleTxtG"/>
              <w:spacing w:before="40" w:after="40" w:line="220" w:lineRule="exact"/>
              <w:ind w:left="0" w:right="28"/>
              <w:jc w:val="right"/>
              <w:rPr>
                <w:sz w:val="18"/>
                <w:lang w:val="es-ES_tradnl"/>
              </w:rPr>
            </w:pPr>
            <w:r w:rsidRPr="00B25B0A">
              <w:rPr>
                <w:bCs/>
                <w:sz w:val="18"/>
                <w:lang w:val="es-ES_tradnl"/>
              </w:rPr>
              <w:t>283 823</w:t>
            </w:r>
          </w:p>
        </w:tc>
      </w:tr>
      <w:tr w:rsidR="001B44C0" w:rsidRPr="00B25B0A" w:rsidTr="0019554A">
        <w:trPr>
          <w:trHeight w:val="240"/>
        </w:trPr>
        <w:tc>
          <w:tcPr>
            <w:tcW w:w="1843" w:type="dxa"/>
            <w:tcBorders>
              <w:bottom w:val="single" w:sz="4" w:space="0" w:color="auto"/>
            </w:tcBorders>
            <w:shd w:val="clear" w:color="auto" w:fill="auto"/>
          </w:tcPr>
          <w:p w:rsidR="001B44C0" w:rsidRPr="001B44C0" w:rsidRDefault="001B44C0" w:rsidP="001B44C0">
            <w:pPr>
              <w:pStyle w:val="SingleTxtG"/>
              <w:spacing w:before="40" w:after="40" w:line="220" w:lineRule="exact"/>
              <w:ind w:left="0" w:right="0"/>
              <w:jc w:val="left"/>
              <w:rPr>
                <w:bCs/>
                <w:sz w:val="18"/>
                <w:szCs w:val="18"/>
                <w:lang w:val="es-ES_tradnl"/>
              </w:rPr>
            </w:pPr>
            <w:r w:rsidRPr="001B44C0">
              <w:rPr>
                <w:sz w:val="18"/>
              </w:rPr>
              <w:t>De 55 años o más</w:t>
            </w:r>
          </w:p>
        </w:tc>
        <w:tc>
          <w:tcPr>
            <w:tcW w:w="851" w:type="dxa"/>
            <w:tcBorders>
              <w:bottom w:val="single" w:sz="4" w:space="0" w:color="auto"/>
            </w:tcBorders>
            <w:shd w:val="clear" w:color="auto" w:fill="auto"/>
          </w:tcPr>
          <w:p w:rsidR="001B44C0" w:rsidRPr="00B25B0A" w:rsidRDefault="001B44C0" w:rsidP="001B44C0">
            <w:pPr>
              <w:pStyle w:val="SingleTxtG"/>
              <w:spacing w:before="40" w:after="40" w:line="220" w:lineRule="exact"/>
              <w:ind w:left="0" w:right="28"/>
              <w:jc w:val="right"/>
              <w:rPr>
                <w:sz w:val="18"/>
                <w:lang w:val="es-ES_tradnl"/>
              </w:rPr>
            </w:pPr>
            <w:r w:rsidRPr="00B25B0A">
              <w:rPr>
                <w:sz w:val="18"/>
                <w:lang w:val="es-ES_tradnl"/>
              </w:rPr>
              <w:t>3 641</w:t>
            </w:r>
          </w:p>
        </w:tc>
        <w:tc>
          <w:tcPr>
            <w:tcW w:w="806" w:type="dxa"/>
            <w:tcBorders>
              <w:bottom w:val="single" w:sz="4" w:space="0" w:color="auto"/>
            </w:tcBorders>
            <w:shd w:val="clear" w:color="auto" w:fill="auto"/>
          </w:tcPr>
          <w:p w:rsidR="001B44C0" w:rsidRPr="00B25B0A" w:rsidRDefault="001B44C0" w:rsidP="001B44C0">
            <w:pPr>
              <w:pStyle w:val="SingleTxtG"/>
              <w:spacing w:before="40" w:after="40" w:line="220" w:lineRule="exact"/>
              <w:ind w:left="0" w:right="28"/>
              <w:jc w:val="right"/>
              <w:rPr>
                <w:sz w:val="18"/>
                <w:lang w:val="es-ES_tradnl"/>
              </w:rPr>
            </w:pPr>
            <w:r w:rsidRPr="00B25B0A">
              <w:rPr>
                <w:sz w:val="18"/>
                <w:lang w:val="es-ES_tradnl"/>
              </w:rPr>
              <w:t>939</w:t>
            </w:r>
          </w:p>
        </w:tc>
        <w:tc>
          <w:tcPr>
            <w:tcW w:w="753" w:type="dxa"/>
            <w:tcBorders>
              <w:bottom w:val="single" w:sz="4" w:space="0" w:color="auto"/>
            </w:tcBorders>
            <w:shd w:val="clear" w:color="auto" w:fill="auto"/>
            <w:noWrap/>
            <w:vAlign w:val="bottom"/>
          </w:tcPr>
          <w:p w:rsidR="001B44C0" w:rsidRPr="00B25B0A" w:rsidRDefault="001B44C0" w:rsidP="001B44C0">
            <w:pPr>
              <w:pStyle w:val="SingleTxtG"/>
              <w:spacing w:before="40" w:after="40" w:line="220" w:lineRule="exact"/>
              <w:ind w:left="0" w:right="28"/>
              <w:jc w:val="right"/>
              <w:rPr>
                <w:bCs/>
                <w:sz w:val="18"/>
                <w:lang w:val="es-ES_tradnl"/>
              </w:rPr>
            </w:pPr>
            <w:r w:rsidRPr="00B25B0A">
              <w:rPr>
                <w:bCs/>
                <w:sz w:val="18"/>
                <w:lang w:val="es-ES_tradnl"/>
              </w:rPr>
              <w:t>4 580</w:t>
            </w:r>
          </w:p>
        </w:tc>
        <w:tc>
          <w:tcPr>
            <w:tcW w:w="1067" w:type="dxa"/>
            <w:tcBorders>
              <w:bottom w:val="single" w:sz="4" w:space="0" w:color="auto"/>
            </w:tcBorders>
            <w:shd w:val="clear" w:color="auto" w:fill="auto"/>
            <w:vAlign w:val="bottom"/>
          </w:tcPr>
          <w:p w:rsidR="001B44C0" w:rsidRPr="00B25B0A" w:rsidRDefault="001B44C0" w:rsidP="001B44C0">
            <w:pPr>
              <w:pStyle w:val="SingleTxtG"/>
              <w:spacing w:before="40" w:after="40" w:line="220" w:lineRule="exact"/>
              <w:ind w:left="0" w:right="28"/>
              <w:jc w:val="right"/>
              <w:rPr>
                <w:sz w:val="18"/>
                <w:lang w:val="es-ES_tradnl"/>
              </w:rPr>
            </w:pPr>
            <w:r w:rsidRPr="00B25B0A">
              <w:rPr>
                <w:sz w:val="18"/>
                <w:lang w:val="es-ES_tradnl"/>
              </w:rPr>
              <w:t>82 974</w:t>
            </w:r>
          </w:p>
        </w:tc>
        <w:tc>
          <w:tcPr>
            <w:tcW w:w="867" w:type="dxa"/>
            <w:tcBorders>
              <w:bottom w:val="single" w:sz="4" w:space="0" w:color="auto"/>
            </w:tcBorders>
            <w:shd w:val="clear" w:color="auto" w:fill="auto"/>
            <w:vAlign w:val="bottom"/>
          </w:tcPr>
          <w:p w:rsidR="001B44C0" w:rsidRPr="00B25B0A" w:rsidRDefault="001B44C0" w:rsidP="001B44C0">
            <w:pPr>
              <w:pStyle w:val="SingleTxtG"/>
              <w:spacing w:before="40" w:after="40" w:line="220" w:lineRule="exact"/>
              <w:ind w:left="0" w:right="28"/>
              <w:jc w:val="right"/>
              <w:rPr>
                <w:sz w:val="18"/>
                <w:lang w:val="es-ES_tradnl"/>
              </w:rPr>
            </w:pPr>
            <w:r w:rsidRPr="00B25B0A">
              <w:rPr>
                <w:sz w:val="18"/>
                <w:lang w:val="es-ES_tradnl"/>
              </w:rPr>
              <w:t>5 569</w:t>
            </w:r>
          </w:p>
        </w:tc>
        <w:tc>
          <w:tcPr>
            <w:tcW w:w="889" w:type="dxa"/>
            <w:tcBorders>
              <w:bottom w:val="single" w:sz="4" w:space="0" w:color="auto"/>
            </w:tcBorders>
            <w:shd w:val="clear" w:color="auto" w:fill="auto"/>
            <w:noWrap/>
            <w:vAlign w:val="bottom"/>
          </w:tcPr>
          <w:p w:rsidR="001B44C0" w:rsidRPr="00B25B0A" w:rsidRDefault="001B44C0" w:rsidP="001B44C0">
            <w:pPr>
              <w:pStyle w:val="SingleTxtG"/>
              <w:spacing w:before="40" w:after="40" w:line="220" w:lineRule="exact"/>
              <w:ind w:left="0" w:right="28"/>
              <w:jc w:val="right"/>
              <w:rPr>
                <w:bCs/>
                <w:sz w:val="18"/>
                <w:lang w:val="es-ES_tradnl"/>
              </w:rPr>
            </w:pPr>
            <w:r w:rsidRPr="00B25B0A">
              <w:rPr>
                <w:bCs/>
                <w:sz w:val="18"/>
                <w:lang w:val="es-ES_tradnl"/>
              </w:rPr>
              <w:t>88 543</w:t>
            </w:r>
          </w:p>
        </w:tc>
        <w:tc>
          <w:tcPr>
            <w:tcW w:w="889" w:type="dxa"/>
            <w:tcBorders>
              <w:bottom w:val="single" w:sz="4" w:space="0" w:color="auto"/>
            </w:tcBorders>
            <w:shd w:val="clear" w:color="auto" w:fill="auto"/>
            <w:noWrap/>
            <w:vAlign w:val="bottom"/>
          </w:tcPr>
          <w:p w:rsidR="001B44C0" w:rsidRPr="00B25B0A" w:rsidRDefault="001B44C0" w:rsidP="001B44C0">
            <w:pPr>
              <w:pStyle w:val="SingleTxtG"/>
              <w:spacing w:before="40" w:after="40" w:line="220" w:lineRule="exact"/>
              <w:ind w:left="0" w:right="28"/>
              <w:jc w:val="right"/>
              <w:rPr>
                <w:sz w:val="18"/>
                <w:lang w:val="es-ES_tradnl"/>
              </w:rPr>
            </w:pPr>
            <w:r w:rsidRPr="00B25B0A">
              <w:rPr>
                <w:sz w:val="18"/>
                <w:lang w:val="es-ES_tradnl"/>
              </w:rPr>
              <w:t>86 615</w:t>
            </w:r>
          </w:p>
        </w:tc>
        <w:tc>
          <w:tcPr>
            <w:tcW w:w="746" w:type="dxa"/>
            <w:tcBorders>
              <w:bottom w:val="single" w:sz="4" w:space="0" w:color="auto"/>
            </w:tcBorders>
            <w:shd w:val="clear" w:color="auto" w:fill="auto"/>
            <w:vAlign w:val="bottom"/>
          </w:tcPr>
          <w:p w:rsidR="001B44C0" w:rsidRPr="00B25B0A" w:rsidRDefault="001B44C0" w:rsidP="001B44C0">
            <w:pPr>
              <w:pStyle w:val="SingleTxtG"/>
              <w:spacing w:before="40" w:after="40" w:line="220" w:lineRule="exact"/>
              <w:ind w:left="0" w:right="28"/>
              <w:jc w:val="right"/>
              <w:rPr>
                <w:sz w:val="18"/>
                <w:lang w:val="es-ES_tradnl"/>
              </w:rPr>
            </w:pPr>
            <w:r w:rsidRPr="00B25B0A">
              <w:rPr>
                <w:sz w:val="18"/>
                <w:lang w:val="es-ES_tradnl"/>
              </w:rPr>
              <w:t>6 508</w:t>
            </w:r>
          </w:p>
        </w:tc>
        <w:tc>
          <w:tcPr>
            <w:tcW w:w="928" w:type="dxa"/>
            <w:tcBorders>
              <w:bottom w:val="single" w:sz="4" w:space="0" w:color="auto"/>
            </w:tcBorders>
            <w:shd w:val="clear" w:color="auto" w:fill="auto"/>
            <w:noWrap/>
            <w:vAlign w:val="bottom"/>
          </w:tcPr>
          <w:p w:rsidR="001B44C0" w:rsidRPr="00B25B0A" w:rsidRDefault="001B44C0" w:rsidP="001B44C0">
            <w:pPr>
              <w:pStyle w:val="SingleTxtG"/>
              <w:spacing w:before="40" w:after="40" w:line="220" w:lineRule="exact"/>
              <w:ind w:left="0" w:right="28"/>
              <w:jc w:val="right"/>
              <w:rPr>
                <w:sz w:val="18"/>
                <w:lang w:val="es-ES_tradnl"/>
              </w:rPr>
            </w:pPr>
            <w:r w:rsidRPr="00B25B0A">
              <w:rPr>
                <w:bCs/>
                <w:sz w:val="18"/>
                <w:lang w:val="es-ES_tradnl"/>
              </w:rPr>
              <w:t>93 123</w:t>
            </w:r>
          </w:p>
        </w:tc>
      </w:tr>
      <w:tr w:rsidR="00147E30" w:rsidRPr="00B25B0A" w:rsidTr="0019554A">
        <w:trPr>
          <w:trHeight w:val="240"/>
        </w:trPr>
        <w:tc>
          <w:tcPr>
            <w:tcW w:w="1843" w:type="dxa"/>
            <w:tcBorders>
              <w:top w:val="single" w:sz="4" w:space="0" w:color="auto"/>
              <w:bottom w:val="single" w:sz="12" w:space="0" w:color="auto"/>
            </w:tcBorders>
            <w:shd w:val="clear" w:color="auto" w:fill="auto"/>
          </w:tcPr>
          <w:p w:rsidR="00D74294" w:rsidRPr="00B25B0A" w:rsidRDefault="00D74294" w:rsidP="00147E30">
            <w:pPr>
              <w:pStyle w:val="SingleTxtG"/>
              <w:spacing w:before="80" w:after="80" w:line="220" w:lineRule="exact"/>
              <w:ind w:left="283" w:right="0"/>
              <w:jc w:val="left"/>
              <w:rPr>
                <w:b/>
                <w:bCs/>
                <w:sz w:val="18"/>
                <w:lang w:val="es-ES_tradnl"/>
              </w:rPr>
            </w:pPr>
            <w:r w:rsidRPr="00B25B0A">
              <w:rPr>
                <w:b/>
                <w:bCs/>
                <w:sz w:val="18"/>
                <w:lang w:val="es-ES_tradnl"/>
              </w:rPr>
              <w:t>Total</w:t>
            </w:r>
          </w:p>
        </w:tc>
        <w:tc>
          <w:tcPr>
            <w:tcW w:w="851" w:type="dxa"/>
            <w:tcBorders>
              <w:top w:val="single" w:sz="4" w:space="0" w:color="auto"/>
              <w:bottom w:val="single" w:sz="12" w:space="0" w:color="auto"/>
            </w:tcBorders>
            <w:shd w:val="clear" w:color="auto" w:fill="auto"/>
          </w:tcPr>
          <w:p w:rsidR="00D74294" w:rsidRPr="00B25B0A" w:rsidRDefault="00D74294" w:rsidP="00147E30">
            <w:pPr>
              <w:pStyle w:val="SingleTxtG"/>
              <w:spacing w:before="80" w:after="80" w:line="220" w:lineRule="exact"/>
              <w:ind w:left="0" w:right="28"/>
              <w:jc w:val="right"/>
              <w:rPr>
                <w:b/>
                <w:bCs/>
                <w:sz w:val="18"/>
                <w:lang w:val="es-ES_tradnl"/>
              </w:rPr>
            </w:pPr>
            <w:r w:rsidRPr="00B25B0A">
              <w:rPr>
                <w:b/>
                <w:bCs/>
                <w:sz w:val="18"/>
                <w:lang w:val="es-ES_tradnl"/>
              </w:rPr>
              <w:t>66 971</w:t>
            </w:r>
          </w:p>
        </w:tc>
        <w:tc>
          <w:tcPr>
            <w:tcW w:w="806" w:type="dxa"/>
            <w:tcBorders>
              <w:top w:val="single" w:sz="4" w:space="0" w:color="auto"/>
              <w:bottom w:val="single" w:sz="12" w:space="0" w:color="auto"/>
            </w:tcBorders>
            <w:shd w:val="clear" w:color="auto" w:fill="auto"/>
          </w:tcPr>
          <w:p w:rsidR="00D74294" w:rsidRPr="00B25B0A" w:rsidRDefault="00D74294" w:rsidP="00147E30">
            <w:pPr>
              <w:pStyle w:val="SingleTxtG"/>
              <w:spacing w:before="80" w:after="80" w:line="220" w:lineRule="exact"/>
              <w:ind w:left="0" w:right="28"/>
              <w:jc w:val="right"/>
              <w:rPr>
                <w:b/>
                <w:bCs/>
                <w:sz w:val="18"/>
                <w:lang w:val="es-ES_tradnl"/>
              </w:rPr>
            </w:pPr>
            <w:r w:rsidRPr="00B25B0A">
              <w:rPr>
                <w:b/>
                <w:bCs/>
                <w:sz w:val="18"/>
                <w:lang w:val="es-ES_tradnl"/>
              </w:rPr>
              <w:t>37 295</w:t>
            </w:r>
          </w:p>
        </w:tc>
        <w:tc>
          <w:tcPr>
            <w:tcW w:w="753" w:type="dxa"/>
            <w:tcBorders>
              <w:top w:val="single" w:sz="4" w:space="0" w:color="auto"/>
              <w:bottom w:val="single" w:sz="12" w:space="0" w:color="auto"/>
            </w:tcBorders>
            <w:shd w:val="clear" w:color="auto" w:fill="auto"/>
            <w:vAlign w:val="bottom"/>
          </w:tcPr>
          <w:p w:rsidR="00D74294" w:rsidRPr="00B25B0A" w:rsidRDefault="00D74294" w:rsidP="00147E30">
            <w:pPr>
              <w:pStyle w:val="SingleTxtG"/>
              <w:spacing w:before="80" w:after="80" w:line="220" w:lineRule="exact"/>
              <w:ind w:left="0" w:right="28"/>
              <w:jc w:val="right"/>
              <w:rPr>
                <w:b/>
                <w:bCs/>
                <w:sz w:val="18"/>
                <w:lang w:val="es-ES_tradnl"/>
              </w:rPr>
            </w:pPr>
            <w:r w:rsidRPr="00B25B0A">
              <w:rPr>
                <w:b/>
                <w:bCs/>
                <w:sz w:val="18"/>
                <w:lang w:val="es-ES_tradnl"/>
              </w:rPr>
              <w:t>104 266</w:t>
            </w:r>
          </w:p>
        </w:tc>
        <w:tc>
          <w:tcPr>
            <w:tcW w:w="1067" w:type="dxa"/>
            <w:tcBorders>
              <w:top w:val="single" w:sz="4" w:space="0" w:color="auto"/>
              <w:bottom w:val="single" w:sz="12" w:space="0" w:color="auto"/>
            </w:tcBorders>
            <w:shd w:val="clear" w:color="auto" w:fill="auto"/>
            <w:vAlign w:val="bottom"/>
          </w:tcPr>
          <w:p w:rsidR="00D74294" w:rsidRPr="00B25B0A" w:rsidRDefault="00D74294" w:rsidP="00147E30">
            <w:pPr>
              <w:pStyle w:val="SingleTxtG"/>
              <w:spacing w:before="80" w:after="80" w:line="220" w:lineRule="exact"/>
              <w:ind w:left="0" w:right="28"/>
              <w:jc w:val="right"/>
              <w:rPr>
                <w:b/>
                <w:bCs/>
                <w:sz w:val="18"/>
                <w:lang w:val="es-ES_tradnl"/>
              </w:rPr>
            </w:pPr>
            <w:r w:rsidRPr="00B25B0A">
              <w:rPr>
                <w:b/>
                <w:bCs/>
                <w:sz w:val="18"/>
                <w:lang w:val="es-ES_tradnl"/>
              </w:rPr>
              <w:t>1 712 369</w:t>
            </w:r>
          </w:p>
        </w:tc>
        <w:tc>
          <w:tcPr>
            <w:tcW w:w="867" w:type="dxa"/>
            <w:tcBorders>
              <w:top w:val="single" w:sz="4" w:space="0" w:color="auto"/>
              <w:bottom w:val="single" w:sz="12" w:space="0" w:color="auto"/>
            </w:tcBorders>
            <w:shd w:val="clear" w:color="auto" w:fill="auto"/>
            <w:vAlign w:val="bottom"/>
          </w:tcPr>
          <w:p w:rsidR="00D74294" w:rsidRPr="00B25B0A" w:rsidRDefault="00D74294" w:rsidP="00147E30">
            <w:pPr>
              <w:pStyle w:val="SingleTxtG"/>
              <w:spacing w:before="80" w:after="80" w:line="220" w:lineRule="exact"/>
              <w:ind w:left="0" w:right="28"/>
              <w:jc w:val="right"/>
              <w:rPr>
                <w:b/>
                <w:bCs/>
                <w:sz w:val="18"/>
                <w:lang w:val="es-ES_tradnl"/>
              </w:rPr>
            </w:pPr>
            <w:r w:rsidRPr="00B25B0A">
              <w:rPr>
                <w:b/>
                <w:bCs/>
                <w:sz w:val="18"/>
                <w:lang w:val="es-ES_tradnl"/>
              </w:rPr>
              <w:t>240 288</w:t>
            </w:r>
          </w:p>
        </w:tc>
        <w:tc>
          <w:tcPr>
            <w:tcW w:w="889" w:type="dxa"/>
            <w:tcBorders>
              <w:top w:val="single" w:sz="4" w:space="0" w:color="auto"/>
              <w:bottom w:val="single" w:sz="12" w:space="0" w:color="auto"/>
            </w:tcBorders>
            <w:shd w:val="clear" w:color="auto" w:fill="auto"/>
            <w:vAlign w:val="bottom"/>
          </w:tcPr>
          <w:p w:rsidR="00D74294" w:rsidRPr="00B25B0A" w:rsidRDefault="00D74294" w:rsidP="00147E30">
            <w:pPr>
              <w:pStyle w:val="SingleTxtG"/>
              <w:spacing w:before="80" w:after="80" w:line="220" w:lineRule="exact"/>
              <w:ind w:left="0" w:right="28"/>
              <w:jc w:val="right"/>
              <w:rPr>
                <w:b/>
                <w:bCs/>
                <w:sz w:val="18"/>
                <w:lang w:val="es-ES_tradnl"/>
              </w:rPr>
            </w:pPr>
            <w:r w:rsidRPr="00B25B0A">
              <w:rPr>
                <w:b/>
                <w:bCs/>
                <w:sz w:val="18"/>
                <w:lang w:val="es-ES_tradnl"/>
              </w:rPr>
              <w:t>1 952 657</w:t>
            </w:r>
          </w:p>
        </w:tc>
        <w:tc>
          <w:tcPr>
            <w:tcW w:w="889" w:type="dxa"/>
            <w:tcBorders>
              <w:top w:val="single" w:sz="4" w:space="0" w:color="auto"/>
              <w:bottom w:val="single" w:sz="12" w:space="0" w:color="auto"/>
            </w:tcBorders>
            <w:shd w:val="clear" w:color="auto" w:fill="auto"/>
            <w:vAlign w:val="bottom"/>
          </w:tcPr>
          <w:p w:rsidR="00D74294" w:rsidRPr="00B25B0A" w:rsidRDefault="00D74294" w:rsidP="00147E30">
            <w:pPr>
              <w:pStyle w:val="SingleTxtG"/>
              <w:spacing w:before="80" w:after="80" w:line="220" w:lineRule="exact"/>
              <w:ind w:left="0" w:right="28"/>
              <w:jc w:val="right"/>
              <w:rPr>
                <w:b/>
                <w:bCs/>
                <w:sz w:val="18"/>
                <w:lang w:val="es-ES_tradnl"/>
              </w:rPr>
            </w:pPr>
            <w:r w:rsidRPr="00B25B0A">
              <w:rPr>
                <w:b/>
                <w:bCs/>
                <w:sz w:val="18"/>
                <w:lang w:val="es-ES_tradnl"/>
              </w:rPr>
              <w:t>1 779 340</w:t>
            </w:r>
          </w:p>
        </w:tc>
        <w:tc>
          <w:tcPr>
            <w:tcW w:w="746" w:type="dxa"/>
            <w:tcBorders>
              <w:top w:val="single" w:sz="4" w:space="0" w:color="auto"/>
              <w:bottom w:val="single" w:sz="12" w:space="0" w:color="auto"/>
            </w:tcBorders>
            <w:shd w:val="clear" w:color="auto" w:fill="auto"/>
            <w:vAlign w:val="bottom"/>
          </w:tcPr>
          <w:p w:rsidR="00D74294" w:rsidRPr="00B25B0A" w:rsidRDefault="00D74294" w:rsidP="00147E30">
            <w:pPr>
              <w:pStyle w:val="SingleTxtG"/>
              <w:spacing w:before="80" w:after="80" w:line="220" w:lineRule="exact"/>
              <w:ind w:left="0" w:right="28"/>
              <w:jc w:val="right"/>
              <w:rPr>
                <w:b/>
                <w:bCs/>
                <w:sz w:val="18"/>
                <w:lang w:val="es-ES_tradnl"/>
              </w:rPr>
            </w:pPr>
            <w:r w:rsidRPr="00B25B0A">
              <w:rPr>
                <w:b/>
                <w:bCs/>
                <w:sz w:val="18"/>
                <w:lang w:val="es-ES_tradnl"/>
              </w:rPr>
              <w:t>277 583</w:t>
            </w:r>
          </w:p>
        </w:tc>
        <w:tc>
          <w:tcPr>
            <w:tcW w:w="928" w:type="dxa"/>
            <w:tcBorders>
              <w:top w:val="single" w:sz="4" w:space="0" w:color="auto"/>
              <w:bottom w:val="single" w:sz="12" w:space="0" w:color="auto"/>
            </w:tcBorders>
            <w:shd w:val="clear" w:color="auto" w:fill="auto"/>
            <w:noWrap/>
            <w:vAlign w:val="bottom"/>
          </w:tcPr>
          <w:p w:rsidR="00D74294" w:rsidRPr="00B25B0A" w:rsidRDefault="00D74294" w:rsidP="00147E30">
            <w:pPr>
              <w:pStyle w:val="SingleTxtG"/>
              <w:spacing w:before="80" w:after="80" w:line="220" w:lineRule="exact"/>
              <w:ind w:left="0" w:right="28"/>
              <w:jc w:val="right"/>
              <w:rPr>
                <w:b/>
                <w:bCs/>
                <w:sz w:val="18"/>
                <w:lang w:val="es-ES_tradnl"/>
              </w:rPr>
            </w:pPr>
            <w:r w:rsidRPr="00B25B0A">
              <w:rPr>
                <w:b/>
                <w:bCs/>
                <w:sz w:val="18"/>
                <w:lang w:val="es-ES_tradnl"/>
              </w:rPr>
              <w:t>2 056 923</w:t>
            </w:r>
          </w:p>
        </w:tc>
      </w:tr>
    </w:tbl>
    <w:p w:rsidR="00D74294" w:rsidRPr="0085715B" w:rsidRDefault="00D74294" w:rsidP="00011E92">
      <w:pPr>
        <w:pStyle w:val="SingleTxtG"/>
        <w:spacing w:before="120" w:after="240"/>
        <w:ind w:left="0" w:firstLine="170"/>
        <w:jc w:val="left"/>
        <w:rPr>
          <w:sz w:val="18"/>
        </w:rPr>
      </w:pPr>
      <w:r w:rsidRPr="0085715B">
        <w:rPr>
          <w:i/>
          <w:iCs/>
          <w:sz w:val="18"/>
        </w:rPr>
        <w:t>Fuente:</w:t>
      </w:r>
      <w:r w:rsidR="0085715B" w:rsidRPr="0085715B">
        <w:rPr>
          <w:sz w:val="18"/>
        </w:rPr>
        <w:t xml:space="preserve"> </w:t>
      </w:r>
      <w:r w:rsidRPr="0085715B">
        <w:rPr>
          <w:sz w:val="18"/>
        </w:rPr>
        <w:t xml:space="preserve">Ministerio de Planificación del Desarrollo y Estadísticas, </w:t>
      </w:r>
      <w:r w:rsidRPr="0085715B">
        <w:rPr>
          <w:i/>
          <w:iCs/>
          <w:sz w:val="18"/>
        </w:rPr>
        <w:t>Encuesta anual por muestreo sobre la fuerza de trabajo, 2017</w:t>
      </w:r>
      <w:r w:rsidRPr="0085715B">
        <w:rPr>
          <w:sz w:val="18"/>
        </w:rPr>
        <w:t>.</w:t>
      </w:r>
    </w:p>
    <w:p w:rsidR="00D74294" w:rsidRPr="00D74294" w:rsidRDefault="00D74294" w:rsidP="0085715B">
      <w:pPr>
        <w:pStyle w:val="H23G"/>
      </w:pPr>
      <w:r>
        <w:tab/>
      </w:r>
      <w:r w:rsidRPr="00D74294">
        <w:tab/>
        <w:t>Participación en la fuerza de trabajo</w:t>
      </w:r>
    </w:p>
    <w:p w:rsidR="00D74294" w:rsidRPr="00D74294" w:rsidRDefault="00D74294" w:rsidP="00D74294">
      <w:pPr>
        <w:pStyle w:val="SingleTxtG"/>
      </w:pPr>
      <w:r w:rsidRPr="00D74294">
        <w:t>31.</w:t>
      </w:r>
      <w:r w:rsidRPr="00D74294">
        <w:tab/>
        <w:t>La participación en la fuerza de trabajo de las person</w:t>
      </w:r>
      <w:r w:rsidR="00DD5CDA">
        <w:t>as de 15 años o más es del </w:t>
      </w:r>
      <w:r w:rsidR="002F5021">
        <w:t>88,4 </w:t>
      </w:r>
      <w:r w:rsidRPr="00D74294">
        <w:t>%. La encuesta anual por muestreo sobre la fuerza de trabajo para 2017, realizada por el Ministerio de Planificación del Desarrollo y Estadísticas, puso de manifiesto que el número de participantes en la fuerza de trabajo aumentó de 2.055.359 trabajadores en 2016 a 2.056.923 en 2017. De estos últimos, el 86,5 % eran hombres y el 13,5 % mujeres.</w:t>
      </w:r>
    </w:p>
    <w:p w:rsidR="00D74294" w:rsidRPr="00D74294" w:rsidRDefault="00D74294" w:rsidP="00D74294">
      <w:pPr>
        <w:pStyle w:val="SingleTxtG"/>
      </w:pPr>
      <w:r w:rsidRPr="00D74294">
        <w:t>32.</w:t>
      </w:r>
      <w:r w:rsidRPr="00D74294">
        <w:tab/>
        <w:t xml:space="preserve">Los datos apuntan a que la tasa de participación </w:t>
      </w:r>
      <w:r w:rsidR="002F5021">
        <w:t xml:space="preserve">económica de </w:t>
      </w:r>
      <w:r w:rsidR="006B559A">
        <w:t xml:space="preserve">las personas de </w:t>
      </w:r>
      <w:r w:rsidR="002F5021">
        <w:t>15 </w:t>
      </w:r>
      <w:r w:rsidRPr="00D74294">
        <w:t>años de edad o más fue del 88,4 %, una cifra que se desglosa en un 96,1 % de hombres y en un 58,5 % de mujeres. La tasa de participación del grup</w:t>
      </w:r>
      <w:r w:rsidR="002F5021">
        <w:t>o de edad comprendido entre los </w:t>
      </w:r>
      <w:r w:rsidRPr="00D74294">
        <w:t>25 y 34 años fue la más alta, con un 94,6 %, según esos datos. La ratio de dependencia económica fue del 29,2 % durante el mismo año.</w:t>
      </w:r>
    </w:p>
    <w:p w:rsidR="00D74294" w:rsidRPr="00D74294" w:rsidRDefault="00D74294" w:rsidP="00D74294">
      <w:pPr>
        <w:pStyle w:val="SingleTxtG"/>
      </w:pPr>
      <w:r w:rsidRPr="00D74294">
        <w:t>33.</w:t>
      </w:r>
      <w:r w:rsidRPr="00D74294">
        <w:tab/>
        <w:t>Los resultados muestran que la tasa de participación económica de los qataríes se situó en el 52,2 % del total de la población de 15 años de edad o más. Los qataríes varones representaron el 64,2 % del total de la masa laboral del Estado.</w:t>
      </w:r>
    </w:p>
    <w:p w:rsidR="00D74294" w:rsidRPr="00D74294" w:rsidRDefault="00D74294" w:rsidP="0085715B">
      <w:pPr>
        <w:pStyle w:val="H23G"/>
      </w:pPr>
      <w:r>
        <w:tab/>
      </w:r>
      <w:r w:rsidRPr="00D74294">
        <w:tab/>
        <w:t>Tamaño medio de los hogares según los re</w:t>
      </w:r>
      <w:r w:rsidR="009C6705">
        <w:t>sultados del censo simplificado</w:t>
      </w:r>
      <w:r w:rsidR="009C6705">
        <w:br/>
      </w:r>
      <w:r w:rsidRPr="00D74294">
        <w:t>de 2015</w:t>
      </w:r>
    </w:p>
    <w:p w:rsidR="00D74294" w:rsidRPr="00D74294" w:rsidRDefault="00D74294" w:rsidP="00D74294">
      <w:pPr>
        <w:pStyle w:val="Bullet1G"/>
      </w:pPr>
      <w:r w:rsidRPr="00D74294">
        <w:t>En 2015, la familia media estaba compuesta por 4,7 miembros.</w:t>
      </w:r>
    </w:p>
    <w:p w:rsidR="00D74294" w:rsidRPr="00D74294" w:rsidRDefault="00D74294" w:rsidP="0085715B">
      <w:pPr>
        <w:pStyle w:val="H23G"/>
      </w:pPr>
      <w:r>
        <w:tab/>
      </w:r>
      <w:r w:rsidRPr="00D74294">
        <w:tab/>
        <w:t>Población rural y urbana, 2015</w:t>
      </w:r>
    </w:p>
    <w:p w:rsidR="00D74294" w:rsidRPr="00D74294" w:rsidRDefault="00D74294" w:rsidP="00D74294">
      <w:pPr>
        <w:pStyle w:val="Bullet1G"/>
      </w:pPr>
      <w:r w:rsidRPr="00D74294">
        <w:t xml:space="preserve">La totalidad de la población vivía en núcleos urbanos. </w:t>
      </w:r>
    </w:p>
    <w:p w:rsidR="00D74294" w:rsidRPr="00D74294" w:rsidRDefault="00D74294" w:rsidP="0085715B">
      <w:pPr>
        <w:pStyle w:val="H23G"/>
      </w:pPr>
      <w:r>
        <w:tab/>
      </w:r>
      <w:r w:rsidRPr="00D74294">
        <w:tab/>
        <w:t>Proporción de la población que vive por debaj</w:t>
      </w:r>
      <w:r w:rsidR="009C6705">
        <w:t>o del umbral de pobreza,</w:t>
      </w:r>
      <w:r w:rsidR="009C6705">
        <w:br/>
      </w:r>
      <w:r w:rsidRPr="00D74294">
        <w:t>2012-2013</w:t>
      </w:r>
    </w:p>
    <w:p w:rsidR="00D74294" w:rsidRPr="00D74294" w:rsidRDefault="00D74294" w:rsidP="0085715B">
      <w:pPr>
        <w:pStyle w:val="Bullet1G"/>
      </w:pPr>
      <w:r w:rsidRPr="00D74294">
        <w:t>Nadie vivía en ese período por debajo del umbral de pobreza.</w:t>
      </w:r>
    </w:p>
    <w:p w:rsidR="00D74294" w:rsidRPr="00D74294" w:rsidRDefault="00D74294" w:rsidP="00D74294">
      <w:pPr>
        <w:pStyle w:val="H1G"/>
      </w:pPr>
      <w:r w:rsidRPr="00D74294">
        <w:tab/>
        <w:t>B.</w:t>
      </w:r>
      <w:r w:rsidRPr="00D74294">
        <w:tab/>
        <w:t>Estructura constitucional,</w:t>
      </w:r>
      <w:r w:rsidR="0085715B">
        <w:t xml:space="preserve"> política y jurídica del Estado</w:t>
      </w:r>
    </w:p>
    <w:p w:rsidR="00D74294" w:rsidRPr="00D74294" w:rsidRDefault="00D74294" w:rsidP="0085715B">
      <w:pPr>
        <w:pStyle w:val="H23G"/>
      </w:pPr>
      <w:bookmarkStart w:id="14" w:name="_Toc282337886"/>
      <w:r>
        <w:tab/>
      </w:r>
      <w:r w:rsidRPr="00D74294">
        <w:tab/>
        <w:t xml:space="preserve">La Constitución Permanente del Estado de Qatar </w:t>
      </w:r>
      <w:bookmarkEnd w:id="14"/>
    </w:p>
    <w:p w:rsidR="00D74294" w:rsidRPr="00D74294" w:rsidRDefault="00D74294" w:rsidP="00D74294">
      <w:pPr>
        <w:pStyle w:val="SingleTxtG"/>
      </w:pPr>
      <w:r w:rsidRPr="00D74294">
        <w:t>34.</w:t>
      </w:r>
      <w:r w:rsidRPr="00D74294">
        <w:tab/>
        <w:t>La Constitución Permanente del Estado de Qatar se promulgó en 2004 con el objetivo de sentar las bases fundamentales de la vida social y hacer realidad la participación popular en los procesos de adopción de decisiones. La Constitución reco</w:t>
      </w:r>
      <w:r w:rsidR="00403650">
        <w:t>ge en sus 150 </w:t>
      </w:r>
      <w:r w:rsidRPr="00D74294">
        <w:t>preceptos los principios rectores de la política del Estado y los fundamentos esenciales del ejercicio del poder. Entre estos principios se cuentan la separación de poderes, el imperio de la ley, la independencia del poder judicial y la salvaguarda de los derechos y de las libertades fundamentales.</w:t>
      </w:r>
    </w:p>
    <w:p w:rsidR="00D74294" w:rsidRPr="00D74294" w:rsidRDefault="00D74294" w:rsidP="00D74294">
      <w:pPr>
        <w:pStyle w:val="SingleTxtG"/>
      </w:pPr>
      <w:r w:rsidRPr="00D74294">
        <w:t>35.</w:t>
      </w:r>
      <w:r w:rsidRPr="00D74294">
        <w:tab/>
        <w:t>La Constitución establece en el artículo 1 de su Título I (</w:t>
      </w:r>
      <w:r w:rsidR="007C4727">
        <w:t>“</w:t>
      </w:r>
      <w:r w:rsidRPr="00D74294">
        <w:t>Del Estado y de los fundamentos del gobierno</w:t>
      </w:r>
      <w:r w:rsidR="007C4727">
        <w:t>”</w:t>
      </w:r>
      <w:r w:rsidRPr="00D74294">
        <w:t xml:space="preserve">) que la religión del Estado es el islam y que la </w:t>
      </w:r>
      <w:proofErr w:type="spellStart"/>
      <w:r w:rsidRPr="00D74294">
        <w:rPr>
          <w:i/>
          <w:iCs/>
        </w:rPr>
        <w:t>sharia</w:t>
      </w:r>
      <w:proofErr w:type="spellEnd"/>
      <w:r w:rsidRPr="00D74294">
        <w:t xml:space="preserve"> es la fuente fundamental del ordenamiento jurídico. Por otra parte, la exposición de razones en relación con la Constitución aclara que en el Estado de Qatar no se podrá promulgar texto legislativo alguno que contradiga los principios categóricamente establecidos y de sentido indubitable de la </w:t>
      </w:r>
      <w:proofErr w:type="spellStart"/>
      <w:r w:rsidRPr="00D74294">
        <w:rPr>
          <w:i/>
          <w:iCs/>
        </w:rPr>
        <w:t>sharia</w:t>
      </w:r>
      <w:proofErr w:type="spellEnd"/>
      <w:r w:rsidRPr="00D74294">
        <w:t xml:space="preserve">. </w:t>
      </w:r>
    </w:p>
    <w:p w:rsidR="00D74294" w:rsidRPr="00D74294" w:rsidRDefault="00D74294" w:rsidP="00D74294">
      <w:pPr>
        <w:pStyle w:val="SingleTxtG"/>
      </w:pPr>
      <w:r w:rsidRPr="00D74294">
        <w:t>36.</w:t>
      </w:r>
      <w:r w:rsidRPr="00D74294">
        <w:tab/>
        <w:t xml:space="preserve">Asimismo, el artículo 8 de la Constitución dispone que </w:t>
      </w:r>
      <w:r w:rsidR="007C4727">
        <w:t>“</w:t>
      </w:r>
      <w:r w:rsidRPr="00D74294">
        <w:t xml:space="preserve">el gobierno del Estado se transmite por herencia en la familia Al </w:t>
      </w:r>
      <w:proofErr w:type="spellStart"/>
      <w:r w:rsidRPr="00D74294">
        <w:t>Thani</w:t>
      </w:r>
      <w:proofErr w:type="spellEnd"/>
      <w:r w:rsidRPr="00D74294">
        <w:t xml:space="preserve"> y en la línea de los descendientes varones de </w:t>
      </w:r>
      <w:proofErr w:type="spellStart"/>
      <w:r w:rsidRPr="00D74294">
        <w:t>Hamad</w:t>
      </w:r>
      <w:proofErr w:type="spellEnd"/>
      <w:r w:rsidRPr="00D74294">
        <w:t xml:space="preserve"> </w:t>
      </w:r>
      <w:proofErr w:type="spellStart"/>
      <w:r w:rsidRPr="00D74294">
        <w:t>Bin</w:t>
      </w:r>
      <w:proofErr w:type="spellEnd"/>
      <w:r w:rsidRPr="00D74294">
        <w:t xml:space="preserve"> </w:t>
      </w:r>
      <w:proofErr w:type="spellStart"/>
      <w:r w:rsidRPr="00D74294">
        <w:t>Khalifa</w:t>
      </w:r>
      <w:proofErr w:type="spellEnd"/>
      <w:r w:rsidRPr="00D74294">
        <w:t xml:space="preserve"> </w:t>
      </w:r>
      <w:proofErr w:type="spellStart"/>
      <w:r w:rsidRPr="00D74294">
        <w:t>Bin</w:t>
      </w:r>
      <w:proofErr w:type="spellEnd"/>
      <w:r w:rsidRPr="00D74294">
        <w:t xml:space="preserve"> </w:t>
      </w:r>
      <w:proofErr w:type="spellStart"/>
      <w:r w:rsidRPr="00D74294">
        <w:t>Hamad</w:t>
      </w:r>
      <w:proofErr w:type="spellEnd"/>
      <w:r w:rsidRPr="00D74294">
        <w:t xml:space="preserve"> </w:t>
      </w:r>
      <w:proofErr w:type="spellStart"/>
      <w:r w:rsidRPr="00D74294">
        <w:t>Bin</w:t>
      </w:r>
      <w:proofErr w:type="spellEnd"/>
      <w:r w:rsidRPr="00D74294">
        <w:t xml:space="preserve"> </w:t>
      </w:r>
      <w:proofErr w:type="spellStart"/>
      <w:r w:rsidRPr="00D74294">
        <w:t>Abdullah</w:t>
      </w:r>
      <w:proofErr w:type="spellEnd"/>
      <w:r w:rsidRPr="00D74294">
        <w:t xml:space="preserve"> </w:t>
      </w:r>
      <w:proofErr w:type="spellStart"/>
      <w:r w:rsidRPr="00D74294">
        <w:t>Bin</w:t>
      </w:r>
      <w:proofErr w:type="spellEnd"/>
      <w:r w:rsidRPr="00D74294">
        <w:t xml:space="preserve"> </w:t>
      </w:r>
      <w:proofErr w:type="spellStart"/>
      <w:r w:rsidRPr="00D74294">
        <w:t>Jassim</w:t>
      </w:r>
      <w:proofErr w:type="spellEnd"/>
      <w:r w:rsidR="007C4727">
        <w:t>”</w:t>
      </w:r>
      <w:r w:rsidRPr="00D74294">
        <w:t>.</w:t>
      </w:r>
    </w:p>
    <w:p w:rsidR="00D74294" w:rsidRPr="00D74294" w:rsidRDefault="00D74294" w:rsidP="00D74294">
      <w:pPr>
        <w:pStyle w:val="SingleTxtG"/>
      </w:pPr>
      <w:r w:rsidRPr="00D74294">
        <w:t>37.</w:t>
      </w:r>
      <w:r w:rsidRPr="00D74294">
        <w:tab/>
        <w:t>La Constitución afirma en su Título II (</w:t>
      </w:r>
      <w:r w:rsidR="007C4727">
        <w:t>“</w:t>
      </w:r>
      <w:r w:rsidRPr="00D74294">
        <w:t>De los fundamentos básicos de la sociedad</w:t>
      </w:r>
      <w:r w:rsidR="007C4727">
        <w:t>”</w:t>
      </w:r>
      <w:r w:rsidRPr="00D74294">
        <w:t xml:space="preserve">) que la sociedad qatarí se funda en los valores de la justicia, la caridad, la libertad, la igualdad y la moralidad. La Constitución responsabiliza al Estado de preservar dichos valores y de velar por la seguridad y la estabilidad, la igualdad de oportunidades entre los ciudadanos, la solidaridad y la hermandad entre los mismos. La Constitución hace hincapié en la función de la familia, a la que considera el fundamento de la sociedad; subraya que la familia tiene su cimiento en la religión, la moral y el amor a la patria, y define los deberes del Estado hacia la familia. La Constitución expresa asimismo su preocupación por el cuidado a las nuevas generaciones, a las que el Estado está obligado a proteger frente a la corrupción moral, la explotación y la negligencia del cuerpo, la mente y el espíritu. El Estado deberá brindar a los jóvenes el entorno adecuado para potenciar sus capacidades. </w:t>
      </w:r>
    </w:p>
    <w:p w:rsidR="00D74294" w:rsidRPr="00D74294" w:rsidRDefault="00D74294" w:rsidP="00D74294">
      <w:pPr>
        <w:pStyle w:val="SingleTxtG"/>
      </w:pPr>
      <w:r w:rsidRPr="00D74294">
        <w:t>38.</w:t>
      </w:r>
      <w:r w:rsidRPr="00D74294">
        <w:tab/>
        <w:t xml:space="preserve">La Constitución consagra su Título III a los derechos y a las libertades fundamentales y garantiza la igualdad en derechos y deberes públicos entre los ciudadanos ante la ley, sin distinción por razón de sexo, origen, lengua o religión. </w:t>
      </w:r>
    </w:p>
    <w:p w:rsidR="00D74294" w:rsidRPr="00D74294" w:rsidRDefault="00D74294" w:rsidP="00D74294">
      <w:pPr>
        <w:pStyle w:val="SingleTxtG"/>
      </w:pPr>
      <w:r w:rsidRPr="00D74294">
        <w:t>39.</w:t>
      </w:r>
      <w:r w:rsidRPr="00D74294">
        <w:tab/>
        <w:t>Por otra parte, la Constitución señala que la política exterior del Estado se regirá por los principios de consolidación de la paz y de la seguridad internacionales, el respeto a los derechos humanos, la renuncia a la violencia y al uso de la fuerza, la exhortación a solucionar los conflictos internacionales por medios pacíficos y la cooperación con los países amantes de la paz.</w:t>
      </w:r>
      <w:bookmarkStart w:id="15" w:name="_Toc282337887"/>
    </w:p>
    <w:p w:rsidR="00D74294" w:rsidRPr="00D74294" w:rsidRDefault="00D74294" w:rsidP="0085715B">
      <w:pPr>
        <w:pStyle w:val="H23G"/>
      </w:pPr>
      <w:r>
        <w:tab/>
      </w:r>
      <w:r w:rsidRPr="00D74294">
        <w:tab/>
        <w:t>Organización de los poderes</w:t>
      </w:r>
      <w:bookmarkEnd w:id="15"/>
    </w:p>
    <w:p w:rsidR="00D74294" w:rsidRPr="00D74294" w:rsidRDefault="00D74294" w:rsidP="00D74294">
      <w:pPr>
        <w:pStyle w:val="SingleTxtG"/>
      </w:pPr>
      <w:r w:rsidRPr="00D74294">
        <w:t>40.</w:t>
      </w:r>
      <w:r w:rsidRPr="00D74294">
        <w:tab/>
        <w:t xml:space="preserve">El principio fundamental de la organización de los poderes en el Estado de Qatar es que el pueblo constituye la fuente de la soberanía y la ejerce con arreglo a la Constitución. El sistema de gobierno se basa en el principio de separación de poderes y de máxima colaboración entre los mismos. El Consejo de la </w:t>
      </w:r>
      <w:proofErr w:type="spellStart"/>
      <w:r w:rsidRPr="00D74294">
        <w:t>Shura</w:t>
      </w:r>
      <w:proofErr w:type="spellEnd"/>
      <w:r w:rsidRPr="00D74294">
        <w:t xml:space="preserve"> ejercerá el poder legislativo, y el Emir, asistido por el Consejo de Ministros, hará lo propio con el poder ejecutivo. Los órganos judiciales, por su parte, ejercerán el poder judicial en nombre del Emir. La Constitución consagra su Título IV a la organización de los poderes. A continuación, presentamos una síntesis de sus contenidos.</w:t>
      </w:r>
      <w:bookmarkStart w:id="16" w:name="_Toc281916930"/>
      <w:bookmarkStart w:id="17" w:name="_Toc282337888"/>
    </w:p>
    <w:p w:rsidR="00D74294" w:rsidRPr="00D74294" w:rsidRDefault="00D74294" w:rsidP="0085715B">
      <w:pPr>
        <w:pStyle w:val="H23G"/>
      </w:pPr>
      <w:r>
        <w:tab/>
      </w:r>
      <w:r w:rsidRPr="00D74294">
        <w:tab/>
        <w:t xml:space="preserve">El Emir </w:t>
      </w:r>
      <w:bookmarkEnd w:id="16"/>
      <w:bookmarkEnd w:id="17"/>
    </w:p>
    <w:p w:rsidR="00D74294" w:rsidRPr="00D74294" w:rsidRDefault="00D74294" w:rsidP="00D74294">
      <w:pPr>
        <w:pStyle w:val="SingleTxtG"/>
      </w:pPr>
      <w:r w:rsidRPr="00D74294">
        <w:t>41.</w:t>
      </w:r>
      <w:r w:rsidRPr="00D74294">
        <w:tab/>
        <w:t xml:space="preserve">El Emir es el Jefe del Estado. Su persona es inviolable y debe ser respetado. Es asimismo el Jefe de las Fuerzas Armadas y representa al Estado en el interior y en el exterior del país, así como en todas las relaciones exteriores. Concluye por decreto los convenios e instrumentos internacionales y da traslado de los mismos al Consejo de la </w:t>
      </w:r>
      <w:proofErr w:type="spellStart"/>
      <w:r w:rsidRPr="00D74294">
        <w:t>Shura</w:t>
      </w:r>
      <w:proofErr w:type="spellEnd"/>
      <w:r w:rsidRPr="00D74294">
        <w:t xml:space="preserve">. Una vez ratificados, los convenios e instrumentos internacionales tienen fuerza de ley y son publicados en el </w:t>
      </w:r>
      <w:r w:rsidRPr="00D74294">
        <w:rPr>
          <w:i/>
          <w:iCs/>
        </w:rPr>
        <w:t>Boletín Oficial del Estado</w:t>
      </w:r>
      <w:r w:rsidRPr="00D74294">
        <w:t xml:space="preserve">. El Emir elabora la política general del Estado con la asistencia del Consejo de Ministros; ratifica y promulga las leyes; crea y organiza los Ministerios y otros organismos gubernamentales y fija sus competencias; crea y organiza los organismos responsables de emitir dictámenes para la dirección de las políticas estatales de alto nivel, los supervisa y define sus competencias, así como ejerce cualesquiera otras competencias reguladas por la Constitución o por la ley. </w:t>
      </w:r>
      <w:bookmarkStart w:id="18" w:name="_Toc281916931"/>
      <w:bookmarkStart w:id="19" w:name="_Toc282337889"/>
    </w:p>
    <w:p w:rsidR="00D74294" w:rsidRPr="00D74294" w:rsidRDefault="00D74294" w:rsidP="0085715B">
      <w:pPr>
        <w:pStyle w:val="H23G"/>
      </w:pPr>
      <w:r>
        <w:tab/>
      </w:r>
      <w:r w:rsidRPr="00D74294">
        <w:tab/>
        <w:t xml:space="preserve">El poder legislativo </w:t>
      </w:r>
      <w:bookmarkEnd w:id="18"/>
      <w:bookmarkEnd w:id="19"/>
    </w:p>
    <w:p w:rsidR="00D74294" w:rsidRPr="00D74294" w:rsidRDefault="00D74294" w:rsidP="00D74294">
      <w:pPr>
        <w:pStyle w:val="SingleTxtG"/>
      </w:pPr>
      <w:r w:rsidRPr="00D74294">
        <w:t>42.</w:t>
      </w:r>
      <w:r w:rsidRPr="00D74294">
        <w:tab/>
        <w:t xml:space="preserve">Con arreglo a lo dispuesto en la Constitución, el Consejo de la </w:t>
      </w:r>
      <w:proofErr w:type="spellStart"/>
      <w:r w:rsidRPr="00D74294">
        <w:t>Shura</w:t>
      </w:r>
      <w:proofErr w:type="spellEnd"/>
      <w:r w:rsidRPr="00D74294">
        <w:t xml:space="preserve"> es el órgano responsable de ejercer el poder legislativo, así como de aprobar los presupuestos generales y ejercer el control sobre el poder ejecutivo. El artículo 77 de la Constitución Permanente no establece un sistema bicameral compuesto por una cámara electa y otra designada. Por el contrario, se decanta por una sola cámara que acoge tanto a miembros electos como a miembros designados, a condición de que los primeros sean mayoría. Con arreglo a lo dispuesto en el artículo 77, el Consejo de la </w:t>
      </w:r>
      <w:proofErr w:type="spellStart"/>
      <w:r w:rsidRPr="00D74294">
        <w:t>Shura</w:t>
      </w:r>
      <w:proofErr w:type="spellEnd"/>
      <w:r w:rsidRPr="00D74294">
        <w:t xml:space="preserve"> está compuesto por 45 miembros de los que dos tercios son elegidos mediante sufragio universal secreto y directo. Su Alteza el Emir nombrará al tercio restante. El sistema electoral quedará establecido mediante una ley que fijará las condiciones para el ejercicio del derecho activo y pasivo de sufragio. </w:t>
      </w:r>
      <w:bookmarkStart w:id="20" w:name="_Toc281916932"/>
      <w:bookmarkStart w:id="21" w:name="_Toc282337890"/>
    </w:p>
    <w:p w:rsidR="00D74294" w:rsidRPr="00D74294" w:rsidRDefault="00D74294" w:rsidP="0085715B">
      <w:pPr>
        <w:pStyle w:val="H23G"/>
      </w:pPr>
      <w:r>
        <w:tab/>
      </w:r>
      <w:r w:rsidRPr="00D74294">
        <w:tab/>
        <w:t>El poder ejecutivo</w:t>
      </w:r>
      <w:bookmarkEnd w:id="20"/>
      <w:bookmarkEnd w:id="21"/>
    </w:p>
    <w:p w:rsidR="00D74294" w:rsidRPr="00D74294" w:rsidRDefault="00D74294" w:rsidP="00D74294">
      <w:pPr>
        <w:pStyle w:val="SingleTxtG"/>
      </w:pPr>
      <w:r w:rsidRPr="00D74294">
        <w:t>43.</w:t>
      </w:r>
      <w:r w:rsidRPr="00D74294">
        <w:tab/>
        <w:t xml:space="preserve">El Consejo de Ministros ayudará al Emir a ejercer sus poderes con arreglo a lo dispuesto en la Constitución y en la ley. El Consejo de Ministros, en cuanto que órgano ejecutivo superior, tiene encomendada la dirección de todos los asuntos internos y externos sobre los que, de conformidad con la Constitución y con las leyes, sea competente. El Consejo de Ministros propone las leyes y los decretos que se presentan al Consejo de la </w:t>
      </w:r>
      <w:proofErr w:type="spellStart"/>
      <w:r w:rsidRPr="00D74294">
        <w:t>Shura</w:t>
      </w:r>
      <w:proofErr w:type="spellEnd"/>
      <w:r w:rsidRPr="00D74294">
        <w:t xml:space="preserve"> para debate. Si son aprobados, se elevan al Emir para que proceda a su ratificación y promulgación con arreglo a lo dispuesto en la Constitución. El Consejo de Ministros también aprueba los reglamentos ejecutivos y las resoluciones de los distintos Ministerios, así como supervisa la aplicación de las leyes, ejerce la más alta supervisión sobre el funcionamiento del sistema de gobierno económico y administrativo y cualesquiera otras competencias que le sean asignadas.</w:t>
      </w:r>
      <w:bookmarkStart w:id="22" w:name="_Toc281916933"/>
      <w:bookmarkStart w:id="23" w:name="_Toc282337891"/>
    </w:p>
    <w:p w:rsidR="00D74294" w:rsidRPr="00D74294" w:rsidRDefault="00D74294" w:rsidP="0085715B">
      <w:pPr>
        <w:pStyle w:val="H23G"/>
      </w:pPr>
      <w:r>
        <w:tab/>
      </w:r>
      <w:r w:rsidRPr="00D74294">
        <w:tab/>
        <w:t>Poder Judicial</w:t>
      </w:r>
      <w:bookmarkEnd w:id="22"/>
      <w:bookmarkEnd w:id="23"/>
    </w:p>
    <w:p w:rsidR="00D74294" w:rsidRPr="00D74294" w:rsidRDefault="00D74294" w:rsidP="00D74294">
      <w:pPr>
        <w:pStyle w:val="SingleTxtG"/>
      </w:pPr>
      <w:r w:rsidRPr="00D74294">
        <w:t>44.</w:t>
      </w:r>
      <w:r w:rsidRPr="00D74294">
        <w:tab/>
        <w:t xml:space="preserve">La Constitución consagra el principio del imperio de la ley. En su artículo 129 afirma que </w:t>
      </w:r>
      <w:r w:rsidR="007C4727">
        <w:t>“</w:t>
      </w:r>
      <w:r w:rsidRPr="00D74294">
        <w:t>el imperio de la ley es el fundamento del gobierno del Estado de Qatar. El honor de la judicatura y la integridad e imparcialidad de los jueces constituyen la garantía de los derechos y de las libertades</w:t>
      </w:r>
      <w:r w:rsidR="007C4727">
        <w:t>”</w:t>
      </w:r>
      <w:r w:rsidRPr="00D74294">
        <w:t xml:space="preserve">. El artículo 130, por su parte, dispone que </w:t>
      </w:r>
      <w:r w:rsidR="007C4727">
        <w:t>“</w:t>
      </w:r>
      <w:r w:rsidRPr="00D74294">
        <w:t>el poder judicial es independiente y lo ejercen los órganos judiciales en sus diferentes jurisdicciones e instancias</w:t>
      </w:r>
      <w:r w:rsidR="007C4727">
        <w:t>”</w:t>
      </w:r>
      <w:r w:rsidRPr="00D74294">
        <w:t xml:space="preserve">. El artículo 131 declara que </w:t>
      </w:r>
      <w:r w:rsidR="007C4727">
        <w:t>“</w:t>
      </w:r>
      <w:r w:rsidRPr="00D74294">
        <w:t>los jueces, en el ejercicio de sus funciones, solo estarán sujetos a la autoridad de la ley. Nadie podrá intervenir en los asuntos o en el funcionamiento de la justicia</w:t>
      </w:r>
      <w:r w:rsidR="007C4727">
        <w:t>”</w:t>
      </w:r>
      <w:r w:rsidRPr="00D74294">
        <w:t xml:space="preserve">; y el artículo 137, que </w:t>
      </w:r>
      <w:r w:rsidR="007C4727">
        <w:t>“</w:t>
      </w:r>
      <w:r w:rsidRPr="00D74294">
        <w:t>el poder judicial tendrá un Consejo Superior que supervisará el buen funcionamiento de los tribunales y de sus órganos auxiliares. La ley determinará la estructura y las atribuciones de este Consejo</w:t>
      </w:r>
      <w:r w:rsidR="007C4727">
        <w:t>”</w:t>
      </w:r>
      <w:r w:rsidRPr="00D74294">
        <w:t>.</w:t>
      </w:r>
    </w:p>
    <w:p w:rsidR="00D74294" w:rsidRPr="00D74294" w:rsidRDefault="00D74294" w:rsidP="00D74294">
      <w:pPr>
        <w:pStyle w:val="SingleTxtG"/>
      </w:pPr>
      <w:r w:rsidRPr="00D74294">
        <w:t>45.</w:t>
      </w:r>
      <w:r w:rsidRPr="00D74294">
        <w:tab/>
        <w:t>Con arreglo a lo dispuesto en la Ley núm. 10/2003, del Poder Judicial, los órganos judiciales del Estado de Qatar se dividen en: Tribunal Supremo, Tribunal de Apelación y Tribunal de Primera Instancia. El Consejo Superior de la Magistratura fue creado en virtud del artículo 22 del citado cuerpo legal a fin de contribuir a la independencia del poder judicial. El artículo 23 define las competencias del Consejo Superior de la Magistratura entre las que se cuentan, entre otras, la de emitir su parecer en las cuestiones relacionadas con la magistratura, estudiar y proponer leyes específicas para la mejora del sistema judicial y emitir su parecer en relación con la designación, el ascenso, el traslado, la destitución y la jubilación de los jueces. También entenderá de las quejas relacionadas con los asuntos relativos a los jueces, en cuyo caso la resolución adoptada por el Consejo tendrá carácter definitivo.</w:t>
      </w:r>
    </w:p>
    <w:p w:rsidR="00D74294" w:rsidRPr="00D74294" w:rsidRDefault="00D74294" w:rsidP="002F5021">
      <w:pPr>
        <w:pStyle w:val="SingleTxtG"/>
        <w:keepNext/>
        <w:keepLines/>
      </w:pPr>
      <w:r w:rsidRPr="00D74294">
        <w:t>46.</w:t>
      </w:r>
      <w:r w:rsidRPr="00D74294">
        <w:tab/>
        <w:t xml:space="preserve">La Constitución de Qatar acoge el principio de supervisión centralizada de la constitucionalidad de las leyes, dirección que han adoptado la mayoría de las constituciones modernas, ya que constituye uno de los principales cauces para lograr el equilibrio entre los poderes. Así pues, el Tribunal Constitucional es competente para fallar en el resto de litigios relativos a la constitucionalidad de las leyes y reglamentos ejecutivos, de oficio o a instancia de parte, y sus dictámenes y resoluciones en la materia son en última instancia, inapelables y de obligado cumplimiento para todos los organismos del Estado. Por otra parte, y con objeto de fortalecer el principio de independencia judicial, el legislador promulgó la Ley núm. 7/2007 de Resolución de Litigios Contencioso-Administrativos. En virtud de esta </w:t>
      </w:r>
      <w:r w:rsidR="002F5021" w:rsidRPr="00D74294">
        <w:t>Ley</w:t>
      </w:r>
      <w:r w:rsidRPr="00D74294">
        <w:t>, el abuso de poder es causa suficiente para que la resolución administrativa sea anulada o genere derecho a indemnización.</w:t>
      </w:r>
    </w:p>
    <w:p w:rsidR="00D74294" w:rsidRPr="00D74294" w:rsidRDefault="002F5021" w:rsidP="00D74294">
      <w:pPr>
        <w:pStyle w:val="SingleTxtG"/>
      </w:pPr>
      <w:r>
        <w:t>47.</w:t>
      </w:r>
      <w:r>
        <w:tab/>
        <w:t>La f</w:t>
      </w:r>
      <w:r w:rsidR="00D74294" w:rsidRPr="00D74294">
        <w:t xml:space="preserve">iscalía es un órgano judicial independiente que ejerce la acción pública en nombre de la sociedad, supervisa todos los asuntos relativos a la policía judicial y vela por la aplicación de las leyes. Asimismo, es competente para ejercer e incoar la acción penal y adoptar cuantas medidas sean convenientes a sus </w:t>
      </w:r>
      <w:r>
        <w:t>fines con arreglo a la ley. La f</w:t>
      </w:r>
      <w:r w:rsidR="00D74294" w:rsidRPr="00D74294">
        <w:t xml:space="preserve">iscalía es también responsable de la investigación y de la acusación. </w:t>
      </w:r>
      <w:bookmarkStart w:id="24" w:name="_Toc282337892"/>
    </w:p>
    <w:p w:rsidR="00D74294" w:rsidRPr="00D74294" w:rsidRDefault="00D74294" w:rsidP="0085715B">
      <w:pPr>
        <w:pStyle w:val="H23G"/>
      </w:pPr>
      <w:r>
        <w:tab/>
      </w:r>
      <w:r w:rsidRPr="00D74294">
        <w:tab/>
        <w:t>Legislación reguladora del reconoci</w:t>
      </w:r>
      <w:r w:rsidR="009C6705">
        <w:t>miento de las organizaciones no</w:t>
      </w:r>
      <w:r w:rsidR="009C6705">
        <w:br/>
      </w:r>
      <w:r w:rsidRPr="00D74294">
        <w:t>gubernamentales</w:t>
      </w:r>
      <w:bookmarkEnd w:id="24"/>
    </w:p>
    <w:p w:rsidR="00D74294" w:rsidRPr="00D74294" w:rsidRDefault="00D74294" w:rsidP="00D74294">
      <w:pPr>
        <w:pStyle w:val="SingleTxtG"/>
      </w:pPr>
      <w:r w:rsidRPr="00D74294">
        <w:t>48.</w:t>
      </w:r>
      <w:r w:rsidRPr="00D74294">
        <w:tab/>
        <w:t>La Sociedad de la Media Luna Roja de Qatar fue fundada en 1978. A ello siguió la creación, en 1980, de la Sociedad de Beneficencia de Qatar y, más tarde, la fundación de diferentes asociaciones civiles y entidades privadas de interés público. Inspirándose en la cultura islámica, que apoya la labor de beneficencia y la considera una de las acciones más loables que puede realizar un musulmán, la sociedad qatarí ha mostrado desde antiguo un gran interés en el trabajo voluntario de beneficencia.</w:t>
      </w:r>
    </w:p>
    <w:p w:rsidR="00D74294" w:rsidRPr="00D74294" w:rsidRDefault="00D74294" w:rsidP="00D74294">
      <w:pPr>
        <w:pStyle w:val="SingleTxtG"/>
      </w:pPr>
      <w:r w:rsidRPr="00D74294">
        <w:t>49.</w:t>
      </w:r>
      <w:r w:rsidRPr="00D74294">
        <w:tab/>
        <w:t xml:space="preserve">La Ley núm. 12/2004, de las Asociaciones y las Entidades Privadas, regula el derecho a fundar asociaciones civiles y entidades privadas. La citada </w:t>
      </w:r>
      <w:r w:rsidR="002F5021" w:rsidRPr="00D74294">
        <w:t xml:space="preserve">Ley </w:t>
      </w:r>
      <w:r w:rsidRPr="00D74294">
        <w:t xml:space="preserve">restringe la labor de dichas asociaciones y entidades a la esfera de la acción humanitaria, social, cultural, científica y de beneficencia. Establece asimismo que dichas asociaciones y entidades no contarán entre sus fines el lucro o la participación en los asuntos de orden político. El Ministerio de Asuntos Sociales es el organismo competente para la inscripción, la publicitación y el control de las asociaciones civiles y de las entidades privadas. La citada </w:t>
      </w:r>
      <w:r w:rsidR="001710EA" w:rsidRPr="00D74294">
        <w:t xml:space="preserve">Ley </w:t>
      </w:r>
      <w:r w:rsidRPr="00D74294">
        <w:t xml:space="preserve">autoriza al Consejo de Ministros, a propuesta del Ministro competente, a conceder a una asociación subvenciones o préstamos o a eximirla del pago de tasas aduaneras o de cualesquiera otros impuestos o tasas para asistirla en la consecución de sus fines. </w:t>
      </w:r>
    </w:p>
    <w:p w:rsidR="00D74294" w:rsidRPr="00D74294" w:rsidRDefault="00D74294" w:rsidP="00D74294">
      <w:pPr>
        <w:pStyle w:val="SingleTxtG"/>
      </w:pPr>
      <w:r w:rsidRPr="00D74294">
        <w:t>50.</w:t>
      </w:r>
      <w:r w:rsidRPr="00D74294">
        <w:tab/>
        <w:t xml:space="preserve">El Decreto Ley núm. 21/2006, de las Entidades Privadas de Reconocida Utilidad Pública, regula la creación de este tipo de entidades. La Dirección del Registro Mercantil y del Notariado del Ministerio de Justicia, o en su caso la instancia que ocupe su lugar, es responsable de autorizar la fundación de dichas entidades. La citada </w:t>
      </w:r>
      <w:r w:rsidR="001710EA" w:rsidRPr="00D74294">
        <w:t xml:space="preserve">Ley </w:t>
      </w:r>
      <w:r w:rsidRPr="00D74294">
        <w:t xml:space="preserve">las define como instituciones creadas por una o más personas físicas o jurídicas para la consecución de uno o más fines de reconocida utilidad. La </w:t>
      </w:r>
      <w:r w:rsidR="001710EA" w:rsidRPr="00D74294">
        <w:t xml:space="preserve">Ley </w:t>
      </w:r>
      <w:r w:rsidRPr="00D74294">
        <w:t xml:space="preserve">autoriza asimismo al Consejo de Ministros a conceder a estas entidades todos o algunos de los siguientes privilegios: concesión de subvenciones y prestaciones en especie, inclusive la asignación de los terrenos necesarios para el ejercicio de su actividad, así como exención total o parcial de impuestos y tasas y declaración de </w:t>
      </w:r>
      <w:proofErr w:type="spellStart"/>
      <w:r w:rsidRPr="00D74294">
        <w:t>inembargabilidad</w:t>
      </w:r>
      <w:proofErr w:type="spellEnd"/>
      <w:r w:rsidRPr="00D74294">
        <w:t xml:space="preserve"> de bienes o de apropiación por usucapión.</w:t>
      </w:r>
    </w:p>
    <w:p w:rsidR="00D74294" w:rsidRPr="00D74294" w:rsidRDefault="00D74294" w:rsidP="00D74294">
      <w:pPr>
        <w:pStyle w:val="SingleTxtG"/>
      </w:pPr>
      <w:r w:rsidRPr="00D74294">
        <w:t>51.</w:t>
      </w:r>
      <w:r w:rsidRPr="00D74294">
        <w:tab/>
        <w:t xml:space="preserve">Por otra parte, un gran número de entidades privadas de reconocida utilidad pública fueron constituidas por resolución del Emir. Entre estas resoluciones destacan la </w:t>
      </w:r>
      <w:r w:rsidR="00403650" w:rsidRPr="00D74294">
        <w:t xml:space="preserve">Resolución </w:t>
      </w:r>
      <w:r w:rsidRPr="00D74294">
        <w:t xml:space="preserve">del Emir núm. 51/2007, por el que se aprueba la creación de la Fundación Árabe para la Democracia; la </w:t>
      </w:r>
      <w:r w:rsidR="0089004A" w:rsidRPr="00D74294">
        <w:t xml:space="preserve">Resolución </w:t>
      </w:r>
      <w:r w:rsidRPr="00D74294">
        <w:t xml:space="preserve">del Emir núm. 86/2007, por la que se aprueba la creación del Centro de Doha para la Libertad de Prensa; la </w:t>
      </w:r>
      <w:r w:rsidR="0089004A" w:rsidRPr="00D74294">
        <w:t xml:space="preserve">Resolución </w:t>
      </w:r>
      <w:r w:rsidR="00403650">
        <w:t>del Emir núm. </w:t>
      </w:r>
      <w:r w:rsidRPr="00D74294">
        <w:t xml:space="preserve">3/2008, por la que se aprueba la creación de la Fundación </w:t>
      </w:r>
      <w:proofErr w:type="spellStart"/>
      <w:r w:rsidRPr="001710EA">
        <w:rPr>
          <w:iCs/>
        </w:rPr>
        <w:t>Silatech</w:t>
      </w:r>
      <w:proofErr w:type="spellEnd"/>
      <w:r w:rsidRPr="00D74294">
        <w:t xml:space="preserve">, y la </w:t>
      </w:r>
      <w:r w:rsidR="0089004A" w:rsidRPr="00D74294">
        <w:t xml:space="preserve">Resolución </w:t>
      </w:r>
      <w:r w:rsidRPr="00D74294">
        <w:t xml:space="preserve">del Emir núm. 20/2010, por la que se aprueba la creación del Centro Internacional de Doha para el Diálogo </w:t>
      </w:r>
      <w:proofErr w:type="spellStart"/>
      <w:r w:rsidRPr="00D74294">
        <w:t>Interconfesional</w:t>
      </w:r>
      <w:proofErr w:type="spellEnd"/>
      <w:r w:rsidRPr="00D74294">
        <w:t xml:space="preserve">. Asimismo, se han fundado numerosas entidades al amparo de la Fundación de Qatar para la Educación, la Ciencia y el Desarrollo Social. Este es el caso de </w:t>
      </w:r>
      <w:proofErr w:type="spellStart"/>
      <w:r w:rsidRPr="001710EA">
        <w:rPr>
          <w:iCs/>
        </w:rPr>
        <w:t>Reach</w:t>
      </w:r>
      <w:proofErr w:type="spellEnd"/>
      <w:r w:rsidRPr="001710EA">
        <w:rPr>
          <w:iCs/>
        </w:rPr>
        <w:t xml:space="preserve"> </w:t>
      </w:r>
      <w:proofErr w:type="spellStart"/>
      <w:r w:rsidRPr="001710EA">
        <w:rPr>
          <w:iCs/>
        </w:rPr>
        <w:t>Out</w:t>
      </w:r>
      <w:proofErr w:type="spellEnd"/>
      <w:r w:rsidRPr="001710EA">
        <w:rPr>
          <w:iCs/>
        </w:rPr>
        <w:t xml:space="preserve"> to Asia</w:t>
      </w:r>
      <w:r w:rsidRPr="00D74294">
        <w:t xml:space="preserve"> [</w:t>
      </w:r>
      <w:r w:rsidR="007C4727">
        <w:t>“</w:t>
      </w:r>
      <w:r w:rsidRPr="00D74294">
        <w:t>Mano tendida a Asia</w:t>
      </w:r>
      <w:r w:rsidR="007C4727">
        <w:t>”</w:t>
      </w:r>
      <w:r w:rsidRPr="00D74294">
        <w:t xml:space="preserve">] (ROTA) y del Instituto Internacional de Doha para Estudios sobre la Familia y el Desarrollo, los cuales disfrutan del estatuto de entidad consultiva ante el Consejo Económico y Social de las Naciones Unidas. La Fundación de Qatar para la Acción Social se constituyó en 2013 como un organismo de rango superior que, por conducto de la junta de administración de su dependencia de supervisión, vigila la labor de las instituciones y los centros responsables de la labor social en el Estado. En cooperación y coordinación con los ministerios y los organismos públicos y con los órganos e instituciones públicos y privados nacionales y extranjeros, la Fundación elabora y desarrolla los planes, los programas, las políticas y las estrategias necesarios para lograr los objetivos de las instituciones de la sociedad civil y vigilar su aplicación, y en ella se integran: 1) el Centro de Protección y Rehabilitación Social; 2) el Centro de Asesoramiento Familiar; 3) el Centro de Atención a los Huérfanos; 4) el Centro de Empoderamiento y Bienestar de las Personas de Edad; 5) el Centro </w:t>
      </w:r>
      <w:proofErr w:type="spellStart"/>
      <w:r w:rsidRPr="00D74294">
        <w:t>Shafallah</w:t>
      </w:r>
      <w:proofErr w:type="spellEnd"/>
      <w:r w:rsidRPr="00D74294">
        <w:t xml:space="preserve"> para las Personas con Discapacidad; 6)</w:t>
      </w:r>
      <w:r w:rsidR="001710EA">
        <w:t xml:space="preserve"> el Centro de Desarrollo Social;</w:t>
      </w:r>
      <w:r w:rsidRPr="00D74294">
        <w:t xml:space="preserve"> y 7) </w:t>
      </w:r>
      <w:proofErr w:type="spellStart"/>
      <w:r w:rsidRPr="001710EA">
        <w:rPr>
          <w:iCs/>
        </w:rPr>
        <w:t>Best</w:t>
      </w:r>
      <w:proofErr w:type="spellEnd"/>
      <w:r w:rsidRPr="001710EA">
        <w:rPr>
          <w:iCs/>
        </w:rPr>
        <w:t xml:space="preserve"> </w:t>
      </w:r>
      <w:proofErr w:type="spellStart"/>
      <w:r w:rsidRPr="001710EA">
        <w:rPr>
          <w:iCs/>
        </w:rPr>
        <w:t>Buddies</w:t>
      </w:r>
      <w:proofErr w:type="spellEnd"/>
      <w:r w:rsidRPr="00D74294">
        <w:t xml:space="preserve"> Qatar.</w:t>
      </w:r>
    </w:p>
    <w:p w:rsidR="00D74294" w:rsidRPr="00D74294" w:rsidRDefault="00D74294" w:rsidP="00D74294">
      <w:pPr>
        <w:pStyle w:val="HChG"/>
      </w:pPr>
      <w:bookmarkStart w:id="25" w:name="_Toc281916559"/>
      <w:bookmarkStart w:id="26" w:name="_Toc281916774"/>
      <w:bookmarkStart w:id="27" w:name="_Toc281916934"/>
      <w:bookmarkStart w:id="28" w:name="_Toc282337893"/>
      <w:r w:rsidRPr="00D74294">
        <w:tab/>
        <w:t>II.</w:t>
      </w:r>
      <w:r w:rsidRPr="00D74294">
        <w:tab/>
        <w:t>Marco general para la protección y la promoción de los derechos humanos</w:t>
      </w:r>
      <w:bookmarkEnd w:id="25"/>
      <w:bookmarkEnd w:id="26"/>
      <w:bookmarkEnd w:id="27"/>
      <w:bookmarkEnd w:id="28"/>
    </w:p>
    <w:p w:rsidR="00D74294" w:rsidRPr="00D74294" w:rsidRDefault="00D74294" w:rsidP="00D74294">
      <w:pPr>
        <w:pStyle w:val="H1G"/>
      </w:pPr>
      <w:bookmarkStart w:id="29" w:name="_Toc282337894"/>
      <w:r>
        <w:tab/>
      </w:r>
      <w:r w:rsidRPr="00D74294">
        <w:t>A.</w:t>
      </w:r>
      <w:r w:rsidRPr="00D74294">
        <w:tab/>
        <w:t>Aceptación de las normas inte</w:t>
      </w:r>
      <w:r>
        <w:t>rnacionales de derechos humanos</w:t>
      </w:r>
    </w:p>
    <w:p w:rsidR="00D74294" w:rsidRPr="00D74294" w:rsidRDefault="00D74294" w:rsidP="0085715B">
      <w:pPr>
        <w:pStyle w:val="H23G"/>
      </w:pPr>
      <w:bookmarkStart w:id="30" w:name="_Toc282337896"/>
      <w:bookmarkEnd w:id="29"/>
      <w:r>
        <w:tab/>
      </w:r>
      <w:r w:rsidRPr="00D74294">
        <w:tab/>
        <w:t>Adhesión a los convenios internacionales de derechos humanos</w:t>
      </w:r>
      <w:bookmarkEnd w:id="30"/>
    </w:p>
    <w:p w:rsidR="00D74294" w:rsidRPr="00D74294" w:rsidRDefault="00D74294" w:rsidP="00D74294">
      <w:pPr>
        <w:pStyle w:val="SingleTxtG"/>
      </w:pPr>
      <w:r w:rsidRPr="00D74294">
        <w:t>52.</w:t>
      </w:r>
      <w:r w:rsidRPr="00D74294">
        <w:tab/>
        <w:t>En el marco del fomento y del fortalecimiento de la estructura legislativa para los derechos humanos, el Estado de Qatar ratificó y se adhirió a un gran número de convenios para los derechos humanos a nivel internacional y regional entre los que cabe destacar los siguientes:</w:t>
      </w:r>
    </w:p>
    <w:p w:rsidR="00D74294" w:rsidRPr="00D74294" w:rsidRDefault="00D74294" w:rsidP="00D74294">
      <w:pPr>
        <w:pStyle w:val="Bullet1G"/>
      </w:pPr>
      <w:r w:rsidRPr="00D74294">
        <w:t>Los dos pactos internacionales de derechos humanos: el Pacto Internacional de Derechos Civiles y Políticos y el Pacto Internacional de Derechos Económicos, Sociales y Culturales, en 2018.</w:t>
      </w:r>
    </w:p>
    <w:p w:rsidR="00D74294" w:rsidRPr="00D74294" w:rsidRDefault="00D74294" w:rsidP="00D74294">
      <w:pPr>
        <w:pStyle w:val="Bullet1G"/>
      </w:pPr>
      <w:r w:rsidRPr="00D74294">
        <w:t>La Convención Árabe para la Protección de los Derechos de Autor y los Derechos Conexos, en 2015.</w:t>
      </w:r>
    </w:p>
    <w:p w:rsidR="00D74294" w:rsidRPr="00D74294" w:rsidRDefault="00D74294" w:rsidP="00D74294">
      <w:pPr>
        <w:pStyle w:val="Bullet1G"/>
      </w:pPr>
      <w:r w:rsidRPr="00D74294">
        <w:t xml:space="preserve">El Convenio Internacional para la Represión de los </w:t>
      </w:r>
      <w:r w:rsidR="001710EA">
        <w:t>Actos de Terrorismo Nuclear, en </w:t>
      </w:r>
      <w:r w:rsidRPr="00D74294">
        <w:t>2014.</w:t>
      </w:r>
    </w:p>
    <w:p w:rsidR="00D74294" w:rsidRPr="00D74294" w:rsidRDefault="00D74294" w:rsidP="00D74294">
      <w:pPr>
        <w:pStyle w:val="Bullet1G"/>
      </w:pPr>
      <w:r w:rsidRPr="00D74294">
        <w:t>La Convención Árabe sobre la Lucha contra el Blanqueo de Dinero y la Financiación del Terrorismo, en 2012.</w:t>
      </w:r>
    </w:p>
    <w:p w:rsidR="00D74294" w:rsidRPr="00D74294" w:rsidRDefault="00D74294" w:rsidP="00D74294">
      <w:pPr>
        <w:pStyle w:val="Bullet1G"/>
      </w:pPr>
      <w:r w:rsidRPr="00D74294">
        <w:t>La Convención sobre la Protección y Promoción de la Diversidad de las Expresiones Culturales, en 2009.</w:t>
      </w:r>
    </w:p>
    <w:p w:rsidR="00D74294" w:rsidRPr="00D74294" w:rsidRDefault="00D74294" w:rsidP="00D74294">
      <w:pPr>
        <w:pStyle w:val="Bullet1G"/>
      </w:pPr>
      <w:r w:rsidRPr="00D74294">
        <w:t>La Carta Árabe de Derechos Humanos, en 2009.</w:t>
      </w:r>
    </w:p>
    <w:p w:rsidR="00D74294" w:rsidRPr="00D74294" w:rsidRDefault="00D74294" w:rsidP="00D74294">
      <w:pPr>
        <w:pStyle w:val="Bullet1G"/>
      </w:pPr>
      <w:r w:rsidRPr="00D74294">
        <w:t>La Convención sobre la Eliminación de Todas las Formas de Discriminación contra la Mujer, en 2009.</w:t>
      </w:r>
    </w:p>
    <w:p w:rsidR="00D74294" w:rsidRPr="00D74294" w:rsidRDefault="00D74294" w:rsidP="00D74294">
      <w:pPr>
        <w:pStyle w:val="Bullet1G"/>
      </w:pPr>
      <w:r w:rsidRPr="00D74294">
        <w:t>El Protocolo para Prevenir, Reprimir y Sancionar la Trata de Personas, Especialmente Mujeres y Niños (</w:t>
      </w:r>
      <w:r w:rsidR="007C4727">
        <w:t>“</w:t>
      </w:r>
      <w:r w:rsidRPr="00D74294">
        <w:t>Protocolo de Palermo</w:t>
      </w:r>
      <w:r w:rsidR="007C4727">
        <w:t>”</w:t>
      </w:r>
      <w:r w:rsidRPr="00D74294">
        <w:t>), en 2009.</w:t>
      </w:r>
    </w:p>
    <w:p w:rsidR="00D74294" w:rsidRPr="00D74294" w:rsidRDefault="00D74294" w:rsidP="00D74294">
      <w:pPr>
        <w:pStyle w:val="Bullet1G"/>
      </w:pPr>
      <w:r w:rsidRPr="00D74294">
        <w:t>La Convención sobre los Derechos de las Personas con Discapacidad, en 2008.</w:t>
      </w:r>
    </w:p>
    <w:p w:rsidR="00D74294" w:rsidRPr="00D74294" w:rsidRDefault="00D74294" w:rsidP="00D74294">
      <w:pPr>
        <w:pStyle w:val="Bullet1G"/>
      </w:pPr>
      <w:r w:rsidRPr="00D74294">
        <w:t>La Convención de las Naciones Unidas contra la Delincuencia Organizada Transnacional, en 2008.</w:t>
      </w:r>
    </w:p>
    <w:p w:rsidR="00D74294" w:rsidRPr="00D74294" w:rsidRDefault="00D74294" w:rsidP="00D74294">
      <w:pPr>
        <w:pStyle w:val="Bullet1G"/>
      </w:pPr>
      <w:r w:rsidRPr="00D74294">
        <w:t xml:space="preserve">El Convenio sobre la Abolición del Trabajo Forzoso, en 2007. </w:t>
      </w:r>
    </w:p>
    <w:p w:rsidR="00D74294" w:rsidRPr="00D74294" w:rsidRDefault="00D74294" w:rsidP="00D74294">
      <w:pPr>
        <w:pStyle w:val="Bullet1G"/>
      </w:pPr>
      <w:r w:rsidRPr="00D74294">
        <w:t xml:space="preserve">El Convenio sobre la Edad Mínima, 1973 (núm. 138), en 2005. </w:t>
      </w:r>
    </w:p>
    <w:p w:rsidR="00D74294" w:rsidRPr="00D74294" w:rsidRDefault="00D74294" w:rsidP="00D74294">
      <w:pPr>
        <w:pStyle w:val="Bullet1G"/>
      </w:pPr>
      <w:r w:rsidRPr="00D74294">
        <w:t>El Protocolo Facultativo de la Convención sobre los Derechos del Niño relativo a la participación de niños en los conflictos armados, en 2002.</w:t>
      </w:r>
    </w:p>
    <w:p w:rsidR="00D74294" w:rsidRPr="00D74294" w:rsidRDefault="00D74294" w:rsidP="00D74294">
      <w:pPr>
        <w:pStyle w:val="Bullet1G"/>
      </w:pPr>
      <w:r w:rsidRPr="00D74294">
        <w:t>El Protocolo Facultativo de la Convención sobre los Derechos del Niño relativo a la venta de niños, la prostitución infantil y la utilización</w:t>
      </w:r>
      <w:r w:rsidR="001710EA">
        <w:t xml:space="preserve"> de niños en la pornografía, en </w:t>
      </w:r>
      <w:r w:rsidRPr="00D74294">
        <w:t>2001.</w:t>
      </w:r>
    </w:p>
    <w:p w:rsidR="00D74294" w:rsidRPr="00D74294" w:rsidRDefault="00D74294" w:rsidP="00D74294">
      <w:pPr>
        <w:pStyle w:val="Bullet1G"/>
      </w:pPr>
      <w:r w:rsidRPr="00D74294">
        <w:t>La Convención contra la Tortura y Otros Tratos o Penas Crueles, Inhumanos o Degradantes, en 2001.</w:t>
      </w:r>
    </w:p>
    <w:p w:rsidR="00D74294" w:rsidRPr="00D74294" w:rsidRDefault="00D74294" w:rsidP="00D74294">
      <w:pPr>
        <w:pStyle w:val="Bullet1G"/>
      </w:pPr>
      <w:r w:rsidRPr="00D74294">
        <w:t>El Convenio sobre las Peores Formas de Trabajo Infantil y la Acción Inmediata para su Eliminación, en 2001.</w:t>
      </w:r>
    </w:p>
    <w:p w:rsidR="00D74294" w:rsidRPr="00D74294" w:rsidRDefault="00D74294" w:rsidP="00D74294">
      <w:pPr>
        <w:pStyle w:val="Bullet1G"/>
      </w:pPr>
      <w:r w:rsidRPr="00D74294">
        <w:t xml:space="preserve">El Convenio núm. 29 de la OIT relativo al </w:t>
      </w:r>
      <w:r w:rsidR="001710EA" w:rsidRPr="00D74294">
        <w:t xml:space="preserve">Trabajo Forzoso </w:t>
      </w:r>
      <w:r w:rsidRPr="00D74294">
        <w:t xml:space="preserve">u </w:t>
      </w:r>
      <w:r w:rsidR="001710EA" w:rsidRPr="00D74294">
        <w:t>Obligatorio</w:t>
      </w:r>
      <w:r w:rsidRPr="00D74294">
        <w:t>, en 1998.</w:t>
      </w:r>
    </w:p>
    <w:p w:rsidR="00D74294" w:rsidRPr="00D74294" w:rsidRDefault="00D74294" w:rsidP="00D74294">
      <w:pPr>
        <w:pStyle w:val="Bullet1G"/>
      </w:pPr>
      <w:r w:rsidRPr="00D74294">
        <w:t>La Convención sobre los Derechos del Niño, en 1995.</w:t>
      </w:r>
    </w:p>
    <w:p w:rsidR="00D74294" w:rsidRPr="00D74294" w:rsidRDefault="00D74294" w:rsidP="00D74294">
      <w:pPr>
        <w:pStyle w:val="Bullet1G"/>
      </w:pPr>
      <w:r w:rsidRPr="00D74294">
        <w:t>El Convenio núm. 111 de la OIT sobre la discrimi</w:t>
      </w:r>
      <w:r w:rsidR="001710EA">
        <w:t>nación (empleo y ocupación), en </w:t>
      </w:r>
      <w:r w:rsidRPr="00D74294">
        <w:t>1976.</w:t>
      </w:r>
    </w:p>
    <w:p w:rsidR="00D74294" w:rsidRPr="00D74294" w:rsidRDefault="00D74294" w:rsidP="00D74294">
      <w:pPr>
        <w:pStyle w:val="Bullet1G"/>
      </w:pPr>
      <w:r w:rsidRPr="00D74294">
        <w:t>La Convención Internacional sobre la Eliminación de Todas las Formas de Discriminación Racial, en 1976.</w:t>
      </w:r>
    </w:p>
    <w:p w:rsidR="00D74294" w:rsidRPr="00D74294" w:rsidRDefault="00D74294" w:rsidP="00D74294">
      <w:pPr>
        <w:pStyle w:val="SingleTxtG"/>
      </w:pPr>
      <w:r w:rsidRPr="00D74294">
        <w:t>53.</w:t>
      </w:r>
      <w:r w:rsidRPr="00D74294">
        <w:tab/>
        <w:t xml:space="preserve">El artículo 68 de la Constitución establece que el Emir concertará los convenios y tratados internacionales por decreto y dará traslado de los mismos, acompañados de las correspondientes explicaciones, al Consejo de la </w:t>
      </w:r>
      <w:proofErr w:type="spellStart"/>
      <w:r w:rsidRPr="00D74294">
        <w:t>Shura</w:t>
      </w:r>
      <w:proofErr w:type="spellEnd"/>
      <w:r w:rsidRPr="00D74294">
        <w:t xml:space="preserve">. Un convenio o tratado tendrá fuerza de ley una vez ratificado y publicado en el </w:t>
      </w:r>
      <w:r w:rsidRPr="00D74294">
        <w:rPr>
          <w:i/>
          <w:iCs/>
        </w:rPr>
        <w:t>Boletín Oficial</w:t>
      </w:r>
      <w:r w:rsidRPr="00D74294">
        <w:t xml:space="preserve">. Los convenios sobre derechos humanos a los que se ha adherido el Estado de Qatar han sido publicados en el </w:t>
      </w:r>
      <w:r w:rsidRPr="00D74294">
        <w:rPr>
          <w:i/>
          <w:iCs/>
        </w:rPr>
        <w:t>Boletín Oficial</w:t>
      </w:r>
      <w:r w:rsidRPr="00D74294">
        <w:t>.</w:t>
      </w:r>
      <w:bookmarkStart w:id="31" w:name="_Toc282337897"/>
    </w:p>
    <w:p w:rsidR="00D74294" w:rsidRPr="00D74294" w:rsidRDefault="00D74294" w:rsidP="0085715B">
      <w:pPr>
        <w:pStyle w:val="H23G"/>
      </w:pPr>
      <w:r>
        <w:tab/>
      </w:r>
      <w:r w:rsidRPr="00D74294">
        <w:tab/>
        <w:t>Reservas y declaraciones relativas a los convenios internacionales</w:t>
      </w:r>
      <w:bookmarkEnd w:id="31"/>
    </w:p>
    <w:p w:rsidR="00D74294" w:rsidRPr="00D74294" w:rsidRDefault="00D74294" w:rsidP="00D74294">
      <w:pPr>
        <w:pStyle w:val="SingleTxtG"/>
      </w:pPr>
      <w:r w:rsidRPr="00D74294">
        <w:t>54.</w:t>
      </w:r>
      <w:r w:rsidRPr="00D74294">
        <w:tab/>
        <w:t>En los últimos años, el Estado de Qatar ha adoptado una política estratégica consistente en evitar las reservas de carácter general a los convenios internacionales. Como consecuencia se han revisado las reservas generales formuladas a los convenios de derechos humanos en los que el Estado de Qatar es parte:</w:t>
      </w:r>
    </w:p>
    <w:p w:rsidR="00D74294" w:rsidRPr="00D74294" w:rsidRDefault="00D74294" w:rsidP="00D74294">
      <w:pPr>
        <w:pStyle w:val="Bullet1G"/>
      </w:pPr>
      <w:r w:rsidRPr="00D74294">
        <w:t xml:space="preserve">El Estado de Qatar ha retirado su reserva general al Protocolo Facultativo de la Convención sobre los Derechos del Niño relativo a la venta de niños, la prostitución infantil y la utilización de niños en la pornografía. De igual modo ha retirado parcialmente su reserva general a la Convención sobre los Derechos del Niño en relación con cualesquiera textos que entren en conflicto con la </w:t>
      </w:r>
      <w:proofErr w:type="spellStart"/>
      <w:r w:rsidRPr="00D74294">
        <w:rPr>
          <w:i/>
          <w:iCs/>
        </w:rPr>
        <w:t>sharia</w:t>
      </w:r>
      <w:proofErr w:type="spellEnd"/>
      <w:r w:rsidRPr="00D74294">
        <w:t>, retirada que se aplica a los artículos 2 y 14 de dicha Convención.</w:t>
      </w:r>
    </w:p>
    <w:p w:rsidR="00D74294" w:rsidRPr="00D74294" w:rsidRDefault="00D74294" w:rsidP="00D74294">
      <w:pPr>
        <w:pStyle w:val="Bullet1G"/>
      </w:pPr>
      <w:r w:rsidRPr="00D74294">
        <w:t>En respuesta a las recomendaciones del Comité contra la Tortura, el Estado de Qatar ha retirado sus reservas a los artículos 21 y 22 y ha sustituido su reserva general a la Convención contra la Tortura por una reserva parcial que se aplica únicamente a los artículos 1 y 16 de dicha Convención.</w:t>
      </w:r>
    </w:p>
    <w:p w:rsidR="00D74294" w:rsidRPr="00D74294" w:rsidRDefault="00D74294" w:rsidP="0085715B">
      <w:pPr>
        <w:pStyle w:val="H1G"/>
      </w:pPr>
      <w:bookmarkStart w:id="32" w:name="_Toc281916560"/>
      <w:bookmarkStart w:id="33" w:name="_Toc281916775"/>
      <w:bookmarkStart w:id="34" w:name="_Toc281916935"/>
      <w:bookmarkStart w:id="35" w:name="_Toc282337898"/>
      <w:r>
        <w:tab/>
      </w:r>
      <w:r w:rsidRPr="00D74294">
        <w:t>B.</w:t>
      </w:r>
      <w:r w:rsidRPr="00D74294">
        <w:tab/>
        <w:t>Marco jurídico e institucional para l</w:t>
      </w:r>
      <w:r w:rsidR="009C6705">
        <w:t>a protección y promoción de los </w:t>
      </w:r>
      <w:r w:rsidRPr="00D74294">
        <w:t>derechos humanos a nivel nacional</w:t>
      </w:r>
      <w:bookmarkEnd w:id="32"/>
      <w:bookmarkEnd w:id="33"/>
      <w:bookmarkEnd w:id="34"/>
      <w:bookmarkEnd w:id="35"/>
    </w:p>
    <w:p w:rsidR="00D74294" w:rsidRPr="00D74294" w:rsidRDefault="00D74294" w:rsidP="0085715B">
      <w:pPr>
        <w:pStyle w:val="H23G"/>
      </w:pPr>
      <w:bookmarkStart w:id="36" w:name="_Toc282337899"/>
      <w:r>
        <w:tab/>
      </w:r>
      <w:r w:rsidRPr="00D74294">
        <w:tab/>
        <w:t>Protección constitucional de los derechos humanos</w:t>
      </w:r>
    </w:p>
    <w:p w:rsidR="00D74294" w:rsidRPr="00D74294" w:rsidRDefault="00D74294" w:rsidP="00D74294">
      <w:pPr>
        <w:pStyle w:val="SingleTxtG"/>
      </w:pPr>
      <w:r w:rsidRPr="00D74294">
        <w:t>55.</w:t>
      </w:r>
      <w:r w:rsidRPr="00D74294">
        <w:tab/>
        <w:t xml:space="preserve">El Estado de Qatar pone todo su empeño en situar la cuestión de los derechos humanos en el centro mismo de la reforma constitucional, política, económica, social y cultural. Este interés se materializa en el deseo de desarrollar y potenciar la infraestructura de los derechos humanos en sus esferas legislativa e institucional. La Constitución dedica su Título III (arts. 34 a 58) a los derechos y las libertades fundamentales. En dicho articulado se adopta el principio de complementariedad, interrelación, interdependencia e indivisibilidad de los derechos humanos, así como se consagran los derechos económicos, sociales, culturales, civiles y políticos en términos de igualdad. Entre los derechos y las libertades fundamentales consagrados por la Constitución cabe citar, entre otros, los que siguen: igualdad ante la ley, no discriminación, libertad personal, tipificación penal de la tortura, libertad de prensa y expresión, libertad de constitución de asociaciones, libertad de culto, derecho al trabajo y derecho a la educación. La Constitución ratifica que dichos derechos no serán restringidos o disminuidos so pretexto de regularlos o modificarlos. Así, el artículo 146 establece que </w:t>
      </w:r>
      <w:r w:rsidR="007C4727">
        <w:t>“</w:t>
      </w:r>
      <w:r w:rsidRPr="00D74294">
        <w:t>las disposiciones relativas a los derechos y las libertades públicas no serán modificadas salvo para potenciar las garantías en favor de los ciudadanos</w:t>
      </w:r>
      <w:r w:rsidR="007C4727">
        <w:t>”</w:t>
      </w:r>
      <w:r w:rsidRPr="00D74294">
        <w:t xml:space="preserve">. </w:t>
      </w:r>
    </w:p>
    <w:p w:rsidR="00D74294" w:rsidRPr="00D74294" w:rsidRDefault="00D74294" w:rsidP="0085715B">
      <w:pPr>
        <w:pStyle w:val="H23G"/>
      </w:pPr>
      <w:bookmarkStart w:id="37" w:name="_Toc282337895"/>
      <w:r>
        <w:tab/>
      </w:r>
      <w:r w:rsidRPr="00D74294">
        <w:tab/>
        <w:t>Garantías jurídicas para los derechos humanos</w:t>
      </w:r>
      <w:bookmarkEnd w:id="37"/>
    </w:p>
    <w:p w:rsidR="00D74294" w:rsidRPr="00D74294" w:rsidRDefault="00D74294" w:rsidP="00D74294">
      <w:pPr>
        <w:pStyle w:val="SingleTxtG"/>
      </w:pPr>
      <w:r w:rsidRPr="00D74294">
        <w:t>56.</w:t>
      </w:r>
      <w:r w:rsidRPr="00D74294">
        <w:tab/>
        <w:t>Con objeto de fortalecer los derechos y las libertades fundamentales consagrados por la Constitución se han promulgado una serie de textos legislativos entre los que cabe destacar los siguientes:</w:t>
      </w:r>
    </w:p>
    <w:p w:rsidR="00D74294" w:rsidRPr="00D74294" w:rsidRDefault="00D74294" w:rsidP="00D74294">
      <w:pPr>
        <w:pStyle w:val="Bullet1G"/>
      </w:pPr>
      <w:r w:rsidRPr="00D74294">
        <w:t>Ley núm. 1/1994, de</w:t>
      </w:r>
      <w:r w:rsidR="00B965A0">
        <w:t>l Menor en Conflicto con la Ley.</w:t>
      </w:r>
    </w:p>
    <w:p w:rsidR="00D74294" w:rsidRPr="00D74294" w:rsidRDefault="00D74294" w:rsidP="00D74294">
      <w:pPr>
        <w:pStyle w:val="Bullet1G"/>
      </w:pPr>
      <w:r w:rsidRPr="00D74294">
        <w:t xml:space="preserve">Ley </w:t>
      </w:r>
      <w:r w:rsidR="00B965A0">
        <w:t>núm. 38/1995, del Seguro Social.</w:t>
      </w:r>
    </w:p>
    <w:p w:rsidR="00D74294" w:rsidRPr="00D74294" w:rsidRDefault="00D74294" w:rsidP="00D74294">
      <w:pPr>
        <w:pStyle w:val="Bullet1G"/>
      </w:pPr>
      <w:r w:rsidRPr="00D74294">
        <w:t xml:space="preserve">Ley núm. 7/1996, de regulación de la atención médica y de los servicios sanitarios que se </w:t>
      </w:r>
      <w:r w:rsidR="00B965A0">
        <w:t>prestan en el interior del país.</w:t>
      </w:r>
    </w:p>
    <w:p w:rsidR="00D74294" w:rsidRPr="00D74294" w:rsidRDefault="00D74294" w:rsidP="00D74294">
      <w:pPr>
        <w:pStyle w:val="Bullet1G"/>
      </w:pPr>
      <w:r w:rsidRPr="00D74294">
        <w:t>Ley núm. 25/2001, de la En</w:t>
      </w:r>
      <w:r w:rsidR="00B965A0">
        <w:t>señanza Obligatoria.</w:t>
      </w:r>
    </w:p>
    <w:p w:rsidR="00D74294" w:rsidRPr="00D74294" w:rsidRDefault="00D74294" w:rsidP="00D74294">
      <w:pPr>
        <w:pStyle w:val="Bullet1G"/>
      </w:pPr>
      <w:r w:rsidRPr="00D74294">
        <w:t>Ley núm. 24/2002, d</w:t>
      </w:r>
      <w:r w:rsidR="00B965A0">
        <w:t>e la Jubilación y las Pensiones.</w:t>
      </w:r>
    </w:p>
    <w:p w:rsidR="00D74294" w:rsidRPr="00D74294" w:rsidRDefault="00D74294" w:rsidP="00D74294">
      <w:pPr>
        <w:pStyle w:val="Bullet1G"/>
      </w:pPr>
      <w:r w:rsidRPr="00D74294">
        <w:t>Ley n</w:t>
      </w:r>
      <w:r w:rsidR="00B965A0">
        <w:t>úm. 10/2003, del Poder Judicial.</w:t>
      </w:r>
    </w:p>
    <w:p w:rsidR="00D74294" w:rsidRPr="00D74294" w:rsidRDefault="00D74294" w:rsidP="00D74294">
      <w:pPr>
        <w:pStyle w:val="Bullet1G"/>
      </w:pPr>
      <w:r w:rsidRPr="00D74294">
        <w:t>Ley núm. 2/2004, de las Pers</w:t>
      </w:r>
      <w:r w:rsidR="00B965A0">
        <w:t>onas con Necesidades Especiales.</w:t>
      </w:r>
    </w:p>
    <w:p w:rsidR="00D74294" w:rsidRPr="00D74294" w:rsidRDefault="00D74294" w:rsidP="00D74294">
      <w:pPr>
        <w:pStyle w:val="Bullet1G"/>
      </w:pPr>
      <w:r w:rsidRPr="00D74294">
        <w:t>Ley núm. 12/2004, de las Asocia</w:t>
      </w:r>
      <w:r w:rsidR="00B965A0">
        <w:t>ciones y las Entidades Privadas.</w:t>
      </w:r>
    </w:p>
    <w:p w:rsidR="00D74294" w:rsidRPr="00D74294" w:rsidRDefault="00D74294" w:rsidP="00D74294">
      <w:pPr>
        <w:pStyle w:val="Bullet1G"/>
      </w:pPr>
      <w:r w:rsidRPr="00D74294">
        <w:t>Ley núm. 14/2004 por la qu</w:t>
      </w:r>
      <w:r w:rsidR="00B965A0">
        <w:t>e se promulga la Ley de Trabajo.</w:t>
      </w:r>
    </w:p>
    <w:p w:rsidR="00D74294" w:rsidRPr="00D74294" w:rsidRDefault="00D74294" w:rsidP="00D74294">
      <w:pPr>
        <w:pStyle w:val="Bullet1G"/>
      </w:pPr>
      <w:r w:rsidRPr="00D74294">
        <w:t>Ley núm. 18/2004, de las Concent</w:t>
      </w:r>
      <w:r w:rsidR="00B965A0">
        <w:t>raciones Públicas y las Marchas.</w:t>
      </w:r>
    </w:p>
    <w:p w:rsidR="00D74294" w:rsidRPr="00D74294" w:rsidRDefault="00D74294" w:rsidP="00D74294">
      <w:pPr>
        <w:pStyle w:val="Bullet1G"/>
      </w:pPr>
      <w:r w:rsidRPr="00D74294">
        <w:t xml:space="preserve">Ley núm. 22/2004, por la </w:t>
      </w:r>
      <w:r w:rsidR="00B965A0">
        <w:t>que se promulga el Código Civil.</w:t>
      </w:r>
    </w:p>
    <w:p w:rsidR="00D74294" w:rsidRPr="00D74294" w:rsidRDefault="00D74294" w:rsidP="00D74294">
      <w:pPr>
        <w:pStyle w:val="Bullet1G"/>
      </w:pPr>
      <w:r w:rsidRPr="00D74294">
        <w:t>Ley núm. 23/2004, por la que se promulga e</w:t>
      </w:r>
      <w:r w:rsidR="00B965A0">
        <w:t>l Código de Procedimiento Penal.</w:t>
      </w:r>
    </w:p>
    <w:p w:rsidR="00D74294" w:rsidRPr="00D74294" w:rsidRDefault="00D74294" w:rsidP="00D74294">
      <w:pPr>
        <w:pStyle w:val="Bullet1G"/>
      </w:pPr>
      <w:r w:rsidRPr="00D74294">
        <w:t xml:space="preserve">Ley núm. 40/2004, de la Tutela Económica de los Niños. Esta </w:t>
      </w:r>
      <w:r w:rsidR="001710EA" w:rsidRPr="00D74294">
        <w:t xml:space="preserve">Ley </w:t>
      </w:r>
      <w:r w:rsidRPr="00D74294">
        <w:t>recoge un conjunto de normas que garantizan la protección de los bienes del niño y el control sobre los acto</w:t>
      </w:r>
      <w:r w:rsidR="00B965A0">
        <w:t>s del responsable de los mismos.</w:t>
      </w:r>
    </w:p>
    <w:p w:rsidR="00D74294" w:rsidRPr="00D74294" w:rsidRDefault="00D74294" w:rsidP="00D74294">
      <w:pPr>
        <w:pStyle w:val="Bullet1G"/>
      </w:pPr>
      <w:r w:rsidRPr="00D74294">
        <w:t xml:space="preserve">Ley núm. 22/2005, por la que se prohíbe reclutar, contratar, entrenar y hacer participar </w:t>
      </w:r>
      <w:r w:rsidR="00B965A0">
        <w:t>a niños en carreras de camellos.</w:t>
      </w:r>
    </w:p>
    <w:p w:rsidR="00D74294" w:rsidRPr="00D74294" w:rsidRDefault="00D74294" w:rsidP="00D74294">
      <w:pPr>
        <w:pStyle w:val="Bullet1G"/>
      </w:pPr>
      <w:r w:rsidRPr="00D74294">
        <w:t>Ley núm. 38/</w:t>
      </w:r>
      <w:r w:rsidR="00B965A0">
        <w:t>2005, de la Nacionalidad Qatarí.</w:t>
      </w:r>
    </w:p>
    <w:p w:rsidR="00D74294" w:rsidRPr="00D74294" w:rsidRDefault="00D74294" w:rsidP="00D74294">
      <w:pPr>
        <w:pStyle w:val="Bullet1G"/>
      </w:pPr>
      <w:r w:rsidRPr="00D74294">
        <w:t>Decreto Ley núm. 21/2006, de las Entidades Privadas</w:t>
      </w:r>
      <w:r w:rsidR="00B965A0">
        <w:t xml:space="preserve"> de Reconocida Utilidad Pública.</w:t>
      </w:r>
    </w:p>
    <w:p w:rsidR="00D74294" w:rsidRPr="00D74294" w:rsidRDefault="00D74294" w:rsidP="00D74294">
      <w:pPr>
        <w:pStyle w:val="Bullet1G"/>
      </w:pPr>
      <w:r w:rsidRPr="00D74294">
        <w:t>Ley núm. 22/2006, por la qu</w:t>
      </w:r>
      <w:r w:rsidR="00B965A0">
        <w:t>e se promulga la Ley de Familia.</w:t>
      </w:r>
    </w:p>
    <w:p w:rsidR="00D74294" w:rsidRPr="00D74294" w:rsidRDefault="00D74294" w:rsidP="00D74294">
      <w:pPr>
        <w:pStyle w:val="Bullet1G"/>
      </w:pPr>
      <w:r w:rsidRPr="00D74294">
        <w:t>Ley núm. 2/200</w:t>
      </w:r>
      <w:r w:rsidR="00B965A0">
        <w:t>7, del Plan de Vivienda.</w:t>
      </w:r>
    </w:p>
    <w:p w:rsidR="00D74294" w:rsidRPr="00D74294" w:rsidRDefault="00D74294" w:rsidP="00D74294">
      <w:pPr>
        <w:pStyle w:val="Bullet1G"/>
      </w:pPr>
      <w:r w:rsidRPr="00D74294">
        <w:t>Resolución del Consejo de Ministros núm. 17/2007 por la que se establecen las prioridades y condiciones para beneficiarse del Plan de Viv</w:t>
      </w:r>
      <w:r w:rsidR="00B965A0">
        <w:t>ienda para Personas Necesitadas.</w:t>
      </w:r>
    </w:p>
    <w:p w:rsidR="00D74294" w:rsidRPr="00D74294" w:rsidRDefault="00D74294" w:rsidP="00D74294">
      <w:pPr>
        <w:pStyle w:val="Bullet1G"/>
      </w:pPr>
      <w:r w:rsidRPr="00D74294">
        <w:t xml:space="preserve">Resolución del Consejo de Ministros núm. 18/2007 por la que se establecen las prioridades y los controles para el disfrute del Plan de Vivienda para Personas </w:t>
      </w:r>
      <w:r w:rsidR="00B965A0">
        <w:t>Necesitadas (vivienda gratuita).</w:t>
      </w:r>
    </w:p>
    <w:p w:rsidR="00D74294" w:rsidRPr="00D74294" w:rsidRDefault="00D74294" w:rsidP="00D74294">
      <w:pPr>
        <w:pStyle w:val="Bullet1G"/>
      </w:pPr>
      <w:r w:rsidRPr="00D74294">
        <w:t xml:space="preserve">Ley núm. 12/2008 por la que se crea </w:t>
      </w:r>
      <w:r w:rsidR="00B965A0">
        <w:t>el Alto Tribunal Constitucional.</w:t>
      </w:r>
    </w:p>
    <w:p w:rsidR="00D74294" w:rsidRPr="00D74294" w:rsidRDefault="00D74294" w:rsidP="00D74294">
      <w:pPr>
        <w:pStyle w:val="Bullet1G"/>
      </w:pPr>
      <w:r w:rsidRPr="00D74294">
        <w:t xml:space="preserve">Ley núm. 19/2008, por la que se establece el montante de la composición </w:t>
      </w:r>
      <w:r w:rsidRPr="007436A1">
        <w:rPr>
          <w:i/>
        </w:rPr>
        <w:t>(</w:t>
      </w:r>
      <w:proofErr w:type="spellStart"/>
      <w:r w:rsidRPr="007436A1">
        <w:rPr>
          <w:i/>
          <w:iCs/>
        </w:rPr>
        <w:t>diya</w:t>
      </w:r>
      <w:proofErr w:type="spellEnd"/>
      <w:r w:rsidRPr="007436A1">
        <w:rPr>
          <w:i/>
        </w:rPr>
        <w:t>)</w:t>
      </w:r>
      <w:r w:rsidRPr="00D74294">
        <w:t xml:space="preserve"> en</w:t>
      </w:r>
      <w:r w:rsidR="00B965A0">
        <w:t xml:space="preserve"> caso de homicidio involuntario.</w:t>
      </w:r>
    </w:p>
    <w:p w:rsidR="00D74294" w:rsidRPr="00D74294" w:rsidRDefault="00D74294" w:rsidP="00D74294">
      <w:pPr>
        <w:pStyle w:val="Bullet1G"/>
      </w:pPr>
      <w:r w:rsidRPr="00D74294">
        <w:t xml:space="preserve">Ley núm. 3/2009, de Regulación de las Instituciones </w:t>
      </w:r>
      <w:r w:rsidR="00B965A0">
        <w:t>Penitenciarias y Correccionales.</w:t>
      </w:r>
    </w:p>
    <w:p w:rsidR="00D74294" w:rsidRPr="00D74294" w:rsidRDefault="00D74294" w:rsidP="00D74294">
      <w:pPr>
        <w:pStyle w:val="Bullet1G"/>
      </w:pPr>
      <w:r w:rsidRPr="00D74294">
        <w:t xml:space="preserve">Ley núm. 4/2009, de la Entrada, la Salida, la Residencia y la Tutela </w:t>
      </w:r>
      <w:r w:rsidRPr="007436A1">
        <w:rPr>
          <w:i/>
        </w:rPr>
        <w:t>(</w:t>
      </w:r>
      <w:proofErr w:type="spellStart"/>
      <w:r w:rsidRPr="007436A1">
        <w:rPr>
          <w:i/>
          <w:iCs/>
        </w:rPr>
        <w:t>kafala</w:t>
      </w:r>
      <w:proofErr w:type="spellEnd"/>
      <w:r w:rsidR="00B965A0" w:rsidRPr="007436A1">
        <w:rPr>
          <w:i/>
        </w:rPr>
        <w:t>)</w:t>
      </w:r>
      <w:r w:rsidR="00B965A0">
        <w:t xml:space="preserve"> de Extranjeros.</w:t>
      </w:r>
    </w:p>
    <w:p w:rsidR="00D74294" w:rsidRPr="00D74294" w:rsidRDefault="00D74294" w:rsidP="00D74294">
      <w:pPr>
        <w:pStyle w:val="Bullet1G"/>
      </w:pPr>
      <w:r w:rsidRPr="00D74294">
        <w:t xml:space="preserve">Ley núm. 8/2009, de </w:t>
      </w:r>
      <w:r w:rsidR="00B965A0">
        <w:t>Gestión de los Recursos Humanos.</w:t>
      </w:r>
    </w:p>
    <w:p w:rsidR="00D74294" w:rsidRPr="00D74294" w:rsidRDefault="00D74294" w:rsidP="00D74294">
      <w:pPr>
        <w:pStyle w:val="Bullet1G"/>
      </w:pPr>
      <w:r w:rsidRPr="00D74294">
        <w:t>Ley núm. 15/2011, de Lu</w:t>
      </w:r>
      <w:r w:rsidR="00B965A0">
        <w:t>cha contra la Trata de Personas.</w:t>
      </w:r>
    </w:p>
    <w:p w:rsidR="00D74294" w:rsidRPr="00D74294" w:rsidRDefault="00D74294" w:rsidP="00D74294">
      <w:pPr>
        <w:pStyle w:val="Bullet1G"/>
      </w:pPr>
      <w:r w:rsidRPr="00D74294">
        <w:t>Ley núm. 12/2013, por la que se modifica la Ley núm. 7/2007, de Resolución de Litig</w:t>
      </w:r>
      <w:r w:rsidR="00B965A0">
        <w:t>ios Contencioso-Administrativos.</w:t>
      </w:r>
    </w:p>
    <w:p w:rsidR="00D74294" w:rsidRPr="00D74294" w:rsidRDefault="00D74294" w:rsidP="00D74294">
      <w:pPr>
        <w:pStyle w:val="Bullet1G"/>
      </w:pPr>
      <w:r w:rsidRPr="00D74294">
        <w:t>Ley núm. 7/201</w:t>
      </w:r>
      <w:r w:rsidR="00B965A0">
        <w:t>3, del Seguro Sanitario Social.</w:t>
      </w:r>
    </w:p>
    <w:p w:rsidR="00D74294" w:rsidRPr="00D74294" w:rsidRDefault="00D74294" w:rsidP="00D74294">
      <w:pPr>
        <w:pStyle w:val="Bullet1G"/>
      </w:pPr>
      <w:r w:rsidRPr="00D74294">
        <w:t>Ley núm. 6/2013, del Fon</w:t>
      </w:r>
      <w:r w:rsidR="00B965A0">
        <w:t>do para la Salud y la Educación.</w:t>
      </w:r>
    </w:p>
    <w:p w:rsidR="00D74294" w:rsidRPr="00D74294" w:rsidRDefault="00D74294" w:rsidP="00D74294">
      <w:pPr>
        <w:pStyle w:val="Bullet1G"/>
      </w:pPr>
      <w:r w:rsidRPr="00D74294">
        <w:t>Decisión núm. 18/2014 del Ministro de Trabajo y Asuntos Sociales, que determina los parámetros y características de la vivienda adecuada para los trabajadores y que se ajusta a los requisitos internacionales en materia de al</w:t>
      </w:r>
      <w:r w:rsidR="00B965A0">
        <w:t>ojamiento para los trabajadores.</w:t>
      </w:r>
    </w:p>
    <w:p w:rsidR="00D74294" w:rsidRPr="00D74294" w:rsidRDefault="00D74294" w:rsidP="00D74294">
      <w:pPr>
        <w:pStyle w:val="Bullet1G"/>
      </w:pPr>
      <w:r w:rsidRPr="00D74294">
        <w:t>Ley núm. 14/2014, de Lu</w:t>
      </w:r>
      <w:r w:rsidR="00B965A0">
        <w:t>cha contra la Ciberdelincuencia.</w:t>
      </w:r>
    </w:p>
    <w:p w:rsidR="00D74294" w:rsidRPr="00D74294" w:rsidRDefault="00D74294" w:rsidP="00D74294">
      <w:pPr>
        <w:pStyle w:val="Bullet1G"/>
      </w:pPr>
      <w:r w:rsidRPr="00D74294">
        <w:t xml:space="preserve">Ley núm. 22/2015 por la que se reforman ciertas disposiciones del </w:t>
      </w:r>
      <w:r w:rsidR="00B965A0">
        <w:t>Código Penal (Ley núm. 11/2004).</w:t>
      </w:r>
    </w:p>
    <w:p w:rsidR="00D74294" w:rsidRPr="00D74294" w:rsidRDefault="00D74294" w:rsidP="00D74294">
      <w:pPr>
        <w:pStyle w:val="Bullet1G"/>
      </w:pPr>
      <w:r w:rsidRPr="00D74294">
        <w:t xml:space="preserve">Ley núm. 12/2015, que modifica el Decreto Ley núm. 17/2010, de la Comisión Nacional de Derechos Humanos, que concede a la Comisión Nacional de Derechos Humanos mayor independencia y proporcionar a la Comisión y a sus miembros una barrera de </w:t>
      </w:r>
      <w:r w:rsidR="00B965A0">
        <w:t>inmunidad y garantías jurídicas.</w:t>
      </w:r>
    </w:p>
    <w:p w:rsidR="00D74294" w:rsidRPr="00D74294" w:rsidRDefault="00D74294" w:rsidP="00D74294">
      <w:pPr>
        <w:pStyle w:val="Bullet1G"/>
      </w:pPr>
      <w:r w:rsidRPr="00D74294">
        <w:t>Decreto del Emir núm. 6/2015, que reorganiza la Autoridad de Control Administrativo y Transparencia con miras a lograr un mayor grado de integridad y transparencia en la administración pública y luchar contra la corrupción en tod</w:t>
      </w:r>
      <w:r w:rsidR="00B965A0">
        <w:t>as sus formas y manifestaciones.</w:t>
      </w:r>
    </w:p>
    <w:p w:rsidR="00D74294" w:rsidRPr="00D74294" w:rsidRDefault="00D74294" w:rsidP="00D74294">
      <w:pPr>
        <w:pStyle w:val="Bullet1G"/>
      </w:pPr>
      <w:r w:rsidRPr="00D74294">
        <w:t>Ley núm. 1/2015, por la que se modifican algunas disposiciones de la Ley del Trabajo (núm. 14/2004) rel</w:t>
      </w:r>
      <w:r w:rsidR="00B965A0">
        <w:t>ativas a la protección salarial.</w:t>
      </w:r>
    </w:p>
    <w:p w:rsidR="00D74294" w:rsidRPr="00D74294" w:rsidRDefault="00D74294" w:rsidP="00D74294">
      <w:pPr>
        <w:pStyle w:val="Bullet1G"/>
      </w:pPr>
      <w:r w:rsidRPr="00D74294">
        <w:t>El Consejo de Ministros, en reunión celebrada el 19 de octubre de 2016, aprobó una ley que modifica parte del articulado de la Ley del Trabajo (núm. 14/2004) para establecer una o varias comisiones responsables de dirimir las controversias generadas por esa L</w:t>
      </w:r>
      <w:r w:rsidR="00B965A0">
        <w:t>ey o por el contrato de trabajo.</w:t>
      </w:r>
    </w:p>
    <w:p w:rsidR="00D74294" w:rsidRPr="00D74294" w:rsidRDefault="00D74294" w:rsidP="00D74294">
      <w:pPr>
        <w:pStyle w:val="Bullet1G"/>
      </w:pPr>
      <w:r w:rsidRPr="00D74294">
        <w:t>Le</w:t>
      </w:r>
      <w:r w:rsidR="00B965A0">
        <w:t>y núm. 16/2016, de Salud Mental.</w:t>
      </w:r>
    </w:p>
    <w:p w:rsidR="00D74294" w:rsidRPr="00D74294" w:rsidRDefault="00D74294" w:rsidP="00D74294">
      <w:pPr>
        <w:pStyle w:val="Bullet1G"/>
      </w:pPr>
      <w:r w:rsidRPr="00D74294">
        <w:t>Ley núm. 13/2016, de Protección de la Privacidad de los Datos Personales</w:t>
      </w:r>
      <w:r w:rsidR="00B965A0">
        <w:t>.</w:t>
      </w:r>
    </w:p>
    <w:p w:rsidR="00D74294" w:rsidRPr="00D74294" w:rsidRDefault="00D74294" w:rsidP="00D74294">
      <w:pPr>
        <w:pStyle w:val="Bullet1G"/>
      </w:pPr>
      <w:r w:rsidRPr="00D74294">
        <w:t>Ley del Funcionariado Civil núm. 15/2016, que afirma el principio de igualdad y no discriminación entre los fun</w:t>
      </w:r>
      <w:r w:rsidR="00B965A0">
        <w:t>cionarios en derechos y deberes.</w:t>
      </w:r>
    </w:p>
    <w:p w:rsidR="00D74294" w:rsidRPr="00D74294" w:rsidRDefault="00D74294" w:rsidP="00D74294">
      <w:pPr>
        <w:pStyle w:val="Bullet1G"/>
      </w:pPr>
      <w:r w:rsidRPr="00D74294">
        <w:t>Ley núm. 15/20</w:t>
      </w:r>
      <w:r w:rsidR="00B965A0">
        <w:t>17, de los Empleados Domésticos.</w:t>
      </w:r>
    </w:p>
    <w:p w:rsidR="00D74294" w:rsidRPr="00D74294" w:rsidRDefault="00D74294" w:rsidP="00D74294">
      <w:pPr>
        <w:pStyle w:val="Bullet1G"/>
      </w:pPr>
      <w:r w:rsidRPr="00D74294">
        <w:t>Ley núm. 1/2017, que modifica ciertas disposiciones de la Ley de la Entrada y la Salida de los Extranjeros (núm. 21/2015) relativas a la libertad para aba</w:t>
      </w:r>
      <w:r w:rsidR="00B965A0">
        <w:t>ndonar el territorio del Estado.</w:t>
      </w:r>
    </w:p>
    <w:p w:rsidR="00D74294" w:rsidRPr="00D74294" w:rsidRDefault="00D74294" w:rsidP="00D74294">
      <w:pPr>
        <w:pStyle w:val="Bullet1G"/>
      </w:pPr>
      <w:r w:rsidRPr="00D74294">
        <w:t>Ley n</w:t>
      </w:r>
      <w:r w:rsidR="00B965A0">
        <w:t>úm. 11/2018, del Asilo Político.</w:t>
      </w:r>
    </w:p>
    <w:p w:rsidR="00D74294" w:rsidRPr="00D74294" w:rsidRDefault="00D74294" w:rsidP="00D74294">
      <w:pPr>
        <w:pStyle w:val="Bullet1G"/>
      </w:pPr>
      <w:r w:rsidRPr="00D74294">
        <w:t>Ley núm. 10/2018, de la T</w:t>
      </w:r>
      <w:r w:rsidR="00B965A0">
        <w:t>arjeta de Residencia Permanente.</w:t>
      </w:r>
    </w:p>
    <w:p w:rsidR="00D74294" w:rsidRPr="00D74294" w:rsidRDefault="00D74294" w:rsidP="00D74294">
      <w:pPr>
        <w:pStyle w:val="Bullet1G"/>
      </w:pPr>
      <w:r w:rsidRPr="00D74294">
        <w:t>Ley núm. 17/2018 relativa al establecimiento del Fondo de Seguros y Apoyo</w:t>
      </w:r>
      <w:r w:rsidR="00B965A0">
        <w:t xml:space="preserve"> a los Trabajadores Extranjeros.</w:t>
      </w:r>
    </w:p>
    <w:p w:rsidR="00D74294" w:rsidRPr="00D74294" w:rsidRDefault="00D74294" w:rsidP="00D74294">
      <w:pPr>
        <w:pStyle w:val="Bullet1G"/>
      </w:pPr>
      <w:r w:rsidRPr="00D74294">
        <w:t>Ley núm. 13/2018, que modifica el artículo 7 de la Ley</w:t>
      </w:r>
      <w:r w:rsidR="001710EA">
        <w:t xml:space="preserve"> núm.</w:t>
      </w:r>
      <w:r w:rsidRPr="00D74294">
        <w:t xml:space="preserve"> 21/2015, de la Entrada y la Salida de los Extranjeros, por la que se suprime el requisito del permiso de salida para los trabajadores migratorios.</w:t>
      </w:r>
    </w:p>
    <w:p w:rsidR="00D74294" w:rsidRPr="00D74294" w:rsidRDefault="00D74294" w:rsidP="009C6705">
      <w:pPr>
        <w:pStyle w:val="H23G"/>
      </w:pPr>
      <w:r>
        <w:tab/>
      </w:r>
      <w:r w:rsidRPr="00D74294">
        <w:tab/>
        <w:t>Mecanismos institucionales para la promoción de los derechos humanos</w:t>
      </w:r>
      <w:bookmarkEnd w:id="36"/>
    </w:p>
    <w:p w:rsidR="00D74294" w:rsidRPr="00D74294" w:rsidRDefault="00D74294" w:rsidP="00D74294">
      <w:pPr>
        <w:pStyle w:val="SingleTxtG"/>
      </w:pPr>
      <w:r w:rsidRPr="00D74294">
        <w:t>57.</w:t>
      </w:r>
      <w:r w:rsidRPr="00D74294">
        <w:tab/>
        <w:t>El interés del Estado de Qatar por los derechos humanos se ha traducido en la creación, tanto a nivel gubernamental como no gubernamental, de numerosas instituciones para la protección de los derechos humanos, entendidos estos como complementarios, interdependientes e indivisibles. Entre estas instituciones cabe destacar las que exponemos a continuación.</w:t>
      </w:r>
      <w:bookmarkStart w:id="38" w:name="_Toc281916936"/>
      <w:bookmarkStart w:id="39" w:name="_Toc282337900"/>
    </w:p>
    <w:p w:rsidR="00D74294" w:rsidRPr="00D74294" w:rsidRDefault="00D74294" w:rsidP="008D794A">
      <w:pPr>
        <w:pStyle w:val="H23G"/>
      </w:pPr>
      <w:r>
        <w:tab/>
      </w:r>
      <w:r w:rsidRPr="00D74294">
        <w:tab/>
        <w:t>Mecanismos independientes</w:t>
      </w:r>
      <w:bookmarkEnd w:id="38"/>
      <w:bookmarkEnd w:id="39"/>
    </w:p>
    <w:p w:rsidR="00D74294" w:rsidRPr="00D74294" w:rsidRDefault="00D74294" w:rsidP="008D794A">
      <w:pPr>
        <w:pStyle w:val="H4G"/>
      </w:pPr>
      <w:r>
        <w:tab/>
      </w:r>
      <w:r w:rsidRPr="00D74294">
        <w:tab/>
        <w:t>Comisión Nacional de Derechos Humanos</w:t>
      </w:r>
    </w:p>
    <w:p w:rsidR="00D74294" w:rsidRPr="00D74294" w:rsidRDefault="00D74294" w:rsidP="008D794A">
      <w:pPr>
        <w:pStyle w:val="SingleTxtG"/>
        <w:keepNext/>
        <w:keepLines/>
      </w:pPr>
      <w:r w:rsidRPr="00D74294">
        <w:t>58.</w:t>
      </w:r>
      <w:r w:rsidRPr="00D74294">
        <w:tab/>
        <w:t>La Comisión Nacional de Derechos Humanos (CNDH) se creó en virtud del Decreto del Emir núm. 38/2002 como organismo nacional independiente para la promoción y la protección de los derechos humanos. El 19 de agosto de 2010 se promulgó el Decreto Ley núm. 17/2010 por el que se regula esta Comisión. Con él se pretendía incrementar las garantías y competencias de la CNDH en consonancia con los Principios de París, que regulan las instituciones de derechos humanos en todo el mundo. En 2010, la Comisión Nacional de Derechos Humanos recibió por primera vez una acreditación con la categoría A por parte del Comité Internacional de Coordinación de las Instituciones Nacionales para la Promoción y la Protección de los Derechos Humano</w:t>
      </w:r>
      <w:r w:rsidR="001710EA">
        <w:t>s (</w:t>
      </w:r>
      <w:proofErr w:type="spellStart"/>
      <w:r w:rsidR="001710EA">
        <w:t>CIC</w:t>
      </w:r>
      <w:proofErr w:type="spellEnd"/>
      <w:r w:rsidR="001710EA">
        <w:t>) con sede en Ginebra. En </w:t>
      </w:r>
      <w:r w:rsidRPr="00D74294">
        <w:t>2015 le fue otorgada de nuevo dicha acreditación. La CNDH trabaja para la consecución de los siguientes fines:</w:t>
      </w:r>
    </w:p>
    <w:p w:rsidR="00D74294" w:rsidRPr="00D74294" w:rsidRDefault="00D74294" w:rsidP="00D74294">
      <w:pPr>
        <w:pStyle w:val="Bullet1G"/>
      </w:pPr>
      <w:r w:rsidRPr="00D74294">
        <w:t>Proponer los medios necesarios para promover y supervisar la consecución de los fines consagrados en los convenios e instrumentos internacionales relativos a los derechos humanos en los que el Estado de Qatar sea parte, así como aconsejar la adhesión del Estado de Qatar a otros convenios e instrumentos.</w:t>
      </w:r>
    </w:p>
    <w:p w:rsidR="00D74294" w:rsidRPr="00D74294" w:rsidRDefault="00D74294" w:rsidP="00D74294">
      <w:pPr>
        <w:pStyle w:val="Bullet1G"/>
      </w:pPr>
      <w:r w:rsidRPr="00D74294">
        <w:t>Asesorar a las instancias oportunas en los asuntos relativos a los derechos humanos.</w:t>
      </w:r>
    </w:p>
    <w:p w:rsidR="00D74294" w:rsidRPr="00D74294" w:rsidRDefault="00D74294" w:rsidP="00D74294">
      <w:pPr>
        <w:pStyle w:val="Bullet1G"/>
      </w:pPr>
      <w:r w:rsidRPr="00D74294">
        <w:t>Examinar cualesquiera vulneraciones o violaciones de los derechos humanos y trabajar para hacer justicia en relación con las quejas y denuncias pertinentes recibidas por la CNDH, así como establecer vías de coordinación con las instancias competentes para que se adopten las resoluciones necesarias y proponer los medios para garantizar que se resuelven tales vulneraciones y que se impide su futura ocurrencia.</w:t>
      </w:r>
    </w:p>
    <w:p w:rsidR="00D74294" w:rsidRPr="00D74294" w:rsidRDefault="00D74294" w:rsidP="00D74294">
      <w:pPr>
        <w:pStyle w:val="Bullet1G"/>
      </w:pPr>
      <w:r w:rsidRPr="00D74294">
        <w:t>Trasladar a las instancias competentes las propuestas necesarias en relación con la legislación en vigor y los proyectos de nuevas leyes, así como en relación con el grado de adecuación de los mismos a las convenciones internacionales de derechos humanos en las que Qatar es Estado parte.</w:t>
      </w:r>
    </w:p>
    <w:p w:rsidR="00D74294" w:rsidRPr="00D74294" w:rsidRDefault="00D74294" w:rsidP="00D74294">
      <w:pPr>
        <w:pStyle w:val="Bullet1G"/>
      </w:pPr>
      <w:r w:rsidRPr="00D74294">
        <w:t>Vigilar la situación de los derechos humanos en el Estado de Qatar, elaborar los informes relativos a la misma y elevarlos al Consejo de Ministros acompañados de su parecer.</w:t>
      </w:r>
    </w:p>
    <w:p w:rsidR="00D74294" w:rsidRPr="00D74294" w:rsidRDefault="00D74294" w:rsidP="00D74294">
      <w:pPr>
        <w:pStyle w:val="Bullet1G"/>
      </w:pPr>
      <w:r w:rsidRPr="00D74294">
        <w:t>Vigilar los problemas que pudieran sobrevenir en el Estado de Qatar en relación con los derechos humanos y coordinarse con las instancias competentes para responder a ellos.</w:t>
      </w:r>
    </w:p>
    <w:p w:rsidR="00D74294" w:rsidRPr="00D74294" w:rsidRDefault="00D74294" w:rsidP="00D74294">
      <w:pPr>
        <w:pStyle w:val="Bullet1G"/>
      </w:pPr>
      <w:r w:rsidRPr="00D74294">
        <w:t xml:space="preserve">Participar en la elaboración de los informes nacionales que el Estado de Qatar debe presentar a los organismos y a las instancias internacionales competentes en materia de derechos humanos en relación con las convenciones en las que Qatar es Estado parte. </w:t>
      </w:r>
    </w:p>
    <w:p w:rsidR="00D74294" w:rsidRPr="00D74294" w:rsidRDefault="00D74294" w:rsidP="00D74294">
      <w:pPr>
        <w:pStyle w:val="Bullet1G"/>
      </w:pPr>
      <w:r w:rsidRPr="00D74294">
        <w:t>Colaborar con las organizaciones internacionales, regionales y nacionales competentes en materia de derechos y libertades del ser humano, así como participar en los encuentros internacionales relacionados con dichos derechos y libertades.</w:t>
      </w:r>
    </w:p>
    <w:p w:rsidR="00D74294" w:rsidRPr="00D74294" w:rsidRDefault="00D74294" w:rsidP="00D74294">
      <w:pPr>
        <w:pStyle w:val="Bullet1G"/>
      </w:pPr>
      <w:r w:rsidRPr="00D74294">
        <w:t>Concienciar y educar sobre los derechos y las libertades del ser humano, así como consolidar los principios que subyacen a tales derechos y libertades tanto a nivel teórico como práctico.</w:t>
      </w:r>
    </w:p>
    <w:p w:rsidR="00D74294" w:rsidRPr="00D74294" w:rsidRDefault="00D74294" w:rsidP="00D74294">
      <w:pPr>
        <w:pStyle w:val="Bullet1G"/>
      </w:pPr>
      <w:r w:rsidRPr="00D74294">
        <w:t>Realizar visitas de campo a las instituciones penitenciarias y correccionales, a los centros de detención y de reunión, y los centros médicos y educativos, así como vigilar la situación de los derechos humanos en tales lugares. Las visitas de campo serán realizadas por el Presidente y los miembros de la CNDH.</w:t>
      </w:r>
    </w:p>
    <w:p w:rsidR="00D74294" w:rsidRPr="00D74294" w:rsidRDefault="00D74294" w:rsidP="00D74294">
      <w:pPr>
        <w:pStyle w:val="Bullet1G"/>
      </w:pPr>
      <w:r w:rsidRPr="00D74294">
        <w:t>Coordinarse y colaborar con las instancias qataríes competentes en materia de derechos humanos en relación con las competencias y las responsabilidades delegadas en las mismas.</w:t>
      </w:r>
    </w:p>
    <w:p w:rsidR="00D74294" w:rsidRPr="00D74294" w:rsidRDefault="00D74294" w:rsidP="00D74294">
      <w:pPr>
        <w:pStyle w:val="Bullet1G"/>
      </w:pPr>
      <w:r w:rsidRPr="00D74294">
        <w:t>Realizar y organizar conferencias, seminarios, cursos y mesas redondas sobre temas relacionados con los derechos y las libertades del ser humano, así como, en su caso, coordinarse con las autoridades competentes para tales fines.</w:t>
      </w:r>
    </w:p>
    <w:p w:rsidR="00D74294" w:rsidRPr="00D74294" w:rsidRDefault="00D74294" w:rsidP="00D74294">
      <w:pPr>
        <w:pStyle w:val="Bullet1G"/>
      </w:pPr>
      <w:r w:rsidRPr="00D74294">
        <w:t xml:space="preserve">Contribuir a la formulación de programas educativos y de investigación relacionados con los derechos humanos y participar en su ejecución. </w:t>
      </w:r>
    </w:p>
    <w:p w:rsidR="00D74294" w:rsidRPr="00D74294" w:rsidRDefault="00D74294" w:rsidP="00D74294">
      <w:pPr>
        <w:pStyle w:val="SingleTxtG"/>
      </w:pPr>
      <w:r w:rsidRPr="00D74294">
        <w:t>59.</w:t>
      </w:r>
      <w:r w:rsidRPr="00D74294">
        <w:tab/>
        <w:t xml:space="preserve">El artículo 16 del Decreto Ley núm. 17/2010 establece que </w:t>
      </w:r>
      <w:r w:rsidR="007C4727">
        <w:t>“</w:t>
      </w:r>
      <w:r w:rsidRPr="00D74294">
        <w:t>los diferentes Ministerios, organismos gubernamentales, entidades y organismos públicos deberán colaborar con la CNDH en el desempeño de sus funciones y atribuciones, así como proporcionarle la información y los datos necesarios para tales fines. La CNDH podrá invitar a un representante de cualquiera de dichas instancias y organismos a asistir, sin derecho a voto, a sus reuniones</w:t>
      </w:r>
      <w:r w:rsidR="007C4727">
        <w:t>”</w:t>
      </w:r>
      <w:r w:rsidRPr="00D74294">
        <w:t>.</w:t>
      </w:r>
    </w:p>
    <w:p w:rsidR="00D74294" w:rsidRPr="00D74294" w:rsidRDefault="00D74294" w:rsidP="00D74294">
      <w:pPr>
        <w:pStyle w:val="SingleTxtG"/>
      </w:pPr>
      <w:r w:rsidRPr="00D74294">
        <w:t>60.</w:t>
      </w:r>
      <w:r w:rsidRPr="00D74294">
        <w:tab/>
        <w:t>La CNDH presenta informes periódicos anuales al Consejo de Ministros en los que estudia la legislación y la situación de los derechos humanos y expone sus actividades y recomendaciones. En aras de la transparencia y con el fin de potenciar la concienciación ciudadana sobre los derechos humanos, la CNDH publica su informe anual en su sitio web (</w:t>
      </w:r>
      <w:proofErr w:type="spellStart"/>
      <w:r w:rsidRPr="00D74294">
        <w:t>www.nhrc-qa.org</w:t>
      </w:r>
      <w:proofErr w:type="spellEnd"/>
      <w:r w:rsidRPr="00D74294">
        <w:t>).</w:t>
      </w:r>
    </w:p>
    <w:p w:rsidR="00D74294" w:rsidRPr="00D74294" w:rsidRDefault="00D74294" w:rsidP="00D74294">
      <w:pPr>
        <w:pStyle w:val="SingleTxtG"/>
      </w:pPr>
      <w:r w:rsidRPr="00D74294">
        <w:t>61.</w:t>
      </w:r>
      <w:r w:rsidRPr="00D74294">
        <w:tab/>
        <w:t>La CNDH ha recibido quejas sobre vulneraciones de los derechos humanos en general y, en particular, de los derechos de la mujer, y ha abordado la mayoría de ellas. La CNDH estudia la legislación nacional y su grado de adecuación a los tratados y convenios internacionales. Asimismo, alienta al Estado a ratificar, o adherirse a, los convenios internacionales regionales relativos a los derechos de la mujer y contribuye a la elaboración de los informes que el Estado de Qatar debe presentar a los órganos y comités de las Naciones Unidas y a las instituciones regionales relacionados con los derechos de la mujer. La CNDH adoptará todas las medidas legales necesarias para proteger a las mujeres y prestarles asistencia jurídica en los límites competenciales del Comité Jurídico, así como actuará como instancia mediadora o conciliadora entre las partes para alcanzar soluciones amistosas en materia de derechos de la mujer antes o después de recurrir a la efectiva tutela judicial.</w:t>
      </w:r>
    </w:p>
    <w:p w:rsidR="00D74294" w:rsidRPr="00D74294" w:rsidRDefault="00D74294" w:rsidP="00D74294">
      <w:pPr>
        <w:pStyle w:val="SingleTxtG"/>
      </w:pPr>
      <w:r w:rsidRPr="00D74294">
        <w:t>62.</w:t>
      </w:r>
      <w:r w:rsidRPr="00D74294">
        <w:tab/>
        <w:t>La CNDH colabora estrechamente con las organizaciones internacionales, en especial con el Alto Comisionado de las Naciones Unidas para los Derechos Humanos.</w:t>
      </w:r>
      <w:bookmarkStart w:id="40" w:name="_Toc281916937"/>
      <w:bookmarkStart w:id="41" w:name="_Toc282337901"/>
    </w:p>
    <w:p w:rsidR="00D74294" w:rsidRPr="00D74294" w:rsidRDefault="00D74294" w:rsidP="009C6705">
      <w:pPr>
        <w:pStyle w:val="H4G"/>
      </w:pPr>
      <w:r>
        <w:tab/>
      </w:r>
      <w:r w:rsidRPr="00D74294">
        <w:tab/>
        <w:t>Fundación de Qatar para la Acción Social</w:t>
      </w:r>
    </w:p>
    <w:p w:rsidR="00D74294" w:rsidRPr="00D74294" w:rsidRDefault="00D74294" w:rsidP="00D74294">
      <w:pPr>
        <w:pStyle w:val="SingleTxtG"/>
      </w:pPr>
      <w:r w:rsidRPr="00D74294">
        <w:t>63.</w:t>
      </w:r>
      <w:r w:rsidRPr="00D74294">
        <w:tab/>
        <w:t>La Fundación de Qatar para la Acción Social, creada en 2013, es una institución de alto nivel cuyo directorio ejecutivo supervisa y vigila la labor de los organismos responsables de la labor social en el Estado. La organización formula y elabora planes, programas, políticas y estrategias orientadas hacia el logro de los objetivos de las instituciones de la sociedad civil y el seguimiento de su aplicación, en cooperación y coordinación con ministerios y organismos gubernamentales y con entidades públicas y privadas, tanto en el país como en el extranjero. Incluye lo</w:t>
      </w:r>
      <w:r w:rsidR="001710EA">
        <w:t>s siguientes componentes: 1) el </w:t>
      </w:r>
      <w:r w:rsidRPr="00D74294">
        <w:t xml:space="preserve">Centro de Protección y Rehabilitación Social (Centro Aman), cuyo objetivo es proteger a los niños y las mujeres contra la violencia familiar; 2) el Centro de Información Familiar (Centro </w:t>
      </w:r>
      <w:proofErr w:type="spellStart"/>
      <w:r w:rsidRPr="00D74294">
        <w:t>Wifaq</w:t>
      </w:r>
      <w:proofErr w:type="spellEnd"/>
      <w:r w:rsidRPr="00D74294">
        <w:t xml:space="preserve">); 3) el Centro para el Cuidado de Huérfanos; 4) el Centro de Empoderamiento y Bienestar de las Personas de Edad; 5) el Centro </w:t>
      </w:r>
      <w:proofErr w:type="spellStart"/>
      <w:r w:rsidRPr="00D74294">
        <w:t>Shafallah</w:t>
      </w:r>
      <w:proofErr w:type="spellEnd"/>
      <w:r w:rsidRPr="00D74294">
        <w:t xml:space="preserve"> para las Personas con Necesidades Especiales; 6) el Centro de Desarrollo Social; y 7) la iniciativa </w:t>
      </w:r>
      <w:proofErr w:type="spellStart"/>
      <w:r w:rsidRPr="001710EA">
        <w:rPr>
          <w:iCs/>
        </w:rPr>
        <w:t>Best</w:t>
      </w:r>
      <w:proofErr w:type="spellEnd"/>
      <w:r w:rsidRPr="001710EA">
        <w:rPr>
          <w:iCs/>
        </w:rPr>
        <w:t xml:space="preserve"> </w:t>
      </w:r>
      <w:proofErr w:type="spellStart"/>
      <w:r w:rsidRPr="001710EA">
        <w:rPr>
          <w:iCs/>
        </w:rPr>
        <w:t>Buddies</w:t>
      </w:r>
      <w:proofErr w:type="spellEnd"/>
      <w:r w:rsidRPr="00D74294">
        <w:t>. Los ámbitos de trabajo de la Fundación se centran en la promoción del concepto de voluntariado y de desarrollo para recalcar el derecho de todas las personas con discapacidad a la integración y la inclusión social, a la cohesión familiar y al desarrollo. También se centran en abordar los problemas relacionados con la violencia doméstica; en el empoderamiento de la mujer y de los jóvenes; y en el empoderamiento de las personas de edad, eliminando las ideas que las reducen a personas dignas de compasión o las convierten en una carga para la sociedad. Asimismo, la Fundación garantiza la rehabilitación e integración de las personas en la sociedad y facilita programas de protección y prevención en cooperación con las instituciones del Estado. En el marco de este cometido, la Fundación de Qatar para la Acción Social y los centros afiliados han contribuido a la elaboración de 8 estrategias sectoriales como parte de la segunda estrategia nacional de desarrollo (2017-2022). También supervisó la preparación de los planes de programas y proyectos en los centros afiliados. Estos centros cuentan con unos 55 proyectos institucionales y de desarrollo que cubren sus distintas áreas de trabajo; buscan alcanzar sus objetivos estratégicos; prestan servicios a los grupos y los sectores meta; abordan cuestiones de importancia crítica en las áreas de la discapacidad, la orientación familiar, la lucha contra la violencia, el empoderamiento y el cuidado de las personas de edad y los huérfanos, entre otras. La organización firmó memorandos de entendimiento con la Liga de los Estados Árabes para el apoyo a la cooperación técnica en la realización de los objetivos del Decenio Árabe para las Organizaciones de la Sociedad Civil, y con el Fondo de Población de las Naciones Unidas (</w:t>
      </w:r>
      <w:proofErr w:type="spellStart"/>
      <w:r w:rsidRPr="00D74294">
        <w:t>UNFPA</w:t>
      </w:r>
      <w:proofErr w:type="spellEnd"/>
      <w:r w:rsidRPr="00D74294">
        <w:t>) para fortalecer la cooperación conjunta. Además, a nivel regional, celebró memorandos de entendimiento con varios órganos y organismos gubernamentales y organizaciones de la sociedad civil.</w:t>
      </w:r>
    </w:p>
    <w:p w:rsidR="00D74294" w:rsidRPr="00D74294" w:rsidRDefault="00D74294" w:rsidP="009C6705">
      <w:pPr>
        <w:pStyle w:val="H23G"/>
      </w:pPr>
      <w:r>
        <w:tab/>
      </w:r>
      <w:r w:rsidRPr="00D74294">
        <w:tab/>
        <w:t>Mecanismos gubernamentales</w:t>
      </w:r>
      <w:bookmarkStart w:id="42" w:name="_Toc281916938"/>
      <w:bookmarkStart w:id="43" w:name="_Toc282337902"/>
      <w:bookmarkEnd w:id="40"/>
      <w:bookmarkEnd w:id="41"/>
    </w:p>
    <w:p w:rsidR="00D74294" w:rsidRPr="00D74294" w:rsidRDefault="00D74294" w:rsidP="00DD5CDA">
      <w:pPr>
        <w:pStyle w:val="H23G"/>
      </w:pPr>
      <w:r>
        <w:rPr>
          <w:bCs/>
        </w:rPr>
        <w:tab/>
      </w:r>
      <w:r w:rsidRPr="00D74294">
        <w:rPr>
          <w:bCs/>
        </w:rPr>
        <w:tab/>
      </w:r>
      <w:r w:rsidRPr="00D74294">
        <w:t>Direcciones ministeriales competentes</w:t>
      </w:r>
      <w:bookmarkEnd w:id="42"/>
      <w:bookmarkEnd w:id="43"/>
    </w:p>
    <w:p w:rsidR="00D74294" w:rsidRPr="00D74294" w:rsidRDefault="00D74294" w:rsidP="00D74294">
      <w:pPr>
        <w:pStyle w:val="SingleTxtG"/>
      </w:pPr>
      <w:r w:rsidRPr="00D74294">
        <w:t>64.</w:t>
      </w:r>
      <w:r w:rsidRPr="00D74294">
        <w:tab/>
        <w:t>Entre las direcciones creadas en el seno de las estructuras ministeriales y de los organismos gubernamentales cabe destacar la Dirección de Derechos Humanos del Ministerio del Interior.</w:t>
      </w:r>
    </w:p>
    <w:p w:rsidR="00D74294" w:rsidRPr="00D74294" w:rsidRDefault="00D74294" w:rsidP="009C6705">
      <w:pPr>
        <w:pStyle w:val="H4G"/>
      </w:pPr>
      <w:r>
        <w:tab/>
      </w:r>
      <w:r w:rsidRPr="00D74294">
        <w:tab/>
        <w:t>Dirección de Derechos Humanos del Minister</w:t>
      </w:r>
      <w:r w:rsidR="00B965A0">
        <w:t>io del Interior</w:t>
      </w:r>
    </w:p>
    <w:p w:rsidR="00D74294" w:rsidRPr="00D74294" w:rsidRDefault="00D74294" w:rsidP="00D74294">
      <w:pPr>
        <w:pStyle w:val="SingleTxtG"/>
      </w:pPr>
      <w:r w:rsidRPr="00D74294">
        <w:t>65.</w:t>
      </w:r>
      <w:r w:rsidRPr="00D74294">
        <w:tab/>
        <w:t xml:space="preserve">La Dirección de Derechos Humanos del Ministerio del Interior se creó en virtud de la </w:t>
      </w:r>
      <w:r w:rsidR="0089004A" w:rsidRPr="00D74294">
        <w:t xml:space="preserve">Resolución </w:t>
      </w:r>
      <w:r w:rsidRPr="00D74294">
        <w:t>del Ministro del Interior núm. 26/2005. Con ello se venía a aplicar la Constitución Permanente del Estado de Qatar, que vela por las libertades y los derechos, y se reflejaba el empeño del Ministerio del Interior en promover los derechos humanos en todos los ámbitos de su competencia. Este organismo pretende constituirse en la principal vía de comunicación entre la CNDH y el Ministerio del Interior, por una parte, y los miembros de la comunidad y el Ministerio citado, por otro.</w:t>
      </w:r>
    </w:p>
    <w:p w:rsidR="00D74294" w:rsidRPr="00D74294" w:rsidRDefault="00D74294" w:rsidP="00D74294">
      <w:pPr>
        <w:pStyle w:val="SingleTxtG"/>
      </w:pPr>
      <w:r w:rsidRPr="00D74294">
        <w:t>66.</w:t>
      </w:r>
      <w:r w:rsidRPr="00D74294">
        <w:tab/>
        <w:t>Entre las competencias de la Dirección de Derechos Humanos del Ministerio del Interior se cuenta trabajar para lograr los objetivos previstos en los convenios internacionales sobre derechos humanos en el ámbito de competencias del Ministerio del Interior y en colaboración con las instancias pertinentes del citado Ministerio. Asimismo es responsable de: estudiar e investigar las quejas presentadas ante el Ministerio del Interior por personas particulares o a través de la CNDH, investigar sus causas y elevar las correspondientes recomendaciones; y visitar las instituciones penitenciarias y de deportación, así como las direcciones de seguridad, para determinar su grado de compromiso con los textos legislativos y reglamentarios en vigor en el Estado de Qatar y para cerciorarse de que no se producen vulneraciones de los derechos humanos. También es responsable de elevar informes periódicos al Ministro, y de concienciar a los diferentes órganos del citado Ministerio competentes en materia de derechos humanos mediante la edición de folletos y publicaciones y la organización de congresos y conferencias. Es asimismo responsable de representar al Ministerio en los congresos y los simposios internacionales, regionales y locales relacionados con los</w:t>
      </w:r>
      <w:r w:rsidR="00061E5A">
        <w:t xml:space="preserve"> derechos humanos. En agosto </w:t>
      </w:r>
      <w:proofErr w:type="gramStart"/>
      <w:r w:rsidR="00061E5A">
        <w:t>de  </w:t>
      </w:r>
      <w:r w:rsidRPr="00D74294">
        <w:t>2010</w:t>
      </w:r>
      <w:proofErr w:type="gramEnd"/>
      <w:r w:rsidRPr="00D74294">
        <w:t>, la Dirección de Derechos Humanos del Ministerio del Interior recibió la certificación ISO 2008-2009, con distinción, por haber cumplido todos los requisitos y todas las normas exigidos para ello por la instancia supervisora.</w:t>
      </w:r>
    </w:p>
    <w:p w:rsidR="00D74294" w:rsidRPr="00D74294" w:rsidRDefault="00D74294" w:rsidP="009C6705">
      <w:pPr>
        <w:pStyle w:val="H4G"/>
      </w:pPr>
      <w:r>
        <w:tab/>
      </w:r>
      <w:r w:rsidRPr="00D74294">
        <w:tab/>
        <w:t>Oficina de Derechos Humanos del Mini</w:t>
      </w:r>
      <w:r w:rsidR="00B965A0">
        <w:t>sterio de Relaciones Exteriores</w:t>
      </w:r>
    </w:p>
    <w:p w:rsidR="00D74294" w:rsidRPr="00D74294" w:rsidRDefault="00D74294" w:rsidP="00D74294">
      <w:pPr>
        <w:pStyle w:val="SingleTxtG"/>
      </w:pPr>
      <w:r w:rsidRPr="00D74294">
        <w:t>67.</w:t>
      </w:r>
      <w:r w:rsidRPr="00D74294">
        <w:tab/>
        <w:t xml:space="preserve">La Oficina de Derechos Humanos del Ministerio de Relaciones Exteriores fue creada en virtud de la </w:t>
      </w:r>
      <w:r w:rsidR="0089004A" w:rsidRPr="00D74294">
        <w:t xml:space="preserve">Resolución </w:t>
      </w:r>
      <w:r w:rsidRPr="00D74294">
        <w:t xml:space="preserve">del Ministro de Relaciones Exteriores núm. 16/2003. Es responsable de opinar y asesorar sobre las cuestiones y los asuntos relativos a los derechos humanos de los que se le dé traslado, así como de expresar su opinión sobre los proyectos de convenciones internacionales sobre derechos humanos en los que el Estado de Qatar desee ser parte, y ello en coordinación con el Departamento Jurídico del Ministerio y con las autoridades competentes del Estado. Asimismo, participará en la elaboración de los informes sobre derechos humanos elaborados por el Estado de Qatar en aplicación de convenios internacionales, así como los presentará a los órganos internacionales de supervisión competentes en coordinación con el Departamento Jurídico del Ministerio. También elaborará las respuestas adecuadas a los informes de organizaciones internacionales y de </w:t>
      </w:r>
      <w:r w:rsidR="00403650">
        <w:t>organizaciones no gubernamentales (ONG)</w:t>
      </w:r>
      <w:r w:rsidRPr="00D74294">
        <w:t xml:space="preserve"> sobre la situación de los derechos humanos en el Estado de Qatar en coordinación con las instancias competentes y las remitirá a dichas organizaciones; elaborará las respuestas a los informes de </w:t>
      </w:r>
      <w:r w:rsidR="0089004A" w:rsidRPr="00D74294">
        <w:t xml:space="preserve">Gobiernos </w:t>
      </w:r>
      <w:r w:rsidRPr="00D74294">
        <w:t xml:space="preserve">extranjeros relativos a situación de los derechos humanos en el Estado de Qatar en coordinación con las instancias competentes y los transmitirá a dichos </w:t>
      </w:r>
      <w:r w:rsidR="008D0DD7" w:rsidRPr="00D74294">
        <w:t>Gobiernos</w:t>
      </w:r>
      <w:r w:rsidRPr="00D74294">
        <w:t>, así como informará a las misiones diplomáticas y consulares del Estado en el extranjero sobre las novedades en materia de derechos humanos en el Estado de Qatar. De igual modo será responsable de hacer un seguimiento de las cuestiones relativas a los derechos humanos a nivel local e internacional, así como de las reuniones y las actividades realizadas por las organizaciones regionales e internacionales en el ámbito de los derechos humanos, y de establecer medios de coordinación que permitan involucrar a las diferentes instancias, ministeriales o de cualquier otra índole, en dichas actividades. Por otra parte, remitirá las quejas recibidas desde el extranjero en relación con violaciones de los derechos humanos a las instancias competentes y hará un seguimiento de las mismas; elaborará los planes y las propuestas necesarios para aprovechar los servicios de asesoramiento y asistencia técnica que brindan las organizaciones internacionales en materia de derechos humanos y representará al Ministerio ante los organismos de derechos humanos creados por el Estado de Qatar.</w:t>
      </w:r>
    </w:p>
    <w:p w:rsidR="00D74294" w:rsidRPr="00D74294" w:rsidRDefault="0089004A" w:rsidP="00D74294">
      <w:pPr>
        <w:pStyle w:val="SingleTxtG"/>
      </w:pPr>
      <w:r>
        <w:t>68.</w:t>
      </w:r>
      <w:r>
        <w:tab/>
        <w:t>Su Excelencia el Vicep</w:t>
      </w:r>
      <w:r w:rsidR="00D74294" w:rsidRPr="00D74294">
        <w:t>rimer Ministro y Ministro de Relaciones Exteriores emitió la Decisión núm. 44/2017, por la que, en 2018, se establecieron en la Oficina las siguientes divisiones dependientes:</w:t>
      </w:r>
    </w:p>
    <w:p w:rsidR="00D74294" w:rsidRPr="00D74294" w:rsidRDefault="00D74294" w:rsidP="00D74294">
      <w:pPr>
        <w:pStyle w:val="Bullet1G"/>
        <w:rPr>
          <w:b/>
          <w:bCs/>
        </w:rPr>
      </w:pPr>
      <w:r w:rsidRPr="00D74294">
        <w:rPr>
          <w:b/>
          <w:bCs/>
        </w:rPr>
        <w:t>La División de Asuntos Regionales para los Derechos Humanos</w:t>
      </w:r>
      <w:r w:rsidRPr="00D74294">
        <w:t xml:space="preserve">, que se ocupa principalmente del seguimiento de las cuestiones de derechos humanos en el marco del Consejo de Cooperación del Golfo, la Liga de los Estados Árabes y la Organización de Cooperación Islámica. También estudia las convenciones regionales sobre derechos humanos. </w:t>
      </w:r>
    </w:p>
    <w:p w:rsidR="00D74294" w:rsidRPr="00D74294" w:rsidRDefault="00D74294" w:rsidP="00D74294">
      <w:pPr>
        <w:pStyle w:val="Bullet1G"/>
      </w:pPr>
      <w:r w:rsidRPr="00D74294">
        <w:rPr>
          <w:b/>
          <w:bCs/>
        </w:rPr>
        <w:t>La División de Asuntos Internacionales para los Derechos Humanos</w:t>
      </w:r>
      <w:r w:rsidRPr="00D74294">
        <w:t>, que se ocupa principalmente del seguimiento de los asuntos relacionados con el Consejo de Derechos Humanos de la</w:t>
      </w:r>
      <w:r w:rsidR="00403650">
        <w:t>s</w:t>
      </w:r>
      <w:r w:rsidRPr="00D74294">
        <w:t xml:space="preserve"> </w:t>
      </w:r>
      <w:r w:rsidR="00403650">
        <w:t>Naciones Unidas</w:t>
      </w:r>
      <w:r w:rsidRPr="00D74294">
        <w:t xml:space="preserve"> y sus diversos mecanismos; la Comisión de Asuntos Sociales, Humanitarios y Culturales de la Asamblea General de </w:t>
      </w:r>
      <w:r w:rsidR="00403650" w:rsidRPr="00D74294">
        <w:t>la</w:t>
      </w:r>
      <w:r w:rsidR="00403650">
        <w:t>s</w:t>
      </w:r>
      <w:r w:rsidR="00403650" w:rsidRPr="00D74294">
        <w:t xml:space="preserve"> </w:t>
      </w:r>
      <w:r w:rsidR="00403650">
        <w:t>Naciones Unidas</w:t>
      </w:r>
      <w:r w:rsidRPr="00D74294">
        <w:t xml:space="preserve">; la Oficina del Alto Comisionado de las Naciones Unidas para los Derechos Humanos; así como con los organismos especializados de </w:t>
      </w:r>
      <w:r w:rsidR="00403650" w:rsidRPr="00D74294">
        <w:t>la</w:t>
      </w:r>
      <w:r w:rsidR="00403650">
        <w:t>s</w:t>
      </w:r>
      <w:r w:rsidR="00403650" w:rsidRPr="00D74294">
        <w:t xml:space="preserve"> </w:t>
      </w:r>
      <w:r w:rsidR="00403650">
        <w:t>Naciones Unidas</w:t>
      </w:r>
      <w:r w:rsidRPr="00D74294">
        <w:t>, en el ámbito de los derechos humanos. Esta división también examina los proyectos de convenciones internacionales sobre derechos humanos y prepara los planes y las propuestas necesarias para el aprovechamiento de los servicios de asesoramiento y asistencia técnica que ofrecen las organizaciones y los órganos internacionales en la esfera de los derechos humanos.</w:t>
      </w:r>
    </w:p>
    <w:p w:rsidR="00D74294" w:rsidRPr="00D74294" w:rsidRDefault="00D74294" w:rsidP="00D74294">
      <w:pPr>
        <w:pStyle w:val="Bullet1G"/>
      </w:pPr>
      <w:r w:rsidRPr="00D74294">
        <w:rPr>
          <w:b/>
          <w:bCs/>
        </w:rPr>
        <w:t>La División para los Tratados de Derechos Humanos</w:t>
      </w:r>
      <w:r w:rsidRPr="00D74294">
        <w:t xml:space="preserve">, que se ocupa principalmente del seguimiento del Examen Periódico Universal y los comités de las Naciones Unidas encargados de supervisar la aplicación de las convenciones internacionales de derechos humanos de los que Qatar forma parte, en coordinación con las unidades administrativas competentes del Ministerio y las autoridades competentes del Estado. A este respecto, elabora y presenta los informes y prepara los debates relacionados con el Examen Periódico Universal y con los informes presentados ante los comités internacionales y regionales de supervisión. También, en cooperación con los organismos competentes del Estado, estudia la posibilidad de aceptar o rechazar las recomendaciones del Grupo de Trabajo sobre el Examen Periódico Universal y prepara los planes y propuestas necesarias para su implementación, así como para la implementación de las recomendaciones de los comités de supervisión. </w:t>
      </w:r>
    </w:p>
    <w:p w:rsidR="00D74294" w:rsidRPr="00D74294" w:rsidRDefault="00D74294" w:rsidP="009C6705">
      <w:pPr>
        <w:pStyle w:val="H4G"/>
      </w:pPr>
      <w:r>
        <w:tab/>
      </w:r>
      <w:r w:rsidRPr="00D74294">
        <w:tab/>
        <w:t>Comité Nacional sobre la Trata de Personas</w:t>
      </w:r>
    </w:p>
    <w:p w:rsidR="00D74294" w:rsidRPr="00D74294" w:rsidRDefault="00D74294" w:rsidP="00D74294">
      <w:pPr>
        <w:pStyle w:val="SingleTxtG"/>
      </w:pPr>
      <w:r w:rsidRPr="00D74294">
        <w:t>69.</w:t>
      </w:r>
      <w:r w:rsidRPr="00D74294">
        <w:tab/>
        <w:t>En 2017 se estableció el Comité Nacional sobre la Trata de Personas con el fin de coordinar los esfuerzos nacionales para vigilar, eliminar y combatir todas las formas de trata de personas. Está presidido por un representante del Ministerio de Desarrollo Administrativo, Trabajo y Asuntos Sociales, y su vicepresidente es un representante del Ministerio de Relaciones Exteriores. Entre sus miembros figuran representantes de cada una de las siguientes instituciones: el Ministerio del Interior, el Ministerio de Justicia, el M</w:t>
      </w:r>
      <w:r w:rsidR="00896271">
        <w:t>inisterio de Salud Pública, la f</w:t>
      </w:r>
      <w:r w:rsidRPr="00D74294">
        <w:t>iscalía, la Oficina de Comunicaciones del Gobierno, la Comisión Nacional de Derechos Humanos y la Fundación de Qatar para la Acción Social</w:t>
      </w:r>
      <w:r w:rsidRPr="00D74294">
        <w:rPr>
          <w:i/>
          <w:iCs/>
        </w:rPr>
        <w:t>.</w:t>
      </w:r>
      <w:r w:rsidRPr="00D74294">
        <w:t xml:space="preserve"> El Comité Nacional contra la Trata de Personas se creó con el fin de coordinar los esfuerzos nacionales para vigilar, prevenir y combatir todas las formas de trata de personas. Sus responsabilidades, entre otras, incluyen la preparación de un plan nacional sobre la trata de personas y la elaboración y difusión de un informe anual sobre las iniciativas del país encaminadas a combatir la trata de personas, así como la coordinación con los organismos y las autoridades responsables de proteger y brindar apoyo a las víctimas de la trata de personas. Se ha preparado un proyecto de Plan nacional de lucha contra la trata de personas para el período 2017-2022. En el período 2011-2014 se puso en marcha la Iniciativa Árabe para la Lucha contra la Trata de Personas, en cooperación con la </w:t>
      </w:r>
      <w:proofErr w:type="spellStart"/>
      <w:r w:rsidRPr="00D74294">
        <w:t>UNODC</w:t>
      </w:r>
      <w:proofErr w:type="spellEnd"/>
      <w:r w:rsidRPr="00D74294">
        <w:t xml:space="preserve"> y la Liga de los Estados Árabes. Qatar proporcionó 6 millones de dólares para desarrollar la capacidad nacional de lucha contra la trata de personas en la región árabe. Los fondos se destinaron a financiar sesiones de capacitación para jueces, investigadores y agentes de policía que trabajan en casos de trata de personas. Las sesiones concluirán en diciembre de 2017.</w:t>
      </w:r>
    </w:p>
    <w:p w:rsidR="00D74294" w:rsidRPr="00D74294" w:rsidRDefault="00D74294" w:rsidP="009C6705">
      <w:pPr>
        <w:pStyle w:val="H4G"/>
      </w:pPr>
      <w:r>
        <w:tab/>
      </w:r>
      <w:r w:rsidRPr="00D74294">
        <w:tab/>
        <w:t>Comisión Nacional de Derecho Internacional Humanitario</w:t>
      </w:r>
    </w:p>
    <w:p w:rsidR="00D74294" w:rsidRPr="00D74294" w:rsidRDefault="00D74294" w:rsidP="00D74294">
      <w:pPr>
        <w:pStyle w:val="SingleTxtG"/>
      </w:pPr>
      <w:r w:rsidRPr="00D74294">
        <w:t>70.</w:t>
      </w:r>
      <w:r w:rsidRPr="00D74294">
        <w:tab/>
        <w:t xml:space="preserve">La Comisión Nacional de Derecho Internacional Humanitario, constituida mediante la </w:t>
      </w:r>
      <w:r w:rsidR="0089004A" w:rsidRPr="00D74294">
        <w:t xml:space="preserve">Resolución </w:t>
      </w:r>
      <w:r w:rsidRPr="00D74294">
        <w:t>del Consejo de Ministros núm. 27/2012, presenta recomendaciones al Estado sobre la aplicación y difusión del derecho internacional humanitario.</w:t>
      </w:r>
    </w:p>
    <w:p w:rsidR="00D74294" w:rsidRPr="00D74294" w:rsidRDefault="00D74294" w:rsidP="009C6705">
      <w:pPr>
        <w:pStyle w:val="H4G"/>
      </w:pPr>
      <w:r>
        <w:tab/>
      </w:r>
      <w:r w:rsidRPr="00D74294">
        <w:tab/>
        <w:t>Comisión Permanente para Emergencias</w:t>
      </w:r>
    </w:p>
    <w:p w:rsidR="00D74294" w:rsidRPr="00D74294" w:rsidRDefault="00D74294" w:rsidP="00D74294">
      <w:pPr>
        <w:pStyle w:val="SingleTxtG"/>
        <w:rPr>
          <w:b/>
          <w:bCs/>
        </w:rPr>
      </w:pPr>
      <w:r w:rsidRPr="00D74294">
        <w:t>71.</w:t>
      </w:r>
      <w:r w:rsidRPr="00D74294">
        <w:tab/>
        <w:t xml:space="preserve">El Comité Permanente para Emergencias, constituido en virtud de la </w:t>
      </w:r>
      <w:r w:rsidR="0089004A" w:rsidRPr="00D74294">
        <w:t xml:space="preserve">Resolución </w:t>
      </w:r>
      <w:r w:rsidRPr="00D74294">
        <w:t>del Consejo de Ministros núm. 14/2011, realiza estudios y elabora planes y procedimientos para responder a las situaciones de desastre natural, socorrer sin tardanza a los damnificados, asegurar los transportes y las comunicaciones y diseñar planes de divulgación y difundirlos en los medios de comunicación.</w:t>
      </w:r>
    </w:p>
    <w:p w:rsidR="00D74294" w:rsidRPr="00D74294" w:rsidRDefault="00D74294" w:rsidP="009C6705">
      <w:pPr>
        <w:pStyle w:val="H23G"/>
      </w:pPr>
      <w:r>
        <w:tab/>
      </w:r>
      <w:r w:rsidRPr="00D74294">
        <w:tab/>
        <w:t>Comisión del Cambio Climático y el Desarrollo Limpio</w:t>
      </w:r>
    </w:p>
    <w:p w:rsidR="00D74294" w:rsidRPr="00D74294" w:rsidRDefault="00D74294" w:rsidP="00D74294">
      <w:pPr>
        <w:pStyle w:val="SingleTxtG"/>
      </w:pPr>
      <w:r w:rsidRPr="00D74294">
        <w:t>72.</w:t>
      </w:r>
      <w:r w:rsidRPr="00D74294">
        <w:tab/>
        <w:t xml:space="preserve">La Comisión Nacional sobre el Cambio Climático y para un Desarrollo Limpio fue constituida en virtud de la </w:t>
      </w:r>
      <w:r w:rsidR="0089004A" w:rsidRPr="00D74294">
        <w:t xml:space="preserve">Decisión </w:t>
      </w:r>
      <w:r w:rsidRPr="00D74294">
        <w:t xml:space="preserve">del Consejo de Ministros núm. 15/2011. Su objetivo es hacer un seguimiento de las recomendaciones formuladas en las reuniones de la Conferencia de las Partes en la Convención Marco de las Naciones Unidas sobre el Cambio Climático y su Protocolo de </w:t>
      </w:r>
      <w:proofErr w:type="spellStart"/>
      <w:r w:rsidRPr="00D74294">
        <w:t>Kyoto</w:t>
      </w:r>
      <w:proofErr w:type="spellEnd"/>
      <w:r w:rsidRPr="00D74294">
        <w:t xml:space="preserve"> y garantizar el cumplimiento de los compromisos contraídos en virtud de ambos instrumentos.</w:t>
      </w:r>
    </w:p>
    <w:p w:rsidR="00D74294" w:rsidRPr="00D74294" w:rsidRDefault="00D74294" w:rsidP="009C6705">
      <w:pPr>
        <w:pStyle w:val="H23G"/>
      </w:pPr>
      <w:r>
        <w:tab/>
      </w:r>
      <w:r w:rsidRPr="00D74294">
        <w:tab/>
        <w:t>Comité Nacional de Seguridad y Salud Ocupacional</w:t>
      </w:r>
    </w:p>
    <w:p w:rsidR="00D74294" w:rsidRPr="00D74294" w:rsidRDefault="00D74294" w:rsidP="00D74294">
      <w:pPr>
        <w:pStyle w:val="SingleTxtG"/>
      </w:pPr>
      <w:r w:rsidRPr="00D74294">
        <w:t>73.</w:t>
      </w:r>
      <w:r w:rsidRPr="00D74294">
        <w:tab/>
        <w:t xml:space="preserve">El Comité Nacional de Seguridad y Salud Ocupacional, establecido en virtud de la </w:t>
      </w:r>
      <w:r w:rsidR="0089004A" w:rsidRPr="00D74294">
        <w:t xml:space="preserve">Resolución </w:t>
      </w:r>
      <w:r w:rsidRPr="00D74294">
        <w:t>del Consejo de Ministros núm. 16/2011, propone políticas, programas y regulaciones nacionales en materia de seguridad y salud ocupacional.</w:t>
      </w:r>
    </w:p>
    <w:p w:rsidR="00D74294" w:rsidRPr="00D74294" w:rsidRDefault="00D74294" w:rsidP="009C6705">
      <w:pPr>
        <w:pStyle w:val="H23G"/>
      </w:pPr>
      <w:r>
        <w:tab/>
      </w:r>
      <w:r w:rsidRPr="00D74294">
        <w:tab/>
        <w:t>Autoridad de Control Administrativo y Transparencia</w:t>
      </w:r>
    </w:p>
    <w:p w:rsidR="00D74294" w:rsidRPr="00D74294" w:rsidRDefault="00D74294" w:rsidP="00D74294">
      <w:pPr>
        <w:pStyle w:val="SingleTxtG"/>
      </w:pPr>
      <w:r w:rsidRPr="00D74294">
        <w:t>74.</w:t>
      </w:r>
      <w:r w:rsidRPr="00D74294">
        <w:tab/>
        <w:t>La Autoridad de Control Administrativo y Transparencia, instituida en virtud del Decreto del Emir núm. 75/2011, ejerce funciones de control, vela por la transparencia y la integridad y lucha contra la corrupción en todas sus formas y manifestaciones.</w:t>
      </w:r>
    </w:p>
    <w:p w:rsidR="00D74294" w:rsidRPr="00D74294" w:rsidRDefault="00D74294" w:rsidP="009C6705">
      <w:pPr>
        <w:pStyle w:val="H23G"/>
      </w:pPr>
      <w:r>
        <w:tab/>
      </w:r>
      <w:r w:rsidRPr="00D74294">
        <w:tab/>
        <w:t>Mecanismos no gubernamentales</w:t>
      </w:r>
      <w:r w:rsidRPr="00D74294">
        <w:tab/>
      </w:r>
    </w:p>
    <w:p w:rsidR="00D74294" w:rsidRPr="00D74294" w:rsidRDefault="00D74294" w:rsidP="009C6705">
      <w:pPr>
        <w:pStyle w:val="H4G"/>
      </w:pPr>
      <w:r>
        <w:tab/>
      </w:r>
      <w:r w:rsidRPr="00D74294">
        <w:tab/>
        <w:t>Fundación Árabe para la Democracia</w:t>
      </w:r>
    </w:p>
    <w:p w:rsidR="00D74294" w:rsidRPr="00D74294" w:rsidRDefault="00D74294" w:rsidP="00D74294">
      <w:pPr>
        <w:pStyle w:val="SingleTxtG"/>
      </w:pPr>
      <w:r w:rsidRPr="00D74294">
        <w:t>75.</w:t>
      </w:r>
      <w:r w:rsidRPr="00D74294">
        <w:tab/>
        <w:t xml:space="preserve">En mayo de 2007, el Estado de Qatar organizó el II Foro para la reforma política y la democracia en el mundo árabe. Esto condujo a la creación, en virtud de la </w:t>
      </w:r>
      <w:r w:rsidR="0089004A" w:rsidRPr="00D74294">
        <w:t xml:space="preserve">Resolución </w:t>
      </w:r>
      <w:r w:rsidRPr="00D74294">
        <w:t xml:space="preserve">del Emir núm. 51/2007, de la Fundación Árabe para la Democracia, primer organismo de este tipo en el mundo árabe, con sede en Doha. La Fundación tiene como objetivo fomentar la cultura democrática en la región. Cabe señalar que el Gobierno ha donado 10 millones de dólares para apoyar las actividades de esta institución. La Fundación Árabe para la Democracia publicó en 2008 su primer informe sobre la situación de la democracia en los países árabes, informe que se basa en 17 informes nacionales. Para más información, véase </w:t>
      </w:r>
      <w:proofErr w:type="spellStart"/>
      <w:r w:rsidRPr="00D74294">
        <w:t>www.adf.org.qa</w:t>
      </w:r>
      <w:proofErr w:type="spellEnd"/>
      <w:r w:rsidRPr="00D74294">
        <w:t>.</w:t>
      </w:r>
    </w:p>
    <w:p w:rsidR="00D74294" w:rsidRPr="00D74294" w:rsidRDefault="00D74294" w:rsidP="009C6705">
      <w:pPr>
        <w:pStyle w:val="H4G"/>
      </w:pPr>
      <w:r>
        <w:tab/>
      </w:r>
      <w:r w:rsidRPr="00D74294">
        <w:tab/>
        <w:t>Centro de Doha para la Libertad de los Medios de Difusión</w:t>
      </w:r>
    </w:p>
    <w:p w:rsidR="00D74294" w:rsidRPr="00D74294" w:rsidRDefault="00D74294" w:rsidP="00D74294">
      <w:pPr>
        <w:pStyle w:val="SingleTxtG"/>
      </w:pPr>
      <w:r w:rsidRPr="00D74294">
        <w:t>76.</w:t>
      </w:r>
      <w:r w:rsidRPr="00D74294">
        <w:tab/>
        <w:t xml:space="preserve">La </w:t>
      </w:r>
      <w:r w:rsidR="0089004A" w:rsidRPr="00D74294">
        <w:t xml:space="preserve">Resolución </w:t>
      </w:r>
      <w:r w:rsidRPr="00D74294">
        <w:t xml:space="preserve">del Emir núm. 86/2007 acordó la creación del Centro de Doha para la Libertad de Prensa como entidad privada de reconocida utilidad pública. Con ello, el Emir vino a sancionar la función de los medios de comunicación como elemento fundamental en todas las políticas del Gobierno y la creencia en que la libertad de opinión y de expresión consagrada por la Constitución constituye el pilar sobre el que se erige toda sociedad democrática moderna y acorde a los tiempos. La medida viene igualmente a subrayar la importancia del papel de los medios de comunicación para ayudar a fortalecer el diálogo, ampliar los horizontes de entendimiento, promover la tolerancia y la convivencia y generar un clima desfavorable al terrorismo y al odio. La libertad, la credibilidad, la independencia, la responsabilidad y la transparencia son los principios estratégicos de los que parten los objetivos del Centro de Doha para la Libertad de los Medios de Difusión. Entre estos objetivos se cuentan los siguientes: proteger el sistema de medios de comunicación con arreglo a criterios internacionales, realizar investigaciones sobre los medios de comunicación, crear una base de datos al servicio de los medios de comunicación, erigir un monumento internacional a la memoria de los símbolos, los héroes y las víctimas de la libertad de prensa, y ayudar a los periodistas cuyos derechos hayan sido vulnerados en el ejercicio de su profesión, en especial, en situaciones de crisis. Cabe señalar que el Centro de Doha para la Libertad de los Medios de Difusión firmó en enero de 2008 un memorando de colaboración con la organización Reporteros sin Fronteras. Para más información, véase </w:t>
      </w:r>
      <w:proofErr w:type="spellStart"/>
      <w:r w:rsidRPr="00D74294">
        <w:t>www.dohacentre.org</w:t>
      </w:r>
      <w:proofErr w:type="spellEnd"/>
      <w:r w:rsidRPr="00D74294">
        <w:t>.</w:t>
      </w:r>
    </w:p>
    <w:p w:rsidR="00D74294" w:rsidRPr="00D74294" w:rsidRDefault="00D74294" w:rsidP="009C6705">
      <w:pPr>
        <w:pStyle w:val="H4G"/>
      </w:pPr>
      <w:r>
        <w:tab/>
      </w:r>
      <w:r w:rsidRPr="00D74294">
        <w:tab/>
        <w:t xml:space="preserve">Centro Internacional de Doha para el Diálogo </w:t>
      </w:r>
      <w:proofErr w:type="spellStart"/>
      <w:r w:rsidRPr="00D74294">
        <w:t>Interconfesional</w:t>
      </w:r>
      <w:proofErr w:type="spellEnd"/>
    </w:p>
    <w:p w:rsidR="00D74294" w:rsidRPr="00D74294" w:rsidRDefault="00D74294" w:rsidP="00D74294">
      <w:pPr>
        <w:pStyle w:val="SingleTxtG"/>
      </w:pPr>
      <w:r w:rsidRPr="00D74294">
        <w:t>77.</w:t>
      </w:r>
      <w:r w:rsidRPr="00D74294">
        <w:tab/>
        <w:t xml:space="preserve">El Centro Internacional de Doha para el Diálogo </w:t>
      </w:r>
      <w:proofErr w:type="spellStart"/>
      <w:r w:rsidRPr="00D74294">
        <w:t>Interconfesional</w:t>
      </w:r>
      <w:proofErr w:type="spellEnd"/>
      <w:r w:rsidRPr="00D74294">
        <w:t xml:space="preserve"> se creó siguiendo las recomendaciones de la V Conferencia de Doha para el Diálogo </w:t>
      </w:r>
      <w:proofErr w:type="spellStart"/>
      <w:r w:rsidRPr="00D74294">
        <w:t>Interconfesional</w:t>
      </w:r>
      <w:proofErr w:type="spellEnd"/>
      <w:r w:rsidRPr="00D74294">
        <w:t xml:space="preserve">, celebrada en mayo de 2007. Fue inaugurado en mayo de 2008 coincidiendo con la celebración de la VI Conferencia Internacional de Doha para el Diálogo </w:t>
      </w:r>
      <w:proofErr w:type="spellStart"/>
      <w:r w:rsidRPr="00D74294">
        <w:t>Interconfesional</w:t>
      </w:r>
      <w:proofErr w:type="spellEnd"/>
      <w:r w:rsidRPr="00D74294">
        <w:t>. Su misión es difundir y promover la cultura del diálogo y de la convivencia pacífica. Para más i</w:t>
      </w:r>
      <w:bookmarkStart w:id="44" w:name="_Toc281916561"/>
      <w:bookmarkStart w:id="45" w:name="_Toc281916776"/>
      <w:bookmarkStart w:id="46" w:name="_Toc281916940"/>
      <w:bookmarkStart w:id="47" w:name="_Toc282337904"/>
      <w:r w:rsidR="0030543C">
        <w:t xml:space="preserve">nformación, véase </w:t>
      </w:r>
      <w:proofErr w:type="spellStart"/>
      <w:r w:rsidR="0030543C">
        <w:t>www.dicid.org</w:t>
      </w:r>
      <w:proofErr w:type="spellEnd"/>
      <w:r w:rsidR="0030543C">
        <w:t>.</w:t>
      </w:r>
    </w:p>
    <w:p w:rsidR="00D74294" w:rsidRPr="00D74294" w:rsidRDefault="00D74294" w:rsidP="009C6705">
      <w:pPr>
        <w:pStyle w:val="H4G"/>
      </w:pPr>
      <w:r>
        <w:tab/>
      </w:r>
      <w:r w:rsidRPr="00D74294">
        <w:tab/>
        <w:t>Comité Nacional para la Alianza de Civilizaciones</w:t>
      </w:r>
    </w:p>
    <w:p w:rsidR="00D74294" w:rsidRPr="00D74294" w:rsidRDefault="00D74294" w:rsidP="00D74294">
      <w:pPr>
        <w:pStyle w:val="SingleTxtG"/>
      </w:pPr>
      <w:r w:rsidRPr="00D74294">
        <w:t>78.</w:t>
      </w:r>
      <w:r w:rsidRPr="00D74294">
        <w:tab/>
        <w:t xml:space="preserve">El Comité Nacional para la Alianza de Civilizaciones se creó en virtud de la </w:t>
      </w:r>
      <w:r w:rsidR="0089004A" w:rsidRPr="00D74294">
        <w:t xml:space="preserve">Resolución </w:t>
      </w:r>
      <w:r w:rsidRPr="00D74294">
        <w:t>del Consejo de Ministros núm. 8/2010 y su objetivo es combatir la intolerancia e inculcar los valores de la tolerancia, la solidaridad y la paz entre los pueblos del mundo, y promover el desarrollo humano.</w:t>
      </w:r>
    </w:p>
    <w:p w:rsidR="00D74294" w:rsidRPr="00D74294" w:rsidRDefault="00D74294" w:rsidP="009C6705">
      <w:pPr>
        <w:pStyle w:val="H4G"/>
      </w:pPr>
      <w:r>
        <w:tab/>
      </w:r>
      <w:r w:rsidRPr="00D74294">
        <w:tab/>
        <w:t xml:space="preserve">Fundación </w:t>
      </w:r>
      <w:proofErr w:type="spellStart"/>
      <w:r w:rsidRPr="00D74294">
        <w:t>Silatech</w:t>
      </w:r>
      <w:proofErr w:type="spellEnd"/>
    </w:p>
    <w:p w:rsidR="00D74294" w:rsidRPr="00D74294" w:rsidRDefault="00D74294" w:rsidP="00D74294">
      <w:pPr>
        <w:pStyle w:val="SingleTxtG"/>
      </w:pPr>
      <w:r w:rsidRPr="00D74294">
        <w:t>79.</w:t>
      </w:r>
      <w:r w:rsidRPr="00D74294">
        <w:tab/>
        <w:t xml:space="preserve">La iniciativa </w:t>
      </w:r>
      <w:proofErr w:type="spellStart"/>
      <w:r w:rsidRPr="00D74294">
        <w:t>Silatech</w:t>
      </w:r>
      <w:proofErr w:type="spellEnd"/>
      <w:r w:rsidRPr="00D74294">
        <w:t xml:space="preserve">, que se puso en marcha en 2008, tiene por objeto promover el emprendimiento, ampliar las oportunidades de empleo de los jóvenes árabes y proporcionarles el espacio necesario que les permita conseguir fondos de capital, acceder a los mercados y participar en el desarrollo económico y social. Los programas de </w:t>
      </w:r>
      <w:proofErr w:type="spellStart"/>
      <w:r w:rsidRPr="00D74294">
        <w:t>Silatech</w:t>
      </w:r>
      <w:proofErr w:type="spellEnd"/>
      <w:r w:rsidRPr="00D74294">
        <w:t xml:space="preserve"> se ejecutan en 17 países árabes.</w:t>
      </w:r>
    </w:p>
    <w:p w:rsidR="00D74294" w:rsidRPr="00D74294" w:rsidRDefault="00D74294" w:rsidP="009C6705">
      <w:pPr>
        <w:pStyle w:val="H4G"/>
      </w:pPr>
      <w:r>
        <w:tab/>
      </w:r>
      <w:r w:rsidRPr="00D74294">
        <w:tab/>
        <w:t xml:space="preserve">Fundación </w:t>
      </w:r>
      <w:proofErr w:type="gramStart"/>
      <w:r w:rsidRPr="00D74294">
        <w:t>Educación</w:t>
      </w:r>
      <w:proofErr w:type="gramEnd"/>
      <w:r w:rsidRPr="00D74294">
        <w:t xml:space="preserve"> ante Todo</w:t>
      </w:r>
    </w:p>
    <w:p w:rsidR="00D74294" w:rsidRPr="00D74294" w:rsidRDefault="00D74294" w:rsidP="00D74294">
      <w:pPr>
        <w:pStyle w:val="SingleTxtG"/>
      </w:pPr>
      <w:r w:rsidRPr="00D74294">
        <w:t>80.</w:t>
      </w:r>
      <w:r w:rsidRPr="00D74294">
        <w:tab/>
        <w:t>La Fundación Educación ante Todo se estableció en 2012 y su misión es dar a los niños acceso a la educación en zonas pobres o que sufran conflictos armados. Consta de tres programas, que trabajan para brindar oportunidades de educación en las sociedades que sufren bajo la pobreza y los conflictos.</w:t>
      </w:r>
    </w:p>
    <w:p w:rsidR="00D74294" w:rsidRPr="00D74294" w:rsidRDefault="00D74294" w:rsidP="00D74294">
      <w:pPr>
        <w:pStyle w:val="SingleTxtG"/>
      </w:pPr>
      <w:r w:rsidRPr="00D74294">
        <w:t>81.</w:t>
      </w:r>
      <w:r w:rsidRPr="00D74294">
        <w:tab/>
        <w:t>El objetivo de la Fundación es llegar a 10 millones de niños no escolarizados, apoyar el desarrollo de la calidad de la educación y contr</w:t>
      </w:r>
      <w:r w:rsidR="0089004A">
        <w:t>ibuir a la recaudación de 1.000 </w:t>
      </w:r>
      <w:r w:rsidRPr="00D74294">
        <w:t>millones de dólares para fomentar la educación y garantizar la sostenibilidad del programa. Hasta la fecha, Educación ante Todo ha proporcionado oportunidades de educación a 7,1 millones de niños marginados y desescolarizados, permitiéndoles el acceso a una educación de calidad. A nivel mundial, es la única fundación que concentra su atención en prestar apoyo a los niños privados de educación. Trabaja para establecer asociaciones con organizaciones locales e internacionales en un esfuerzo por eliminar las barreras que impiden a los niños el acceso a una educación de calidad, como la pobreza, los conflictos y la discriminación sexual. Educación ante Todo fue seleccionada por el Comité Directivo para la Educación 2030 de la UNESCO para representar los esfuerzos de las organizaciones que participan en la realización de los Objetivos de Desarrollo Sostenible relativos a la educación en todo el mundo. Asimismo, el Presidente de la Asamblea General de las Naciones Unidas invitó a representantes de la Fundación a participar en la Reunión de alto nivel sobre la educación.</w:t>
      </w:r>
    </w:p>
    <w:p w:rsidR="00D74294" w:rsidRPr="00D74294" w:rsidRDefault="00D74294" w:rsidP="009C6705">
      <w:pPr>
        <w:pStyle w:val="H23G"/>
      </w:pPr>
      <w:r>
        <w:tab/>
      </w:r>
      <w:r w:rsidRPr="00D74294">
        <w:tab/>
        <w:t xml:space="preserve">Difusión de los instrumentos relativos a los derechos humanos </w:t>
      </w:r>
      <w:bookmarkEnd w:id="44"/>
      <w:bookmarkEnd w:id="45"/>
      <w:bookmarkEnd w:id="46"/>
      <w:bookmarkEnd w:id="47"/>
    </w:p>
    <w:p w:rsidR="00D74294" w:rsidRPr="00D74294" w:rsidRDefault="00D74294" w:rsidP="009C6705">
      <w:pPr>
        <w:pStyle w:val="H23G"/>
      </w:pPr>
      <w:bookmarkStart w:id="48" w:name="_Toc281916562"/>
      <w:bookmarkStart w:id="49" w:name="_Toc281916777"/>
      <w:bookmarkStart w:id="50" w:name="_Toc281916941"/>
      <w:bookmarkStart w:id="51" w:name="_Toc282337905"/>
      <w:r>
        <w:tab/>
      </w:r>
      <w:r w:rsidRPr="00D74294">
        <w:tab/>
        <w:t>Difusión y promoción del conocimiento sobre l</w:t>
      </w:r>
      <w:r w:rsidR="00B965A0">
        <w:t>os convenios internacionales de </w:t>
      </w:r>
      <w:r w:rsidRPr="00D74294">
        <w:t xml:space="preserve">derechos humanos </w:t>
      </w:r>
      <w:bookmarkEnd w:id="48"/>
      <w:bookmarkEnd w:id="49"/>
      <w:bookmarkEnd w:id="50"/>
      <w:bookmarkEnd w:id="51"/>
    </w:p>
    <w:p w:rsidR="00D74294" w:rsidRPr="00D74294" w:rsidRDefault="00D74294" w:rsidP="00D74294">
      <w:pPr>
        <w:pStyle w:val="SingleTxtG"/>
      </w:pPr>
      <w:r w:rsidRPr="00D74294">
        <w:t>82.</w:t>
      </w:r>
      <w:r w:rsidRPr="00D74294">
        <w:tab/>
        <w:t>Las instituciones de derechos humanos han organizado seminarios, talleres y cursos de formación especializada sobre los derechos del niño, de la mujer y de las personas con discapacidad, entre otros temas. Dichas actividades formativas estuvieron dirigidas a amplios grupos de empleados públicos, entre otros a los funcionarios del Ministerio del Interior, los fiscales, los jueces y los médicos.</w:t>
      </w:r>
    </w:p>
    <w:p w:rsidR="00D74294" w:rsidRPr="00D74294" w:rsidRDefault="00D74294" w:rsidP="00D74294">
      <w:pPr>
        <w:pStyle w:val="SingleTxtG"/>
      </w:pPr>
      <w:r w:rsidRPr="00D74294">
        <w:t>83.</w:t>
      </w:r>
      <w:r w:rsidRPr="00D74294">
        <w:tab/>
        <w:t xml:space="preserve">El Estado de Qatar también ha ejecutado numerosos programas en la esfera de la integración de los derechos humanos. Se ha publicado un gran número de investigaciones y de estudios sobre los derechos humanos, y se han organizado no pocos simposios, talleres y cursos de formación local sobre estos mismos temas. </w:t>
      </w:r>
    </w:p>
    <w:p w:rsidR="00D74294" w:rsidRPr="00D74294" w:rsidRDefault="00D74294" w:rsidP="00D74294">
      <w:pPr>
        <w:pStyle w:val="SingleTxtG"/>
      </w:pPr>
      <w:r w:rsidRPr="00D74294">
        <w:t>84.</w:t>
      </w:r>
      <w:r w:rsidRPr="00D74294">
        <w:tab/>
        <w:t xml:space="preserve">La Comisión Nacional de Derechos Humanos organizó varios cursos y programas de formación y concienciación en el ámbito de los derechos humanos, que incluyen, entre otros, y sin ánimo de exhaustividad, programas permanentes de sensibilización sobre los derechos de la mujer, dirigidos a los estudiantes de ambos sexos de las escuelas y las universidades, y cursos de formación, talleres y simposios. En 2015 y 2016 la Comisión celebró una serie de simposios dirigidos a alumnas de enseñanza secundaria y preparatoria. También creó una suerte de </w:t>
      </w:r>
      <w:r w:rsidR="007C4727">
        <w:t>“</w:t>
      </w:r>
      <w:r w:rsidRPr="00D74294">
        <w:t>centro de asistencia jurídica</w:t>
      </w:r>
      <w:r w:rsidR="007C4727">
        <w:t>”</w:t>
      </w:r>
      <w:r w:rsidRPr="00D74294">
        <w:t xml:space="preserve"> con estudiantes de la Facultad de Derecho de la Universidad de Qatar, a fin de que se familiarizaran con la Convención sobre la Eliminación de Todas las Formas de Discriminación contra la Mujer.</w:t>
      </w:r>
    </w:p>
    <w:p w:rsidR="00D74294" w:rsidRPr="00D74294" w:rsidRDefault="00D74294" w:rsidP="00D74294">
      <w:pPr>
        <w:pStyle w:val="SingleTxtG"/>
      </w:pPr>
      <w:r w:rsidRPr="00D74294">
        <w:t>85.</w:t>
      </w:r>
      <w:r w:rsidRPr="00D74294">
        <w:tab/>
        <w:t>Las organizaciones de la sociedad civil, en colaboración con la Comisión Nacional de Derechos Humanos, imparten cursos de formación continua y talleres para promover la aplicación de la Convención sobre la Eliminación de Todas las Formas de Discriminación contra la Mujer, la Convención sobre los Derechos de las Personas con Discapacidad y el Protocolo contra la Trata de Personas, para mejorar el conocimiento de dichas convenciones y formar al personal pertinente de los organismos encargad</w:t>
      </w:r>
      <w:r w:rsidR="00896271">
        <w:t>os de hacer cumplir la ley, la f</w:t>
      </w:r>
      <w:r w:rsidRPr="00D74294">
        <w:t>iscalía, el personal judicial y la policía, así como a abogados y profesionales de los medios de comunicación. Por ejemplo, en febrero de 2016, la Comisión impartió un curso de capacitación sobre una serie de cuestiones relativas a los derechos humanos, incluidos los derechos de la mujer, al Mando General de las Fuerzas Armadas de Qatar. En abril de 2016, organizó un taller sobre la legislación interna, incluidas las leyes relativas a la mujer, y la perspectiva de la Comisión Nacional de Derechos Humanos al respecto, dirigido al personal encargado de hacer cu</w:t>
      </w:r>
      <w:r w:rsidR="00896271">
        <w:t>mplir la ley en la policía, la f</w:t>
      </w:r>
      <w:r w:rsidRPr="00D74294">
        <w:t xml:space="preserve">iscalía y los tribunales. </w:t>
      </w:r>
    </w:p>
    <w:p w:rsidR="00D74294" w:rsidRPr="00D74294" w:rsidRDefault="00D74294" w:rsidP="00D74294">
      <w:pPr>
        <w:pStyle w:val="SingleTxtG"/>
      </w:pPr>
      <w:r w:rsidRPr="00D74294">
        <w:t>86.</w:t>
      </w:r>
      <w:r w:rsidRPr="00D74294">
        <w:tab/>
        <w:t xml:space="preserve">El Estado de Qatar acoge en Doha el Centro de las Naciones Unidas de Capacitación y Documentación sobre Derechos Humanos para Asia Sudoccidental y la Región Árabe, que fue establecido en aplicación de la </w:t>
      </w:r>
      <w:r w:rsidR="00403650" w:rsidRPr="00D74294">
        <w:t>resolución</w:t>
      </w:r>
      <w:r w:rsidR="00403650">
        <w:t xml:space="preserve"> </w:t>
      </w:r>
      <w:r w:rsidRPr="00D74294">
        <w:t>60/153 de la Asamblea General de las Naciones Unidas, aprobada en su sexagésimo período de sesiones. El Centro organiza con arreglo a criterios internacionales actividades de capacitación y documentación relacionadas con los derechos humanos y apoya la adopción de medidas encaminadas a proteger y promover esos derechos en la región con la cooperación de los Gobiernos, los organismos y los programas especializados de las Naciones Unidas, las instituciones nacionales de derechos humanos y las ONG, y con el auspicio de la Oficina del Alto Comisionado para los Derechos Humanos (</w:t>
      </w:r>
      <w:proofErr w:type="spellStart"/>
      <w:r w:rsidRPr="00D74294">
        <w:t>ACNUDH</w:t>
      </w:r>
      <w:proofErr w:type="spellEnd"/>
      <w:r w:rsidRPr="00D74294">
        <w:t>) en Ginebra.</w:t>
      </w:r>
      <w:bookmarkStart w:id="52" w:name="_Toc282337906"/>
    </w:p>
    <w:p w:rsidR="00D74294" w:rsidRPr="00D74294" w:rsidRDefault="00D74294" w:rsidP="009C6705">
      <w:pPr>
        <w:pStyle w:val="H23G"/>
      </w:pPr>
      <w:r>
        <w:tab/>
      </w:r>
      <w:r w:rsidRPr="00D74294">
        <w:tab/>
        <w:t xml:space="preserve">Promoción del conocimiento de los derechos humanos mediante los programas educativos y los medios de comunicación gubernamentales </w:t>
      </w:r>
      <w:bookmarkEnd w:id="52"/>
    </w:p>
    <w:p w:rsidR="00D74294" w:rsidRPr="00D74294" w:rsidRDefault="00D74294" w:rsidP="00D74294">
      <w:pPr>
        <w:pStyle w:val="SingleTxtG"/>
      </w:pPr>
      <w:r w:rsidRPr="00D74294">
        <w:t>87.</w:t>
      </w:r>
      <w:r w:rsidRPr="00D74294">
        <w:tab/>
        <w:t>Las cuestiones de derechos humanos se han integrado en los planes curriculares de diferentes maneras: asignaturas independientes, conceptos transversales, actividades escolares o extraescolares y elementos gráficos. En los programas de estudio y en los libros de texto se aborda un gran número de derechos, incluidos los derechos políticos y civiles, los derechos económicos, los derechos del niño, los derechos de la mujer, los derechos sociales y culturales, los derechos de las personas ancianas y de las personas con discapacidad, y la erradicación de la discriminación en todas sus formas. Cabe destacar en este sentido el plan de estudios de la asignatura de educación en valores, con la que se pretende consolidar los valores de cooperación, afecto, igualdad, amor, paz y tolerancia, así como otros valores asociados a las responsabilidades sociales y civiles, como el respeto a la ley, la ciudadanía, la participación en los actos sociales, la sinceridad, la integridad y la honradez. El programa de la asignatura citada busca igualmente consolidar los valores asociados al respeto a la herencia cultural del Estado de Qatar, como la preservación del patrimonio arquitectónico y medioambiental.</w:t>
      </w:r>
    </w:p>
    <w:p w:rsidR="00D74294" w:rsidRPr="00D74294" w:rsidRDefault="00D74294" w:rsidP="00D74294">
      <w:pPr>
        <w:pStyle w:val="SingleTxtG"/>
      </w:pPr>
      <w:r w:rsidRPr="00D74294">
        <w:t>88.</w:t>
      </w:r>
      <w:r w:rsidRPr="00D74294">
        <w:tab/>
        <w:t xml:space="preserve">Desde enero de 2017, la televisión de Qatar, en cooperación con la Comisión Nacional de Derechos Humanos, ha transmitido un programa semanal de sensibilización sobre las personas con discapacidad. Se está prestando mayor atención a los derechos de las mujeres con discapacidad, a fin de combatir los estereotipos respecto de este grupo de mujeres. </w:t>
      </w:r>
    </w:p>
    <w:p w:rsidR="00D74294" w:rsidRPr="00D74294" w:rsidRDefault="00D74294" w:rsidP="00D74294">
      <w:pPr>
        <w:pStyle w:val="SingleTxtG"/>
        <w:rPr>
          <w:b/>
          <w:bCs/>
        </w:rPr>
      </w:pPr>
      <w:r w:rsidRPr="00D74294">
        <w:t>89.</w:t>
      </w:r>
      <w:r w:rsidRPr="00D74294">
        <w:tab/>
        <w:t xml:space="preserve">El Estado otorga gran importancia a la capacitación y la educación en derechos humanos. Varios organismos públicos y ONG han organizado cursos para la promoción y la protección de los derechos humanos. </w:t>
      </w:r>
    </w:p>
    <w:p w:rsidR="00D74294" w:rsidRPr="00D74294" w:rsidRDefault="00D74294" w:rsidP="009C6705">
      <w:pPr>
        <w:pStyle w:val="H23G"/>
      </w:pPr>
      <w:r>
        <w:tab/>
      </w:r>
      <w:r w:rsidRPr="00D74294">
        <w:tab/>
        <w:t>Ayudas al desarrollo concedidas por el Estado de Qatar</w:t>
      </w:r>
    </w:p>
    <w:p w:rsidR="00D74294" w:rsidRPr="00D74294" w:rsidRDefault="00D74294" w:rsidP="00D74294">
      <w:pPr>
        <w:pStyle w:val="SingleTxtG"/>
      </w:pPr>
      <w:r w:rsidRPr="00D74294">
        <w:t>90.</w:t>
      </w:r>
      <w:r w:rsidRPr="00D74294">
        <w:tab/>
        <w:t xml:space="preserve">El Estado de Qatar presta una especial atención a las ayudas y a la asistencia al desarrollo. Esta atención se refleja en las directrices emanadas de su Alteza el Emir, en las que se subraya la necesidad de proporcionar ayuda y asistencia a todas las actuaciones e iniciativas benéficas encaminadas al desarrollo humano. Sobre esta base, el Estado de Qatar ha tomado la iniciativa de apoyar el progreso de los países en desarrollo en todo el mundo y ha contribuido a la consecución de numerosos objetivos para el desarrollo de tales países. La asistencia qatarí al desarrollo se vehicula a través de organizaciones gubernamentales y no gubernamentales y se caracteriza por su neutralidad, por no supeditar la ayuda a la realidad política de los Estados beneficiarios, por su flexibilidad y por la facilidad del procedimiento conducente a su obtención. </w:t>
      </w:r>
    </w:p>
    <w:p w:rsidR="00D74294" w:rsidRPr="00D74294" w:rsidRDefault="00D74294" w:rsidP="00D74294">
      <w:pPr>
        <w:pStyle w:val="SingleTxtG"/>
      </w:pPr>
      <w:r w:rsidRPr="00D74294">
        <w:t>91.</w:t>
      </w:r>
      <w:r w:rsidRPr="00D74294">
        <w:tab/>
        <w:t>El Estado de Qatar ha participado efectivamente en el desarrollo de una alianza mundial para el desarrollo, de forma que, a día de hoy, el Estado tiene la consideración de país donante y de socio influyente en la asistencia internacional para el desarrollo. Las ayudas y la asistencia al desarrollo constituyen un pilar fundamental de la política exterior del Estado.</w:t>
      </w:r>
    </w:p>
    <w:p w:rsidR="00D74294" w:rsidRPr="00D74294" w:rsidRDefault="00D74294" w:rsidP="00D74294">
      <w:pPr>
        <w:pStyle w:val="SingleTxtG"/>
      </w:pPr>
      <w:r w:rsidRPr="00D74294">
        <w:t>92.</w:t>
      </w:r>
      <w:r w:rsidRPr="00D74294">
        <w:tab/>
        <w:t>El Estado no se limita a proporcionar asistencia humanitaria y para el desarrollo, sino que también lleva a cabo iniciativas humanitarias y de desarrollo a nivel internacional, entre las que cabe destacar, por ejemplo, las siguientes:</w:t>
      </w:r>
    </w:p>
    <w:p w:rsidR="00D74294" w:rsidRPr="00D74294" w:rsidRDefault="00D74294" w:rsidP="00D74294">
      <w:pPr>
        <w:pStyle w:val="Bullet1G"/>
      </w:pPr>
      <w:r w:rsidRPr="00D74294">
        <w:t xml:space="preserve">La Iniciativa </w:t>
      </w:r>
      <w:proofErr w:type="spellStart"/>
      <w:r w:rsidRPr="00D74294">
        <w:t>HOPEFOR</w:t>
      </w:r>
      <w:proofErr w:type="spellEnd"/>
      <w:r w:rsidRPr="00D74294">
        <w:t>, planteada en junio de 2010 en Nueva York, que busca mejorar la eficacia y la coordinación de los recursos de defensa militar y civil en la resp</w:t>
      </w:r>
      <w:r w:rsidR="00061E5A">
        <w:t>uesta a los desastres naturales.</w:t>
      </w:r>
    </w:p>
    <w:p w:rsidR="00D74294" w:rsidRPr="00D74294" w:rsidRDefault="00D74294" w:rsidP="00D74294">
      <w:pPr>
        <w:pStyle w:val="Bullet1G"/>
      </w:pPr>
      <w:r w:rsidRPr="00D74294">
        <w:t xml:space="preserve">La Iniciativa para la Protección de la Educación en Situaciones de Inseguridad y Conflicto Armado (previamente, la Fundación </w:t>
      </w:r>
      <w:proofErr w:type="gramStart"/>
      <w:r w:rsidRPr="00D74294">
        <w:t>Educación</w:t>
      </w:r>
      <w:proofErr w:type="gramEnd"/>
      <w:r w:rsidRPr="00D74294">
        <w:t xml:space="preserve"> ante Todo), que tiene desde 2008 como objetivo proteger, apoyar y promover el derecho a la educación en las zonas que se encuentran en situaciones de crisis, conflicto o guerra o que corren el peligro de enfren</w:t>
      </w:r>
      <w:r w:rsidR="00061E5A">
        <w:t>tarse a situaciones de ese tipo.</w:t>
      </w:r>
    </w:p>
    <w:p w:rsidR="00D74294" w:rsidRPr="00D74294" w:rsidRDefault="00D74294" w:rsidP="00D74294">
      <w:pPr>
        <w:pStyle w:val="Bullet1G"/>
      </w:pPr>
      <w:r w:rsidRPr="00D74294">
        <w:t xml:space="preserve">La iniciativa </w:t>
      </w:r>
      <w:r w:rsidR="007C4727">
        <w:t>“</w:t>
      </w:r>
      <w:r w:rsidRPr="00D74294">
        <w:t>Al-</w:t>
      </w:r>
      <w:proofErr w:type="spellStart"/>
      <w:r w:rsidRPr="00D74294">
        <w:t>Fakhoora</w:t>
      </w:r>
      <w:proofErr w:type="spellEnd"/>
      <w:r w:rsidR="007C4727">
        <w:t>”</w:t>
      </w:r>
      <w:r w:rsidRPr="00D74294">
        <w:t>, planteada en 2009, que busca apoyar y proteger a los estudiantes y las escuelas en las zonas en conflicto de to</w:t>
      </w:r>
      <w:r w:rsidR="00061E5A">
        <w:t>do el mundo, sobre todo en Gaza.</w:t>
      </w:r>
    </w:p>
    <w:p w:rsidR="00D74294" w:rsidRPr="00D74294" w:rsidRDefault="00D74294" w:rsidP="00D74294">
      <w:pPr>
        <w:pStyle w:val="Bullet1G"/>
      </w:pPr>
      <w:r w:rsidRPr="00D74294">
        <w:t xml:space="preserve">La iniciativa mundial </w:t>
      </w:r>
      <w:r w:rsidR="007C4727">
        <w:t>“</w:t>
      </w:r>
      <w:r w:rsidRPr="00D74294">
        <w:t>Educa a un Niño</w:t>
      </w:r>
      <w:r w:rsidR="007C4727">
        <w:t>”</w:t>
      </w:r>
      <w:r w:rsidRPr="00D74294">
        <w:t xml:space="preserve">, que pretende reducir el número de niños que han perdido su derecho a la educación en todo el mundo debido a los conflictos, las guerras y los desastres naturales, así como ayudar a los niños que viven en barrios marginales de las zonas urbanas y en zonas rurales remotas, y grupos que pueden enfrentarse a dificultades especiales para acceder a la educación, como las niñas, las personas </w:t>
      </w:r>
      <w:r w:rsidR="00061E5A">
        <w:t>con discapacidad y las minorías.</w:t>
      </w:r>
    </w:p>
    <w:p w:rsidR="00D74294" w:rsidRPr="00D74294" w:rsidRDefault="00D74294" w:rsidP="00D74294">
      <w:pPr>
        <w:pStyle w:val="Bullet1G"/>
      </w:pPr>
      <w:r w:rsidRPr="00D74294">
        <w:t>La Fundación para el Desarrollo Social de Qatar y Mauritania, cuyas actividades abarcan programas para erradicar el analfabetismo, especialmente entre los niños, mediante su educación y formación, así como crean</w:t>
      </w:r>
      <w:r w:rsidR="00061E5A">
        <w:t>do microempresas para ayudarlos.</w:t>
      </w:r>
    </w:p>
    <w:p w:rsidR="00D74294" w:rsidRPr="00D74294" w:rsidRDefault="00D74294" w:rsidP="00D74294">
      <w:pPr>
        <w:pStyle w:val="Bullet1G"/>
      </w:pPr>
      <w:r w:rsidRPr="00D74294">
        <w:t>El Fondo de Desarrollo de Qatar, que tiene como objetivo ayudar a los países árabes y a otros países en desarrollo a desarrollar sus economías y ejecutar programas en la materia.</w:t>
      </w:r>
    </w:p>
    <w:p w:rsidR="00D74294" w:rsidRPr="00D74294" w:rsidRDefault="00D74294" w:rsidP="00D74294">
      <w:pPr>
        <w:pStyle w:val="Bullet1G"/>
      </w:pPr>
      <w:r w:rsidRPr="00D74294">
        <w:t>Qatar ha contribuido significativamente al lanzamiento del Fondo Sur para el Desarrollo y la Asistencia Humanitaria, que incluye al Grupo de los 77 y China. El Fondo fue creado oficialmente durante la Segunda Cumbre Sur, celebrada en Doha en 2005.</w:t>
      </w:r>
    </w:p>
    <w:p w:rsidR="00D74294" w:rsidRPr="00D74294" w:rsidRDefault="00D74294" w:rsidP="00D74294">
      <w:pPr>
        <w:pStyle w:val="H1G"/>
      </w:pPr>
      <w:bookmarkStart w:id="53" w:name="_Toc281916566"/>
      <w:bookmarkStart w:id="54" w:name="_Toc281916781"/>
      <w:bookmarkStart w:id="55" w:name="_Toc281916945"/>
      <w:bookmarkStart w:id="56" w:name="_Toc282337908"/>
      <w:r w:rsidRPr="00D74294">
        <w:tab/>
        <w:t>C.</w:t>
      </w:r>
      <w:r w:rsidRPr="00D74294">
        <w:tab/>
        <w:t>Proceso de elaboración de informes a nivel nacional</w:t>
      </w:r>
      <w:bookmarkEnd w:id="53"/>
      <w:bookmarkEnd w:id="54"/>
      <w:bookmarkEnd w:id="55"/>
      <w:bookmarkEnd w:id="56"/>
    </w:p>
    <w:p w:rsidR="00D74294" w:rsidRPr="00D74294" w:rsidRDefault="00D74294" w:rsidP="00D74294">
      <w:pPr>
        <w:pStyle w:val="SingleTxtG"/>
      </w:pPr>
      <w:r w:rsidRPr="00D74294">
        <w:t>93.</w:t>
      </w:r>
      <w:r w:rsidRPr="00D74294">
        <w:tab/>
        <w:t xml:space="preserve">El Estado de Qatar trabaja para cumplir las obligaciones contraídas en virtud de todas las convenciones internacionales por él suscritas. El Consejo de Ministros crea comisiones conjuntas para la elaboración de informes nacionales sobre la aplicación de dichos convenios. Entre los miembros de dichas comisiones se cuentan representantes de las principales instancias gubernamentales concernidas. Además, una vez elaborados los informes, se consultan las opiniones y recomendaciones de la Comisión Nacional de Derechos Humanos. </w:t>
      </w:r>
    </w:p>
    <w:p w:rsidR="00D74294" w:rsidRPr="00D74294" w:rsidRDefault="00D74294" w:rsidP="00D74294">
      <w:pPr>
        <w:pStyle w:val="SingleTxtG"/>
      </w:pPr>
      <w:r w:rsidRPr="00D74294">
        <w:t>94.</w:t>
      </w:r>
      <w:r w:rsidRPr="00D74294">
        <w:tab/>
        <w:t xml:space="preserve">El Consejo de Ministros y el Ministerio de Relaciones Exteriores crean las delegaciones del Estado responsables de presentar los informes del Estado de Qatar y discutirlos ante los órganos creados en virtud de los tratados de derechos humanos. El Estado de Qatar vela por que dichas delegaciones sean altamente representativas de todas las instancias que participaron en la elaboración de los informes. El Estado de Qatar vela igualmente por hacer un seguimiento de las observaciones finales formuladas por los órganos creados en virtud de los tratados. El Ministerio de Relaciones Exteriores, en su calidad de principal organismo responsable, coordina todas las instancias encargadas de discutir las observaciones, así como insta a los diferentes Ministerios y organizaciones concernidas a tomar en consideración tales observaciones al formular sus planes y programas anuales. </w:t>
      </w:r>
    </w:p>
    <w:p w:rsidR="00D74294" w:rsidRPr="00D74294" w:rsidRDefault="00D74294" w:rsidP="00D74294">
      <w:pPr>
        <w:pStyle w:val="SingleTxtG"/>
      </w:pPr>
      <w:r w:rsidRPr="00D74294">
        <w:t>95.</w:t>
      </w:r>
      <w:r w:rsidRPr="00D74294">
        <w:tab/>
        <w:t>Por otro lado, el Consejo de Ministros aprobó la formación de un comité permanente para la preparación de los informes sobre el Examen Periódico Universal y el seguimiento de las recomendaciones emitidas después de cada informe. Este comité se formó por decisión del Consejo de Ministros en su 33ª sesión ordinaria, celebrada el 24 de noviembre de 2010. La elaboración del primer informe fue presidida por el Ministro de Estado de Relaciones Exteriores y contó con la presencia de representantes del Ministerio de Relaciones Exteriores, el Ministerio del Interior, el Ministerio de Desarrollo Administrativo, Trabajo y Asuntos Sociales, el Ministerio de Justicia, el Consejo Consultivo (</w:t>
      </w:r>
      <w:proofErr w:type="spellStart"/>
      <w:r w:rsidRPr="00D74294">
        <w:t>Shura</w:t>
      </w:r>
      <w:proofErr w:type="spellEnd"/>
      <w:r w:rsidRPr="00D74294">
        <w:t xml:space="preserve">), el Ministerio de Salud Pública, el Ministerio de Cultura y Deportes y el Ministerio de Educación y Enseñanza Superior. </w:t>
      </w:r>
    </w:p>
    <w:p w:rsidR="00D74294" w:rsidRPr="00D74294" w:rsidRDefault="00D74294" w:rsidP="00D74294">
      <w:pPr>
        <w:pStyle w:val="HChG"/>
      </w:pPr>
      <w:r w:rsidRPr="00D74294">
        <w:tab/>
        <w:t>III.</w:t>
      </w:r>
      <w:r w:rsidRPr="00D74294">
        <w:tab/>
        <w:t>Información sobre la no di</w:t>
      </w:r>
      <w:r>
        <w:t>scriminación, la igualdad y los recursos efectivos</w:t>
      </w:r>
    </w:p>
    <w:p w:rsidR="00D74294" w:rsidRPr="00D74294" w:rsidRDefault="00D74294" w:rsidP="00D74294">
      <w:pPr>
        <w:pStyle w:val="H1G"/>
      </w:pPr>
      <w:r w:rsidRPr="00D74294">
        <w:tab/>
        <w:t>A.</w:t>
      </w:r>
      <w:r w:rsidRPr="00D74294">
        <w:tab/>
        <w:t>No discriminación e</w:t>
      </w:r>
      <w:r>
        <w:t xml:space="preserve"> igualdad</w:t>
      </w:r>
    </w:p>
    <w:p w:rsidR="00D74294" w:rsidRPr="00D74294" w:rsidRDefault="00D74294" w:rsidP="00D74294">
      <w:pPr>
        <w:pStyle w:val="SingleTxtG"/>
      </w:pPr>
      <w:r w:rsidRPr="00D74294">
        <w:t>96.</w:t>
      </w:r>
      <w:r w:rsidRPr="00D74294">
        <w:tab/>
        <w:t>La Constitución Permanente del Estado, en sus artículos 18 y 19 del Título II (</w:t>
      </w:r>
      <w:r w:rsidR="007C4727">
        <w:t>“</w:t>
      </w:r>
      <w:r w:rsidRPr="00D74294">
        <w:t>De los fundamentos básicos de la sociedad</w:t>
      </w:r>
      <w:r w:rsidR="007C4727">
        <w:t>”</w:t>
      </w:r>
      <w:r w:rsidRPr="00D74294">
        <w:t xml:space="preserve">), consagra el marco jurídico de los principios de igualdad y no discriminación. El artículo 18 dispone que </w:t>
      </w:r>
      <w:r w:rsidR="007C4727">
        <w:t>“</w:t>
      </w:r>
      <w:r w:rsidRPr="00D74294">
        <w:t>la sociedad qatarí se sostiene sobre los principios de justicia, caridad, libertad, moralidad e igualdad</w:t>
      </w:r>
      <w:r w:rsidR="007C4727">
        <w:t>”</w:t>
      </w:r>
      <w:r w:rsidRPr="00D74294">
        <w:t xml:space="preserve">. El artículo 19 fortalece el anterior, inclusive el principio de igualdad, y dispone que </w:t>
      </w:r>
      <w:r w:rsidR="007C4727">
        <w:t>“</w:t>
      </w:r>
      <w:r w:rsidRPr="00D74294">
        <w:t>el Estado tutela los pilares de la sociedad y vela por la seguridad, la estabilidad y la igualdad de oportunidades para todos los ciudadanos</w:t>
      </w:r>
      <w:r w:rsidR="007C4727">
        <w:t>”</w:t>
      </w:r>
      <w:r w:rsidRPr="00D74294">
        <w:t>. Todas las políticas del Estado deben necesariamente garantizar los fundamentos de la sociedad consagrados en el artículo 18 y velar por ellos, incluido el principio de igualdad. Por otra parte, en cuanto que principio constitucional superior, ninguna ley o norma legislativa puede entrar en conflicto con el principio de igualdad. El Tribunal Constitucional se creó en virtud de la Ley núm. 12/2008, de 18 de junio de 2008, a fin de reforzar y potenciar esta protección constitucional. El Tribunal Constitucional es competente para resolver los litigios relativos a la constitucionalidad de los textos legislativos y reglamentarios.</w:t>
      </w:r>
    </w:p>
    <w:p w:rsidR="00D74294" w:rsidRPr="00D74294" w:rsidRDefault="00D74294" w:rsidP="00D74294">
      <w:pPr>
        <w:pStyle w:val="SingleTxtG"/>
      </w:pPr>
      <w:r w:rsidRPr="00D74294">
        <w:t>97.</w:t>
      </w:r>
      <w:r w:rsidRPr="00D74294">
        <w:tab/>
        <w:t>El principio general de igualdad consagrado en el artículo 18 de la Constitución se concreta en los artículos 34 y 35 de su Título III (</w:t>
      </w:r>
      <w:r w:rsidR="007C4727">
        <w:t>“</w:t>
      </w:r>
      <w:r w:rsidRPr="00D74294">
        <w:t>De los derechos y los deberes públicos</w:t>
      </w:r>
      <w:r w:rsidR="007C4727">
        <w:t>”</w:t>
      </w:r>
      <w:r w:rsidRPr="00D74294">
        <w:t xml:space="preserve">). Según el artículo 34, </w:t>
      </w:r>
      <w:r w:rsidR="007C4727">
        <w:t>“</w:t>
      </w:r>
      <w:r w:rsidRPr="00D74294">
        <w:t>los ciudadanos son iguales ante la ley en derechos y obligaciones</w:t>
      </w:r>
      <w:r w:rsidR="007C4727">
        <w:t>”</w:t>
      </w:r>
      <w:r w:rsidRPr="00D74294">
        <w:t xml:space="preserve">. El artículo 35 consagra el derecho a la igualdad ante la ley y a la no discriminación y afirma que </w:t>
      </w:r>
      <w:r w:rsidR="007C4727">
        <w:t>“</w:t>
      </w:r>
      <w:r w:rsidRPr="00D74294">
        <w:t>todas las personas son iguales ante la ley, sin discriminación por razón de sexo, origen, lengua o religión</w:t>
      </w:r>
      <w:r w:rsidR="007C4727">
        <w:t>”</w:t>
      </w:r>
      <w:r w:rsidRPr="00D74294">
        <w:t xml:space="preserve">. La Constitución dedica su Título III (arts. 34 a 58) a los derechos y las libertades fundamentales. En dicho articulado se adopta el principio de complementariedad, interrelación, interdependencia e indivisibilidad de los derechos humanos, así como se consagran los derechos económicos, sociales, culturales, civiles y políticos en términos de igualdad. El Título III de la Constitución también salvaguarda los derechos humanos ya que, al consagrar los derechos y las libertades generales con fuerza de norma constitucional, los hace prevalecer sobre las leyes ordinarias y de ese modo devienen jurídicamente vinculantes. </w:t>
      </w:r>
    </w:p>
    <w:p w:rsidR="00D74294" w:rsidRPr="00D74294" w:rsidRDefault="00D74294" w:rsidP="00D74294">
      <w:pPr>
        <w:pStyle w:val="SingleTxtG"/>
      </w:pPr>
      <w:r w:rsidRPr="00D74294">
        <w:t>98.</w:t>
      </w:r>
      <w:r w:rsidRPr="00D74294">
        <w:tab/>
        <w:t xml:space="preserve">La tutela constitucional del derecho a la igualdad y la no discriminación se reforzó con la adhesión en 1976 del Estado de Qatar a la Convención Internacional para Eliminación de Todas las Formas de Discriminación Racial. La Convención está en vigor y tiene fuerza de ley en aplicación del artículo 68 de la Constitución Permanente, según el cual, una vez ratificados y publicados en el </w:t>
      </w:r>
      <w:r w:rsidRPr="00915741">
        <w:rPr>
          <w:i/>
        </w:rPr>
        <w:t>Boletín Oficial del Estado</w:t>
      </w:r>
      <w:r w:rsidRPr="00D74294">
        <w:t xml:space="preserve">, los convenios y tratados tienen fuerza de ley. Nada, pues, impide a los tribunales de justicia aplicar la Convención. Además, el artículo 6 de la Constitución Permanente afirma que </w:t>
      </w:r>
      <w:r w:rsidR="007C4727">
        <w:t>“</w:t>
      </w:r>
      <w:r w:rsidRPr="00D74294">
        <w:t>el Estado respeta los tratados y los convenios internacionales y vela por que se apliquen todos los convenios y los pactos internacionales en los que Qatar sea parte</w:t>
      </w:r>
      <w:r w:rsidR="007C4727">
        <w:t>”</w:t>
      </w:r>
      <w:r w:rsidRPr="00D74294">
        <w:t>.</w:t>
      </w:r>
    </w:p>
    <w:p w:rsidR="00D74294" w:rsidRPr="00D74294" w:rsidRDefault="00D74294" w:rsidP="00D74294">
      <w:pPr>
        <w:pStyle w:val="SingleTxtG"/>
      </w:pPr>
      <w:r w:rsidRPr="00D74294">
        <w:t>99.</w:t>
      </w:r>
      <w:r w:rsidRPr="00D74294">
        <w:tab/>
        <w:t>A la tutela constitucional citada se suma</w:t>
      </w:r>
      <w:r w:rsidR="00896271">
        <w:t>n, entre otras, las siguientes L</w:t>
      </w:r>
      <w:r w:rsidRPr="00D74294">
        <w:t>eyes que preservan el principio de no discriminación:</w:t>
      </w:r>
    </w:p>
    <w:p w:rsidR="00D74294" w:rsidRPr="00D74294" w:rsidRDefault="00D74294" w:rsidP="00D74294">
      <w:pPr>
        <w:pStyle w:val="Bullet1G"/>
      </w:pPr>
      <w:r w:rsidRPr="00D74294">
        <w:t>Ley de Prensa y Publicaciones (núm. 8/1979).</w:t>
      </w:r>
    </w:p>
    <w:p w:rsidR="00D74294" w:rsidRPr="00D74294" w:rsidRDefault="00D74294" w:rsidP="00D74294">
      <w:pPr>
        <w:pStyle w:val="Bullet1G"/>
      </w:pPr>
      <w:r w:rsidRPr="00D74294">
        <w:t>Ley de Procedimiento Civil y Mercantil (núm. 13/1993).</w:t>
      </w:r>
    </w:p>
    <w:p w:rsidR="00D74294" w:rsidRPr="00D74294" w:rsidRDefault="00D74294" w:rsidP="00D74294">
      <w:pPr>
        <w:pStyle w:val="Bullet1G"/>
      </w:pPr>
      <w:r w:rsidRPr="00D74294">
        <w:t>Ley del Trabajo (núm. 14/2004 y sus enmiendas).</w:t>
      </w:r>
    </w:p>
    <w:p w:rsidR="00D74294" w:rsidRPr="00D74294" w:rsidRDefault="00D74294" w:rsidP="00D74294">
      <w:pPr>
        <w:pStyle w:val="Bullet1G"/>
      </w:pPr>
      <w:r w:rsidRPr="00D74294">
        <w:t>Ley de Procedimiento Penal (núm. 23/2004), que afirma la igualdad de todos los ciudadanos y los residentes en el territorio del Estado en relación con las actuaciones penales, la recopilación de pruebas, la investigación, el enjuiciamiento y la ejecución de la pena, ya que el derecho a la justicia es universal, sin distinción ni discriminación.</w:t>
      </w:r>
    </w:p>
    <w:p w:rsidR="00D74294" w:rsidRPr="00D74294" w:rsidRDefault="00D74294" w:rsidP="00D74294">
      <w:pPr>
        <w:pStyle w:val="Bullet1G"/>
      </w:pPr>
      <w:r w:rsidRPr="00D74294">
        <w:t>Las disposiciones del Código Civil (Ley núm. 22/2004) no distinguen entre los nacionales y los residentes en relación con los derechos civiles.</w:t>
      </w:r>
    </w:p>
    <w:p w:rsidR="00D74294" w:rsidRPr="00D74294" w:rsidRDefault="00D74294" w:rsidP="00D74294">
      <w:pPr>
        <w:pStyle w:val="Bullet1G"/>
      </w:pPr>
      <w:r w:rsidRPr="00D74294">
        <w:t>Ley de Familia (núm. 22/2006).</w:t>
      </w:r>
    </w:p>
    <w:p w:rsidR="00D74294" w:rsidRPr="00D74294" w:rsidRDefault="00D74294" w:rsidP="00D74294">
      <w:pPr>
        <w:pStyle w:val="Bullet1G"/>
      </w:pPr>
      <w:r w:rsidRPr="00D74294">
        <w:t>Ley de Resolución de Litigios Administrativos (núm. 7/2007).</w:t>
      </w:r>
    </w:p>
    <w:p w:rsidR="00D74294" w:rsidRPr="00D74294" w:rsidRDefault="00D74294" w:rsidP="00D74294">
      <w:pPr>
        <w:pStyle w:val="Bullet1G"/>
      </w:pPr>
      <w:r w:rsidRPr="00D74294">
        <w:t>Ley del Alto Tribunal Constitucional (núm. 12/2008).</w:t>
      </w:r>
    </w:p>
    <w:p w:rsidR="00D74294" w:rsidRPr="00D74294" w:rsidRDefault="00D74294" w:rsidP="00D74294">
      <w:pPr>
        <w:pStyle w:val="Bullet1G"/>
      </w:pPr>
      <w:r w:rsidRPr="00D74294">
        <w:t xml:space="preserve">Ley por la que se establece el montante de la composición </w:t>
      </w:r>
      <w:r w:rsidRPr="006140E7">
        <w:rPr>
          <w:i/>
        </w:rPr>
        <w:t>(</w:t>
      </w:r>
      <w:proofErr w:type="spellStart"/>
      <w:r w:rsidRPr="006140E7">
        <w:rPr>
          <w:i/>
          <w:iCs/>
        </w:rPr>
        <w:t>diya</w:t>
      </w:r>
      <w:proofErr w:type="spellEnd"/>
      <w:r w:rsidRPr="006140E7">
        <w:rPr>
          <w:i/>
        </w:rPr>
        <w:t>)</w:t>
      </w:r>
      <w:r w:rsidRPr="00D74294">
        <w:t xml:space="preserve"> en caso de homicidio involuntario (núm. 19/2008).</w:t>
      </w:r>
    </w:p>
    <w:p w:rsidR="00D74294" w:rsidRPr="00D74294" w:rsidRDefault="00D74294" w:rsidP="00D74294">
      <w:pPr>
        <w:pStyle w:val="Bullet1G"/>
      </w:pPr>
      <w:r w:rsidRPr="00D74294">
        <w:t>Código Penal (Ley núm. 11/2004) y sus modificaciones (Ley núm. 8/2010). Ley de Lucha contra la Trata de Personas (Ley núm. 15/2011).</w:t>
      </w:r>
    </w:p>
    <w:p w:rsidR="00D74294" w:rsidRPr="00D74294" w:rsidRDefault="00D74294" w:rsidP="00D74294">
      <w:pPr>
        <w:pStyle w:val="Bullet1G"/>
      </w:pPr>
      <w:r w:rsidRPr="00D74294">
        <w:t>Ley núm. 14/2014, de Lucha contra la Ciberdelincuencia.</w:t>
      </w:r>
    </w:p>
    <w:p w:rsidR="00D74294" w:rsidRPr="00D74294" w:rsidRDefault="00D74294" w:rsidP="00D74294">
      <w:pPr>
        <w:pStyle w:val="Bullet1G"/>
      </w:pPr>
      <w:r w:rsidRPr="00D74294">
        <w:t>Ley de la Entrada, la Salida y la Resid</w:t>
      </w:r>
      <w:r w:rsidR="006140E7">
        <w:t>encia de los Extranjeros (núm. 21</w:t>
      </w:r>
      <w:r w:rsidRPr="00D74294">
        <w:t>/20</w:t>
      </w:r>
      <w:r w:rsidR="006140E7">
        <w:t>15</w:t>
      </w:r>
      <w:r w:rsidRPr="00D74294">
        <w:t xml:space="preserve">). </w:t>
      </w:r>
    </w:p>
    <w:p w:rsidR="00D74294" w:rsidRPr="00D74294" w:rsidRDefault="00D74294" w:rsidP="00D74294">
      <w:pPr>
        <w:pStyle w:val="Bullet1G"/>
      </w:pPr>
      <w:r w:rsidRPr="00D74294">
        <w:t>Ley núm. 13/2016, de Protección de la Privacidad de los Datos Personales.</w:t>
      </w:r>
    </w:p>
    <w:p w:rsidR="00D74294" w:rsidRPr="00D74294" w:rsidRDefault="00D74294" w:rsidP="00D74294">
      <w:pPr>
        <w:pStyle w:val="SingleTxtG"/>
      </w:pPr>
      <w:r w:rsidRPr="00D74294">
        <w:t>100.</w:t>
      </w:r>
      <w:r w:rsidRPr="00D74294">
        <w:tab/>
        <w:t>Ley del Funcionariado Civil (núm. 15/2016), que establece el principio de igualdad y no discriminación de los funcionarios en derechos y deberes.</w:t>
      </w:r>
    </w:p>
    <w:p w:rsidR="00D74294" w:rsidRPr="00D74294" w:rsidRDefault="00D74294" w:rsidP="00D74294">
      <w:pPr>
        <w:pStyle w:val="SingleTxtG"/>
      </w:pPr>
      <w:r w:rsidRPr="00D74294">
        <w:t>101.</w:t>
      </w:r>
      <w:r w:rsidRPr="00D74294">
        <w:tab/>
        <w:t xml:space="preserve">El ordenamiento qatarí vela por que no existan lagunas legislativas que alimenten el racismo o las prácticas discriminatorias. El artículo 47 de la Ley de Prensa y Publicaciones (núm. 8/1979) prohíbe los materiales que pudieran generar conflictos sociales o tensiones sectarias, raciales o religiosas, y castiga a los infractores con la pena de hasta 6 meses de prisión o multa de hasta 3.000 riales, sin perjuicio de las sanciones previstas en el Código Penal. Según el artículo 2, párrafo 11, de la resolución del Ministro de Información y Cultura de 1992 sobre los principios y las normas para la censura, los organismos de ese Ministerio responsables de vigilar las obras escritas o audiovisuales impedirán la circulación, la difusión, la exposición o la publicidad de obras que supongan </w:t>
      </w:r>
      <w:r w:rsidR="007C4727">
        <w:t>“</w:t>
      </w:r>
      <w:r w:rsidRPr="00D74294">
        <w:t>la representación vejatoria de una raza o grupo étnico, salvo que ello fuera necesario para generar una impresión positiva dirigida a un fin superior</w:t>
      </w:r>
      <w:r w:rsidR="007C4727">
        <w:t>”</w:t>
      </w:r>
      <w:r w:rsidRPr="00D74294">
        <w:t>, como la eliminación de la segregación racial.</w:t>
      </w:r>
    </w:p>
    <w:p w:rsidR="00D74294" w:rsidRPr="00D74294" w:rsidRDefault="00D74294" w:rsidP="00D74294">
      <w:pPr>
        <w:pStyle w:val="SingleTxtG"/>
      </w:pPr>
      <w:r w:rsidRPr="00D74294">
        <w:t>102.</w:t>
      </w:r>
      <w:r w:rsidRPr="00D74294">
        <w:tab/>
        <w:t xml:space="preserve">El Código Penal qatarí de 2004 (Ley núm. 8/2010 y sus modificaciones) tipifica en su artículo 256 la blasfemia contra las religiones reveladas, la divinidad o los profetas, así como la destrucción, el vandalismo o la profanación de los edificios destinados a la celebración de ceremonias religiosas: </w:t>
      </w:r>
      <w:r w:rsidR="007C4727">
        <w:t>“</w:t>
      </w:r>
      <w:r w:rsidRPr="00D74294">
        <w:t xml:space="preserve">Será castigado con la pena de prisión de hasta siete años el que cometiere cualquiera de los siguientes actos: el vilipendio de una religión revelada y protegida por la </w:t>
      </w:r>
      <w:proofErr w:type="spellStart"/>
      <w:r w:rsidRPr="00D74294">
        <w:rPr>
          <w:i/>
          <w:iCs/>
        </w:rPr>
        <w:t>sharia</w:t>
      </w:r>
      <w:proofErr w:type="spellEnd"/>
      <w:r w:rsidRPr="00D74294">
        <w:t xml:space="preserve">; el vituperio de un profeta de viva voz, por escrito, mediante dibujos o insinuaciones o por cualquier otro medio; la destrucción o la profanación de una edificación, o de su contenido, destinada a la celebración de ceremonias propias de una religión revelada y protegida por la </w:t>
      </w:r>
      <w:proofErr w:type="spellStart"/>
      <w:r w:rsidRPr="00D74294">
        <w:rPr>
          <w:i/>
          <w:iCs/>
        </w:rPr>
        <w:t>sharia</w:t>
      </w:r>
      <w:proofErr w:type="spellEnd"/>
      <w:r w:rsidR="007C4727">
        <w:t>”</w:t>
      </w:r>
      <w:r w:rsidRPr="00D74294">
        <w:t>.</w:t>
      </w:r>
    </w:p>
    <w:p w:rsidR="00D74294" w:rsidRPr="00D74294" w:rsidRDefault="00D74294" w:rsidP="00D74294">
      <w:pPr>
        <w:pStyle w:val="SingleTxtG"/>
      </w:pPr>
      <w:r w:rsidRPr="00D74294">
        <w:t>103.</w:t>
      </w:r>
      <w:r w:rsidRPr="00D74294">
        <w:tab/>
        <w:t xml:space="preserve">Según el artículo 159 </w:t>
      </w:r>
      <w:r w:rsidRPr="00D74294">
        <w:rPr>
          <w:i/>
          <w:iCs/>
        </w:rPr>
        <w:t>bis</w:t>
      </w:r>
      <w:r w:rsidRPr="00D74294">
        <w:t xml:space="preserve"> del Código Penal, </w:t>
      </w:r>
      <w:r w:rsidR="007C4727">
        <w:t>“</w:t>
      </w:r>
      <w:r w:rsidRPr="00D74294">
        <w:t>será castigado con la pena de hasta cinco años de prisión el funcionario público u otra persona en el ejercicio de funciones públicas que empleare la tortura, incitare a emplearla, la consintiere o la ocultare. Se entenderá por tortura todo acto por el cual se inflija intencionadamente a una persona dolor o sufrimiento graves, ya sean físicos o mentales, con el fin de obtener, de ella o de un tercero, información o una confesión, castigarla por un acto que haya cometido o se sospeche que ella o un tercero cometió, o intimidar o coaccionar a esa persona o a un tercero, o por cualquier otra razón motivada por algún tipo de discriminación</w:t>
      </w:r>
      <w:r w:rsidR="007C4727">
        <w:t>”</w:t>
      </w:r>
      <w:r w:rsidRPr="00D74294">
        <w:t>.</w:t>
      </w:r>
    </w:p>
    <w:p w:rsidR="00D74294" w:rsidRPr="00D74294" w:rsidRDefault="00D74294" w:rsidP="00D74294">
      <w:pPr>
        <w:pStyle w:val="SingleTxtG"/>
      </w:pPr>
      <w:r w:rsidRPr="00D74294">
        <w:t>104.</w:t>
      </w:r>
      <w:r w:rsidRPr="00D74294">
        <w:tab/>
        <w:t xml:space="preserve">Por otro lado, la Constitución consagra el principio de la independencia judicial. Dispone en su artículo 130 que </w:t>
      </w:r>
      <w:r w:rsidR="007C4727">
        <w:t>“</w:t>
      </w:r>
      <w:r w:rsidRPr="00D74294">
        <w:t>el poder judicial es independiente y lo ejercen los órganos judiciales en sus diferentes jurisdicciones e instancias</w:t>
      </w:r>
      <w:r w:rsidR="007C4727">
        <w:t>”</w:t>
      </w:r>
      <w:r w:rsidRPr="00D74294">
        <w:t xml:space="preserve">. La Constitución confía a la integridad y la imparcialidad de los magistrados la defensa de los derechos y las libertades. El artículo 131 afirma: </w:t>
      </w:r>
      <w:r w:rsidR="007C4727">
        <w:t>“</w:t>
      </w:r>
      <w:r w:rsidRPr="00D74294">
        <w:t>Los jueces son independientes y solo se sujetan al imperio de la ley en el ejercicio de sus funciones. Nadie se injerirá en los asuntos o en el funcionamiento de la justicia</w:t>
      </w:r>
      <w:r w:rsidR="007C4727">
        <w:t>”</w:t>
      </w:r>
      <w:r w:rsidRPr="00D74294">
        <w:t xml:space="preserve">. La independencia del poder judicial también está consagrada en la Ley del Poder Judicial (núm. 10/2003), cuyo artículo 2 dispone que </w:t>
      </w:r>
      <w:r w:rsidR="007C4727">
        <w:t>“</w:t>
      </w:r>
      <w:r w:rsidRPr="00D74294">
        <w:t>los jueces son independientes y solo pueden ser removidos con sujeción a lo dispuesto en esta Ley. La independencia del poder judicial no será menoscabada ni se permitirá la injerencia en los asuntos de la justicia</w:t>
      </w:r>
      <w:r w:rsidR="007C4727">
        <w:t>”</w:t>
      </w:r>
      <w:r w:rsidRPr="00D74294">
        <w:t>. Con arreglo a lo dispuesto en la Ley núm. 10/2003, del Poder Judicial, los órganos judiciales del Estado de Qatar se dividen en: Tribunal Supremo, Tribunal de Apelación y Tribunal de Primera Instancia. El Consejo Superior de la Magistratura se estableció al amparo de lo dispuesto en la Ley del Poder Judicial para promover la independencia de ese poder. Este organismo está facultado para pronunciarse sobre las cuestiones relativas a la magistratura, examinar y proponer leyes que mejoren el sistema judicial, pronunciarse sobre los nombramientos, ascensos, traslados, destinos y jubilaciones de los magistrados, de conformidad con la Ley del Poder Judicial, e investigar las denuncias relacionadas con los miembros del poder judicial. Las resoluciones del Consejo Superior de la Magistratura son firmes. La Ley del Poder Judicial garantiza la independencia financiera de los tribunales y prevé la reserva de partidas independientes en los presupuestos generales del Estado.</w:t>
      </w:r>
    </w:p>
    <w:p w:rsidR="00D74294" w:rsidRPr="00D74294" w:rsidRDefault="00D74294" w:rsidP="00D74294">
      <w:pPr>
        <w:pStyle w:val="SingleTxtG"/>
      </w:pPr>
      <w:r w:rsidRPr="00D74294">
        <w:t>105.</w:t>
      </w:r>
      <w:r w:rsidRPr="00D74294">
        <w:tab/>
        <w:t>La Constitución de Qatar prevé el establecimiento de un mecanismo de vigilancia centralizada de la constitucionalidad de las normas legislativas que, regulado por la ley, mantenga un equilibrio óptimo entre los poderes del Estado. En este sentido, la Constitución de Qatar no difiere de la mayoría de las constituciones modernas. La Ley núm. 12/2008 prevé a tal efecto el establecimiento del Alto Tribunal Constitucional, órgano jurisdiccional independiente y financieramente autónomo con competencia para pronunciarse sobre la constitucionalidad de las leyes y los reglamentos, resolver los conflictos de competencia jurisdiccional y los relacionados con la ejecución de sentencias firmes discordantes dictadas por órganos judiciales o instancias con competencia judicial y, a solicitud del Primer Ministro o del Presidente del Consejo Consultivo (</w:t>
      </w:r>
      <w:proofErr w:type="spellStart"/>
      <w:r w:rsidRPr="00D74294">
        <w:t>Shura</w:t>
      </w:r>
      <w:proofErr w:type="spellEnd"/>
      <w:r w:rsidRPr="00D74294">
        <w:t>), interpretar la ley si se aplicare de forma discordante y su trascendencia exigiere una interpretación única. Con arreglo a las normas citadas, el Alto Tribunal Constitucional es competente para pronunciarse sobre la constitucionalidad de las leyes y los reglamentos, de oficio o a instancia de parte. Sus fallos y decisiones son firmes, no recurribles y vinculantes para todos los organismos públicos del Estado y para cuantos se hallen en su territorio. Según la Ley de Resolución de Litigios Contencioso-Administrativos (núm. 7/2007), el abuso de autoridad es causa de anulación de la resolución impugnada o supone la condena al pago de una indemnización. Esta norma ha fortalecido la independencia del poder judicial.</w:t>
      </w:r>
    </w:p>
    <w:p w:rsidR="00D74294" w:rsidRPr="00D74294" w:rsidRDefault="00D74294" w:rsidP="00D74294">
      <w:pPr>
        <w:pStyle w:val="SingleTxtG"/>
      </w:pPr>
      <w:r w:rsidRPr="00D74294">
        <w:t>106.</w:t>
      </w:r>
      <w:r w:rsidRPr="00D74294">
        <w:tab/>
        <w:t xml:space="preserve">La Constitución dedica su Título III (arts. 34 a 58) a los derechos y las libertades fundamentales. En dicho articulado se adopta el principio de complementariedad, interrelación, interdependencia e indivisibilidad de los derechos humanos, así como se consagran los derechos económicos, sociales, culturales, civiles y políticos en términos de igualdad. En relación con los derechos políticos conviene señalar que el artículo 42 de la Constitución qatarí tutela el derecho activo y pasivo de sufragio, sin discriminación por razón de sexo, origen, lengua o religión, con arreglo a lo dispuesto en el artículo 35 de la Constitución. La Constitución garantiza también el derecho a la participación política y el derecho a ocupar cargos públicos. Estos derechos políticos constitucionales deben interpretarse a la luz del artículo 34 de la Constitución, según el cual </w:t>
      </w:r>
      <w:r w:rsidR="007C4727">
        <w:t>“</w:t>
      </w:r>
      <w:r w:rsidRPr="00D74294">
        <w:t>los ciudadanos son iguales ante la ley en derechos y obligaciones</w:t>
      </w:r>
      <w:r w:rsidR="007C4727">
        <w:t>”</w:t>
      </w:r>
      <w:r w:rsidRPr="00D74294">
        <w:t xml:space="preserve">. Conviene </w:t>
      </w:r>
      <w:r w:rsidR="008D794A">
        <w:t>señalar también que el artículo </w:t>
      </w:r>
      <w:r w:rsidRPr="00D74294">
        <w:t>146 de la Constitución prohíbe restringir o menoscabar los derechos so pretexto de regularlos o modificarlos.</w:t>
      </w:r>
    </w:p>
    <w:p w:rsidR="00D74294" w:rsidRPr="00D74294" w:rsidRDefault="00D74294" w:rsidP="00D74294">
      <w:pPr>
        <w:pStyle w:val="SingleTxtG"/>
      </w:pPr>
      <w:r w:rsidRPr="00D74294">
        <w:t>107.</w:t>
      </w:r>
      <w:r w:rsidRPr="00D74294">
        <w:tab/>
        <w:t>A fin de reforzar y amparar los derechos políticos, se constituyó una dirección competente en el seno del Ministerio del Interior, la Dirección Electoral, establecida mediante resolución del Ministro de Interior, que se ocupa de gestionar los aspectos administrativos y organizativos de los procesos electorales, y vigila y desarrolla los procedimientos en la materia en coordinación con los organismos y las comisiones pertinentes. Además, se ocupa de desarrollar los procedimientos y los medios organizacionales del proceso electoral.</w:t>
      </w:r>
    </w:p>
    <w:p w:rsidR="00D74294" w:rsidRPr="00D74294" w:rsidRDefault="00D74294" w:rsidP="00D74294">
      <w:pPr>
        <w:pStyle w:val="SingleTxtG"/>
      </w:pPr>
      <w:r w:rsidRPr="00D74294">
        <w:t>108.</w:t>
      </w:r>
      <w:r w:rsidRPr="00D74294">
        <w:tab/>
        <w:t>Es de señalar que la primera vez en la que hombres y mujeres participaron en pie de igualdad fueron las celebradas en 1999, en las que tomaron parte por vez primera como votantes y candidatos en las primeras elecciones al Consejo Municipal Central, que se caracterizaron por la alta participación (77,4 % de las mujeres y 81,5 % de los hombres). Se presentaron 6 candidatas y ninguna resultó elegida. En las segundas elecciones disminuyó significativamente la participación (27 % de las mujeres y 36,2 % de los hombres), y en ellas una mujer ocupó 1 de los 29 escaños del organismo citado. En las terceras elecciones, que tuvieron lugar en 2007, la participación aumentó (51,8 % de las mujeres y 47,5 % de los hombres), se presentaron 3 candidatas y resultó elegida una de ellas. En las quintas elecciones, celebradas en 2015, aumentó de nuevo la participación entre los votantes de uno y otro sexo (70,3</w:t>
      </w:r>
      <w:r w:rsidR="00896271">
        <w:t xml:space="preserve"> </w:t>
      </w:r>
      <w:r w:rsidRPr="00D74294">
        <w:t xml:space="preserve">% de las mujeres y 65,2 % hombres). </w:t>
      </w:r>
    </w:p>
    <w:p w:rsidR="00D74294" w:rsidRPr="00F0382A" w:rsidRDefault="007D2CC4" w:rsidP="007D2CC4">
      <w:pPr>
        <w:pStyle w:val="H23G"/>
        <w:rPr>
          <w:b w:val="0"/>
          <w:sz w:val="16"/>
        </w:rPr>
      </w:pPr>
      <w:r w:rsidRPr="007D2CC4">
        <w:rPr>
          <w:b w:val="0"/>
        </w:rPr>
        <w:tab/>
      </w:r>
      <w:r w:rsidRPr="007D2CC4">
        <w:rPr>
          <w:b w:val="0"/>
        </w:rPr>
        <w:tab/>
        <w:t>Cuadro 14</w:t>
      </w:r>
      <w:r w:rsidRPr="007D2CC4">
        <w:rPr>
          <w:b w:val="0"/>
        </w:rPr>
        <w:br/>
      </w:r>
      <w:r w:rsidR="00D74294" w:rsidRPr="00D74294">
        <w:t>Participación política en los cuatro procesos electorales para la elección de los miembros del Consej</w:t>
      </w:r>
      <w:r w:rsidR="00F0382A">
        <w:t>o Municipal Central (2003-2015)</w:t>
      </w:r>
      <w:r w:rsidR="00F0382A">
        <w:br/>
      </w:r>
      <w:r w:rsidR="00D74294" w:rsidRPr="00F0382A">
        <w:rPr>
          <w:b w:val="0"/>
          <w:iCs/>
          <w:sz w:val="16"/>
        </w:rPr>
        <w:t>(</w:t>
      </w:r>
      <w:r w:rsidR="00F0382A" w:rsidRPr="00F0382A">
        <w:rPr>
          <w:b w:val="0"/>
          <w:iCs/>
          <w:sz w:val="16"/>
        </w:rPr>
        <w:t xml:space="preserve">Datos </w:t>
      </w:r>
      <w:r w:rsidR="00D74294" w:rsidRPr="00F0382A">
        <w:rPr>
          <w:b w:val="0"/>
          <w:iCs/>
          <w:sz w:val="16"/>
        </w:rPr>
        <w:t>desglosados por sexo)</w:t>
      </w:r>
    </w:p>
    <w:tbl>
      <w:tblPr>
        <w:tblStyle w:val="TableElegant11"/>
        <w:tblW w:w="8505" w:type="dxa"/>
        <w:tblInd w:w="113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993"/>
        <w:gridCol w:w="729"/>
        <w:gridCol w:w="830"/>
        <w:gridCol w:w="822"/>
        <w:gridCol w:w="797"/>
        <w:gridCol w:w="791"/>
        <w:gridCol w:w="805"/>
        <w:gridCol w:w="812"/>
        <w:gridCol w:w="792"/>
      </w:tblGrid>
      <w:tr w:rsidR="00D74294" w:rsidRPr="00D74294" w:rsidTr="00EF5DF3">
        <w:trPr>
          <w:cnfStyle w:val="100000000000" w:firstRow="1" w:lastRow="0" w:firstColumn="0" w:lastColumn="0" w:oddVBand="0" w:evenVBand="0" w:oddHBand="0" w:evenHBand="0" w:firstRowFirstColumn="0" w:firstRowLastColumn="0" w:lastRowFirstColumn="0" w:lastRowLastColumn="0"/>
          <w:trHeight w:val="240"/>
          <w:tblHeader/>
        </w:trPr>
        <w:tc>
          <w:tcPr>
            <w:tcW w:w="2127" w:type="dxa"/>
            <w:gridSpan w:val="2"/>
            <w:vMerge w:val="restart"/>
            <w:tcBorders>
              <w:top w:val="single" w:sz="4" w:space="0" w:color="auto"/>
              <w:bottom w:val="single" w:sz="12" w:space="0" w:color="auto"/>
            </w:tcBorders>
            <w:shd w:val="clear" w:color="auto" w:fill="auto"/>
            <w:vAlign w:val="bottom"/>
          </w:tcPr>
          <w:p w:rsidR="00D74294" w:rsidRPr="00D74294" w:rsidRDefault="00D74294" w:rsidP="00D74294">
            <w:pPr>
              <w:pStyle w:val="SingleTxtG"/>
              <w:spacing w:before="80" w:after="80" w:line="200" w:lineRule="exact"/>
              <w:ind w:left="0" w:right="0"/>
              <w:jc w:val="left"/>
              <w:rPr>
                <w:i/>
                <w:iCs/>
                <w:caps w:val="0"/>
                <w:sz w:val="16"/>
              </w:rPr>
            </w:pPr>
          </w:p>
        </w:tc>
        <w:tc>
          <w:tcPr>
            <w:tcW w:w="1559" w:type="dxa"/>
            <w:gridSpan w:val="2"/>
            <w:tcBorders>
              <w:top w:val="single" w:sz="4" w:space="0" w:color="auto"/>
              <w:bottom w:val="single" w:sz="4" w:space="0" w:color="auto"/>
              <w:right w:val="single" w:sz="24" w:space="0" w:color="FFFFFF" w:themeColor="background1"/>
            </w:tcBorders>
            <w:shd w:val="clear" w:color="auto" w:fill="auto"/>
            <w:vAlign w:val="bottom"/>
          </w:tcPr>
          <w:p w:rsidR="00D74294" w:rsidRPr="00D74294" w:rsidRDefault="00FB3B5E" w:rsidP="00EF5DF3">
            <w:pPr>
              <w:pStyle w:val="SingleTxtG"/>
              <w:spacing w:before="80" w:after="80" w:line="200" w:lineRule="exact"/>
              <w:ind w:left="0" w:right="0"/>
              <w:jc w:val="center"/>
              <w:rPr>
                <w:i/>
                <w:iCs/>
                <w:caps w:val="0"/>
                <w:sz w:val="16"/>
              </w:rPr>
            </w:pPr>
            <w:r>
              <w:rPr>
                <w:i/>
                <w:iCs/>
                <w:caps w:val="0"/>
                <w:sz w:val="16"/>
              </w:rPr>
              <w:t xml:space="preserve">Segundas elecciones </w:t>
            </w:r>
            <w:r w:rsidR="00D74294" w:rsidRPr="00D74294">
              <w:rPr>
                <w:i/>
                <w:iCs/>
                <w:caps w:val="0"/>
                <w:sz w:val="16"/>
              </w:rPr>
              <w:t>(2003)</w:t>
            </w:r>
          </w:p>
        </w:tc>
        <w:tc>
          <w:tcPr>
            <w:tcW w:w="161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D74294" w:rsidRPr="00D74294" w:rsidRDefault="00D74294" w:rsidP="00EF5DF3">
            <w:pPr>
              <w:pStyle w:val="SingleTxtG"/>
              <w:spacing w:before="80" w:after="80" w:line="200" w:lineRule="exact"/>
              <w:ind w:left="0" w:right="0"/>
              <w:jc w:val="center"/>
              <w:rPr>
                <w:i/>
                <w:iCs/>
                <w:caps w:val="0"/>
                <w:sz w:val="16"/>
              </w:rPr>
            </w:pPr>
            <w:r w:rsidRPr="00D74294">
              <w:rPr>
                <w:i/>
                <w:iCs/>
                <w:caps w:val="0"/>
                <w:sz w:val="16"/>
              </w:rPr>
              <w:t>Terceras elecciones (2007)</w:t>
            </w:r>
          </w:p>
        </w:tc>
        <w:tc>
          <w:tcPr>
            <w:tcW w:w="159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D74294" w:rsidRPr="00D74294" w:rsidRDefault="00D74294" w:rsidP="00EF5DF3">
            <w:pPr>
              <w:pStyle w:val="SingleTxtG"/>
              <w:spacing w:before="80" w:after="80" w:line="200" w:lineRule="exact"/>
              <w:ind w:left="0" w:right="0"/>
              <w:jc w:val="center"/>
              <w:rPr>
                <w:i/>
                <w:iCs/>
                <w:caps w:val="0"/>
                <w:sz w:val="16"/>
              </w:rPr>
            </w:pPr>
            <w:r w:rsidRPr="00D74294">
              <w:rPr>
                <w:i/>
                <w:iCs/>
                <w:caps w:val="0"/>
                <w:sz w:val="16"/>
              </w:rPr>
              <w:t>Cuartas elecciones (2011)</w:t>
            </w:r>
          </w:p>
        </w:tc>
        <w:tc>
          <w:tcPr>
            <w:tcW w:w="1604" w:type="dxa"/>
            <w:gridSpan w:val="2"/>
            <w:tcBorders>
              <w:top w:val="single" w:sz="4" w:space="0" w:color="auto"/>
              <w:left w:val="single" w:sz="24" w:space="0" w:color="FFFFFF" w:themeColor="background1"/>
              <w:bottom w:val="single" w:sz="4" w:space="0" w:color="auto"/>
            </w:tcBorders>
            <w:shd w:val="clear" w:color="auto" w:fill="auto"/>
            <w:vAlign w:val="bottom"/>
          </w:tcPr>
          <w:p w:rsidR="00D74294" w:rsidRPr="00D74294" w:rsidRDefault="00D74294" w:rsidP="00EF5DF3">
            <w:pPr>
              <w:pStyle w:val="SingleTxtG"/>
              <w:spacing w:before="80" w:after="80" w:line="200" w:lineRule="exact"/>
              <w:ind w:left="0" w:right="0"/>
              <w:jc w:val="center"/>
              <w:rPr>
                <w:i/>
                <w:iCs/>
                <w:caps w:val="0"/>
                <w:sz w:val="16"/>
              </w:rPr>
            </w:pPr>
            <w:r w:rsidRPr="00D74294">
              <w:rPr>
                <w:i/>
                <w:iCs/>
                <w:caps w:val="0"/>
                <w:sz w:val="16"/>
              </w:rPr>
              <w:t>Quintas elecciones (2015)</w:t>
            </w:r>
          </w:p>
        </w:tc>
      </w:tr>
      <w:tr w:rsidR="00D74294" w:rsidRPr="00D74294" w:rsidTr="00EF5DF3">
        <w:trPr>
          <w:cnfStyle w:val="100000000000" w:firstRow="1" w:lastRow="0" w:firstColumn="0" w:lastColumn="0" w:oddVBand="0" w:evenVBand="0" w:oddHBand="0" w:evenHBand="0" w:firstRowFirstColumn="0" w:firstRowLastColumn="0" w:lastRowFirstColumn="0" w:lastRowLastColumn="0"/>
          <w:trHeight w:val="240"/>
          <w:tblHeader/>
        </w:trPr>
        <w:tc>
          <w:tcPr>
            <w:tcW w:w="2127" w:type="dxa"/>
            <w:gridSpan w:val="2"/>
            <w:vMerge/>
            <w:tcBorders>
              <w:top w:val="single" w:sz="12" w:space="0" w:color="auto"/>
              <w:bottom w:val="single" w:sz="12" w:space="0" w:color="auto"/>
            </w:tcBorders>
            <w:shd w:val="clear" w:color="auto" w:fill="auto"/>
            <w:vAlign w:val="bottom"/>
          </w:tcPr>
          <w:p w:rsidR="00D74294" w:rsidRPr="00D74294" w:rsidRDefault="00D74294" w:rsidP="00D74294">
            <w:pPr>
              <w:pStyle w:val="SingleTxtG"/>
              <w:spacing w:before="40" w:after="40" w:line="220" w:lineRule="exact"/>
              <w:ind w:left="0" w:right="0"/>
              <w:jc w:val="left"/>
              <w:rPr>
                <w:caps w:val="0"/>
                <w:sz w:val="18"/>
                <w:rtl/>
              </w:rPr>
            </w:pPr>
          </w:p>
        </w:tc>
        <w:tc>
          <w:tcPr>
            <w:tcW w:w="729" w:type="dxa"/>
            <w:tcBorders>
              <w:top w:val="single" w:sz="4" w:space="0" w:color="auto"/>
              <w:bottom w:val="single" w:sz="12" w:space="0" w:color="auto"/>
            </w:tcBorders>
            <w:shd w:val="clear" w:color="auto" w:fill="auto"/>
            <w:vAlign w:val="bottom"/>
          </w:tcPr>
          <w:p w:rsidR="00D74294" w:rsidRPr="007D2CC4" w:rsidRDefault="00D74294" w:rsidP="00DF047C">
            <w:pPr>
              <w:pStyle w:val="SingleTxtG"/>
              <w:spacing w:before="80" w:after="80" w:line="200" w:lineRule="exact"/>
              <w:ind w:left="113" w:right="28"/>
              <w:jc w:val="right"/>
              <w:rPr>
                <w:i/>
                <w:iCs/>
                <w:caps w:val="0"/>
                <w:sz w:val="16"/>
              </w:rPr>
            </w:pPr>
            <w:r w:rsidRPr="007D2CC4">
              <w:rPr>
                <w:i/>
                <w:iCs/>
                <w:caps w:val="0"/>
                <w:sz w:val="16"/>
              </w:rPr>
              <w:t>Mujeres</w:t>
            </w:r>
          </w:p>
        </w:tc>
        <w:tc>
          <w:tcPr>
            <w:tcW w:w="830" w:type="dxa"/>
            <w:tcBorders>
              <w:top w:val="single" w:sz="4" w:space="0" w:color="auto"/>
              <w:bottom w:val="single" w:sz="12" w:space="0" w:color="auto"/>
              <w:right w:val="single" w:sz="24" w:space="0" w:color="FFFFFF" w:themeColor="background1"/>
            </w:tcBorders>
            <w:shd w:val="clear" w:color="auto" w:fill="auto"/>
            <w:vAlign w:val="bottom"/>
          </w:tcPr>
          <w:p w:rsidR="00D74294" w:rsidRPr="007D2CC4" w:rsidRDefault="00D74294" w:rsidP="00DF047C">
            <w:pPr>
              <w:pStyle w:val="SingleTxtG"/>
              <w:spacing w:before="80" w:after="80" w:line="200" w:lineRule="exact"/>
              <w:ind w:left="113" w:right="28"/>
              <w:jc w:val="right"/>
              <w:rPr>
                <w:i/>
                <w:iCs/>
                <w:caps w:val="0"/>
                <w:sz w:val="16"/>
              </w:rPr>
            </w:pPr>
            <w:r w:rsidRPr="007D2CC4">
              <w:rPr>
                <w:i/>
                <w:iCs/>
                <w:caps w:val="0"/>
                <w:sz w:val="16"/>
              </w:rPr>
              <w:t>Hombres</w:t>
            </w:r>
          </w:p>
        </w:tc>
        <w:tc>
          <w:tcPr>
            <w:tcW w:w="822" w:type="dxa"/>
            <w:tcBorders>
              <w:top w:val="single" w:sz="4" w:space="0" w:color="auto"/>
              <w:left w:val="single" w:sz="24" w:space="0" w:color="FFFFFF" w:themeColor="background1"/>
              <w:bottom w:val="single" w:sz="12" w:space="0" w:color="auto"/>
            </w:tcBorders>
            <w:shd w:val="clear" w:color="auto" w:fill="auto"/>
            <w:vAlign w:val="bottom"/>
          </w:tcPr>
          <w:p w:rsidR="00D74294" w:rsidRPr="007D2CC4" w:rsidRDefault="00D74294" w:rsidP="00DF047C">
            <w:pPr>
              <w:pStyle w:val="SingleTxtG"/>
              <w:spacing w:before="80" w:after="80" w:line="200" w:lineRule="exact"/>
              <w:ind w:left="113" w:right="28"/>
              <w:jc w:val="right"/>
              <w:rPr>
                <w:i/>
                <w:iCs/>
                <w:caps w:val="0"/>
                <w:sz w:val="16"/>
              </w:rPr>
            </w:pPr>
            <w:r w:rsidRPr="007D2CC4">
              <w:rPr>
                <w:i/>
                <w:iCs/>
                <w:caps w:val="0"/>
                <w:sz w:val="16"/>
              </w:rPr>
              <w:t>Mujeres</w:t>
            </w:r>
          </w:p>
        </w:tc>
        <w:tc>
          <w:tcPr>
            <w:tcW w:w="797" w:type="dxa"/>
            <w:tcBorders>
              <w:top w:val="single" w:sz="4" w:space="0" w:color="auto"/>
              <w:bottom w:val="single" w:sz="12" w:space="0" w:color="auto"/>
              <w:right w:val="single" w:sz="24" w:space="0" w:color="FFFFFF" w:themeColor="background1"/>
            </w:tcBorders>
            <w:shd w:val="clear" w:color="auto" w:fill="auto"/>
            <w:vAlign w:val="bottom"/>
          </w:tcPr>
          <w:p w:rsidR="00D74294" w:rsidRPr="007D2CC4" w:rsidRDefault="00D74294" w:rsidP="00DF047C">
            <w:pPr>
              <w:pStyle w:val="SingleTxtG"/>
              <w:spacing w:before="80" w:after="80" w:line="200" w:lineRule="exact"/>
              <w:ind w:left="113" w:right="28"/>
              <w:jc w:val="right"/>
              <w:rPr>
                <w:i/>
                <w:iCs/>
                <w:caps w:val="0"/>
                <w:sz w:val="16"/>
              </w:rPr>
            </w:pPr>
            <w:r w:rsidRPr="007D2CC4">
              <w:rPr>
                <w:i/>
                <w:iCs/>
                <w:caps w:val="0"/>
                <w:sz w:val="16"/>
              </w:rPr>
              <w:t>Hombres</w:t>
            </w:r>
          </w:p>
        </w:tc>
        <w:tc>
          <w:tcPr>
            <w:tcW w:w="791" w:type="dxa"/>
            <w:tcBorders>
              <w:top w:val="single" w:sz="4" w:space="0" w:color="auto"/>
              <w:left w:val="single" w:sz="24" w:space="0" w:color="FFFFFF" w:themeColor="background1"/>
              <w:bottom w:val="single" w:sz="12" w:space="0" w:color="auto"/>
            </w:tcBorders>
            <w:shd w:val="clear" w:color="auto" w:fill="auto"/>
            <w:vAlign w:val="bottom"/>
          </w:tcPr>
          <w:p w:rsidR="00D74294" w:rsidRPr="007D2CC4" w:rsidRDefault="00D74294" w:rsidP="00DF047C">
            <w:pPr>
              <w:pStyle w:val="SingleTxtG"/>
              <w:spacing w:before="80" w:after="80" w:line="200" w:lineRule="exact"/>
              <w:ind w:left="113" w:right="28"/>
              <w:jc w:val="right"/>
              <w:rPr>
                <w:i/>
                <w:iCs/>
                <w:caps w:val="0"/>
                <w:sz w:val="16"/>
              </w:rPr>
            </w:pPr>
            <w:r w:rsidRPr="007D2CC4">
              <w:rPr>
                <w:i/>
                <w:iCs/>
                <w:caps w:val="0"/>
                <w:sz w:val="16"/>
              </w:rPr>
              <w:t>Mujeres</w:t>
            </w:r>
          </w:p>
        </w:tc>
        <w:tc>
          <w:tcPr>
            <w:tcW w:w="805" w:type="dxa"/>
            <w:tcBorders>
              <w:top w:val="single" w:sz="4" w:space="0" w:color="auto"/>
              <w:bottom w:val="single" w:sz="12" w:space="0" w:color="auto"/>
              <w:right w:val="single" w:sz="24" w:space="0" w:color="FFFFFF" w:themeColor="background1"/>
            </w:tcBorders>
            <w:shd w:val="clear" w:color="auto" w:fill="auto"/>
            <w:vAlign w:val="bottom"/>
          </w:tcPr>
          <w:p w:rsidR="00D74294" w:rsidRPr="007D2CC4" w:rsidRDefault="00D74294" w:rsidP="00DF047C">
            <w:pPr>
              <w:pStyle w:val="SingleTxtG"/>
              <w:spacing w:before="80" w:after="80" w:line="200" w:lineRule="exact"/>
              <w:ind w:left="113" w:right="28"/>
              <w:jc w:val="right"/>
              <w:rPr>
                <w:i/>
                <w:iCs/>
                <w:caps w:val="0"/>
                <w:sz w:val="16"/>
              </w:rPr>
            </w:pPr>
            <w:r w:rsidRPr="007D2CC4">
              <w:rPr>
                <w:i/>
                <w:iCs/>
                <w:caps w:val="0"/>
                <w:sz w:val="16"/>
              </w:rPr>
              <w:t>Hombres</w:t>
            </w:r>
          </w:p>
        </w:tc>
        <w:tc>
          <w:tcPr>
            <w:tcW w:w="812" w:type="dxa"/>
            <w:tcBorders>
              <w:top w:val="single" w:sz="4" w:space="0" w:color="auto"/>
              <w:left w:val="single" w:sz="24" w:space="0" w:color="FFFFFF" w:themeColor="background1"/>
              <w:bottom w:val="single" w:sz="12" w:space="0" w:color="auto"/>
            </w:tcBorders>
            <w:shd w:val="clear" w:color="auto" w:fill="auto"/>
            <w:vAlign w:val="bottom"/>
          </w:tcPr>
          <w:p w:rsidR="00D74294" w:rsidRPr="007D2CC4" w:rsidRDefault="00D74294" w:rsidP="00DF047C">
            <w:pPr>
              <w:pStyle w:val="SingleTxtG"/>
              <w:spacing w:before="80" w:after="80" w:line="200" w:lineRule="exact"/>
              <w:ind w:left="113" w:right="28"/>
              <w:jc w:val="right"/>
              <w:rPr>
                <w:i/>
                <w:iCs/>
                <w:caps w:val="0"/>
                <w:sz w:val="16"/>
              </w:rPr>
            </w:pPr>
            <w:r w:rsidRPr="007D2CC4">
              <w:rPr>
                <w:i/>
                <w:iCs/>
                <w:caps w:val="0"/>
                <w:sz w:val="16"/>
              </w:rPr>
              <w:t>Mujeres</w:t>
            </w:r>
          </w:p>
        </w:tc>
        <w:tc>
          <w:tcPr>
            <w:tcW w:w="792" w:type="dxa"/>
            <w:tcBorders>
              <w:top w:val="single" w:sz="4" w:space="0" w:color="auto"/>
              <w:bottom w:val="single" w:sz="12" w:space="0" w:color="auto"/>
            </w:tcBorders>
            <w:shd w:val="clear" w:color="auto" w:fill="auto"/>
            <w:vAlign w:val="bottom"/>
          </w:tcPr>
          <w:p w:rsidR="00D74294" w:rsidRPr="007D2CC4" w:rsidRDefault="00D74294" w:rsidP="00DF047C">
            <w:pPr>
              <w:pStyle w:val="SingleTxtG"/>
              <w:spacing w:before="80" w:after="80" w:line="200" w:lineRule="exact"/>
              <w:ind w:left="113" w:right="28"/>
              <w:jc w:val="right"/>
              <w:rPr>
                <w:i/>
                <w:iCs/>
                <w:caps w:val="0"/>
                <w:sz w:val="16"/>
              </w:rPr>
            </w:pPr>
            <w:r w:rsidRPr="007D2CC4">
              <w:rPr>
                <w:i/>
                <w:iCs/>
                <w:caps w:val="0"/>
                <w:sz w:val="16"/>
              </w:rPr>
              <w:t>Hombres</w:t>
            </w:r>
          </w:p>
        </w:tc>
      </w:tr>
      <w:tr w:rsidR="00D74294" w:rsidRPr="00D74294" w:rsidTr="00EF5DF3">
        <w:trPr>
          <w:trHeight w:val="240"/>
        </w:trPr>
        <w:tc>
          <w:tcPr>
            <w:tcW w:w="1134" w:type="dxa"/>
            <w:vMerge w:val="restart"/>
            <w:tcBorders>
              <w:top w:val="single" w:sz="12" w:space="0" w:color="auto"/>
            </w:tcBorders>
            <w:shd w:val="clear" w:color="auto" w:fill="auto"/>
          </w:tcPr>
          <w:p w:rsidR="00D74294" w:rsidRPr="00D74294" w:rsidRDefault="00E35B46" w:rsidP="00D74294">
            <w:pPr>
              <w:pStyle w:val="SingleTxtG"/>
              <w:spacing w:before="40" w:after="40" w:line="220" w:lineRule="exact"/>
              <w:ind w:left="0" w:right="0"/>
              <w:jc w:val="left"/>
              <w:rPr>
                <w:sz w:val="18"/>
              </w:rPr>
            </w:pPr>
            <w:r>
              <w:rPr>
                <w:sz w:val="18"/>
              </w:rPr>
              <w:t>Número</w:t>
            </w:r>
          </w:p>
        </w:tc>
        <w:tc>
          <w:tcPr>
            <w:tcW w:w="993" w:type="dxa"/>
            <w:tcBorders>
              <w:top w:val="single" w:sz="12" w:space="0" w:color="auto"/>
            </w:tcBorders>
            <w:shd w:val="clear" w:color="auto" w:fill="auto"/>
          </w:tcPr>
          <w:p w:rsidR="00D74294" w:rsidRPr="00D74294" w:rsidRDefault="00D74294" w:rsidP="00D74294">
            <w:pPr>
              <w:pStyle w:val="SingleTxtG"/>
              <w:spacing w:before="40" w:after="40" w:line="220" w:lineRule="exact"/>
              <w:ind w:left="0" w:right="0"/>
              <w:jc w:val="left"/>
              <w:rPr>
                <w:sz w:val="18"/>
              </w:rPr>
            </w:pPr>
            <w:r w:rsidRPr="00D74294">
              <w:rPr>
                <w:sz w:val="18"/>
              </w:rPr>
              <w:t>Electores</w:t>
            </w:r>
          </w:p>
        </w:tc>
        <w:tc>
          <w:tcPr>
            <w:tcW w:w="729" w:type="dxa"/>
            <w:tcBorders>
              <w:top w:val="single" w:sz="12" w:space="0" w:color="auto"/>
            </w:tcBorders>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11 055</w:t>
            </w:r>
          </w:p>
        </w:tc>
        <w:tc>
          <w:tcPr>
            <w:tcW w:w="830" w:type="dxa"/>
            <w:tcBorders>
              <w:top w:val="single" w:sz="12" w:space="0" w:color="auto"/>
            </w:tcBorders>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13 124</w:t>
            </w:r>
          </w:p>
        </w:tc>
        <w:tc>
          <w:tcPr>
            <w:tcW w:w="822" w:type="dxa"/>
            <w:tcBorders>
              <w:top w:val="single" w:sz="12" w:space="0" w:color="auto"/>
            </w:tcBorders>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13 608</w:t>
            </w:r>
          </w:p>
        </w:tc>
        <w:tc>
          <w:tcPr>
            <w:tcW w:w="797" w:type="dxa"/>
            <w:tcBorders>
              <w:top w:val="single" w:sz="12" w:space="0" w:color="auto"/>
            </w:tcBorders>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14 531</w:t>
            </w:r>
          </w:p>
        </w:tc>
        <w:tc>
          <w:tcPr>
            <w:tcW w:w="791" w:type="dxa"/>
            <w:tcBorders>
              <w:top w:val="single" w:sz="12" w:space="0" w:color="auto"/>
            </w:tcBorders>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16 331</w:t>
            </w:r>
          </w:p>
        </w:tc>
        <w:tc>
          <w:tcPr>
            <w:tcW w:w="805" w:type="dxa"/>
            <w:tcBorders>
              <w:top w:val="single" w:sz="12" w:space="0" w:color="auto"/>
            </w:tcBorders>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16 441</w:t>
            </w:r>
          </w:p>
        </w:tc>
        <w:tc>
          <w:tcPr>
            <w:tcW w:w="812" w:type="dxa"/>
            <w:tcBorders>
              <w:top w:val="single" w:sz="12" w:space="0" w:color="auto"/>
            </w:tcBorders>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9 704</w:t>
            </w:r>
          </w:p>
        </w:tc>
        <w:tc>
          <w:tcPr>
            <w:tcW w:w="792" w:type="dxa"/>
            <w:tcBorders>
              <w:top w:val="single" w:sz="12" w:space="0" w:color="auto"/>
            </w:tcBorders>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12 031</w:t>
            </w:r>
          </w:p>
        </w:tc>
      </w:tr>
      <w:tr w:rsidR="00D74294" w:rsidRPr="00D74294" w:rsidTr="00EF5DF3">
        <w:trPr>
          <w:trHeight w:val="240"/>
        </w:trPr>
        <w:tc>
          <w:tcPr>
            <w:tcW w:w="1134" w:type="dxa"/>
            <w:vMerge/>
            <w:shd w:val="clear" w:color="auto" w:fill="auto"/>
          </w:tcPr>
          <w:p w:rsidR="00D74294" w:rsidRPr="00D74294" w:rsidRDefault="00D74294" w:rsidP="00D74294">
            <w:pPr>
              <w:pStyle w:val="SingleTxtG"/>
              <w:spacing w:before="40" w:after="40" w:line="220" w:lineRule="exact"/>
              <w:ind w:left="0" w:right="0"/>
              <w:jc w:val="left"/>
              <w:rPr>
                <w:sz w:val="18"/>
              </w:rPr>
            </w:pPr>
          </w:p>
        </w:tc>
        <w:tc>
          <w:tcPr>
            <w:tcW w:w="993" w:type="dxa"/>
            <w:shd w:val="clear" w:color="auto" w:fill="auto"/>
          </w:tcPr>
          <w:p w:rsidR="00D74294" w:rsidRPr="00D74294" w:rsidRDefault="00D74294" w:rsidP="00D74294">
            <w:pPr>
              <w:pStyle w:val="SingleTxtG"/>
              <w:spacing w:before="40" w:after="40" w:line="220" w:lineRule="exact"/>
              <w:ind w:left="0" w:right="0"/>
              <w:jc w:val="left"/>
              <w:rPr>
                <w:sz w:val="18"/>
              </w:rPr>
            </w:pPr>
            <w:r w:rsidRPr="00D74294">
              <w:rPr>
                <w:sz w:val="18"/>
              </w:rPr>
              <w:t>Votantes</w:t>
            </w:r>
          </w:p>
        </w:tc>
        <w:tc>
          <w:tcPr>
            <w:tcW w:w="729"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2 985</w:t>
            </w:r>
          </w:p>
        </w:tc>
        <w:tc>
          <w:tcPr>
            <w:tcW w:w="830"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4 757</w:t>
            </w:r>
          </w:p>
        </w:tc>
        <w:tc>
          <w:tcPr>
            <w:tcW w:w="822"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7 054</w:t>
            </w:r>
          </w:p>
        </w:tc>
        <w:tc>
          <w:tcPr>
            <w:tcW w:w="797"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6 905</w:t>
            </w:r>
          </w:p>
        </w:tc>
        <w:tc>
          <w:tcPr>
            <w:tcW w:w="791"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6 120</w:t>
            </w:r>
          </w:p>
        </w:tc>
        <w:tc>
          <w:tcPr>
            <w:tcW w:w="805"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7 486</w:t>
            </w:r>
          </w:p>
        </w:tc>
        <w:tc>
          <w:tcPr>
            <w:tcW w:w="812"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6 826</w:t>
            </w:r>
          </w:p>
        </w:tc>
        <w:tc>
          <w:tcPr>
            <w:tcW w:w="792"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7 844</w:t>
            </w:r>
          </w:p>
        </w:tc>
      </w:tr>
      <w:tr w:rsidR="00D74294" w:rsidRPr="00D74294" w:rsidTr="00EF5DF3">
        <w:trPr>
          <w:trHeight w:val="240"/>
        </w:trPr>
        <w:tc>
          <w:tcPr>
            <w:tcW w:w="1134" w:type="dxa"/>
            <w:vMerge/>
            <w:shd w:val="clear" w:color="auto" w:fill="auto"/>
          </w:tcPr>
          <w:p w:rsidR="00D74294" w:rsidRPr="00D74294" w:rsidRDefault="00D74294" w:rsidP="00D74294">
            <w:pPr>
              <w:pStyle w:val="SingleTxtG"/>
              <w:spacing w:before="40" w:after="40" w:line="220" w:lineRule="exact"/>
              <w:ind w:left="0" w:right="0"/>
              <w:jc w:val="left"/>
              <w:rPr>
                <w:sz w:val="18"/>
              </w:rPr>
            </w:pPr>
          </w:p>
        </w:tc>
        <w:tc>
          <w:tcPr>
            <w:tcW w:w="993" w:type="dxa"/>
            <w:shd w:val="clear" w:color="auto" w:fill="auto"/>
          </w:tcPr>
          <w:p w:rsidR="00D74294" w:rsidRPr="00D74294" w:rsidRDefault="00D74294" w:rsidP="00D74294">
            <w:pPr>
              <w:pStyle w:val="SingleTxtG"/>
              <w:spacing w:before="40" w:after="40" w:line="220" w:lineRule="exact"/>
              <w:ind w:left="0" w:right="0"/>
              <w:jc w:val="left"/>
              <w:rPr>
                <w:sz w:val="18"/>
              </w:rPr>
            </w:pPr>
            <w:r w:rsidRPr="00D74294">
              <w:rPr>
                <w:sz w:val="18"/>
              </w:rPr>
              <w:t>Candidatos</w:t>
            </w:r>
          </w:p>
        </w:tc>
        <w:tc>
          <w:tcPr>
            <w:tcW w:w="729"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1</w:t>
            </w:r>
          </w:p>
        </w:tc>
        <w:tc>
          <w:tcPr>
            <w:tcW w:w="830"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83</w:t>
            </w:r>
          </w:p>
        </w:tc>
        <w:tc>
          <w:tcPr>
            <w:tcW w:w="822"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3</w:t>
            </w:r>
          </w:p>
        </w:tc>
        <w:tc>
          <w:tcPr>
            <w:tcW w:w="797"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113</w:t>
            </w:r>
          </w:p>
        </w:tc>
        <w:tc>
          <w:tcPr>
            <w:tcW w:w="791"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4</w:t>
            </w:r>
          </w:p>
        </w:tc>
        <w:tc>
          <w:tcPr>
            <w:tcW w:w="805"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97</w:t>
            </w:r>
          </w:p>
        </w:tc>
        <w:tc>
          <w:tcPr>
            <w:tcW w:w="812"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5</w:t>
            </w:r>
          </w:p>
        </w:tc>
        <w:tc>
          <w:tcPr>
            <w:tcW w:w="792"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131</w:t>
            </w:r>
          </w:p>
        </w:tc>
      </w:tr>
      <w:tr w:rsidR="00D74294" w:rsidRPr="00D74294" w:rsidTr="00EF5DF3">
        <w:trPr>
          <w:trHeight w:val="240"/>
        </w:trPr>
        <w:tc>
          <w:tcPr>
            <w:tcW w:w="1134" w:type="dxa"/>
            <w:vMerge/>
            <w:shd w:val="clear" w:color="auto" w:fill="auto"/>
          </w:tcPr>
          <w:p w:rsidR="00D74294" w:rsidRPr="00D74294" w:rsidRDefault="00D74294" w:rsidP="00D74294">
            <w:pPr>
              <w:pStyle w:val="SingleTxtG"/>
              <w:spacing w:before="40" w:after="40" w:line="220" w:lineRule="exact"/>
              <w:ind w:left="0" w:right="0"/>
              <w:jc w:val="left"/>
              <w:rPr>
                <w:sz w:val="18"/>
                <w:rtl/>
              </w:rPr>
            </w:pPr>
          </w:p>
        </w:tc>
        <w:tc>
          <w:tcPr>
            <w:tcW w:w="993" w:type="dxa"/>
            <w:shd w:val="clear" w:color="auto" w:fill="auto"/>
          </w:tcPr>
          <w:p w:rsidR="00D74294" w:rsidRPr="00D74294" w:rsidRDefault="00D74294" w:rsidP="00D74294">
            <w:pPr>
              <w:pStyle w:val="SingleTxtG"/>
              <w:spacing w:before="40" w:after="40" w:line="220" w:lineRule="exact"/>
              <w:ind w:left="0" w:right="0"/>
              <w:jc w:val="left"/>
              <w:rPr>
                <w:sz w:val="18"/>
              </w:rPr>
            </w:pPr>
            <w:r w:rsidRPr="00D74294">
              <w:rPr>
                <w:sz w:val="18"/>
              </w:rPr>
              <w:t>Elegidos</w:t>
            </w:r>
          </w:p>
        </w:tc>
        <w:tc>
          <w:tcPr>
            <w:tcW w:w="729"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1</w:t>
            </w:r>
          </w:p>
        </w:tc>
        <w:tc>
          <w:tcPr>
            <w:tcW w:w="830"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28</w:t>
            </w:r>
          </w:p>
        </w:tc>
        <w:tc>
          <w:tcPr>
            <w:tcW w:w="822"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1</w:t>
            </w:r>
          </w:p>
        </w:tc>
        <w:tc>
          <w:tcPr>
            <w:tcW w:w="797"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28</w:t>
            </w:r>
          </w:p>
        </w:tc>
        <w:tc>
          <w:tcPr>
            <w:tcW w:w="791"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1</w:t>
            </w:r>
          </w:p>
        </w:tc>
        <w:tc>
          <w:tcPr>
            <w:tcW w:w="805"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28</w:t>
            </w:r>
          </w:p>
        </w:tc>
        <w:tc>
          <w:tcPr>
            <w:tcW w:w="812"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2</w:t>
            </w:r>
          </w:p>
        </w:tc>
        <w:tc>
          <w:tcPr>
            <w:tcW w:w="792"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27</w:t>
            </w:r>
          </w:p>
        </w:tc>
      </w:tr>
      <w:tr w:rsidR="00D74294" w:rsidRPr="00D74294" w:rsidTr="00EF5DF3">
        <w:trPr>
          <w:trHeight w:val="240"/>
        </w:trPr>
        <w:tc>
          <w:tcPr>
            <w:tcW w:w="1134" w:type="dxa"/>
            <w:vMerge w:val="restart"/>
            <w:shd w:val="clear" w:color="auto" w:fill="auto"/>
          </w:tcPr>
          <w:p w:rsidR="00D74294" w:rsidRPr="00D74294" w:rsidRDefault="00D74294" w:rsidP="00D74294">
            <w:pPr>
              <w:pStyle w:val="SingleTxtG"/>
              <w:spacing w:before="40" w:after="40" w:line="220" w:lineRule="exact"/>
              <w:ind w:left="0" w:right="0"/>
              <w:jc w:val="left"/>
              <w:rPr>
                <w:sz w:val="18"/>
              </w:rPr>
            </w:pPr>
            <w:r w:rsidRPr="00D74294">
              <w:rPr>
                <w:sz w:val="18"/>
              </w:rPr>
              <w:t>Porcentaje</w:t>
            </w:r>
          </w:p>
        </w:tc>
        <w:tc>
          <w:tcPr>
            <w:tcW w:w="993" w:type="dxa"/>
            <w:shd w:val="clear" w:color="auto" w:fill="auto"/>
          </w:tcPr>
          <w:p w:rsidR="00D74294" w:rsidRPr="00D74294" w:rsidRDefault="00D74294" w:rsidP="00D74294">
            <w:pPr>
              <w:pStyle w:val="SingleTxtG"/>
              <w:spacing w:before="40" w:after="40" w:line="220" w:lineRule="exact"/>
              <w:ind w:left="0" w:right="0"/>
              <w:jc w:val="left"/>
              <w:rPr>
                <w:sz w:val="18"/>
              </w:rPr>
            </w:pPr>
            <w:r w:rsidRPr="00D74294">
              <w:rPr>
                <w:sz w:val="18"/>
              </w:rPr>
              <w:t>Electores</w:t>
            </w:r>
          </w:p>
        </w:tc>
        <w:tc>
          <w:tcPr>
            <w:tcW w:w="729"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45,7</w:t>
            </w:r>
          </w:p>
        </w:tc>
        <w:tc>
          <w:tcPr>
            <w:tcW w:w="830"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54,3</w:t>
            </w:r>
          </w:p>
        </w:tc>
        <w:tc>
          <w:tcPr>
            <w:tcW w:w="822"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48,4</w:t>
            </w:r>
          </w:p>
        </w:tc>
        <w:tc>
          <w:tcPr>
            <w:tcW w:w="797"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51,6</w:t>
            </w:r>
          </w:p>
        </w:tc>
        <w:tc>
          <w:tcPr>
            <w:tcW w:w="791"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49,7</w:t>
            </w:r>
          </w:p>
        </w:tc>
        <w:tc>
          <w:tcPr>
            <w:tcW w:w="805"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50,3</w:t>
            </w:r>
          </w:p>
        </w:tc>
        <w:tc>
          <w:tcPr>
            <w:tcW w:w="812"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44,6</w:t>
            </w:r>
          </w:p>
        </w:tc>
        <w:tc>
          <w:tcPr>
            <w:tcW w:w="792"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55,4</w:t>
            </w:r>
          </w:p>
        </w:tc>
      </w:tr>
      <w:tr w:rsidR="00D74294" w:rsidRPr="00D74294" w:rsidTr="00EF5DF3">
        <w:trPr>
          <w:trHeight w:val="240"/>
        </w:trPr>
        <w:tc>
          <w:tcPr>
            <w:tcW w:w="1134" w:type="dxa"/>
            <w:vMerge/>
            <w:shd w:val="clear" w:color="auto" w:fill="auto"/>
          </w:tcPr>
          <w:p w:rsidR="00D74294" w:rsidRPr="00D74294" w:rsidRDefault="00D74294" w:rsidP="00D74294">
            <w:pPr>
              <w:pStyle w:val="SingleTxtG"/>
              <w:spacing w:before="40" w:after="40" w:line="220" w:lineRule="exact"/>
              <w:ind w:left="0" w:right="0"/>
              <w:jc w:val="left"/>
              <w:rPr>
                <w:sz w:val="18"/>
                <w:rtl/>
              </w:rPr>
            </w:pPr>
          </w:p>
        </w:tc>
        <w:tc>
          <w:tcPr>
            <w:tcW w:w="993" w:type="dxa"/>
            <w:shd w:val="clear" w:color="auto" w:fill="auto"/>
          </w:tcPr>
          <w:p w:rsidR="00D74294" w:rsidRPr="00D74294" w:rsidRDefault="00D74294" w:rsidP="00D74294">
            <w:pPr>
              <w:pStyle w:val="SingleTxtG"/>
              <w:spacing w:before="40" w:after="40" w:line="220" w:lineRule="exact"/>
              <w:ind w:left="0" w:right="0"/>
              <w:jc w:val="left"/>
              <w:rPr>
                <w:sz w:val="18"/>
              </w:rPr>
            </w:pPr>
            <w:r w:rsidRPr="00D74294">
              <w:rPr>
                <w:sz w:val="18"/>
              </w:rPr>
              <w:t>Votantes</w:t>
            </w:r>
          </w:p>
        </w:tc>
        <w:tc>
          <w:tcPr>
            <w:tcW w:w="729"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38,6</w:t>
            </w:r>
          </w:p>
        </w:tc>
        <w:tc>
          <w:tcPr>
            <w:tcW w:w="830"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61,4</w:t>
            </w:r>
          </w:p>
        </w:tc>
        <w:tc>
          <w:tcPr>
            <w:tcW w:w="822"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50,5</w:t>
            </w:r>
          </w:p>
        </w:tc>
        <w:tc>
          <w:tcPr>
            <w:tcW w:w="797"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49,5</w:t>
            </w:r>
          </w:p>
        </w:tc>
        <w:tc>
          <w:tcPr>
            <w:tcW w:w="791"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45,0</w:t>
            </w:r>
          </w:p>
        </w:tc>
        <w:tc>
          <w:tcPr>
            <w:tcW w:w="805"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55,0</w:t>
            </w:r>
          </w:p>
        </w:tc>
        <w:tc>
          <w:tcPr>
            <w:tcW w:w="812"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46,5</w:t>
            </w:r>
          </w:p>
        </w:tc>
        <w:tc>
          <w:tcPr>
            <w:tcW w:w="792"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53,5</w:t>
            </w:r>
          </w:p>
        </w:tc>
      </w:tr>
      <w:tr w:rsidR="00D74294" w:rsidRPr="00D74294" w:rsidTr="00EF5DF3">
        <w:trPr>
          <w:trHeight w:val="240"/>
        </w:trPr>
        <w:tc>
          <w:tcPr>
            <w:tcW w:w="1134" w:type="dxa"/>
            <w:vMerge/>
            <w:shd w:val="clear" w:color="auto" w:fill="auto"/>
          </w:tcPr>
          <w:p w:rsidR="00D74294" w:rsidRPr="00D74294" w:rsidRDefault="00D74294" w:rsidP="00D74294">
            <w:pPr>
              <w:pStyle w:val="SingleTxtG"/>
              <w:spacing w:before="40" w:after="40" w:line="220" w:lineRule="exact"/>
              <w:ind w:left="0" w:right="0"/>
              <w:jc w:val="left"/>
              <w:rPr>
                <w:sz w:val="18"/>
                <w:rtl/>
              </w:rPr>
            </w:pPr>
          </w:p>
        </w:tc>
        <w:tc>
          <w:tcPr>
            <w:tcW w:w="993" w:type="dxa"/>
            <w:shd w:val="clear" w:color="auto" w:fill="auto"/>
          </w:tcPr>
          <w:p w:rsidR="00D74294" w:rsidRPr="00D74294" w:rsidRDefault="00D74294" w:rsidP="00D74294">
            <w:pPr>
              <w:pStyle w:val="SingleTxtG"/>
              <w:spacing w:before="40" w:after="40" w:line="220" w:lineRule="exact"/>
              <w:ind w:left="0" w:right="0"/>
              <w:jc w:val="left"/>
              <w:rPr>
                <w:sz w:val="18"/>
              </w:rPr>
            </w:pPr>
            <w:r w:rsidRPr="00D74294">
              <w:rPr>
                <w:sz w:val="18"/>
              </w:rPr>
              <w:t>Candidatos</w:t>
            </w:r>
          </w:p>
        </w:tc>
        <w:tc>
          <w:tcPr>
            <w:tcW w:w="729"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1,2</w:t>
            </w:r>
          </w:p>
        </w:tc>
        <w:tc>
          <w:tcPr>
            <w:tcW w:w="830"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98,8</w:t>
            </w:r>
          </w:p>
        </w:tc>
        <w:tc>
          <w:tcPr>
            <w:tcW w:w="822"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2,6</w:t>
            </w:r>
          </w:p>
        </w:tc>
        <w:tc>
          <w:tcPr>
            <w:tcW w:w="797"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97,4</w:t>
            </w:r>
          </w:p>
        </w:tc>
        <w:tc>
          <w:tcPr>
            <w:tcW w:w="791"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4,0</w:t>
            </w:r>
          </w:p>
        </w:tc>
        <w:tc>
          <w:tcPr>
            <w:tcW w:w="805"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96,0</w:t>
            </w:r>
          </w:p>
        </w:tc>
        <w:tc>
          <w:tcPr>
            <w:tcW w:w="812"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3,7</w:t>
            </w:r>
          </w:p>
        </w:tc>
        <w:tc>
          <w:tcPr>
            <w:tcW w:w="792" w:type="dxa"/>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96,3</w:t>
            </w:r>
          </w:p>
        </w:tc>
      </w:tr>
      <w:tr w:rsidR="00D74294" w:rsidRPr="00D74294" w:rsidTr="00EF5DF3">
        <w:trPr>
          <w:trHeight w:val="240"/>
        </w:trPr>
        <w:tc>
          <w:tcPr>
            <w:tcW w:w="1134" w:type="dxa"/>
            <w:vMerge/>
            <w:tcBorders>
              <w:bottom w:val="single" w:sz="12" w:space="0" w:color="auto"/>
            </w:tcBorders>
            <w:shd w:val="clear" w:color="auto" w:fill="auto"/>
          </w:tcPr>
          <w:p w:rsidR="00D74294" w:rsidRPr="00D74294" w:rsidRDefault="00D74294" w:rsidP="00D74294">
            <w:pPr>
              <w:pStyle w:val="SingleTxtG"/>
              <w:spacing w:before="40" w:after="40" w:line="220" w:lineRule="exact"/>
              <w:ind w:left="0" w:right="0"/>
              <w:jc w:val="left"/>
              <w:rPr>
                <w:sz w:val="18"/>
                <w:rtl/>
              </w:rPr>
            </w:pPr>
          </w:p>
        </w:tc>
        <w:tc>
          <w:tcPr>
            <w:tcW w:w="993" w:type="dxa"/>
            <w:tcBorders>
              <w:bottom w:val="single" w:sz="12" w:space="0" w:color="auto"/>
            </w:tcBorders>
            <w:shd w:val="clear" w:color="auto" w:fill="auto"/>
          </w:tcPr>
          <w:p w:rsidR="00D74294" w:rsidRPr="00D74294" w:rsidRDefault="00D74294" w:rsidP="00D74294">
            <w:pPr>
              <w:pStyle w:val="SingleTxtG"/>
              <w:spacing w:before="40" w:after="40" w:line="220" w:lineRule="exact"/>
              <w:ind w:left="0" w:right="0"/>
              <w:jc w:val="left"/>
              <w:rPr>
                <w:sz w:val="18"/>
              </w:rPr>
            </w:pPr>
            <w:r w:rsidRPr="00D74294">
              <w:rPr>
                <w:sz w:val="18"/>
              </w:rPr>
              <w:t>Elegidos</w:t>
            </w:r>
          </w:p>
        </w:tc>
        <w:tc>
          <w:tcPr>
            <w:tcW w:w="729" w:type="dxa"/>
            <w:tcBorders>
              <w:bottom w:val="single" w:sz="12" w:space="0" w:color="auto"/>
            </w:tcBorders>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3,4</w:t>
            </w:r>
          </w:p>
        </w:tc>
        <w:tc>
          <w:tcPr>
            <w:tcW w:w="830" w:type="dxa"/>
            <w:tcBorders>
              <w:bottom w:val="single" w:sz="12" w:space="0" w:color="auto"/>
            </w:tcBorders>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96,6</w:t>
            </w:r>
          </w:p>
        </w:tc>
        <w:tc>
          <w:tcPr>
            <w:tcW w:w="822" w:type="dxa"/>
            <w:tcBorders>
              <w:bottom w:val="single" w:sz="12" w:space="0" w:color="auto"/>
            </w:tcBorders>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3,4</w:t>
            </w:r>
          </w:p>
        </w:tc>
        <w:tc>
          <w:tcPr>
            <w:tcW w:w="797" w:type="dxa"/>
            <w:tcBorders>
              <w:bottom w:val="single" w:sz="12" w:space="0" w:color="auto"/>
            </w:tcBorders>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96,6</w:t>
            </w:r>
          </w:p>
        </w:tc>
        <w:tc>
          <w:tcPr>
            <w:tcW w:w="791" w:type="dxa"/>
            <w:tcBorders>
              <w:bottom w:val="single" w:sz="12" w:space="0" w:color="auto"/>
            </w:tcBorders>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3,4</w:t>
            </w:r>
          </w:p>
        </w:tc>
        <w:tc>
          <w:tcPr>
            <w:tcW w:w="805" w:type="dxa"/>
            <w:tcBorders>
              <w:bottom w:val="single" w:sz="12" w:space="0" w:color="auto"/>
            </w:tcBorders>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96,6</w:t>
            </w:r>
          </w:p>
        </w:tc>
        <w:tc>
          <w:tcPr>
            <w:tcW w:w="812" w:type="dxa"/>
            <w:tcBorders>
              <w:bottom w:val="single" w:sz="12" w:space="0" w:color="auto"/>
            </w:tcBorders>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6,9</w:t>
            </w:r>
          </w:p>
        </w:tc>
        <w:tc>
          <w:tcPr>
            <w:tcW w:w="792" w:type="dxa"/>
            <w:tcBorders>
              <w:bottom w:val="single" w:sz="12" w:space="0" w:color="auto"/>
            </w:tcBorders>
            <w:shd w:val="clear" w:color="auto" w:fill="auto"/>
            <w:vAlign w:val="bottom"/>
          </w:tcPr>
          <w:p w:rsidR="00D74294" w:rsidRPr="00D74294" w:rsidRDefault="00D74294" w:rsidP="00DF047C">
            <w:pPr>
              <w:pStyle w:val="SingleTxtG"/>
              <w:spacing w:before="40" w:after="40" w:line="220" w:lineRule="exact"/>
              <w:ind w:left="113" w:right="28"/>
              <w:jc w:val="right"/>
              <w:rPr>
                <w:sz w:val="18"/>
              </w:rPr>
            </w:pPr>
            <w:r w:rsidRPr="00D74294">
              <w:rPr>
                <w:sz w:val="18"/>
              </w:rPr>
              <w:t>93,1</w:t>
            </w:r>
          </w:p>
        </w:tc>
      </w:tr>
    </w:tbl>
    <w:p w:rsidR="00D74294" w:rsidRPr="007D2CC4" w:rsidRDefault="00D74294" w:rsidP="007D2CC4">
      <w:pPr>
        <w:pStyle w:val="SingleTxtG"/>
        <w:spacing w:before="120" w:after="240"/>
        <w:ind w:firstLine="170"/>
        <w:jc w:val="left"/>
        <w:rPr>
          <w:sz w:val="18"/>
        </w:rPr>
      </w:pPr>
      <w:r w:rsidRPr="007D2CC4">
        <w:rPr>
          <w:i/>
          <w:iCs/>
          <w:sz w:val="18"/>
        </w:rPr>
        <w:t>Fuente:</w:t>
      </w:r>
      <w:r w:rsidR="007D2CC4" w:rsidRPr="007D2CC4">
        <w:rPr>
          <w:sz w:val="18"/>
        </w:rPr>
        <w:t xml:space="preserve"> </w:t>
      </w:r>
      <w:r w:rsidRPr="007D2CC4">
        <w:rPr>
          <w:sz w:val="18"/>
        </w:rPr>
        <w:t>Ministerio de Planificación del Desarrollo y Estadísticas.</w:t>
      </w:r>
    </w:p>
    <w:p w:rsidR="00D74294" w:rsidRPr="00D74294" w:rsidRDefault="00D74294" w:rsidP="00D74294">
      <w:pPr>
        <w:pStyle w:val="SingleTxtG"/>
      </w:pPr>
      <w:r w:rsidRPr="00D74294">
        <w:t>109.</w:t>
      </w:r>
      <w:r w:rsidRPr="00D74294">
        <w:tab/>
        <w:t xml:space="preserve">La Constitución del Estado de Qatar garantiza numerosos derechos civiles reconocidos por el derecho internacional de los derechos humanos, entre otros los derechos a la libertad de circulación, a salir del país y a regresar a él, a la nacionalidad, a heredar y a la libertad de pensamiento, conciencia y religión. </w:t>
      </w:r>
    </w:p>
    <w:p w:rsidR="00D74294" w:rsidRPr="00D74294" w:rsidRDefault="00D74294" w:rsidP="00D74294">
      <w:pPr>
        <w:pStyle w:val="SingleTxtG"/>
      </w:pPr>
      <w:r w:rsidRPr="00D74294">
        <w:t>110.</w:t>
      </w:r>
      <w:r w:rsidRPr="00D74294">
        <w:tab/>
        <w:t xml:space="preserve">La Constitución de Qatar garantiza a los nacionales y extranjeros, en condiciones de igualdad, el derecho a la libertad de circulación y de residencia y a viajar fuera del Estado. Según su artículo 36, </w:t>
      </w:r>
      <w:r w:rsidR="007C4727">
        <w:t>“</w:t>
      </w:r>
      <w:r w:rsidRPr="00D74294">
        <w:t>la libertad personal está garantizada. Nadie será detenido o recluido, ni verá restringida su libertad de residencia y circulación, salvo con sujeción a la ley</w:t>
      </w:r>
      <w:r w:rsidR="007C4727">
        <w:t>”</w:t>
      </w:r>
      <w:r w:rsidRPr="00D74294">
        <w:t xml:space="preserve">. Para reforzar esa tutela constitucional, la Ley de la Entrada, la Salida y la Residencia de los Extranjeros (núm. 21/2015 y sus modificaciones) dispone que, si avisa a la autoridad competente al menos con tres días laborables de antelación, el trabajador migratorio podrá abandonar el territorio del Estado sin la autorización del empleador. </w:t>
      </w:r>
    </w:p>
    <w:p w:rsidR="00D74294" w:rsidRPr="00D74294" w:rsidRDefault="00D74294" w:rsidP="00D74294">
      <w:pPr>
        <w:pStyle w:val="SingleTxtG"/>
      </w:pPr>
      <w:r w:rsidRPr="00D74294">
        <w:t>111.</w:t>
      </w:r>
      <w:r w:rsidRPr="00D74294">
        <w:tab/>
        <w:t>El legislador qatarí garantiza a las personas con discapacidad, en igualdad de condiciones con las demás, la libertad para circular dentro y fuera del país cuando le plazca, fijar el lugar de residencia que desee, viajar temporalmente fuera del país y regresar a él. La persona con discapacidad no será expulsada de su lugar de residencia y tampoco se le impedirá regresar a él. Se han colocado placas especiales y señales de estacionamiento reservado para personas con discapacidad en todos los aparcamientos públicos, en los mercados, los centros comerciales y las dependencias gubernamentales. El Ministerio de Desarrollo Administrativo, Trabajo y Asuntos Sociales, por conducto de las asociaciones y los organismos de él dependientes y en aplicación de la Ley núm. 12/2004 (modificada mediante la Ley núm. 10/2010), ha formado a las personas con discapacidad y al personal especializado a su servicio en habilidades para la movilidad, y ha desarrollado una labor eficaz para promover la movilidad de esas personas y sus capacidades y poner a su disposición personal que les asista.</w:t>
      </w:r>
    </w:p>
    <w:p w:rsidR="00D74294" w:rsidRPr="00D74294" w:rsidRDefault="00D74294" w:rsidP="00D74294">
      <w:pPr>
        <w:pStyle w:val="SingleTxtG"/>
      </w:pPr>
      <w:r w:rsidRPr="00D74294">
        <w:t>112.</w:t>
      </w:r>
      <w:r w:rsidRPr="00D74294">
        <w:tab/>
        <w:t xml:space="preserve">La educación es un derecho fundamental que la Constitución qatarí considera una piedra angular para el adelanto social. El Estado tutela la educación y vela por su universalización. Para salvaguardar el derecho a la educación, el artículo 25 de la Constitución de Qatar establece que </w:t>
      </w:r>
      <w:r w:rsidR="007C4727">
        <w:t>“</w:t>
      </w:r>
      <w:r w:rsidRPr="00D74294">
        <w:t>la educación es uno de los pilares básicos del desarrollo social. El Estado garantiza la educación y vela por su difusión y universalización</w:t>
      </w:r>
      <w:r w:rsidR="007C4727">
        <w:t>”</w:t>
      </w:r>
      <w:r w:rsidRPr="00D74294">
        <w:t xml:space="preserve">. El artículo 49, por su parte, dispone que </w:t>
      </w:r>
      <w:r w:rsidR="007C4727">
        <w:t>“</w:t>
      </w:r>
      <w:r w:rsidRPr="00D74294">
        <w:t>todo ciudadano tiene derecho a la educación. El Estado vela por que la educación general sea obligatoria y gratuita con arreglo a lo dispuesto en las leyes y en los reglamentos en vigor en el Estado de Qatar</w:t>
      </w:r>
      <w:r w:rsidR="007C4727">
        <w:t>”</w:t>
      </w:r>
      <w:r w:rsidRPr="00D74294">
        <w:t>. En aplicación de ese precepto, el Ministerio de Educación y Enseñanza Superior ha formulado diversas políticas reglamentarias para promover los derechos humanos, entre otras políticas sobre el ingreso y la escolarización, la evaluación del alumnado, inclusive la conductual, y la elaboración del Pacto Deontológico (un documento relativo a la ética profesional de los docentes).</w:t>
      </w:r>
    </w:p>
    <w:p w:rsidR="00D74294" w:rsidRPr="00D74294" w:rsidRDefault="00D74294" w:rsidP="00D74294">
      <w:pPr>
        <w:pStyle w:val="SingleTxtG"/>
      </w:pPr>
      <w:r w:rsidRPr="00D74294">
        <w:t>113.</w:t>
      </w:r>
      <w:r w:rsidRPr="00D74294">
        <w:tab/>
        <w:t>El Estado de Qatar ha dado acceso a la educación a todos los niños en su territorio y para lograrlo ha adoptado, entre otras, las siguientes medidas:</w:t>
      </w:r>
    </w:p>
    <w:p w:rsidR="00D74294" w:rsidRPr="00D74294" w:rsidRDefault="00D74294" w:rsidP="00D74294">
      <w:pPr>
        <w:pStyle w:val="Bullet1G"/>
      </w:pPr>
      <w:r w:rsidRPr="00D74294">
        <w:t xml:space="preserve">La Ley de la Enseñanza Obligatoria (núm. 25/2001), modificada mediante la Ley núm. 25/2009, incluye 13 artículos que describen los procedimientos y las medidas para la escolarización, las instancias responsables de aplicar sus disposiciones y las sanciones para sus infractores. Se han modificado las sanciones previstas para quienes, sin excusa válida, se abstengan de escolarizar a los niños en la educación obligatoria (multa </w:t>
      </w:r>
      <w:r w:rsidR="001710EA">
        <w:t>de entre 5.000 y 10.000 riales).</w:t>
      </w:r>
    </w:p>
    <w:p w:rsidR="00D74294" w:rsidRPr="00D74294" w:rsidRDefault="00D74294" w:rsidP="00D74294">
      <w:pPr>
        <w:pStyle w:val="Bullet1G"/>
      </w:pPr>
      <w:r w:rsidRPr="00D74294">
        <w:t xml:space="preserve">La </w:t>
      </w:r>
      <w:r w:rsidR="00403650" w:rsidRPr="00D74294">
        <w:t xml:space="preserve">Resolución Ministerial </w:t>
      </w:r>
      <w:r w:rsidRPr="00D74294">
        <w:t xml:space="preserve">núm. 10/2010 estableció una comisión de seguimiento de las infracciones a la Ley de la Obligatoriedad de la Educación cometidas por padres y tutores. El artículo 8 de esa </w:t>
      </w:r>
      <w:r w:rsidR="00403650" w:rsidRPr="00D74294">
        <w:t xml:space="preserve">Resolución </w:t>
      </w:r>
      <w:r w:rsidRPr="00D74294">
        <w:t>define las funciones y las competencias asignadas a esa comisión: elaborar una relación de los casos afectados, analizar las causas que propiciaron la situación, adoptar las medidas que convengan, fijar el papel de las instancias concernidas y pr</w:t>
      </w:r>
      <w:r w:rsidR="001710EA">
        <w:t>oponer medidas de procedimiento.</w:t>
      </w:r>
    </w:p>
    <w:p w:rsidR="00D74294" w:rsidRPr="00D74294" w:rsidRDefault="00D74294" w:rsidP="00D74294">
      <w:pPr>
        <w:pStyle w:val="Bullet1G"/>
      </w:pPr>
      <w:r w:rsidRPr="00D74294">
        <w:t xml:space="preserve">La Ley del Fondo para la Salud y la Educación (núm. 6/2013) garantiza recursos financieros sostenibles a los servicios educativos y sanitarios e identifica a las instancias responsables de la gestión del Fondo. </w:t>
      </w:r>
    </w:p>
    <w:p w:rsidR="00D74294" w:rsidRPr="00D74294" w:rsidRDefault="00D74294" w:rsidP="00D74294">
      <w:pPr>
        <w:pStyle w:val="SingleTxtG"/>
      </w:pPr>
      <w:r w:rsidRPr="00D74294">
        <w:t>114.</w:t>
      </w:r>
      <w:r w:rsidRPr="00D74294">
        <w:tab/>
        <w:t>El Estado de Qatar vela por que los hijos de los residentes extranjeros tengan acceso a la educación y ha posibilitado que se escolaricen, según deseen sus padres o tutores, en los centros educativos públicos y privados. El Estado también ha abierto escuelas para las comunidades extranjeras, escuelas internacionales y escuelas comunitarias privadas. Qatar dispone de 160 de esos centros, a los que se suman 85 guarderías, y a ellas asiste el 58 % del alumnado escolarizado.</w:t>
      </w:r>
    </w:p>
    <w:p w:rsidR="00D74294" w:rsidRPr="00D74294" w:rsidRDefault="00D74294" w:rsidP="00D74294">
      <w:pPr>
        <w:pStyle w:val="SingleTxtG"/>
      </w:pPr>
      <w:r w:rsidRPr="00D74294">
        <w:t>115.</w:t>
      </w:r>
      <w:r w:rsidRPr="00D74294">
        <w:tab/>
        <w:t>El Estado de Qatar, considerando su creciente movilidad humana, habilita cada año nuevos centros escolares, públicos y privados, que permitan cubrir las necesidades educativas de todos. El Ministerio de Educación y de Enseñanza Superior brinda a todos los alumnos, sin discriminación, oportunidades educativas adecuadas y proporciona diversos servicios a las escuelas privadas, como exención de impuestos en el suministro eléctrico y de agua, autorizaciones aduaneras y parcelas para los centros con acreditación nacional, local o internacional. El Ministerio ha hecho efectivos los acuerdos suscritos con las instancias concernidas (Ministerio de Salud y Ministerio de Interior) para garantizar que los niños de nacionalidad qatarí tengan acceso a la educación, y ha realizado una supervisión cabal de la matriculación fuera de plazo de los alumnos extranjeros, les ha facilitado los trámites y los ha asesorado. La Dirección de Educación garantiza así que todos los ciudadanos tengan acceso a los servicios educativos que deseen.</w:t>
      </w:r>
    </w:p>
    <w:p w:rsidR="00D74294" w:rsidRPr="00D74294" w:rsidRDefault="00D74294" w:rsidP="00D74294">
      <w:pPr>
        <w:pStyle w:val="SingleTxtG"/>
      </w:pPr>
      <w:r w:rsidRPr="00D74294">
        <w:t>116.</w:t>
      </w:r>
      <w:r w:rsidRPr="00D74294">
        <w:tab/>
        <w:t xml:space="preserve">Gracias a una resolución promulgada en 2007 por su Alteza la Jequesa </w:t>
      </w:r>
      <w:proofErr w:type="spellStart"/>
      <w:r w:rsidRPr="00D74294">
        <w:t>Mozah</w:t>
      </w:r>
      <w:proofErr w:type="spellEnd"/>
      <w:r w:rsidRPr="00D74294">
        <w:t xml:space="preserve"> </w:t>
      </w:r>
      <w:proofErr w:type="spellStart"/>
      <w:r w:rsidRPr="00D74294">
        <w:t>Bint</w:t>
      </w:r>
      <w:proofErr w:type="spellEnd"/>
      <w:r w:rsidRPr="00D74294">
        <w:t xml:space="preserve"> </w:t>
      </w:r>
      <w:proofErr w:type="spellStart"/>
      <w:r w:rsidRPr="00D74294">
        <w:t>Nasser</w:t>
      </w:r>
      <w:proofErr w:type="spellEnd"/>
      <w:r w:rsidRPr="00D74294">
        <w:t xml:space="preserve"> en el marco de una iniciativa para el desarrollo educativo, el Estado ha atraído a escuelas extranjeras de excelencia que satisfagan la demanda creciente de este tipo de centros en el país. Los cuadros siguientes revelan la igualdad de oportunidades educativas en el Estado de Qatar.</w:t>
      </w:r>
    </w:p>
    <w:p w:rsidR="00D74294" w:rsidRPr="00D74294" w:rsidRDefault="00935F0A" w:rsidP="00935F0A">
      <w:pPr>
        <w:pStyle w:val="H23G"/>
      </w:pPr>
      <w:r w:rsidRPr="00935F0A">
        <w:rPr>
          <w:b w:val="0"/>
        </w:rPr>
        <w:tab/>
      </w:r>
      <w:r w:rsidRPr="00935F0A">
        <w:rPr>
          <w:b w:val="0"/>
        </w:rPr>
        <w:tab/>
        <w:t>Cuadro 15</w:t>
      </w:r>
      <w:r w:rsidRPr="00935F0A">
        <w:rPr>
          <w:b w:val="0"/>
        </w:rPr>
        <w:br/>
      </w:r>
      <w:r w:rsidR="00D74294" w:rsidRPr="00D74294">
        <w:t>Alumnos matriculados en la enseñanza pública en el curso 2015/16, con datos desglosados por ciclo educativo, sexo y nacionalidad</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483"/>
        <w:gridCol w:w="922"/>
        <w:gridCol w:w="798"/>
        <w:gridCol w:w="741"/>
        <w:gridCol w:w="937"/>
        <w:gridCol w:w="797"/>
        <w:gridCol w:w="901"/>
        <w:gridCol w:w="791"/>
      </w:tblGrid>
      <w:tr w:rsidR="00D74294" w:rsidRPr="00D74294" w:rsidTr="00EF5DF3">
        <w:trPr>
          <w:trHeight w:val="20"/>
          <w:tblHeader/>
        </w:trPr>
        <w:tc>
          <w:tcPr>
            <w:tcW w:w="1483" w:type="dxa"/>
            <w:vMerge w:val="restart"/>
            <w:tcBorders>
              <w:top w:val="single" w:sz="4" w:space="0" w:color="auto"/>
              <w:bottom w:val="single" w:sz="12" w:space="0" w:color="auto"/>
            </w:tcBorders>
            <w:shd w:val="clear" w:color="auto" w:fill="auto"/>
            <w:vAlign w:val="bottom"/>
          </w:tcPr>
          <w:p w:rsidR="00D74294" w:rsidRPr="00D74294" w:rsidRDefault="00D74294" w:rsidP="00D74294">
            <w:pPr>
              <w:pStyle w:val="SingleTxtG"/>
              <w:spacing w:before="80" w:after="80" w:line="200" w:lineRule="exact"/>
              <w:ind w:left="0" w:right="0"/>
              <w:jc w:val="left"/>
              <w:rPr>
                <w:i/>
                <w:iCs/>
                <w:sz w:val="16"/>
              </w:rPr>
            </w:pPr>
            <w:r w:rsidRPr="00D74294">
              <w:rPr>
                <w:i/>
                <w:iCs/>
                <w:sz w:val="16"/>
              </w:rPr>
              <w:t>Ciclo</w:t>
            </w:r>
          </w:p>
        </w:tc>
        <w:tc>
          <w:tcPr>
            <w:tcW w:w="2461" w:type="dxa"/>
            <w:gridSpan w:val="3"/>
            <w:tcBorders>
              <w:top w:val="single" w:sz="4" w:space="0" w:color="auto"/>
              <w:bottom w:val="single" w:sz="4" w:space="0" w:color="auto"/>
              <w:right w:val="single" w:sz="24" w:space="0" w:color="FFFFFF" w:themeColor="background1"/>
            </w:tcBorders>
            <w:shd w:val="clear" w:color="auto" w:fill="auto"/>
            <w:vAlign w:val="bottom"/>
          </w:tcPr>
          <w:p w:rsidR="00D74294" w:rsidRPr="00D74294" w:rsidRDefault="00D74294" w:rsidP="00935F0A">
            <w:pPr>
              <w:pStyle w:val="SingleTxtG"/>
              <w:spacing w:before="80" w:after="80" w:line="200" w:lineRule="exact"/>
              <w:ind w:left="0" w:right="0"/>
              <w:jc w:val="center"/>
              <w:rPr>
                <w:i/>
                <w:iCs/>
                <w:sz w:val="16"/>
              </w:rPr>
            </w:pPr>
            <w:r w:rsidRPr="00D74294">
              <w:rPr>
                <w:i/>
                <w:iCs/>
                <w:sz w:val="16"/>
              </w:rPr>
              <w:t>Qatarí</w:t>
            </w:r>
          </w:p>
        </w:tc>
        <w:tc>
          <w:tcPr>
            <w:tcW w:w="2635" w:type="dxa"/>
            <w:gridSpan w:val="3"/>
            <w:tcBorders>
              <w:top w:val="single" w:sz="4" w:space="0" w:color="auto"/>
              <w:left w:val="single" w:sz="24" w:space="0" w:color="FFFFFF" w:themeColor="background1"/>
              <w:bottom w:val="single" w:sz="4" w:space="0" w:color="auto"/>
            </w:tcBorders>
            <w:shd w:val="clear" w:color="auto" w:fill="auto"/>
            <w:vAlign w:val="bottom"/>
          </w:tcPr>
          <w:p w:rsidR="00D74294" w:rsidRPr="00D74294" w:rsidRDefault="00D74294" w:rsidP="00935F0A">
            <w:pPr>
              <w:pStyle w:val="SingleTxtG"/>
              <w:spacing w:before="80" w:after="80" w:line="200" w:lineRule="exact"/>
              <w:ind w:left="0" w:right="0"/>
              <w:jc w:val="center"/>
              <w:rPr>
                <w:i/>
                <w:iCs/>
                <w:sz w:val="16"/>
              </w:rPr>
            </w:pPr>
            <w:r w:rsidRPr="00D74294">
              <w:rPr>
                <w:i/>
                <w:sz w:val="16"/>
              </w:rPr>
              <w:t>N</w:t>
            </w:r>
            <w:r w:rsidRPr="00D74294">
              <w:rPr>
                <w:i/>
                <w:iCs/>
                <w:sz w:val="16"/>
              </w:rPr>
              <w:t>o qatarí</w:t>
            </w:r>
          </w:p>
        </w:tc>
        <w:tc>
          <w:tcPr>
            <w:tcW w:w="791" w:type="dxa"/>
            <w:vMerge w:val="restart"/>
            <w:tcBorders>
              <w:top w:val="single" w:sz="4" w:space="0" w:color="auto"/>
              <w:bottom w:val="single" w:sz="12" w:space="0" w:color="auto"/>
            </w:tcBorders>
            <w:shd w:val="clear" w:color="auto" w:fill="auto"/>
            <w:vAlign w:val="bottom"/>
          </w:tcPr>
          <w:p w:rsidR="00D74294" w:rsidRPr="00D74294" w:rsidRDefault="00D74294" w:rsidP="00935F0A">
            <w:pPr>
              <w:pStyle w:val="SingleTxtG"/>
              <w:spacing w:before="80" w:after="80" w:line="200" w:lineRule="exact"/>
              <w:ind w:left="113" w:right="28"/>
              <w:jc w:val="right"/>
              <w:rPr>
                <w:bCs/>
                <w:i/>
                <w:iCs/>
                <w:sz w:val="16"/>
                <w:rtl/>
              </w:rPr>
            </w:pPr>
          </w:p>
          <w:p w:rsidR="00D74294" w:rsidRPr="00D74294" w:rsidRDefault="00D74294" w:rsidP="00935F0A">
            <w:pPr>
              <w:pStyle w:val="SingleTxtG"/>
              <w:spacing w:before="80" w:after="80" w:line="200" w:lineRule="exact"/>
              <w:ind w:left="113" w:right="28"/>
              <w:jc w:val="right"/>
              <w:rPr>
                <w:bCs/>
                <w:i/>
                <w:iCs/>
                <w:sz w:val="16"/>
              </w:rPr>
            </w:pPr>
            <w:r w:rsidRPr="00D74294">
              <w:rPr>
                <w:bCs/>
                <w:i/>
                <w:iCs/>
                <w:sz w:val="16"/>
              </w:rPr>
              <w:t>Total</w:t>
            </w:r>
          </w:p>
        </w:tc>
      </w:tr>
      <w:tr w:rsidR="00D74294" w:rsidRPr="00D74294" w:rsidTr="00EF5DF3">
        <w:trPr>
          <w:trHeight w:val="20"/>
          <w:tblHeader/>
        </w:trPr>
        <w:tc>
          <w:tcPr>
            <w:tcW w:w="1483" w:type="dxa"/>
            <w:vMerge/>
            <w:tcBorders>
              <w:top w:val="single" w:sz="12" w:space="0" w:color="auto"/>
              <w:bottom w:val="single" w:sz="12" w:space="0" w:color="auto"/>
            </w:tcBorders>
            <w:shd w:val="clear" w:color="auto" w:fill="auto"/>
            <w:vAlign w:val="bottom"/>
          </w:tcPr>
          <w:p w:rsidR="00D74294" w:rsidRPr="00D74294" w:rsidRDefault="00D74294" w:rsidP="00D74294">
            <w:pPr>
              <w:pStyle w:val="SingleTxtG"/>
              <w:spacing w:before="40" w:after="40" w:line="220" w:lineRule="exact"/>
              <w:ind w:left="0" w:right="0"/>
              <w:jc w:val="left"/>
              <w:rPr>
                <w:iCs/>
                <w:sz w:val="18"/>
                <w:rtl/>
              </w:rPr>
            </w:pPr>
          </w:p>
        </w:tc>
        <w:tc>
          <w:tcPr>
            <w:tcW w:w="922" w:type="dxa"/>
            <w:tcBorders>
              <w:top w:val="single" w:sz="4" w:space="0" w:color="auto"/>
              <w:bottom w:val="single" w:sz="12" w:space="0" w:color="auto"/>
              <w:right w:val="nil"/>
            </w:tcBorders>
            <w:shd w:val="clear" w:color="auto" w:fill="auto"/>
            <w:vAlign w:val="bottom"/>
          </w:tcPr>
          <w:p w:rsidR="00D74294" w:rsidRPr="00935F0A" w:rsidRDefault="00D74294" w:rsidP="00935F0A">
            <w:pPr>
              <w:pStyle w:val="SingleTxtG"/>
              <w:spacing w:before="80" w:after="80" w:line="200" w:lineRule="exact"/>
              <w:ind w:left="113" w:right="28"/>
              <w:jc w:val="right"/>
              <w:rPr>
                <w:i/>
                <w:iCs/>
                <w:sz w:val="16"/>
              </w:rPr>
            </w:pPr>
            <w:r w:rsidRPr="00935F0A">
              <w:rPr>
                <w:i/>
                <w:iCs/>
                <w:sz w:val="16"/>
              </w:rPr>
              <w:t>Hombres</w:t>
            </w:r>
          </w:p>
        </w:tc>
        <w:tc>
          <w:tcPr>
            <w:tcW w:w="798" w:type="dxa"/>
            <w:tcBorders>
              <w:top w:val="single" w:sz="4" w:space="0" w:color="auto"/>
              <w:left w:val="nil"/>
              <w:bottom w:val="single" w:sz="12" w:space="0" w:color="auto"/>
              <w:right w:val="nil"/>
            </w:tcBorders>
            <w:shd w:val="clear" w:color="auto" w:fill="auto"/>
            <w:vAlign w:val="bottom"/>
          </w:tcPr>
          <w:p w:rsidR="00D74294" w:rsidRPr="00935F0A" w:rsidRDefault="00D74294" w:rsidP="00935F0A">
            <w:pPr>
              <w:pStyle w:val="SingleTxtG"/>
              <w:spacing w:before="80" w:after="80" w:line="200" w:lineRule="exact"/>
              <w:ind w:left="113" w:right="28"/>
              <w:jc w:val="right"/>
              <w:rPr>
                <w:i/>
                <w:iCs/>
                <w:sz w:val="16"/>
              </w:rPr>
            </w:pPr>
            <w:r w:rsidRPr="00935F0A">
              <w:rPr>
                <w:i/>
                <w:iCs/>
                <w:sz w:val="16"/>
              </w:rPr>
              <w:t>Mujeres</w:t>
            </w:r>
          </w:p>
        </w:tc>
        <w:tc>
          <w:tcPr>
            <w:tcW w:w="741" w:type="dxa"/>
            <w:tcBorders>
              <w:top w:val="single" w:sz="4" w:space="0" w:color="auto"/>
              <w:left w:val="nil"/>
              <w:bottom w:val="single" w:sz="12" w:space="0" w:color="auto"/>
              <w:right w:val="single" w:sz="24" w:space="0" w:color="FFFFFF" w:themeColor="background1"/>
            </w:tcBorders>
            <w:shd w:val="clear" w:color="auto" w:fill="auto"/>
            <w:vAlign w:val="bottom"/>
          </w:tcPr>
          <w:p w:rsidR="00D74294" w:rsidRPr="00935F0A" w:rsidRDefault="00D74294" w:rsidP="00935F0A">
            <w:pPr>
              <w:pStyle w:val="SingleTxtG"/>
              <w:spacing w:before="80" w:after="80" w:line="200" w:lineRule="exact"/>
              <w:ind w:left="113" w:right="28"/>
              <w:jc w:val="right"/>
              <w:rPr>
                <w:i/>
                <w:iCs/>
                <w:sz w:val="16"/>
              </w:rPr>
            </w:pPr>
            <w:r w:rsidRPr="00935F0A">
              <w:rPr>
                <w:i/>
                <w:iCs/>
                <w:sz w:val="16"/>
              </w:rPr>
              <w:t>Total</w:t>
            </w:r>
          </w:p>
        </w:tc>
        <w:tc>
          <w:tcPr>
            <w:tcW w:w="937" w:type="dxa"/>
            <w:tcBorders>
              <w:top w:val="single" w:sz="4" w:space="0" w:color="auto"/>
              <w:left w:val="single" w:sz="24" w:space="0" w:color="FFFFFF" w:themeColor="background1"/>
              <w:bottom w:val="single" w:sz="12" w:space="0" w:color="auto"/>
              <w:right w:val="nil"/>
            </w:tcBorders>
            <w:shd w:val="clear" w:color="auto" w:fill="auto"/>
            <w:vAlign w:val="bottom"/>
          </w:tcPr>
          <w:p w:rsidR="00D74294" w:rsidRPr="00935F0A" w:rsidRDefault="00D74294" w:rsidP="00935F0A">
            <w:pPr>
              <w:pStyle w:val="SingleTxtG"/>
              <w:spacing w:before="80" w:after="80" w:line="200" w:lineRule="exact"/>
              <w:ind w:left="113" w:right="28"/>
              <w:jc w:val="right"/>
              <w:rPr>
                <w:i/>
                <w:iCs/>
                <w:sz w:val="16"/>
              </w:rPr>
            </w:pPr>
            <w:r w:rsidRPr="00935F0A">
              <w:rPr>
                <w:i/>
                <w:iCs/>
                <w:sz w:val="16"/>
              </w:rPr>
              <w:t>Hombres</w:t>
            </w:r>
          </w:p>
        </w:tc>
        <w:tc>
          <w:tcPr>
            <w:tcW w:w="797" w:type="dxa"/>
            <w:tcBorders>
              <w:top w:val="single" w:sz="4" w:space="0" w:color="auto"/>
              <w:left w:val="nil"/>
              <w:bottom w:val="single" w:sz="12" w:space="0" w:color="auto"/>
              <w:right w:val="nil"/>
            </w:tcBorders>
            <w:shd w:val="clear" w:color="auto" w:fill="auto"/>
            <w:vAlign w:val="bottom"/>
          </w:tcPr>
          <w:p w:rsidR="00D74294" w:rsidRPr="00935F0A" w:rsidRDefault="00D74294" w:rsidP="00935F0A">
            <w:pPr>
              <w:pStyle w:val="SingleTxtG"/>
              <w:spacing w:before="80" w:after="80" w:line="200" w:lineRule="exact"/>
              <w:ind w:left="113" w:right="28"/>
              <w:jc w:val="right"/>
              <w:rPr>
                <w:i/>
                <w:iCs/>
                <w:sz w:val="16"/>
              </w:rPr>
            </w:pPr>
            <w:r w:rsidRPr="00935F0A">
              <w:rPr>
                <w:i/>
                <w:iCs/>
                <w:sz w:val="16"/>
              </w:rPr>
              <w:t>Mujeres</w:t>
            </w:r>
          </w:p>
        </w:tc>
        <w:tc>
          <w:tcPr>
            <w:tcW w:w="901" w:type="dxa"/>
            <w:tcBorders>
              <w:top w:val="single" w:sz="4" w:space="0" w:color="auto"/>
              <w:left w:val="nil"/>
              <w:bottom w:val="single" w:sz="12" w:space="0" w:color="auto"/>
            </w:tcBorders>
            <w:shd w:val="clear" w:color="auto" w:fill="auto"/>
            <w:vAlign w:val="bottom"/>
          </w:tcPr>
          <w:p w:rsidR="00D74294" w:rsidRPr="00935F0A" w:rsidRDefault="00D74294" w:rsidP="00935F0A">
            <w:pPr>
              <w:pStyle w:val="SingleTxtG"/>
              <w:spacing w:before="80" w:after="80" w:line="200" w:lineRule="exact"/>
              <w:ind w:left="113" w:right="28"/>
              <w:jc w:val="right"/>
              <w:rPr>
                <w:i/>
                <w:iCs/>
                <w:sz w:val="16"/>
              </w:rPr>
            </w:pPr>
            <w:r w:rsidRPr="00935F0A">
              <w:rPr>
                <w:i/>
                <w:iCs/>
                <w:sz w:val="16"/>
              </w:rPr>
              <w:t>Total</w:t>
            </w:r>
          </w:p>
        </w:tc>
        <w:tc>
          <w:tcPr>
            <w:tcW w:w="791" w:type="dxa"/>
            <w:vMerge/>
            <w:tcBorders>
              <w:top w:val="single" w:sz="12" w:space="0" w:color="auto"/>
              <w:bottom w:val="single" w:sz="12" w:space="0" w:color="auto"/>
            </w:tcBorders>
            <w:shd w:val="clear" w:color="auto" w:fill="auto"/>
            <w:vAlign w:val="bottom"/>
          </w:tcPr>
          <w:p w:rsidR="00D74294" w:rsidRPr="00D74294" w:rsidRDefault="00D74294" w:rsidP="00935F0A">
            <w:pPr>
              <w:pStyle w:val="SingleTxtG"/>
              <w:spacing w:before="40" w:after="40" w:line="220" w:lineRule="exact"/>
              <w:ind w:left="113" w:right="28"/>
              <w:jc w:val="right"/>
              <w:rPr>
                <w:bCs/>
                <w:iCs/>
                <w:sz w:val="18"/>
                <w:rtl/>
              </w:rPr>
            </w:pPr>
          </w:p>
        </w:tc>
      </w:tr>
      <w:tr w:rsidR="00D74294" w:rsidRPr="00D74294" w:rsidTr="00EF5DF3">
        <w:trPr>
          <w:trHeight w:val="20"/>
        </w:trPr>
        <w:tc>
          <w:tcPr>
            <w:tcW w:w="1483" w:type="dxa"/>
            <w:tcBorders>
              <w:top w:val="single" w:sz="12" w:space="0" w:color="auto"/>
            </w:tcBorders>
            <w:shd w:val="clear" w:color="auto" w:fill="auto"/>
          </w:tcPr>
          <w:p w:rsidR="00D74294" w:rsidRPr="00D74294" w:rsidRDefault="00D74294" w:rsidP="00D74294">
            <w:pPr>
              <w:pStyle w:val="SingleTxtG"/>
              <w:spacing w:before="40" w:after="40" w:line="220" w:lineRule="exact"/>
              <w:ind w:left="0" w:right="0"/>
              <w:jc w:val="left"/>
              <w:rPr>
                <w:sz w:val="18"/>
              </w:rPr>
            </w:pPr>
            <w:r w:rsidRPr="00D74294">
              <w:rPr>
                <w:sz w:val="18"/>
              </w:rPr>
              <w:t>Preescolar</w:t>
            </w:r>
          </w:p>
        </w:tc>
        <w:tc>
          <w:tcPr>
            <w:tcW w:w="922" w:type="dxa"/>
            <w:tcBorders>
              <w:top w:val="single" w:sz="12" w:space="0" w:color="auto"/>
            </w:tcBorders>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3 439</w:t>
            </w:r>
          </w:p>
        </w:tc>
        <w:tc>
          <w:tcPr>
            <w:tcW w:w="798" w:type="dxa"/>
            <w:tcBorders>
              <w:top w:val="single" w:sz="12" w:space="0" w:color="auto"/>
            </w:tcBorders>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3 920</w:t>
            </w:r>
          </w:p>
        </w:tc>
        <w:tc>
          <w:tcPr>
            <w:tcW w:w="741" w:type="dxa"/>
            <w:tcBorders>
              <w:top w:val="single" w:sz="12" w:space="0" w:color="auto"/>
            </w:tcBorders>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7 359</w:t>
            </w:r>
          </w:p>
        </w:tc>
        <w:tc>
          <w:tcPr>
            <w:tcW w:w="937" w:type="dxa"/>
            <w:tcBorders>
              <w:top w:val="single" w:sz="12" w:space="0" w:color="auto"/>
            </w:tcBorders>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452</w:t>
            </w:r>
          </w:p>
        </w:tc>
        <w:tc>
          <w:tcPr>
            <w:tcW w:w="797" w:type="dxa"/>
            <w:tcBorders>
              <w:top w:val="single" w:sz="12" w:space="0" w:color="auto"/>
            </w:tcBorders>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495</w:t>
            </w:r>
          </w:p>
        </w:tc>
        <w:tc>
          <w:tcPr>
            <w:tcW w:w="901" w:type="dxa"/>
            <w:tcBorders>
              <w:top w:val="single" w:sz="12" w:space="0" w:color="auto"/>
            </w:tcBorders>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947</w:t>
            </w:r>
          </w:p>
        </w:tc>
        <w:tc>
          <w:tcPr>
            <w:tcW w:w="791" w:type="dxa"/>
            <w:tcBorders>
              <w:top w:val="single" w:sz="12" w:space="0" w:color="auto"/>
            </w:tcBorders>
            <w:shd w:val="clear" w:color="auto" w:fill="auto"/>
            <w:vAlign w:val="bottom"/>
          </w:tcPr>
          <w:p w:rsidR="00D74294" w:rsidRPr="00D74294" w:rsidRDefault="00D74294" w:rsidP="00935F0A">
            <w:pPr>
              <w:pStyle w:val="SingleTxtG"/>
              <w:spacing w:before="40" w:after="40" w:line="220" w:lineRule="exact"/>
              <w:ind w:left="113" w:right="28"/>
              <w:jc w:val="right"/>
              <w:rPr>
                <w:bCs/>
                <w:sz w:val="18"/>
              </w:rPr>
            </w:pPr>
            <w:r w:rsidRPr="00D74294">
              <w:rPr>
                <w:bCs/>
                <w:sz w:val="18"/>
              </w:rPr>
              <w:t>8 306</w:t>
            </w:r>
          </w:p>
        </w:tc>
      </w:tr>
      <w:tr w:rsidR="00D74294" w:rsidRPr="00D74294" w:rsidTr="00EF5DF3">
        <w:trPr>
          <w:trHeight w:val="20"/>
        </w:trPr>
        <w:tc>
          <w:tcPr>
            <w:tcW w:w="1483" w:type="dxa"/>
            <w:shd w:val="clear" w:color="auto" w:fill="auto"/>
          </w:tcPr>
          <w:p w:rsidR="00D74294" w:rsidRPr="00D74294" w:rsidRDefault="00D74294" w:rsidP="00D74294">
            <w:pPr>
              <w:pStyle w:val="SingleTxtG"/>
              <w:spacing w:before="40" w:after="40" w:line="220" w:lineRule="exact"/>
              <w:ind w:left="0" w:right="0"/>
              <w:jc w:val="left"/>
              <w:rPr>
                <w:sz w:val="18"/>
              </w:rPr>
            </w:pPr>
            <w:r w:rsidRPr="00D74294">
              <w:rPr>
                <w:sz w:val="18"/>
              </w:rPr>
              <w:t>Primaria</w:t>
            </w:r>
          </w:p>
        </w:tc>
        <w:tc>
          <w:tcPr>
            <w:tcW w:w="922" w:type="dxa"/>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12 679</w:t>
            </w:r>
          </w:p>
        </w:tc>
        <w:tc>
          <w:tcPr>
            <w:tcW w:w="798" w:type="dxa"/>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14 443</w:t>
            </w:r>
          </w:p>
        </w:tc>
        <w:tc>
          <w:tcPr>
            <w:tcW w:w="741" w:type="dxa"/>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27 122</w:t>
            </w:r>
          </w:p>
        </w:tc>
        <w:tc>
          <w:tcPr>
            <w:tcW w:w="937" w:type="dxa"/>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11 106</w:t>
            </w:r>
          </w:p>
        </w:tc>
        <w:tc>
          <w:tcPr>
            <w:tcW w:w="797" w:type="dxa"/>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11 803</w:t>
            </w:r>
          </w:p>
        </w:tc>
        <w:tc>
          <w:tcPr>
            <w:tcW w:w="901" w:type="dxa"/>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22 909</w:t>
            </w:r>
          </w:p>
        </w:tc>
        <w:tc>
          <w:tcPr>
            <w:tcW w:w="791" w:type="dxa"/>
            <w:shd w:val="clear" w:color="auto" w:fill="auto"/>
            <w:vAlign w:val="bottom"/>
          </w:tcPr>
          <w:p w:rsidR="00D74294" w:rsidRPr="00D74294" w:rsidRDefault="00D74294" w:rsidP="00935F0A">
            <w:pPr>
              <w:pStyle w:val="SingleTxtG"/>
              <w:spacing w:before="40" w:after="40" w:line="220" w:lineRule="exact"/>
              <w:ind w:left="113" w:right="28"/>
              <w:jc w:val="right"/>
              <w:rPr>
                <w:bCs/>
                <w:sz w:val="18"/>
              </w:rPr>
            </w:pPr>
            <w:r w:rsidRPr="00D74294">
              <w:rPr>
                <w:bCs/>
                <w:sz w:val="18"/>
              </w:rPr>
              <w:t>50 031</w:t>
            </w:r>
          </w:p>
        </w:tc>
      </w:tr>
      <w:tr w:rsidR="00D74294" w:rsidRPr="00D74294" w:rsidTr="00EF5DF3">
        <w:trPr>
          <w:trHeight w:val="20"/>
        </w:trPr>
        <w:tc>
          <w:tcPr>
            <w:tcW w:w="1483" w:type="dxa"/>
            <w:shd w:val="clear" w:color="auto" w:fill="auto"/>
          </w:tcPr>
          <w:p w:rsidR="00D74294" w:rsidRPr="00D74294" w:rsidRDefault="00D74294" w:rsidP="00D74294">
            <w:pPr>
              <w:pStyle w:val="SingleTxtG"/>
              <w:spacing w:before="40" w:after="40" w:line="220" w:lineRule="exact"/>
              <w:ind w:left="0" w:right="0"/>
              <w:jc w:val="left"/>
              <w:rPr>
                <w:sz w:val="18"/>
              </w:rPr>
            </w:pPr>
            <w:r w:rsidRPr="00D74294">
              <w:rPr>
                <w:sz w:val="18"/>
              </w:rPr>
              <w:t>Preparatoria</w:t>
            </w:r>
          </w:p>
        </w:tc>
        <w:tc>
          <w:tcPr>
            <w:tcW w:w="922" w:type="dxa"/>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6 374</w:t>
            </w:r>
          </w:p>
        </w:tc>
        <w:tc>
          <w:tcPr>
            <w:tcW w:w="798" w:type="dxa"/>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7 250</w:t>
            </w:r>
          </w:p>
        </w:tc>
        <w:tc>
          <w:tcPr>
            <w:tcW w:w="741" w:type="dxa"/>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13 624</w:t>
            </w:r>
          </w:p>
        </w:tc>
        <w:tc>
          <w:tcPr>
            <w:tcW w:w="937" w:type="dxa"/>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5 462</w:t>
            </w:r>
          </w:p>
        </w:tc>
        <w:tc>
          <w:tcPr>
            <w:tcW w:w="797" w:type="dxa"/>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5 761</w:t>
            </w:r>
          </w:p>
        </w:tc>
        <w:tc>
          <w:tcPr>
            <w:tcW w:w="901" w:type="dxa"/>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11 223</w:t>
            </w:r>
          </w:p>
        </w:tc>
        <w:tc>
          <w:tcPr>
            <w:tcW w:w="791" w:type="dxa"/>
            <w:shd w:val="clear" w:color="auto" w:fill="auto"/>
            <w:vAlign w:val="bottom"/>
          </w:tcPr>
          <w:p w:rsidR="00D74294" w:rsidRPr="00D74294" w:rsidRDefault="00D74294" w:rsidP="00935F0A">
            <w:pPr>
              <w:pStyle w:val="SingleTxtG"/>
              <w:spacing w:before="40" w:after="40" w:line="220" w:lineRule="exact"/>
              <w:ind w:left="113" w:right="28"/>
              <w:jc w:val="right"/>
              <w:rPr>
                <w:bCs/>
                <w:sz w:val="18"/>
              </w:rPr>
            </w:pPr>
            <w:r w:rsidRPr="00D74294">
              <w:rPr>
                <w:bCs/>
                <w:sz w:val="18"/>
              </w:rPr>
              <w:t>24 847</w:t>
            </w:r>
          </w:p>
        </w:tc>
      </w:tr>
      <w:tr w:rsidR="00D74294" w:rsidRPr="00D74294" w:rsidTr="00EF5DF3">
        <w:trPr>
          <w:trHeight w:val="20"/>
        </w:trPr>
        <w:tc>
          <w:tcPr>
            <w:tcW w:w="1483" w:type="dxa"/>
            <w:tcBorders>
              <w:bottom w:val="single" w:sz="4" w:space="0" w:color="auto"/>
            </w:tcBorders>
            <w:shd w:val="clear" w:color="auto" w:fill="auto"/>
          </w:tcPr>
          <w:p w:rsidR="00D74294" w:rsidRPr="00D74294" w:rsidRDefault="00D74294" w:rsidP="00D74294">
            <w:pPr>
              <w:pStyle w:val="SingleTxtG"/>
              <w:spacing w:before="40" w:after="40" w:line="220" w:lineRule="exact"/>
              <w:ind w:left="0" w:right="0"/>
              <w:jc w:val="left"/>
              <w:rPr>
                <w:sz w:val="18"/>
              </w:rPr>
            </w:pPr>
            <w:r w:rsidRPr="00D74294">
              <w:rPr>
                <w:sz w:val="18"/>
              </w:rPr>
              <w:t>Secundaria</w:t>
            </w:r>
          </w:p>
        </w:tc>
        <w:tc>
          <w:tcPr>
            <w:tcW w:w="922" w:type="dxa"/>
            <w:tcBorders>
              <w:bottom w:val="single" w:sz="4" w:space="0" w:color="auto"/>
            </w:tcBorders>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6 802</w:t>
            </w:r>
          </w:p>
        </w:tc>
        <w:tc>
          <w:tcPr>
            <w:tcW w:w="798" w:type="dxa"/>
            <w:tcBorders>
              <w:bottom w:val="single" w:sz="4" w:space="0" w:color="auto"/>
            </w:tcBorders>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7 320</w:t>
            </w:r>
          </w:p>
        </w:tc>
        <w:tc>
          <w:tcPr>
            <w:tcW w:w="741" w:type="dxa"/>
            <w:tcBorders>
              <w:bottom w:val="single" w:sz="4" w:space="0" w:color="auto"/>
            </w:tcBorders>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14 122</w:t>
            </w:r>
          </w:p>
        </w:tc>
        <w:tc>
          <w:tcPr>
            <w:tcW w:w="937" w:type="dxa"/>
            <w:tcBorders>
              <w:bottom w:val="single" w:sz="4" w:space="0" w:color="auto"/>
            </w:tcBorders>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5 433</w:t>
            </w:r>
          </w:p>
        </w:tc>
        <w:tc>
          <w:tcPr>
            <w:tcW w:w="797" w:type="dxa"/>
            <w:tcBorders>
              <w:bottom w:val="single" w:sz="4" w:space="0" w:color="auto"/>
            </w:tcBorders>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5 257</w:t>
            </w:r>
          </w:p>
        </w:tc>
        <w:tc>
          <w:tcPr>
            <w:tcW w:w="901" w:type="dxa"/>
            <w:tcBorders>
              <w:bottom w:val="single" w:sz="4" w:space="0" w:color="auto"/>
            </w:tcBorders>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10 690</w:t>
            </w:r>
          </w:p>
        </w:tc>
        <w:tc>
          <w:tcPr>
            <w:tcW w:w="791" w:type="dxa"/>
            <w:tcBorders>
              <w:bottom w:val="single" w:sz="4" w:space="0" w:color="auto"/>
            </w:tcBorders>
            <w:shd w:val="clear" w:color="auto" w:fill="auto"/>
            <w:vAlign w:val="bottom"/>
          </w:tcPr>
          <w:p w:rsidR="00D74294" w:rsidRPr="00D74294" w:rsidRDefault="00D74294" w:rsidP="00935F0A">
            <w:pPr>
              <w:pStyle w:val="SingleTxtG"/>
              <w:spacing w:before="40" w:after="40" w:line="220" w:lineRule="exact"/>
              <w:ind w:left="113" w:right="28"/>
              <w:jc w:val="right"/>
              <w:rPr>
                <w:bCs/>
                <w:sz w:val="18"/>
              </w:rPr>
            </w:pPr>
            <w:r w:rsidRPr="00D74294">
              <w:rPr>
                <w:bCs/>
                <w:sz w:val="18"/>
              </w:rPr>
              <w:t>24 812</w:t>
            </w:r>
          </w:p>
        </w:tc>
      </w:tr>
      <w:tr w:rsidR="00D74294" w:rsidRPr="00935F0A" w:rsidTr="00EF5DF3">
        <w:trPr>
          <w:trHeight w:val="20"/>
        </w:trPr>
        <w:tc>
          <w:tcPr>
            <w:tcW w:w="1483" w:type="dxa"/>
            <w:tcBorders>
              <w:top w:val="single" w:sz="4" w:space="0" w:color="auto"/>
              <w:bottom w:val="single" w:sz="12" w:space="0" w:color="auto"/>
            </w:tcBorders>
            <w:shd w:val="clear" w:color="auto" w:fill="auto"/>
          </w:tcPr>
          <w:p w:rsidR="00D74294" w:rsidRPr="00935F0A" w:rsidRDefault="00D74294" w:rsidP="00935F0A">
            <w:pPr>
              <w:pStyle w:val="SingleTxtG"/>
              <w:spacing w:before="80" w:after="80" w:line="220" w:lineRule="exact"/>
              <w:ind w:left="283" w:right="0"/>
              <w:jc w:val="left"/>
              <w:rPr>
                <w:b/>
                <w:bCs/>
                <w:sz w:val="18"/>
              </w:rPr>
            </w:pPr>
            <w:r w:rsidRPr="00935F0A">
              <w:rPr>
                <w:b/>
                <w:bCs/>
                <w:sz w:val="18"/>
              </w:rPr>
              <w:t>Total</w:t>
            </w:r>
          </w:p>
        </w:tc>
        <w:tc>
          <w:tcPr>
            <w:tcW w:w="922" w:type="dxa"/>
            <w:tcBorders>
              <w:top w:val="single" w:sz="4" w:space="0" w:color="auto"/>
              <w:bottom w:val="single" w:sz="12" w:space="0" w:color="auto"/>
            </w:tcBorders>
            <w:shd w:val="clear" w:color="auto" w:fill="auto"/>
            <w:vAlign w:val="bottom"/>
          </w:tcPr>
          <w:p w:rsidR="00D74294" w:rsidRPr="00935F0A" w:rsidRDefault="00D74294" w:rsidP="00935F0A">
            <w:pPr>
              <w:pStyle w:val="SingleTxtG"/>
              <w:spacing w:before="80" w:after="80" w:line="220" w:lineRule="exact"/>
              <w:ind w:left="0" w:right="28"/>
              <w:jc w:val="right"/>
              <w:rPr>
                <w:b/>
                <w:bCs/>
                <w:sz w:val="18"/>
              </w:rPr>
            </w:pPr>
            <w:r w:rsidRPr="00935F0A">
              <w:rPr>
                <w:b/>
                <w:bCs/>
                <w:sz w:val="18"/>
              </w:rPr>
              <w:t>29 294</w:t>
            </w:r>
          </w:p>
        </w:tc>
        <w:tc>
          <w:tcPr>
            <w:tcW w:w="798" w:type="dxa"/>
            <w:tcBorders>
              <w:top w:val="single" w:sz="4" w:space="0" w:color="auto"/>
              <w:bottom w:val="single" w:sz="12" w:space="0" w:color="auto"/>
            </w:tcBorders>
            <w:shd w:val="clear" w:color="auto" w:fill="auto"/>
            <w:vAlign w:val="bottom"/>
          </w:tcPr>
          <w:p w:rsidR="00D74294" w:rsidRPr="00935F0A" w:rsidRDefault="00D74294" w:rsidP="00935F0A">
            <w:pPr>
              <w:pStyle w:val="SingleTxtG"/>
              <w:spacing w:before="80" w:after="80" w:line="220" w:lineRule="exact"/>
              <w:ind w:left="0" w:right="28"/>
              <w:jc w:val="right"/>
              <w:rPr>
                <w:b/>
                <w:bCs/>
                <w:sz w:val="18"/>
              </w:rPr>
            </w:pPr>
            <w:r w:rsidRPr="00935F0A">
              <w:rPr>
                <w:b/>
                <w:bCs/>
                <w:sz w:val="18"/>
              </w:rPr>
              <w:t>32 933</w:t>
            </w:r>
          </w:p>
        </w:tc>
        <w:tc>
          <w:tcPr>
            <w:tcW w:w="741" w:type="dxa"/>
            <w:tcBorders>
              <w:top w:val="single" w:sz="4" w:space="0" w:color="auto"/>
              <w:bottom w:val="single" w:sz="12" w:space="0" w:color="auto"/>
            </w:tcBorders>
            <w:shd w:val="clear" w:color="auto" w:fill="auto"/>
            <w:vAlign w:val="bottom"/>
          </w:tcPr>
          <w:p w:rsidR="00D74294" w:rsidRPr="00935F0A" w:rsidRDefault="00D74294" w:rsidP="00935F0A">
            <w:pPr>
              <w:pStyle w:val="SingleTxtG"/>
              <w:spacing w:before="80" w:after="80" w:line="220" w:lineRule="exact"/>
              <w:ind w:left="0" w:right="28"/>
              <w:jc w:val="right"/>
              <w:rPr>
                <w:b/>
                <w:bCs/>
                <w:sz w:val="18"/>
              </w:rPr>
            </w:pPr>
            <w:r w:rsidRPr="00935F0A">
              <w:rPr>
                <w:b/>
                <w:bCs/>
                <w:sz w:val="18"/>
              </w:rPr>
              <w:t>62 227</w:t>
            </w:r>
          </w:p>
        </w:tc>
        <w:tc>
          <w:tcPr>
            <w:tcW w:w="937" w:type="dxa"/>
            <w:tcBorders>
              <w:top w:val="single" w:sz="4" w:space="0" w:color="auto"/>
              <w:bottom w:val="single" w:sz="12" w:space="0" w:color="auto"/>
            </w:tcBorders>
            <w:shd w:val="clear" w:color="auto" w:fill="auto"/>
            <w:vAlign w:val="bottom"/>
          </w:tcPr>
          <w:p w:rsidR="00D74294" w:rsidRPr="00935F0A" w:rsidRDefault="00D74294" w:rsidP="00935F0A">
            <w:pPr>
              <w:pStyle w:val="SingleTxtG"/>
              <w:spacing w:before="80" w:after="80" w:line="220" w:lineRule="exact"/>
              <w:ind w:left="0" w:right="28"/>
              <w:jc w:val="right"/>
              <w:rPr>
                <w:b/>
                <w:bCs/>
                <w:sz w:val="18"/>
              </w:rPr>
            </w:pPr>
            <w:r w:rsidRPr="00935F0A">
              <w:rPr>
                <w:b/>
                <w:bCs/>
                <w:sz w:val="18"/>
              </w:rPr>
              <w:t>22 453</w:t>
            </w:r>
          </w:p>
        </w:tc>
        <w:tc>
          <w:tcPr>
            <w:tcW w:w="797" w:type="dxa"/>
            <w:tcBorders>
              <w:top w:val="single" w:sz="4" w:space="0" w:color="auto"/>
              <w:bottom w:val="single" w:sz="12" w:space="0" w:color="auto"/>
            </w:tcBorders>
            <w:shd w:val="clear" w:color="auto" w:fill="auto"/>
            <w:vAlign w:val="bottom"/>
          </w:tcPr>
          <w:p w:rsidR="00D74294" w:rsidRPr="00935F0A" w:rsidRDefault="00D74294" w:rsidP="00935F0A">
            <w:pPr>
              <w:pStyle w:val="SingleTxtG"/>
              <w:spacing w:before="80" w:after="80" w:line="220" w:lineRule="exact"/>
              <w:ind w:left="0" w:right="28"/>
              <w:jc w:val="right"/>
              <w:rPr>
                <w:b/>
                <w:bCs/>
                <w:sz w:val="18"/>
              </w:rPr>
            </w:pPr>
            <w:r w:rsidRPr="00935F0A">
              <w:rPr>
                <w:b/>
                <w:bCs/>
                <w:sz w:val="18"/>
              </w:rPr>
              <w:t>23 316</w:t>
            </w:r>
          </w:p>
        </w:tc>
        <w:tc>
          <w:tcPr>
            <w:tcW w:w="901" w:type="dxa"/>
            <w:tcBorders>
              <w:top w:val="single" w:sz="4" w:space="0" w:color="auto"/>
              <w:bottom w:val="single" w:sz="12" w:space="0" w:color="auto"/>
            </w:tcBorders>
            <w:shd w:val="clear" w:color="auto" w:fill="auto"/>
            <w:vAlign w:val="bottom"/>
          </w:tcPr>
          <w:p w:rsidR="00D74294" w:rsidRPr="00935F0A" w:rsidRDefault="00D74294" w:rsidP="00935F0A">
            <w:pPr>
              <w:pStyle w:val="SingleTxtG"/>
              <w:spacing w:before="80" w:after="80" w:line="220" w:lineRule="exact"/>
              <w:ind w:left="0" w:right="28"/>
              <w:jc w:val="right"/>
              <w:rPr>
                <w:b/>
                <w:bCs/>
                <w:sz w:val="18"/>
              </w:rPr>
            </w:pPr>
            <w:r w:rsidRPr="00935F0A">
              <w:rPr>
                <w:b/>
                <w:bCs/>
                <w:sz w:val="18"/>
              </w:rPr>
              <w:t>45 769</w:t>
            </w:r>
          </w:p>
        </w:tc>
        <w:tc>
          <w:tcPr>
            <w:tcW w:w="791" w:type="dxa"/>
            <w:tcBorders>
              <w:top w:val="single" w:sz="4" w:space="0" w:color="auto"/>
              <w:bottom w:val="single" w:sz="12" w:space="0" w:color="auto"/>
            </w:tcBorders>
            <w:shd w:val="clear" w:color="auto" w:fill="auto"/>
            <w:vAlign w:val="bottom"/>
          </w:tcPr>
          <w:p w:rsidR="00D74294" w:rsidRPr="00935F0A" w:rsidRDefault="00D74294" w:rsidP="00935F0A">
            <w:pPr>
              <w:pStyle w:val="SingleTxtG"/>
              <w:spacing w:before="80" w:after="80" w:line="220" w:lineRule="exact"/>
              <w:ind w:left="0" w:right="28"/>
              <w:jc w:val="right"/>
              <w:rPr>
                <w:b/>
                <w:bCs/>
                <w:sz w:val="18"/>
              </w:rPr>
            </w:pPr>
            <w:r w:rsidRPr="00935F0A">
              <w:rPr>
                <w:b/>
                <w:bCs/>
                <w:sz w:val="18"/>
              </w:rPr>
              <w:t>107 996</w:t>
            </w:r>
          </w:p>
        </w:tc>
      </w:tr>
    </w:tbl>
    <w:p w:rsidR="00D74294" w:rsidRPr="00935F0A" w:rsidRDefault="00D74294" w:rsidP="00935F0A">
      <w:pPr>
        <w:pStyle w:val="SingleTxtG"/>
        <w:spacing w:before="120" w:after="240"/>
        <w:ind w:firstLine="170"/>
        <w:jc w:val="left"/>
        <w:rPr>
          <w:sz w:val="18"/>
        </w:rPr>
      </w:pPr>
      <w:r w:rsidRPr="00935F0A">
        <w:rPr>
          <w:i/>
          <w:iCs/>
          <w:sz w:val="18"/>
        </w:rPr>
        <w:t>Fuente:</w:t>
      </w:r>
      <w:r w:rsidR="00935F0A" w:rsidRPr="00935F0A">
        <w:rPr>
          <w:sz w:val="18"/>
        </w:rPr>
        <w:t xml:space="preserve"> </w:t>
      </w:r>
      <w:r w:rsidRPr="00935F0A">
        <w:rPr>
          <w:sz w:val="18"/>
        </w:rPr>
        <w:t>Ministerio de Planificación del Desarrollo y Estadísticas.</w:t>
      </w:r>
    </w:p>
    <w:p w:rsidR="00D74294" w:rsidRPr="00D74294" w:rsidRDefault="00935F0A" w:rsidP="00935F0A">
      <w:pPr>
        <w:pStyle w:val="H23G"/>
      </w:pPr>
      <w:r w:rsidRPr="00935F0A">
        <w:rPr>
          <w:b w:val="0"/>
        </w:rPr>
        <w:tab/>
      </w:r>
      <w:r w:rsidRPr="00935F0A">
        <w:rPr>
          <w:b w:val="0"/>
        </w:rPr>
        <w:tab/>
        <w:t>Cuadro 16</w:t>
      </w:r>
      <w:r w:rsidRPr="00935F0A">
        <w:rPr>
          <w:b w:val="0"/>
        </w:rPr>
        <w:br/>
      </w:r>
      <w:r w:rsidR="00D74294" w:rsidRPr="00D74294">
        <w:t>Alumnos matriculados en la enseñanza privada en el curso 2015/16, con datos desglosados por ciclo educativo, sexo y nacionalidad</w:t>
      </w:r>
    </w:p>
    <w:tbl>
      <w:tblPr>
        <w:tblStyle w:val="TableElegant11"/>
        <w:tblW w:w="7370" w:type="dxa"/>
        <w:tblInd w:w="113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0"/>
        <w:gridCol w:w="896"/>
        <w:gridCol w:w="784"/>
        <w:gridCol w:w="819"/>
        <w:gridCol w:w="851"/>
        <w:gridCol w:w="859"/>
        <w:gridCol w:w="904"/>
        <w:gridCol w:w="787"/>
      </w:tblGrid>
      <w:tr w:rsidR="00D74294" w:rsidRPr="00D74294" w:rsidTr="00EF5DF3">
        <w:trPr>
          <w:cnfStyle w:val="100000000000" w:firstRow="1" w:lastRow="0" w:firstColumn="0" w:lastColumn="0" w:oddVBand="0" w:evenVBand="0" w:oddHBand="0" w:evenHBand="0" w:firstRowFirstColumn="0" w:firstRowLastColumn="0" w:lastRowFirstColumn="0" w:lastRowLastColumn="0"/>
          <w:trHeight w:val="240"/>
          <w:tblHeader/>
        </w:trPr>
        <w:tc>
          <w:tcPr>
            <w:tcW w:w="1470" w:type="dxa"/>
            <w:vMerge w:val="restart"/>
            <w:tcBorders>
              <w:top w:val="single" w:sz="4" w:space="0" w:color="auto"/>
              <w:bottom w:val="single" w:sz="12" w:space="0" w:color="auto"/>
            </w:tcBorders>
            <w:shd w:val="clear" w:color="auto" w:fill="auto"/>
            <w:vAlign w:val="bottom"/>
          </w:tcPr>
          <w:p w:rsidR="00D74294" w:rsidRPr="00D74294" w:rsidRDefault="00D74294" w:rsidP="00D74294">
            <w:pPr>
              <w:pStyle w:val="SingleTxtG"/>
              <w:spacing w:before="80" w:after="80" w:line="200" w:lineRule="exact"/>
              <w:ind w:left="0" w:right="0"/>
              <w:jc w:val="left"/>
              <w:rPr>
                <w:i/>
                <w:iCs/>
                <w:caps w:val="0"/>
                <w:sz w:val="16"/>
              </w:rPr>
            </w:pPr>
            <w:r w:rsidRPr="00D74294">
              <w:rPr>
                <w:i/>
                <w:iCs/>
                <w:caps w:val="0"/>
                <w:sz w:val="16"/>
              </w:rPr>
              <w:t>Ciclo</w:t>
            </w:r>
          </w:p>
        </w:tc>
        <w:tc>
          <w:tcPr>
            <w:tcW w:w="2499" w:type="dxa"/>
            <w:gridSpan w:val="3"/>
            <w:tcBorders>
              <w:top w:val="single" w:sz="4" w:space="0" w:color="auto"/>
              <w:bottom w:val="single" w:sz="4" w:space="0" w:color="auto"/>
              <w:right w:val="single" w:sz="24" w:space="0" w:color="FFFFFF" w:themeColor="background1"/>
            </w:tcBorders>
            <w:shd w:val="clear" w:color="auto" w:fill="auto"/>
            <w:vAlign w:val="bottom"/>
          </w:tcPr>
          <w:p w:rsidR="00D74294" w:rsidRPr="00D74294" w:rsidRDefault="00D74294" w:rsidP="0085715B">
            <w:pPr>
              <w:pStyle w:val="SingleTxtG"/>
              <w:spacing w:before="80" w:after="80" w:line="200" w:lineRule="exact"/>
              <w:ind w:left="0" w:right="0"/>
              <w:jc w:val="center"/>
              <w:rPr>
                <w:i/>
                <w:iCs/>
                <w:caps w:val="0"/>
                <w:sz w:val="16"/>
              </w:rPr>
            </w:pPr>
            <w:r w:rsidRPr="00D74294">
              <w:rPr>
                <w:i/>
                <w:iCs/>
                <w:caps w:val="0"/>
                <w:sz w:val="16"/>
              </w:rPr>
              <w:t>Qatarí</w:t>
            </w:r>
          </w:p>
        </w:tc>
        <w:tc>
          <w:tcPr>
            <w:tcW w:w="2614" w:type="dxa"/>
            <w:gridSpan w:val="3"/>
            <w:tcBorders>
              <w:top w:val="single" w:sz="4" w:space="0" w:color="auto"/>
              <w:left w:val="single" w:sz="24" w:space="0" w:color="FFFFFF" w:themeColor="background1"/>
              <w:bottom w:val="single" w:sz="4" w:space="0" w:color="auto"/>
            </w:tcBorders>
            <w:shd w:val="clear" w:color="auto" w:fill="auto"/>
            <w:vAlign w:val="bottom"/>
          </w:tcPr>
          <w:p w:rsidR="00D74294" w:rsidRPr="00D74294" w:rsidRDefault="00D74294" w:rsidP="0085715B">
            <w:pPr>
              <w:pStyle w:val="SingleTxtG"/>
              <w:spacing w:before="80" w:after="80" w:line="200" w:lineRule="exact"/>
              <w:ind w:left="0" w:right="0"/>
              <w:jc w:val="center"/>
              <w:rPr>
                <w:i/>
                <w:iCs/>
                <w:caps w:val="0"/>
                <w:sz w:val="16"/>
              </w:rPr>
            </w:pPr>
            <w:r w:rsidRPr="00D74294">
              <w:rPr>
                <w:i/>
                <w:iCs/>
                <w:caps w:val="0"/>
                <w:sz w:val="16"/>
              </w:rPr>
              <w:t>No qatarí</w:t>
            </w:r>
          </w:p>
        </w:tc>
        <w:tc>
          <w:tcPr>
            <w:tcW w:w="787" w:type="dxa"/>
            <w:vMerge w:val="restart"/>
            <w:tcBorders>
              <w:top w:val="single" w:sz="4" w:space="0" w:color="auto"/>
              <w:bottom w:val="single" w:sz="12" w:space="0" w:color="auto"/>
            </w:tcBorders>
            <w:shd w:val="clear" w:color="auto" w:fill="auto"/>
            <w:vAlign w:val="bottom"/>
          </w:tcPr>
          <w:p w:rsidR="00D74294" w:rsidRPr="00D74294" w:rsidRDefault="00D74294" w:rsidP="00D74294">
            <w:pPr>
              <w:pStyle w:val="SingleTxtG"/>
              <w:spacing w:before="80" w:after="80" w:line="200" w:lineRule="exact"/>
              <w:ind w:left="113" w:right="0"/>
              <w:jc w:val="right"/>
              <w:rPr>
                <w:bCs/>
                <w:i/>
                <w:iCs/>
                <w:caps w:val="0"/>
                <w:sz w:val="16"/>
                <w:rtl/>
              </w:rPr>
            </w:pPr>
          </w:p>
          <w:p w:rsidR="00D74294" w:rsidRPr="00D74294" w:rsidRDefault="00935F0A" w:rsidP="00935F0A">
            <w:pPr>
              <w:pStyle w:val="SingleTxtG"/>
              <w:spacing w:before="80" w:after="80" w:line="200" w:lineRule="exact"/>
              <w:ind w:left="113" w:right="28"/>
              <w:jc w:val="right"/>
              <w:rPr>
                <w:bCs/>
                <w:i/>
                <w:iCs/>
                <w:caps w:val="0"/>
                <w:sz w:val="16"/>
              </w:rPr>
            </w:pPr>
            <w:r w:rsidRPr="00D74294">
              <w:rPr>
                <w:bCs/>
                <w:i/>
                <w:iCs/>
                <w:caps w:val="0"/>
                <w:sz w:val="16"/>
              </w:rPr>
              <w:t>Total</w:t>
            </w:r>
          </w:p>
        </w:tc>
      </w:tr>
      <w:tr w:rsidR="00D74294" w:rsidRPr="00D74294" w:rsidTr="00EF5DF3">
        <w:trPr>
          <w:cnfStyle w:val="100000000000" w:firstRow="1" w:lastRow="0" w:firstColumn="0" w:lastColumn="0" w:oddVBand="0" w:evenVBand="0" w:oddHBand="0" w:evenHBand="0" w:firstRowFirstColumn="0" w:firstRowLastColumn="0" w:lastRowFirstColumn="0" w:lastRowLastColumn="0"/>
          <w:trHeight w:val="240"/>
          <w:tblHeader/>
        </w:trPr>
        <w:tc>
          <w:tcPr>
            <w:tcW w:w="1470" w:type="dxa"/>
            <w:vMerge/>
            <w:tcBorders>
              <w:top w:val="single" w:sz="12" w:space="0" w:color="auto"/>
              <w:bottom w:val="single" w:sz="12" w:space="0" w:color="auto"/>
            </w:tcBorders>
            <w:shd w:val="clear" w:color="auto" w:fill="auto"/>
            <w:vAlign w:val="bottom"/>
          </w:tcPr>
          <w:p w:rsidR="00D74294" w:rsidRPr="00D74294" w:rsidRDefault="00D74294" w:rsidP="00D74294">
            <w:pPr>
              <w:pStyle w:val="SingleTxtG"/>
              <w:spacing w:before="40" w:after="40" w:line="220" w:lineRule="exact"/>
              <w:ind w:left="0" w:right="0"/>
              <w:jc w:val="left"/>
              <w:rPr>
                <w:bCs/>
                <w:caps w:val="0"/>
                <w:sz w:val="18"/>
                <w:rtl/>
              </w:rPr>
            </w:pPr>
          </w:p>
        </w:tc>
        <w:tc>
          <w:tcPr>
            <w:tcW w:w="896" w:type="dxa"/>
            <w:tcBorders>
              <w:top w:val="single" w:sz="4" w:space="0" w:color="auto"/>
              <w:bottom w:val="single" w:sz="12" w:space="0" w:color="auto"/>
            </w:tcBorders>
            <w:shd w:val="clear" w:color="auto" w:fill="auto"/>
            <w:vAlign w:val="bottom"/>
          </w:tcPr>
          <w:p w:rsidR="00D74294" w:rsidRPr="0085715B" w:rsidRDefault="00D74294" w:rsidP="00935F0A">
            <w:pPr>
              <w:pStyle w:val="SingleTxtG"/>
              <w:spacing w:before="80" w:after="80" w:line="200" w:lineRule="exact"/>
              <w:ind w:left="113" w:right="28"/>
              <w:jc w:val="right"/>
              <w:rPr>
                <w:i/>
                <w:iCs/>
                <w:caps w:val="0"/>
                <w:sz w:val="16"/>
              </w:rPr>
            </w:pPr>
            <w:r w:rsidRPr="0085715B">
              <w:rPr>
                <w:i/>
                <w:iCs/>
                <w:caps w:val="0"/>
                <w:sz w:val="16"/>
              </w:rPr>
              <w:t>Hombres</w:t>
            </w:r>
          </w:p>
        </w:tc>
        <w:tc>
          <w:tcPr>
            <w:tcW w:w="784" w:type="dxa"/>
            <w:tcBorders>
              <w:top w:val="single" w:sz="4" w:space="0" w:color="auto"/>
              <w:bottom w:val="single" w:sz="12" w:space="0" w:color="auto"/>
            </w:tcBorders>
            <w:shd w:val="clear" w:color="auto" w:fill="auto"/>
            <w:vAlign w:val="bottom"/>
          </w:tcPr>
          <w:p w:rsidR="00D74294" w:rsidRPr="0085715B" w:rsidRDefault="00D74294" w:rsidP="00935F0A">
            <w:pPr>
              <w:pStyle w:val="SingleTxtG"/>
              <w:spacing w:before="80" w:after="80" w:line="200" w:lineRule="exact"/>
              <w:ind w:left="113" w:right="28"/>
              <w:jc w:val="right"/>
              <w:rPr>
                <w:i/>
                <w:iCs/>
                <w:caps w:val="0"/>
                <w:sz w:val="16"/>
              </w:rPr>
            </w:pPr>
            <w:r w:rsidRPr="0085715B">
              <w:rPr>
                <w:i/>
                <w:iCs/>
                <w:caps w:val="0"/>
                <w:sz w:val="16"/>
              </w:rPr>
              <w:t>Mujeres</w:t>
            </w:r>
          </w:p>
        </w:tc>
        <w:tc>
          <w:tcPr>
            <w:tcW w:w="819" w:type="dxa"/>
            <w:tcBorders>
              <w:top w:val="single" w:sz="4" w:space="0" w:color="auto"/>
              <w:bottom w:val="single" w:sz="12" w:space="0" w:color="auto"/>
              <w:right w:val="single" w:sz="24" w:space="0" w:color="FFFFFF" w:themeColor="background1"/>
            </w:tcBorders>
            <w:shd w:val="clear" w:color="auto" w:fill="auto"/>
            <w:vAlign w:val="bottom"/>
          </w:tcPr>
          <w:p w:rsidR="00D74294" w:rsidRPr="0085715B" w:rsidRDefault="00D74294" w:rsidP="00935F0A">
            <w:pPr>
              <w:pStyle w:val="SingleTxtG"/>
              <w:spacing w:before="80" w:after="80" w:line="200" w:lineRule="exact"/>
              <w:ind w:left="113" w:right="28"/>
              <w:jc w:val="right"/>
              <w:rPr>
                <w:i/>
                <w:iCs/>
                <w:caps w:val="0"/>
                <w:sz w:val="16"/>
              </w:rPr>
            </w:pPr>
            <w:r w:rsidRPr="0085715B">
              <w:rPr>
                <w:i/>
                <w:iCs/>
                <w:caps w:val="0"/>
                <w:sz w:val="16"/>
              </w:rPr>
              <w:t>Total</w:t>
            </w:r>
          </w:p>
        </w:tc>
        <w:tc>
          <w:tcPr>
            <w:tcW w:w="851" w:type="dxa"/>
            <w:tcBorders>
              <w:top w:val="single" w:sz="4" w:space="0" w:color="auto"/>
              <w:left w:val="single" w:sz="24" w:space="0" w:color="FFFFFF" w:themeColor="background1"/>
              <w:bottom w:val="single" w:sz="12" w:space="0" w:color="auto"/>
            </w:tcBorders>
            <w:shd w:val="clear" w:color="auto" w:fill="auto"/>
            <w:vAlign w:val="bottom"/>
          </w:tcPr>
          <w:p w:rsidR="00D74294" w:rsidRPr="0085715B" w:rsidRDefault="00D74294" w:rsidP="00935F0A">
            <w:pPr>
              <w:pStyle w:val="SingleTxtG"/>
              <w:spacing w:before="80" w:after="80" w:line="200" w:lineRule="exact"/>
              <w:ind w:left="113" w:right="28"/>
              <w:jc w:val="right"/>
              <w:rPr>
                <w:i/>
                <w:iCs/>
                <w:caps w:val="0"/>
                <w:sz w:val="16"/>
              </w:rPr>
            </w:pPr>
            <w:r w:rsidRPr="0085715B">
              <w:rPr>
                <w:i/>
                <w:iCs/>
                <w:caps w:val="0"/>
                <w:sz w:val="16"/>
              </w:rPr>
              <w:t>Hombres</w:t>
            </w:r>
          </w:p>
        </w:tc>
        <w:tc>
          <w:tcPr>
            <w:tcW w:w="859" w:type="dxa"/>
            <w:tcBorders>
              <w:top w:val="single" w:sz="4" w:space="0" w:color="auto"/>
              <w:bottom w:val="single" w:sz="12" w:space="0" w:color="auto"/>
            </w:tcBorders>
            <w:shd w:val="clear" w:color="auto" w:fill="auto"/>
            <w:vAlign w:val="bottom"/>
          </w:tcPr>
          <w:p w:rsidR="00D74294" w:rsidRPr="0085715B" w:rsidRDefault="00D74294" w:rsidP="00935F0A">
            <w:pPr>
              <w:pStyle w:val="SingleTxtG"/>
              <w:spacing w:before="80" w:after="80" w:line="200" w:lineRule="exact"/>
              <w:ind w:left="113" w:right="28"/>
              <w:jc w:val="right"/>
              <w:rPr>
                <w:i/>
                <w:iCs/>
                <w:caps w:val="0"/>
                <w:sz w:val="16"/>
              </w:rPr>
            </w:pPr>
            <w:r w:rsidRPr="0085715B">
              <w:rPr>
                <w:i/>
                <w:iCs/>
                <w:caps w:val="0"/>
                <w:sz w:val="16"/>
              </w:rPr>
              <w:t>Mujeres</w:t>
            </w:r>
          </w:p>
        </w:tc>
        <w:tc>
          <w:tcPr>
            <w:tcW w:w="904" w:type="dxa"/>
            <w:tcBorders>
              <w:top w:val="single" w:sz="4" w:space="0" w:color="auto"/>
              <w:bottom w:val="single" w:sz="12" w:space="0" w:color="auto"/>
            </w:tcBorders>
            <w:shd w:val="clear" w:color="auto" w:fill="auto"/>
            <w:vAlign w:val="bottom"/>
          </w:tcPr>
          <w:p w:rsidR="00D74294" w:rsidRPr="0085715B" w:rsidRDefault="00D74294" w:rsidP="00935F0A">
            <w:pPr>
              <w:pStyle w:val="SingleTxtG"/>
              <w:spacing w:before="80" w:after="80" w:line="200" w:lineRule="exact"/>
              <w:ind w:left="113" w:right="28"/>
              <w:jc w:val="right"/>
              <w:rPr>
                <w:i/>
                <w:iCs/>
                <w:caps w:val="0"/>
                <w:sz w:val="16"/>
              </w:rPr>
            </w:pPr>
            <w:r w:rsidRPr="0085715B">
              <w:rPr>
                <w:i/>
                <w:iCs/>
                <w:caps w:val="0"/>
                <w:sz w:val="16"/>
              </w:rPr>
              <w:t>Total</w:t>
            </w:r>
          </w:p>
        </w:tc>
        <w:tc>
          <w:tcPr>
            <w:tcW w:w="787" w:type="dxa"/>
            <w:vMerge/>
            <w:tcBorders>
              <w:top w:val="single" w:sz="12" w:space="0" w:color="auto"/>
              <w:bottom w:val="single" w:sz="12" w:space="0" w:color="auto"/>
            </w:tcBorders>
            <w:shd w:val="clear" w:color="auto" w:fill="auto"/>
            <w:vAlign w:val="bottom"/>
          </w:tcPr>
          <w:p w:rsidR="00D74294" w:rsidRPr="00D74294" w:rsidRDefault="00D74294" w:rsidP="00935F0A">
            <w:pPr>
              <w:pStyle w:val="SingleTxtG"/>
              <w:spacing w:before="40" w:after="40" w:line="220" w:lineRule="exact"/>
              <w:ind w:left="113" w:right="28"/>
              <w:jc w:val="right"/>
              <w:rPr>
                <w:bCs/>
                <w:iCs/>
                <w:caps w:val="0"/>
                <w:sz w:val="18"/>
                <w:rtl/>
              </w:rPr>
            </w:pPr>
          </w:p>
        </w:tc>
      </w:tr>
      <w:tr w:rsidR="00D74294" w:rsidRPr="00D74294" w:rsidTr="00EF5DF3">
        <w:trPr>
          <w:trHeight w:val="240"/>
        </w:trPr>
        <w:tc>
          <w:tcPr>
            <w:tcW w:w="1470" w:type="dxa"/>
            <w:tcBorders>
              <w:top w:val="single" w:sz="12" w:space="0" w:color="auto"/>
            </w:tcBorders>
            <w:shd w:val="clear" w:color="auto" w:fill="auto"/>
          </w:tcPr>
          <w:p w:rsidR="00D74294" w:rsidRPr="00D74294" w:rsidRDefault="00D74294" w:rsidP="00D74294">
            <w:pPr>
              <w:pStyle w:val="SingleTxtG"/>
              <w:spacing w:before="40" w:after="40" w:line="220" w:lineRule="exact"/>
              <w:ind w:left="0" w:right="0"/>
              <w:jc w:val="left"/>
              <w:rPr>
                <w:sz w:val="18"/>
              </w:rPr>
            </w:pPr>
            <w:r w:rsidRPr="00D74294">
              <w:rPr>
                <w:sz w:val="18"/>
              </w:rPr>
              <w:t>Preescolar</w:t>
            </w:r>
          </w:p>
        </w:tc>
        <w:tc>
          <w:tcPr>
            <w:tcW w:w="896" w:type="dxa"/>
            <w:tcBorders>
              <w:top w:val="single" w:sz="12" w:space="0" w:color="auto"/>
            </w:tcBorders>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3 715</w:t>
            </w:r>
          </w:p>
        </w:tc>
        <w:tc>
          <w:tcPr>
            <w:tcW w:w="784" w:type="dxa"/>
            <w:tcBorders>
              <w:top w:val="single" w:sz="12" w:space="0" w:color="auto"/>
            </w:tcBorders>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3 356</w:t>
            </w:r>
          </w:p>
        </w:tc>
        <w:tc>
          <w:tcPr>
            <w:tcW w:w="819" w:type="dxa"/>
            <w:tcBorders>
              <w:top w:val="single" w:sz="12" w:space="0" w:color="auto"/>
            </w:tcBorders>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7 071</w:t>
            </w:r>
          </w:p>
        </w:tc>
        <w:tc>
          <w:tcPr>
            <w:tcW w:w="851" w:type="dxa"/>
            <w:tcBorders>
              <w:top w:val="single" w:sz="12" w:space="0" w:color="auto"/>
            </w:tcBorders>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15 806</w:t>
            </w:r>
          </w:p>
        </w:tc>
        <w:tc>
          <w:tcPr>
            <w:tcW w:w="859" w:type="dxa"/>
            <w:tcBorders>
              <w:top w:val="single" w:sz="12" w:space="0" w:color="auto"/>
            </w:tcBorders>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14 765</w:t>
            </w:r>
          </w:p>
        </w:tc>
        <w:tc>
          <w:tcPr>
            <w:tcW w:w="904" w:type="dxa"/>
            <w:tcBorders>
              <w:top w:val="single" w:sz="12" w:space="0" w:color="auto"/>
            </w:tcBorders>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30 571</w:t>
            </w:r>
          </w:p>
        </w:tc>
        <w:tc>
          <w:tcPr>
            <w:tcW w:w="787" w:type="dxa"/>
            <w:tcBorders>
              <w:top w:val="single" w:sz="12" w:space="0" w:color="auto"/>
            </w:tcBorders>
            <w:shd w:val="clear" w:color="auto" w:fill="auto"/>
            <w:vAlign w:val="bottom"/>
          </w:tcPr>
          <w:p w:rsidR="00D74294" w:rsidRPr="00D74294" w:rsidRDefault="00D74294" w:rsidP="00935F0A">
            <w:pPr>
              <w:pStyle w:val="SingleTxtG"/>
              <w:spacing w:before="40" w:after="40" w:line="220" w:lineRule="exact"/>
              <w:ind w:left="113" w:right="28"/>
              <w:jc w:val="right"/>
              <w:rPr>
                <w:bCs/>
                <w:sz w:val="18"/>
              </w:rPr>
            </w:pPr>
            <w:r w:rsidRPr="00D74294">
              <w:rPr>
                <w:bCs/>
                <w:sz w:val="18"/>
              </w:rPr>
              <w:t>37 642</w:t>
            </w:r>
          </w:p>
        </w:tc>
      </w:tr>
      <w:tr w:rsidR="00D74294" w:rsidRPr="00D74294" w:rsidTr="00EF5DF3">
        <w:trPr>
          <w:trHeight w:val="240"/>
        </w:trPr>
        <w:tc>
          <w:tcPr>
            <w:tcW w:w="1470" w:type="dxa"/>
            <w:shd w:val="clear" w:color="auto" w:fill="auto"/>
          </w:tcPr>
          <w:p w:rsidR="00D74294" w:rsidRPr="00D74294" w:rsidRDefault="00D74294" w:rsidP="00D74294">
            <w:pPr>
              <w:pStyle w:val="SingleTxtG"/>
              <w:spacing w:before="40" w:after="40" w:line="220" w:lineRule="exact"/>
              <w:ind w:left="0" w:right="0"/>
              <w:jc w:val="left"/>
              <w:rPr>
                <w:sz w:val="18"/>
              </w:rPr>
            </w:pPr>
            <w:r w:rsidRPr="00D74294">
              <w:rPr>
                <w:sz w:val="18"/>
              </w:rPr>
              <w:t>Primaria</w:t>
            </w:r>
          </w:p>
        </w:tc>
        <w:tc>
          <w:tcPr>
            <w:tcW w:w="896" w:type="dxa"/>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9 546</w:t>
            </w:r>
          </w:p>
        </w:tc>
        <w:tc>
          <w:tcPr>
            <w:tcW w:w="784" w:type="dxa"/>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6 953</w:t>
            </w:r>
          </w:p>
        </w:tc>
        <w:tc>
          <w:tcPr>
            <w:tcW w:w="819" w:type="dxa"/>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16 499</w:t>
            </w:r>
          </w:p>
        </w:tc>
        <w:tc>
          <w:tcPr>
            <w:tcW w:w="851" w:type="dxa"/>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37 688</w:t>
            </w:r>
          </w:p>
        </w:tc>
        <w:tc>
          <w:tcPr>
            <w:tcW w:w="859" w:type="dxa"/>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34 497</w:t>
            </w:r>
          </w:p>
        </w:tc>
        <w:tc>
          <w:tcPr>
            <w:tcW w:w="904" w:type="dxa"/>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72 185</w:t>
            </w:r>
          </w:p>
        </w:tc>
        <w:tc>
          <w:tcPr>
            <w:tcW w:w="787" w:type="dxa"/>
            <w:shd w:val="clear" w:color="auto" w:fill="auto"/>
            <w:vAlign w:val="bottom"/>
          </w:tcPr>
          <w:p w:rsidR="00D74294" w:rsidRPr="00D74294" w:rsidRDefault="00D74294" w:rsidP="00935F0A">
            <w:pPr>
              <w:pStyle w:val="SingleTxtG"/>
              <w:spacing w:before="40" w:after="40" w:line="220" w:lineRule="exact"/>
              <w:ind w:left="113" w:right="28"/>
              <w:jc w:val="right"/>
              <w:rPr>
                <w:bCs/>
                <w:sz w:val="18"/>
              </w:rPr>
            </w:pPr>
            <w:r w:rsidRPr="00D74294">
              <w:rPr>
                <w:bCs/>
                <w:sz w:val="18"/>
              </w:rPr>
              <w:t>88 684</w:t>
            </w:r>
          </w:p>
        </w:tc>
      </w:tr>
      <w:tr w:rsidR="00D74294" w:rsidRPr="00D74294" w:rsidTr="00EF5DF3">
        <w:trPr>
          <w:trHeight w:val="240"/>
        </w:trPr>
        <w:tc>
          <w:tcPr>
            <w:tcW w:w="1470" w:type="dxa"/>
            <w:shd w:val="clear" w:color="auto" w:fill="auto"/>
          </w:tcPr>
          <w:p w:rsidR="00D74294" w:rsidRPr="00D74294" w:rsidRDefault="00D74294" w:rsidP="00D74294">
            <w:pPr>
              <w:pStyle w:val="SingleTxtG"/>
              <w:spacing w:before="40" w:after="40" w:line="220" w:lineRule="exact"/>
              <w:ind w:left="0" w:right="0"/>
              <w:jc w:val="left"/>
              <w:rPr>
                <w:sz w:val="18"/>
              </w:rPr>
            </w:pPr>
            <w:r w:rsidRPr="00D74294">
              <w:rPr>
                <w:sz w:val="18"/>
              </w:rPr>
              <w:t>Preparatoria</w:t>
            </w:r>
          </w:p>
        </w:tc>
        <w:tc>
          <w:tcPr>
            <w:tcW w:w="896" w:type="dxa"/>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2 867</w:t>
            </w:r>
          </w:p>
        </w:tc>
        <w:tc>
          <w:tcPr>
            <w:tcW w:w="784" w:type="dxa"/>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1 887</w:t>
            </w:r>
          </w:p>
        </w:tc>
        <w:tc>
          <w:tcPr>
            <w:tcW w:w="819" w:type="dxa"/>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4 754</w:t>
            </w:r>
          </w:p>
        </w:tc>
        <w:tc>
          <w:tcPr>
            <w:tcW w:w="851" w:type="dxa"/>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12 233</w:t>
            </w:r>
          </w:p>
        </w:tc>
        <w:tc>
          <w:tcPr>
            <w:tcW w:w="859" w:type="dxa"/>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11 229</w:t>
            </w:r>
          </w:p>
        </w:tc>
        <w:tc>
          <w:tcPr>
            <w:tcW w:w="904" w:type="dxa"/>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23 462</w:t>
            </w:r>
          </w:p>
        </w:tc>
        <w:tc>
          <w:tcPr>
            <w:tcW w:w="787" w:type="dxa"/>
            <w:shd w:val="clear" w:color="auto" w:fill="auto"/>
            <w:vAlign w:val="bottom"/>
          </w:tcPr>
          <w:p w:rsidR="00D74294" w:rsidRPr="00D74294" w:rsidRDefault="00D74294" w:rsidP="00935F0A">
            <w:pPr>
              <w:pStyle w:val="SingleTxtG"/>
              <w:spacing w:before="40" w:after="40" w:line="220" w:lineRule="exact"/>
              <w:ind w:left="113" w:right="28"/>
              <w:jc w:val="right"/>
              <w:rPr>
                <w:bCs/>
                <w:sz w:val="18"/>
              </w:rPr>
            </w:pPr>
            <w:r w:rsidRPr="00D74294">
              <w:rPr>
                <w:bCs/>
                <w:sz w:val="18"/>
              </w:rPr>
              <w:t>28 216</w:t>
            </w:r>
          </w:p>
        </w:tc>
      </w:tr>
      <w:tr w:rsidR="00935F0A" w:rsidRPr="00D74294" w:rsidTr="00EF5DF3">
        <w:trPr>
          <w:trHeight w:val="240"/>
        </w:trPr>
        <w:tc>
          <w:tcPr>
            <w:tcW w:w="1470" w:type="dxa"/>
            <w:tcBorders>
              <w:bottom w:val="single" w:sz="4" w:space="0" w:color="auto"/>
            </w:tcBorders>
            <w:shd w:val="clear" w:color="auto" w:fill="auto"/>
          </w:tcPr>
          <w:p w:rsidR="00D74294" w:rsidRPr="00D74294" w:rsidRDefault="00D74294" w:rsidP="00D74294">
            <w:pPr>
              <w:pStyle w:val="SingleTxtG"/>
              <w:spacing w:before="40" w:after="40" w:line="220" w:lineRule="exact"/>
              <w:ind w:left="0" w:right="0"/>
              <w:jc w:val="left"/>
              <w:rPr>
                <w:sz w:val="18"/>
              </w:rPr>
            </w:pPr>
            <w:r w:rsidRPr="00D74294">
              <w:rPr>
                <w:sz w:val="18"/>
              </w:rPr>
              <w:t>Secundaria</w:t>
            </w:r>
          </w:p>
        </w:tc>
        <w:tc>
          <w:tcPr>
            <w:tcW w:w="896" w:type="dxa"/>
            <w:tcBorders>
              <w:bottom w:val="single" w:sz="4" w:space="0" w:color="auto"/>
            </w:tcBorders>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1 897</w:t>
            </w:r>
          </w:p>
        </w:tc>
        <w:tc>
          <w:tcPr>
            <w:tcW w:w="784" w:type="dxa"/>
            <w:tcBorders>
              <w:bottom w:val="single" w:sz="4" w:space="0" w:color="auto"/>
            </w:tcBorders>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1 035</w:t>
            </w:r>
          </w:p>
        </w:tc>
        <w:tc>
          <w:tcPr>
            <w:tcW w:w="819" w:type="dxa"/>
            <w:tcBorders>
              <w:bottom w:val="single" w:sz="4" w:space="0" w:color="auto"/>
            </w:tcBorders>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2 932</w:t>
            </w:r>
          </w:p>
        </w:tc>
        <w:tc>
          <w:tcPr>
            <w:tcW w:w="851" w:type="dxa"/>
            <w:tcBorders>
              <w:bottom w:val="single" w:sz="4" w:space="0" w:color="auto"/>
            </w:tcBorders>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8 032</w:t>
            </w:r>
          </w:p>
        </w:tc>
        <w:tc>
          <w:tcPr>
            <w:tcW w:w="859" w:type="dxa"/>
            <w:tcBorders>
              <w:bottom w:val="single" w:sz="4" w:space="0" w:color="auto"/>
            </w:tcBorders>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7 398</w:t>
            </w:r>
          </w:p>
        </w:tc>
        <w:tc>
          <w:tcPr>
            <w:tcW w:w="904" w:type="dxa"/>
            <w:tcBorders>
              <w:bottom w:val="single" w:sz="4" w:space="0" w:color="auto"/>
            </w:tcBorders>
            <w:shd w:val="clear" w:color="auto" w:fill="auto"/>
            <w:vAlign w:val="bottom"/>
          </w:tcPr>
          <w:p w:rsidR="00D74294" w:rsidRPr="00D74294" w:rsidRDefault="00D74294" w:rsidP="00935F0A">
            <w:pPr>
              <w:pStyle w:val="SingleTxtG"/>
              <w:spacing w:before="40" w:after="40" w:line="220" w:lineRule="exact"/>
              <w:ind w:left="113" w:right="28"/>
              <w:jc w:val="right"/>
              <w:rPr>
                <w:sz w:val="18"/>
              </w:rPr>
            </w:pPr>
            <w:r w:rsidRPr="00D74294">
              <w:rPr>
                <w:sz w:val="18"/>
              </w:rPr>
              <w:t>15 430</w:t>
            </w:r>
          </w:p>
        </w:tc>
        <w:tc>
          <w:tcPr>
            <w:tcW w:w="787" w:type="dxa"/>
            <w:tcBorders>
              <w:bottom w:val="single" w:sz="4" w:space="0" w:color="auto"/>
            </w:tcBorders>
            <w:shd w:val="clear" w:color="auto" w:fill="auto"/>
            <w:vAlign w:val="bottom"/>
          </w:tcPr>
          <w:p w:rsidR="00D74294" w:rsidRPr="00D74294" w:rsidRDefault="00D74294" w:rsidP="00935F0A">
            <w:pPr>
              <w:pStyle w:val="SingleTxtG"/>
              <w:spacing w:before="40" w:after="40" w:line="220" w:lineRule="exact"/>
              <w:ind w:left="113" w:right="28"/>
              <w:jc w:val="right"/>
              <w:rPr>
                <w:bCs/>
                <w:sz w:val="18"/>
              </w:rPr>
            </w:pPr>
            <w:r w:rsidRPr="00D74294">
              <w:rPr>
                <w:bCs/>
                <w:sz w:val="18"/>
              </w:rPr>
              <w:t>18 362</w:t>
            </w:r>
          </w:p>
        </w:tc>
      </w:tr>
      <w:tr w:rsidR="00D74294" w:rsidRPr="00935F0A" w:rsidTr="00EF5DF3">
        <w:trPr>
          <w:trHeight w:val="240"/>
        </w:trPr>
        <w:tc>
          <w:tcPr>
            <w:tcW w:w="1470" w:type="dxa"/>
            <w:tcBorders>
              <w:top w:val="single" w:sz="4" w:space="0" w:color="auto"/>
              <w:bottom w:val="single" w:sz="12" w:space="0" w:color="auto"/>
            </w:tcBorders>
            <w:shd w:val="clear" w:color="auto" w:fill="auto"/>
          </w:tcPr>
          <w:p w:rsidR="00D74294" w:rsidRPr="00935F0A" w:rsidRDefault="00D74294" w:rsidP="00935F0A">
            <w:pPr>
              <w:pStyle w:val="SingleTxtG"/>
              <w:spacing w:before="80" w:after="80" w:line="220" w:lineRule="exact"/>
              <w:ind w:left="283" w:right="0"/>
              <w:jc w:val="left"/>
              <w:rPr>
                <w:b/>
                <w:bCs/>
                <w:sz w:val="18"/>
              </w:rPr>
            </w:pPr>
            <w:r w:rsidRPr="00935F0A">
              <w:rPr>
                <w:b/>
                <w:bCs/>
                <w:sz w:val="18"/>
              </w:rPr>
              <w:t>Total</w:t>
            </w:r>
          </w:p>
        </w:tc>
        <w:tc>
          <w:tcPr>
            <w:tcW w:w="896" w:type="dxa"/>
            <w:tcBorders>
              <w:top w:val="single" w:sz="4" w:space="0" w:color="auto"/>
              <w:bottom w:val="single" w:sz="12" w:space="0" w:color="auto"/>
            </w:tcBorders>
            <w:shd w:val="clear" w:color="auto" w:fill="auto"/>
            <w:vAlign w:val="bottom"/>
          </w:tcPr>
          <w:p w:rsidR="00D74294" w:rsidRPr="00935F0A" w:rsidRDefault="00D74294" w:rsidP="00935F0A">
            <w:pPr>
              <w:pStyle w:val="SingleTxtG"/>
              <w:spacing w:before="80" w:after="80" w:line="220" w:lineRule="exact"/>
              <w:ind w:left="0" w:right="28"/>
              <w:jc w:val="right"/>
              <w:rPr>
                <w:b/>
                <w:bCs/>
                <w:sz w:val="18"/>
              </w:rPr>
            </w:pPr>
            <w:r w:rsidRPr="00935F0A">
              <w:rPr>
                <w:b/>
                <w:bCs/>
                <w:sz w:val="18"/>
              </w:rPr>
              <w:t>18 025</w:t>
            </w:r>
          </w:p>
        </w:tc>
        <w:tc>
          <w:tcPr>
            <w:tcW w:w="784" w:type="dxa"/>
            <w:tcBorders>
              <w:top w:val="single" w:sz="4" w:space="0" w:color="auto"/>
              <w:bottom w:val="single" w:sz="12" w:space="0" w:color="auto"/>
            </w:tcBorders>
            <w:shd w:val="clear" w:color="auto" w:fill="auto"/>
            <w:vAlign w:val="bottom"/>
          </w:tcPr>
          <w:p w:rsidR="00D74294" w:rsidRPr="00935F0A" w:rsidRDefault="00D74294" w:rsidP="00935F0A">
            <w:pPr>
              <w:pStyle w:val="SingleTxtG"/>
              <w:spacing w:before="80" w:after="80" w:line="220" w:lineRule="exact"/>
              <w:ind w:left="0" w:right="28"/>
              <w:jc w:val="right"/>
              <w:rPr>
                <w:b/>
                <w:bCs/>
                <w:sz w:val="18"/>
              </w:rPr>
            </w:pPr>
            <w:r w:rsidRPr="00935F0A">
              <w:rPr>
                <w:b/>
                <w:bCs/>
                <w:sz w:val="18"/>
              </w:rPr>
              <w:t>13 231</w:t>
            </w:r>
          </w:p>
        </w:tc>
        <w:tc>
          <w:tcPr>
            <w:tcW w:w="819" w:type="dxa"/>
            <w:tcBorders>
              <w:top w:val="single" w:sz="4" w:space="0" w:color="auto"/>
              <w:bottom w:val="single" w:sz="12" w:space="0" w:color="auto"/>
            </w:tcBorders>
            <w:shd w:val="clear" w:color="auto" w:fill="auto"/>
            <w:vAlign w:val="bottom"/>
          </w:tcPr>
          <w:p w:rsidR="00D74294" w:rsidRPr="00935F0A" w:rsidRDefault="00D74294" w:rsidP="00935F0A">
            <w:pPr>
              <w:pStyle w:val="SingleTxtG"/>
              <w:spacing w:before="80" w:after="80" w:line="220" w:lineRule="exact"/>
              <w:ind w:left="0" w:right="28"/>
              <w:jc w:val="right"/>
              <w:rPr>
                <w:b/>
                <w:bCs/>
                <w:sz w:val="18"/>
              </w:rPr>
            </w:pPr>
            <w:r w:rsidRPr="00935F0A">
              <w:rPr>
                <w:b/>
                <w:bCs/>
                <w:sz w:val="18"/>
              </w:rPr>
              <w:t>31 256</w:t>
            </w:r>
          </w:p>
        </w:tc>
        <w:tc>
          <w:tcPr>
            <w:tcW w:w="851" w:type="dxa"/>
            <w:tcBorders>
              <w:top w:val="single" w:sz="4" w:space="0" w:color="auto"/>
              <w:bottom w:val="single" w:sz="12" w:space="0" w:color="auto"/>
            </w:tcBorders>
            <w:shd w:val="clear" w:color="auto" w:fill="auto"/>
            <w:vAlign w:val="bottom"/>
          </w:tcPr>
          <w:p w:rsidR="00D74294" w:rsidRPr="00935F0A" w:rsidRDefault="00D74294" w:rsidP="00935F0A">
            <w:pPr>
              <w:pStyle w:val="SingleTxtG"/>
              <w:spacing w:before="80" w:after="80" w:line="220" w:lineRule="exact"/>
              <w:ind w:left="0" w:right="28"/>
              <w:jc w:val="right"/>
              <w:rPr>
                <w:b/>
                <w:bCs/>
                <w:sz w:val="18"/>
              </w:rPr>
            </w:pPr>
            <w:r w:rsidRPr="00935F0A">
              <w:rPr>
                <w:b/>
                <w:bCs/>
                <w:sz w:val="18"/>
              </w:rPr>
              <w:t>73 759</w:t>
            </w:r>
          </w:p>
        </w:tc>
        <w:tc>
          <w:tcPr>
            <w:tcW w:w="859" w:type="dxa"/>
            <w:tcBorders>
              <w:top w:val="single" w:sz="4" w:space="0" w:color="auto"/>
              <w:bottom w:val="single" w:sz="12" w:space="0" w:color="auto"/>
            </w:tcBorders>
            <w:shd w:val="clear" w:color="auto" w:fill="auto"/>
            <w:vAlign w:val="bottom"/>
          </w:tcPr>
          <w:p w:rsidR="00D74294" w:rsidRPr="00935F0A" w:rsidRDefault="00D74294" w:rsidP="00935F0A">
            <w:pPr>
              <w:pStyle w:val="SingleTxtG"/>
              <w:spacing w:before="80" w:after="80" w:line="220" w:lineRule="exact"/>
              <w:ind w:left="0" w:right="28"/>
              <w:jc w:val="right"/>
              <w:rPr>
                <w:b/>
                <w:bCs/>
                <w:sz w:val="18"/>
              </w:rPr>
            </w:pPr>
            <w:r w:rsidRPr="00935F0A">
              <w:rPr>
                <w:b/>
                <w:bCs/>
                <w:sz w:val="18"/>
              </w:rPr>
              <w:t>67 889</w:t>
            </w:r>
          </w:p>
        </w:tc>
        <w:tc>
          <w:tcPr>
            <w:tcW w:w="904" w:type="dxa"/>
            <w:tcBorders>
              <w:top w:val="single" w:sz="4" w:space="0" w:color="auto"/>
              <w:bottom w:val="single" w:sz="12" w:space="0" w:color="auto"/>
            </w:tcBorders>
            <w:shd w:val="clear" w:color="auto" w:fill="auto"/>
            <w:vAlign w:val="bottom"/>
          </w:tcPr>
          <w:p w:rsidR="00D74294" w:rsidRPr="00935F0A" w:rsidRDefault="00D74294" w:rsidP="00935F0A">
            <w:pPr>
              <w:pStyle w:val="SingleTxtG"/>
              <w:spacing w:before="80" w:after="80" w:line="220" w:lineRule="exact"/>
              <w:ind w:left="0" w:right="28"/>
              <w:jc w:val="right"/>
              <w:rPr>
                <w:b/>
                <w:bCs/>
                <w:sz w:val="18"/>
              </w:rPr>
            </w:pPr>
            <w:r w:rsidRPr="00935F0A">
              <w:rPr>
                <w:b/>
                <w:bCs/>
                <w:sz w:val="18"/>
              </w:rPr>
              <w:t>141 648</w:t>
            </w:r>
          </w:p>
        </w:tc>
        <w:tc>
          <w:tcPr>
            <w:tcW w:w="787" w:type="dxa"/>
            <w:tcBorders>
              <w:top w:val="single" w:sz="4" w:space="0" w:color="auto"/>
              <w:bottom w:val="single" w:sz="12" w:space="0" w:color="auto"/>
            </w:tcBorders>
            <w:shd w:val="clear" w:color="auto" w:fill="auto"/>
            <w:vAlign w:val="bottom"/>
          </w:tcPr>
          <w:p w:rsidR="00D74294" w:rsidRPr="00935F0A" w:rsidRDefault="00D74294" w:rsidP="00935F0A">
            <w:pPr>
              <w:pStyle w:val="SingleTxtG"/>
              <w:spacing w:before="80" w:after="80" w:line="220" w:lineRule="exact"/>
              <w:ind w:left="0" w:right="28"/>
              <w:jc w:val="right"/>
              <w:rPr>
                <w:b/>
                <w:bCs/>
                <w:sz w:val="18"/>
              </w:rPr>
            </w:pPr>
            <w:r w:rsidRPr="00935F0A">
              <w:rPr>
                <w:b/>
                <w:bCs/>
                <w:sz w:val="18"/>
              </w:rPr>
              <w:t>172 904</w:t>
            </w:r>
          </w:p>
        </w:tc>
      </w:tr>
    </w:tbl>
    <w:p w:rsidR="00D74294" w:rsidRPr="0085715B" w:rsidRDefault="00D74294" w:rsidP="0085715B">
      <w:pPr>
        <w:pStyle w:val="SingleTxtG"/>
        <w:spacing w:before="120" w:after="240"/>
        <w:ind w:firstLine="170"/>
        <w:jc w:val="left"/>
        <w:rPr>
          <w:sz w:val="18"/>
        </w:rPr>
      </w:pPr>
      <w:r w:rsidRPr="0085715B">
        <w:rPr>
          <w:i/>
          <w:iCs/>
          <w:sz w:val="18"/>
        </w:rPr>
        <w:t>Fuente:</w:t>
      </w:r>
      <w:r w:rsidR="0085715B" w:rsidRPr="0085715B">
        <w:rPr>
          <w:sz w:val="18"/>
        </w:rPr>
        <w:t xml:space="preserve"> </w:t>
      </w:r>
      <w:r w:rsidRPr="0085715B">
        <w:rPr>
          <w:sz w:val="18"/>
        </w:rPr>
        <w:t>Ministerio de Planificación del Desarrollo y Estadísticas.</w:t>
      </w:r>
    </w:p>
    <w:p w:rsidR="00D74294" w:rsidRPr="00D74294" w:rsidRDefault="00D74294" w:rsidP="00D74294">
      <w:pPr>
        <w:pStyle w:val="SingleTxtG"/>
      </w:pPr>
      <w:r w:rsidRPr="00D74294">
        <w:t>117.</w:t>
      </w:r>
      <w:r w:rsidRPr="00D74294">
        <w:tab/>
        <w:t xml:space="preserve">Las leyes qataríes garantizan el acceso a los servicios de atención de la salud sin discriminación por motivo de raza, religión, origen nacional, creencia, lengua, edad o discapacidad. Cabe destacar que el Pacto de los Derechos y de las Responsabilidades del Paciente y de sus Familiares, editado por la Fundación Médica </w:t>
      </w:r>
      <w:proofErr w:type="spellStart"/>
      <w:r w:rsidRPr="00D74294">
        <w:t>Hamad</w:t>
      </w:r>
      <w:proofErr w:type="spellEnd"/>
      <w:r w:rsidRPr="00D74294">
        <w:t>, establece los principios fundamentales en materia de salvaguardia del derecho a la salud, entre ellos el acceso sin discriminación y de forma apropiada a los servicios de atención sanitaria y a la necesaria atención sanitaria y la preservación de la intimidad y de la confidencialidad de los datos. El Pacto aborda, entre otros, los siguientes puntos:</w:t>
      </w:r>
    </w:p>
    <w:p w:rsidR="00D74294" w:rsidRPr="00D74294" w:rsidRDefault="00D74294" w:rsidP="00D74294">
      <w:pPr>
        <w:pStyle w:val="Bullet1G"/>
      </w:pPr>
      <w:r w:rsidRPr="00D74294">
        <w:t>Acceso a los servicios de atención primaria de la salud, con independencia de la raza, la religión, el lugar de origen, las creencias, los valores, la le</w:t>
      </w:r>
      <w:r w:rsidR="0085715B">
        <w:t>ngua, la edad y la discapacidad.</w:t>
      </w:r>
    </w:p>
    <w:p w:rsidR="00D74294" w:rsidRPr="00D74294" w:rsidRDefault="00D74294" w:rsidP="00D74294">
      <w:pPr>
        <w:pStyle w:val="Bullet1G"/>
      </w:pPr>
      <w:r w:rsidRPr="00D74294">
        <w:t>Acceso sin demora injustificada a la aten</w:t>
      </w:r>
      <w:r w:rsidR="0085715B">
        <w:t>ción y a los servicios de salud.</w:t>
      </w:r>
    </w:p>
    <w:p w:rsidR="00D74294" w:rsidRPr="00D74294" w:rsidRDefault="00D74294" w:rsidP="00D74294">
      <w:pPr>
        <w:pStyle w:val="Bullet1G"/>
      </w:pPr>
      <w:r w:rsidRPr="00D74294">
        <w:t>Acceso constante, adecuado y respetuoso a los cuidados necesarios y preservación de la dignidad de</w:t>
      </w:r>
      <w:r w:rsidR="0085715B">
        <w:t>l paciente.</w:t>
      </w:r>
    </w:p>
    <w:p w:rsidR="00D74294" w:rsidRPr="00D74294" w:rsidRDefault="00D74294" w:rsidP="00D74294">
      <w:pPr>
        <w:pStyle w:val="Bullet1G"/>
      </w:pPr>
      <w:r w:rsidRPr="00D74294">
        <w:t>Mecanismo de apoyo apropiado y eficaz a disposición del pacie</w:t>
      </w:r>
      <w:r w:rsidR="0085715B">
        <w:t>nte en caso de queja o denuncia.</w:t>
      </w:r>
    </w:p>
    <w:p w:rsidR="00D74294" w:rsidRPr="00D74294" w:rsidRDefault="00D74294" w:rsidP="00D74294">
      <w:pPr>
        <w:pStyle w:val="Bullet1G"/>
      </w:pPr>
      <w:r w:rsidRPr="00D74294">
        <w:t>Atención inmediata de</w:t>
      </w:r>
      <w:r w:rsidR="0085715B">
        <w:t xml:space="preserve"> evaluación y control del dolor.</w:t>
      </w:r>
    </w:p>
    <w:p w:rsidR="00D74294" w:rsidRPr="00D74294" w:rsidRDefault="00D74294" w:rsidP="00D74294">
      <w:pPr>
        <w:pStyle w:val="Bullet1G"/>
      </w:pPr>
      <w:r w:rsidRPr="00D74294">
        <w:t>Que los pacientes no serán aislados ni inmovilizados, salvo por imperativo médico.</w:t>
      </w:r>
    </w:p>
    <w:p w:rsidR="00D74294" w:rsidRPr="00D74294" w:rsidRDefault="00D74294" w:rsidP="00D74294">
      <w:pPr>
        <w:pStyle w:val="SingleTxtG"/>
      </w:pPr>
      <w:r w:rsidRPr="00D74294">
        <w:t>118.</w:t>
      </w:r>
      <w:r w:rsidRPr="00D74294">
        <w:tab/>
        <w:t>El Estado de Qatar, en su afán por hacer valer los derechos de los trabajadores migrantes, ha modificado la Ley del Trabajo (núm. 14/2004) para establecer una o varias comisiones que protejan los derechos de los trabajadores extranjeros dirimiendo las controversias generadas por esa Ley o por el contrato de trabajo. Las resoluciones de esa comisión tienen fuerza de título ejecutivo. La comisión estará encabezada por un juez del Tribunal de Primera Instancia, incluirá a dos funcionarios del Ministerio de Desarrollo Administrativo, Trabajo y Asuntos Sociales y resolverá con carácter urgente, y en cualquier caso antes de tres semanas, las controversias generadas por esa Ley o por el contrato de trabajo que le sean remitidas por la dirección competente cuando no se alcanzó solución conciliatoria mediante mediación. Las partes podrán recurrir las resoluciones finales de la comisión ante la Comisión de Apelación para la Resolución de los Conflictos Laborales, que está encabezada por un magistrado del Tribunal de Apelación e incluye a dos miembros propuestos por el Ministro. Los tribunales continuarán resolviendo los litigios incoados antes de la fecha de entrada en vigor de la Ley citada. Una resolución del Consejo de Ministros establecerá el procedimiento para el examen de las solicitudes, las normas y los procedimientos a los que se sujetará la comisión y el mecanismo para la ejecución de sus resoluciones. Con el establecimiento de estas comisiones el Gobierno pretende facilitar a los trabajadores extranjeros vías de reparación y de acceso a la justicia en caso de controversia generada por esa Ley o por el contrato de trabajo, y evitarles las complicaciones y dilaciones de los procedimientos judiciales. El Ministerio de Desarrollo Administrativo, Trabajo y Asuntos Sociales se ha coordinado con las embajadas para que hagan un seguimiento de las controversias sometidas a la comisión y comparezcan ante ella en representación del trabajador que hubiera abandonado el país. El trabajador puede también solicitar la tutela judicial ordinaria para recurrir ante el Tribunal de Casación las resoluciones de la Comisión de Apelación para la Resolución de los Conflictos Laborales. En definitiva, las vías de reparación son las siguientes:</w:t>
      </w:r>
    </w:p>
    <w:p w:rsidR="00D74294" w:rsidRPr="00D74294" w:rsidRDefault="00D74294" w:rsidP="00D74294">
      <w:pPr>
        <w:pStyle w:val="Bullet1G"/>
      </w:pPr>
      <w:r w:rsidRPr="00D74294">
        <w:t xml:space="preserve">El trabajador interpone denuncia contra el empleador ante la dirección competente del Ministerio de Desarrollo Administrativo, Trabajo y Asuntos Sociales para reclamar los derechos que le asisten en virtud de la Ley del Trabajo o, directamente, de su contrato de trabajo. </w:t>
      </w:r>
    </w:p>
    <w:p w:rsidR="00D74294" w:rsidRPr="00D74294" w:rsidRDefault="00D74294" w:rsidP="00D74294">
      <w:pPr>
        <w:pStyle w:val="Bullet1G"/>
      </w:pPr>
      <w:r w:rsidRPr="00D74294">
        <w:t>La dirección competente investiga la denuncia y procura un arreglo amistoso; si ambas partes se someten a la mediación de ese organismo, se levanta acta conciliatoria de ejecución inmediata que será firmada por las partes y por un representante de la dirección competente.</w:t>
      </w:r>
    </w:p>
    <w:p w:rsidR="00D74294" w:rsidRPr="00D74294" w:rsidRDefault="00D74294" w:rsidP="00D74294">
      <w:pPr>
        <w:pStyle w:val="Bullet1G"/>
      </w:pPr>
      <w:r w:rsidRPr="00D74294">
        <w:t xml:space="preserve">Si esa mediación extrajudicial se viera frustrada, se dará traslado de la controversia a la comisión de conflictos laborales, que lo resolverá con carácter urgente y, en cualquier caso, antes de tres semanas. </w:t>
      </w:r>
    </w:p>
    <w:p w:rsidR="00D74294" w:rsidRPr="00D74294" w:rsidRDefault="00D74294" w:rsidP="00D74294">
      <w:pPr>
        <w:pStyle w:val="Bullet1G"/>
      </w:pPr>
      <w:r w:rsidRPr="00D74294">
        <w:t xml:space="preserve">Salvo que sea recurrida, la resolución de la comisión será final y de ejecución imperativa. </w:t>
      </w:r>
    </w:p>
    <w:p w:rsidR="00D74294" w:rsidRPr="00D74294" w:rsidRDefault="00D74294" w:rsidP="00D74294">
      <w:pPr>
        <w:pStyle w:val="Bullet1G"/>
      </w:pPr>
      <w:r w:rsidRPr="00D74294">
        <w:t>El legislador permite a las partes apelar las resoluciones finales de la comisión ante la Comisión de Apelación para la Resolución de los Conflictos Laborales, que está encabezada por un magistrado del Tribunal de Apelación e incluye a dos miembros propuestos por el Ministro.</w:t>
      </w:r>
    </w:p>
    <w:p w:rsidR="00D74294" w:rsidRPr="00D74294" w:rsidRDefault="00D74294" w:rsidP="00D74294">
      <w:pPr>
        <w:pStyle w:val="SingleTxtG"/>
      </w:pPr>
      <w:r w:rsidRPr="00D74294">
        <w:t>119.</w:t>
      </w:r>
      <w:r w:rsidRPr="00D74294">
        <w:tab/>
        <w:t>Como quedó dicho, el artículo 2, párrafo 3, del Decreto Ley núm. 38/2002 faculta a la Comisión Nacional de Derechos Humanos a examinar las violaciones de los derechos humanos y a proponer las vías que permitan abordarlas e impedir su comisión.</w:t>
      </w:r>
    </w:p>
    <w:p w:rsidR="00D74294" w:rsidRPr="00D74294" w:rsidRDefault="0085715B" w:rsidP="0085715B">
      <w:pPr>
        <w:pStyle w:val="H1G"/>
      </w:pPr>
      <w:r>
        <w:tab/>
        <w:t>B.</w:t>
      </w:r>
      <w:r>
        <w:tab/>
        <w:t>Recursos efectivos</w:t>
      </w:r>
    </w:p>
    <w:p w:rsidR="00D74294" w:rsidRPr="00D74294" w:rsidRDefault="00D74294" w:rsidP="00D74294">
      <w:pPr>
        <w:pStyle w:val="SingleTxtG"/>
      </w:pPr>
      <w:r w:rsidRPr="00D74294">
        <w:t>120.</w:t>
      </w:r>
      <w:r w:rsidRPr="00D74294">
        <w:tab/>
        <w:t xml:space="preserve">Qatar cuenta con varios recursos efectivos, que consisten en el derecho de toda persona a acudir a la jurisdicción competente o a la Comisión Nacional de los Derechos Humanos. La Constitución Permanente del Estado de Qatar afirma, garantiza y protege el derecho a recurrir a los tribunales. Según su artículo 135, </w:t>
      </w:r>
      <w:r w:rsidR="007C4727">
        <w:t>“</w:t>
      </w:r>
      <w:r w:rsidRPr="00D74294">
        <w:t>la tutela judicial es un derecho consagrado y garantizado para todos. La ley establecerá las medidas y las condiciones para el ejercicio de ese derecho</w:t>
      </w:r>
      <w:r w:rsidR="007C4727">
        <w:t>”</w:t>
      </w:r>
      <w:r w:rsidRPr="00D74294">
        <w:t>. Los procedimientos para el ac</w:t>
      </w:r>
      <w:r w:rsidR="001710EA">
        <w:t>ceso a la tutela judicial están </w:t>
      </w:r>
      <w:r w:rsidRPr="00D74294">
        <w:t>regulados, entre otros cuerpos normativos, en la Ley de Procedimiento Penal, la Ley de Procedimiento Civil y Mercantil, la Ley de Res</w:t>
      </w:r>
      <w:r w:rsidR="001710EA">
        <w:t>olución de Litigios Contencioso</w:t>
      </w:r>
      <w:r w:rsidR="001710EA">
        <w:noBreakHyphen/>
      </w:r>
      <w:r w:rsidRPr="00D74294">
        <w:t xml:space="preserve">Administrativos y la Ley de la Familia. En caso de daño acreditado, el tribunal fijará una indemnización justa a favor del perjudicado. Según el artículo 19 de la Ley de Procedimiento Penal (núm. 23/2004 y sus modificaciones), </w:t>
      </w:r>
      <w:r w:rsidR="007C4727">
        <w:t>“</w:t>
      </w:r>
      <w:r w:rsidRPr="00D74294">
        <w:t>el que sufriese daño personal directo derivado del delito podrá exigir al acusado responsabilidad civil durante la investigación o ante el tribunal que entienda en la causa</w:t>
      </w:r>
      <w:r w:rsidR="007C4727">
        <w:t>”</w:t>
      </w:r>
      <w:r w:rsidRPr="00D74294">
        <w:t>. A este precepto se suman las normas generales de la jurisdicción civil que garantizan ese derecho. Por otra parte, los artículos 32 a 60 de la Ley de Procedimiento Penal, que regulan los procedimientos de pesquisa, diligencias probatorias e instrucción en primera instancia que ayudan al ministerio fiscal y a los jueces a descubrir el delito y arrestar y condenar al delincuente, no establecen distinciones entre los ciudadanos o entre el ciudadano y el residente extranjero, y su artículo 19 otorga a la víctima del delito el derecho a incoar acción civil de daños y perjuicios.</w:t>
      </w:r>
    </w:p>
    <w:p w:rsidR="00D74294" w:rsidRPr="00D74294" w:rsidRDefault="00D74294" w:rsidP="00D74294">
      <w:pPr>
        <w:pStyle w:val="SingleTxtG"/>
      </w:pPr>
      <w:r w:rsidRPr="00D74294">
        <w:t>121.</w:t>
      </w:r>
      <w:r w:rsidRPr="00D74294">
        <w:tab/>
        <w:t xml:space="preserve">El poder judicial qatarí desempeña su labor con arreglo a lo dispuesto el artículo 130 de la Constitución Permanente del Estado de Qatar, el cual dispone que </w:t>
      </w:r>
      <w:r w:rsidR="007C4727">
        <w:t>“</w:t>
      </w:r>
      <w:r w:rsidRPr="00D74294">
        <w:t>el poder judicial es independiente y lo ejercen los órganos judiciales en sus diferentes jurisdicciones e instancias.</w:t>
      </w:r>
    </w:p>
    <w:p w:rsidR="006F35EE" w:rsidRDefault="00D74294" w:rsidP="00D74294">
      <w:pPr>
        <w:pStyle w:val="SingleTxtG"/>
      </w:pPr>
      <w:r w:rsidRPr="00D74294">
        <w:t>122.</w:t>
      </w:r>
      <w:r w:rsidRPr="00D74294">
        <w:tab/>
        <w:t xml:space="preserve">La Dirección de Derechos Humanos del Ministerio de Interior forma parte del sistema nacional para la protección de los derechos humanos. Fue establecida mediante la </w:t>
      </w:r>
      <w:r w:rsidR="00403650" w:rsidRPr="00D74294">
        <w:t xml:space="preserve">Resolución </w:t>
      </w:r>
      <w:r w:rsidRPr="00D74294">
        <w:t xml:space="preserve">del Ministro de Interior núm. 26/2005 y es responsable, entre otras cosas, de </w:t>
      </w:r>
      <w:r w:rsidR="007C4727">
        <w:t>“</w:t>
      </w:r>
      <w:r w:rsidRPr="00D74294">
        <w:t>recibir, estudiar e investigar las quejas presentadas ante el Ministerio de Interior a título individual o a través de la Comisión Nacional de Derechos Humanos, así como de investigar sus causas y elevar las correspondientes recomendaciones al Ministro</w:t>
      </w:r>
      <w:r w:rsidR="007C4727">
        <w:t>”</w:t>
      </w:r>
      <w:r w:rsidRPr="00D74294">
        <w:t xml:space="preserve">. La Dirección de Derechos Humanos también vigila el cumplimiento de los convenios internacionales pertinentes, y para ello visita las instituciones penitenciarias y las direcciones de seguridad, analiza su grado de observancia de las leyes y los reglamentos en vigor en el Estado, eleva los correspondientes informes periódicos al Ministro, informa y capacita a los organismos ministeriales pertinentes y representa al Ministerio en los congresos y los simposios internacionales, regionales y locales sobre derechos humanos. Conforme a lo dispuesto en el artículo 22 de la Ley de la Entrada y la Salida de los Extranjeros (núm. 21/2015), la Dirección de Derechos Humanos también estudia las quejas presentadas por los trabajadores extranjeros, analiza sus causas, procura resolverlas y, si quedare acreditado que el empleador actuó abusivamente, adopta las medidas necesarias y cambia la asignación de empleador sin el consentimiento de este. </w:t>
      </w:r>
    </w:p>
    <w:p w:rsidR="00D74294" w:rsidRPr="00D74294" w:rsidRDefault="00D74294" w:rsidP="00D74294">
      <w:pPr>
        <w:pStyle w:val="SingleTxtG"/>
        <w:suppressAutoHyphens/>
        <w:spacing w:before="240" w:after="0"/>
        <w:jc w:val="center"/>
        <w:rPr>
          <w:u w:val="single"/>
        </w:rPr>
      </w:pPr>
      <w:r>
        <w:rPr>
          <w:u w:val="single"/>
        </w:rPr>
        <w:tab/>
      </w:r>
      <w:r>
        <w:rPr>
          <w:u w:val="single"/>
        </w:rPr>
        <w:tab/>
      </w:r>
      <w:r>
        <w:rPr>
          <w:u w:val="single"/>
        </w:rPr>
        <w:tab/>
      </w:r>
    </w:p>
    <w:sectPr w:rsidR="00D74294" w:rsidRPr="00D74294" w:rsidSect="00D7429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B94" w:rsidRPr="00AC76E8" w:rsidRDefault="00695B94" w:rsidP="00AC76E8">
      <w:pPr>
        <w:pStyle w:val="Piedepgina"/>
      </w:pPr>
    </w:p>
  </w:endnote>
  <w:endnote w:type="continuationSeparator" w:id="0">
    <w:p w:rsidR="00695B94" w:rsidRPr="00AC76E8" w:rsidRDefault="00695B94" w:rsidP="00AC76E8">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B2"/>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Qatar">
    <w:altName w:val="Arial"/>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B94" w:rsidRPr="00D74294" w:rsidRDefault="00695B94" w:rsidP="00D74294">
    <w:pPr>
      <w:pStyle w:val="Piedepgina"/>
      <w:tabs>
        <w:tab w:val="right" w:pos="9638"/>
      </w:tabs>
    </w:pPr>
    <w:r w:rsidRPr="00D74294">
      <w:rPr>
        <w:b/>
        <w:sz w:val="18"/>
      </w:rPr>
      <w:fldChar w:fldCharType="begin"/>
    </w:r>
    <w:r w:rsidRPr="00D74294">
      <w:rPr>
        <w:b/>
        <w:sz w:val="18"/>
      </w:rPr>
      <w:instrText xml:space="preserve"> PAGE  \* MERGEFORMAT </w:instrText>
    </w:r>
    <w:r w:rsidRPr="00D74294">
      <w:rPr>
        <w:b/>
        <w:sz w:val="18"/>
      </w:rPr>
      <w:fldChar w:fldCharType="separate"/>
    </w:r>
    <w:r w:rsidR="000F07A4">
      <w:rPr>
        <w:b/>
        <w:noProof/>
        <w:sz w:val="18"/>
      </w:rPr>
      <w:t>20</w:t>
    </w:r>
    <w:r w:rsidRPr="00D74294">
      <w:rPr>
        <w:b/>
        <w:sz w:val="18"/>
      </w:rPr>
      <w:fldChar w:fldCharType="end"/>
    </w:r>
    <w:r>
      <w:rPr>
        <w:b/>
        <w:sz w:val="18"/>
      </w:rPr>
      <w:tab/>
    </w:r>
    <w:proofErr w:type="spellStart"/>
    <w:r>
      <w:t>GE.19</w:t>
    </w:r>
    <w:proofErr w:type="spellEnd"/>
    <w:r>
      <w:t>-02460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B94" w:rsidRPr="00D74294" w:rsidRDefault="00695B94" w:rsidP="00D74294">
    <w:pPr>
      <w:pStyle w:val="Piedepgina"/>
      <w:tabs>
        <w:tab w:val="right" w:pos="9638"/>
      </w:tabs>
      <w:rPr>
        <w:b/>
        <w:sz w:val="18"/>
      </w:rPr>
    </w:pPr>
    <w:proofErr w:type="spellStart"/>
    <w:r>
      <w:t>GE.19</w:t>
    </w:r>
    <w:proofErr w:type="spellEnd"/>
    <w:r>
      <w:t>-02460</w:t>
    </w:r>
    <w:r>
      <w:tab/>
    </w:r>
    <w:r w:rsidRPr="00D74294">
      <w:rPr>
        <w:b/>
        <w:sz w:val="18"/>
      </w:rPr>
      <w:fldChar w:fldCharType="begin"/>
    </w:r>
    <w:r w:rsidRPr="00D74294">
      <w:rPr>
        <w:b/>
        <w:sz w:val="18"/>
      </w:rPr>
      <w:instrText xml:space="preserve"> PAGE  \* MERGEFORMAT </w:instrText>
    </w:r>
    <w:r w:rsidRPr="00D74294">
      <w:rPr>
        <w:b/>
        <w:sz w:val="18"/>
      </w:rPr>
      <w:fldChar w:fldCharType="separate"/>
    </w:r>
    <w:r w:rsidR="000F07A4">
      <w:rPr>
        <w:b/>
        <w:noProof/>
        <w:sz w:val="18"/>
      </w:rPr>
      <w:t>19</w:t>
    </w:r>
    <w:r w:rsidRPr="00D7429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B94" w:rsidRPr="00D74294" w:rsidRDefault="00695B94" w:rsidP="00D74294">
    <w:pPr>
      <w:pStyle w:val="Piedepgina"/>
      <w:spacing w:before="120" w:line="240" w:lineRule="auto"/>
      <w:rPr>
        <w:sz w:val="20"/>
      </w:rPr>
    </w:pPr>
    <w:proofErr w:type="spellStart"/>
    <w:r>
      <w:rPr>
        <w:sz w:val="20"/>
      </w:rPr>
      <w:t>GE.</w:t>
    </w:r>
    <w:r>
      <w:rPr>
        <w:noProof/>
        <w:lang w:eastAsia="zh-CN"/>
      </w:rPr>
      <w:drawing>
        <wp:anchor distT="0" distB="0" distL="114300" distR="114300" simplePos="0" relativeHeight="251660288" behindDoc="0" locked="1" layoutInCell="1" allowOverlap="1" wp14:anchorId="11151E35" wp14:editId="7234875B">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w:t>
    </w:r>
    <w:proofErr w:type="gramStart"/>
    <w:r>
      <w:rPr>
        <w:sz w:val="20"/>
      </w:rPr>
      <w:t>02460  (</w:t>
    </w:r>
    <w:proofErr w:type="gramEnd"/>
    <w:r>
      <w:rPr>
        <w:sz w:val="20"/>
      </w:rPr>
      <w:t>S)    080519    090519</w:t>
    </w:r>
    <w:r>
      <w:rPr>
        <w:sz w:val="20"/>
      </w:rPr>
      <w:br/>
    </w:r>
    <w:r w:rsidRPr="00D74294">
      <w:rPr>
        <w:rFonts w:ascii="C39T30Lfz" w:hAnsi="C39T30Lfz"/>
        <w:sz w:val="56"/>
      </w:rPr>
      <w:t></w:t>
    </w:r>
    <w:r w:rsidRPr="00D74294">
      <w:rPr>
        <w:rFonts w:ascii="C39T30Lfz" w:hAnsi="C39T30Lfz"/>
        <w:sz w:val="56"/>
      </w:rPr>
      <w:t></w:t>
    </w:r>
    <w:r w:rsidRPr="00D74294">
      <w:rPr>
        <w:rFonts w:ascii="C39T30Lfz" w:hAnsi="C39T30Lfz"/>
        <w:sz w:val="56"/>
      </w:rPr>
      <w:t></w:t>
    </w:r>
    <w:r w:rsidRPr="00D74294">
      <w:rPr>
        <w:rFonts w:ascii="C39T30Lfz" w:hAnsi="C39T30Lfz"/>
        <w:sz w:val="56"/>
      </w:rPr>
      <w:t></w:t>
    </w:r>
    <w:r w:rsidRPr="00D74294">
      <w:rPr>
        <w:rFonts w:ascii="C39T30Lfz" w:hAnsi="C39T30Lfz"/>
        <w:sz w:val="56"/>
      </w:rPr>
      <w:t></w:t>
    </w:r>
    <w:r w:rsidRPr="00D74294">
      <w:rPr>
        <w:rFonts w:ascii="C39T30Lfz" w:hAnsi="C39T30Lfz"/>
        <w:sz w:val="56"/>
      </w:rPr>
      <w:t></w:t>
    </w:r>
    <w:r w:rsidRPr="00D74294">
      <w:rPr>
        <w:rFonts w:ascii="C39T30Lfz" w:hAnsi="C39T30Lfz"/>
        <w:sz w:val="56"/>
      </w:rPr>
      <w:t></w:t>
    </w:r>
    <w:r w:rsidRPr="00D74294">
      <w:rPr>
        <w:rFonts w:ascii="C39T30Lfz" w:hAnsi="C39T30Lfz"/>
        <w:sz w:val="56"/>
      </w:rPr>
      <w:t></w:t>
    </w:r>
    <w:r w:rsidRPr="00D74294">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HRI/CORE/QAT/2019&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QAT/2019&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B94" w:rsidRPr="001075E9" w:rsidRDefault="00695B94" w:rsidP="001075E9">
      <w:pPr>
        <w:tabs>
          <w:tab w:val="right" w:pos="2155"/>
        </w:tabs>
        <w:spacing w:after="80" w:line="240" w:lineRule="auto"/>
        <w:ind w:left="680"/>
        <w:rPr>
          <w:u w:val="single"/>
        </w:rPr>
      </w:pPr>
      <w:r>
        <w:rPr>
          <w:u w:val="single"/>
        </w:rPr>
        <w:tab/>
      </w:r>
    </w:p>
  </w:footnote>
  <w:footnote w:type="continuationSeparator" w:id="0">
    <w:p w:rsidR="00695B94" w:rsidRDefault="00695B94" w:rsidP="00AC76E8">
      <w:pPr>
        <w:tabs>
          <w:tab w:val="right" w:pos="2155"/>
        </w:tabs>
        <w:spacing w:after="80" w:line="240" w:lineRule="auto"/>
        <w:ind w:left="680"/>
        <w:rPr>
          <w:u w:val="single"/>
        </w:rPr>
      </w:pPr>
      <w:r>
        <w:rPr>
          <w:u w:val="single"/>
        </w:rPr>
        <w:tab/>
      </w:r>
    </w:p>
  </w:footnote>
  <w:footnote w:id="1">
    <w:p w:rsidR="00695B94" w:rsidRPr="00D74294" w:rsidRDefault="00695B94">
      <w:pPr>
        <w:pStyle w:val="Textonotapie"/>
        <w:rPr>
          <w:sz w:val="20"/>
        </w:rPr>
      </w:pPr>
      <w:r>
        <w:tab/>
      </w:r>
      <w:r w:rsidRPr="00D74294">
        <w:rPr>
          <w:rStyle w:val="Refdenotaalpie"/>
          <w:sz w:val="20"/>
          <w:vertAlign w:val="baseline"/>
        </w:rPr>
        <w:t>*</w:t>
      </w:r>
      <w:r w:rsidRPr="00D74294">
        <w:rPr>
          <w:rStyle w:val="Refdenotaalpie"/>
          <w:vertAlign w:val="baseline"/>
        </w:rPr>
        <w:tab/>
      </w:r>
      <w:r w:rsidRPr="00D74294">
        <w:t>La versión original del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B94" w:rsidRPr="00D74294" w:rsidRDefault="000F07A4">
    <w:pPr>
      <w:pStyle w:val="Encabezado"/>
    </w:pPr>
    <w:r>
      <w:fldChar w:fldCharType="begin"/>
    </w:r>
    <w:r>
      <w:instrText xml:space="preserve"> TITLE  \* MERGEFORMAT </w:instrText>
    </w:r>
    <w:r>
      <w:fldChar w:fldCharType="separate"/>
    </w:r>
    <w:proofErr w:type="spellStart"/>
    <w:r>
      <w:t>HRI</w:t>
    </w:r>
    <w:proofErr w:type="spellEnd"/>
    <w:r>
      <w:t>/CORE/</w:t>
    </w:r>
    <w:proofErr w:type="spellStart"/>
    <w:r>
      <w:t>QAT</w:t>
    </w:r>
    <w:proofErr w:type="spellEnd"/>
    <w:r>
      <w:t>/2019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B94" w:rsidRPr="00D74294" w:rsidRDefault="000F07A4" w:rsidP="00D74294">
    <w:pPr>
      <w:pStyle w:val="Encabezado"/>
      <w:jc w:val="right"/>
    </w:pPr>
    <w:r>
      <w:fldChar w:fldCharType="begin"/>
    </w:r>
    <w:r>
      <w:instrText xml:space="preserve"> TITLE  \* MERGEFORMAT </w:instrText>
    </w:r>
    <w:r>
      <w:fldChar w:fldCharType="separate"/>
    </w:r>
    <w:proofErr w:type="spellStart"/>
    <w:r>
      <w:t>HRI</w:t>
    </w:r>
    <w:proofErr w:type="spellEnd"/>
    <w:r>
      <w:t>/CORE/</w:t>
    </w:r>
    <w:proofErr w:type="spellStart"/>
    <w:r>
      <w:t>QAT</w:t>
    </w:r>
    <w:proofErr w:type="spellEnd"/>
    <w:r>
      <w:t>/2019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9B249D"/>
    <w:multiLevelType w:val="hybridMultilevel"/>
    <w:tmpl w:val="B3929120"/>
    <w:lvl w:ilvl="0" w:tplc="C04EE2C6">
      <w:start w:val="1"/>
      <w:numFmt w:val="decimal"/>
      <w:lvlText w:val="%1."/>
      <w:lvlJc w:val="left"/>
      <w:pPr>
        <w:ind w:left="0" w:hanging="360"/>
      </w:pPr>
      <w:rPr>
        <w:b w:val="0"/>
        <w:bCs w:val="0"/>
        <w:i w:val="0"/>
        <w:iCs w:val="0"/>
        <w:caps w:val="0"/>
        <w:smallCaps w:val="0"/>
        <w:strike w:val="0"/>
        <w:dstrike w:val="0"/>
        <w:noProof w:val="0"/>
        <w:vanish w:val="0"/>
        <w:color w:val="000000"/>
        <w:spacing w:val="0"/>
        <w:kern w:val="0"/>
        <w:position w:val="0"/>
        <w:u w:val="none"/>
        <w:effect w:val="none"/>
        <w:vertAlign w:val="baseline"/>
        <w:em w:val="none"/>
        <w:lang w:bidi="ar-SA"/>
        <w:specVanish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6E124C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77D0937"/>
    <w:multiLevelType w:val="hybridMultilevel"/>
    <w:tmpl w:val="5ED81B9E"/>
    <w:lvl w:ilvl="0" w:tplc="05F49B52">
      <w:start w:val="1"/>
      <w:numFmt w:val="decimal"/>
      <w:lvlText w:val="%1."/>
      <w:lvlJc w:val="left"/>
      <w:pPr>
        <w:ind w:left="360" w:hanging="360"/>
      </w:pPr>
      <w:rPr>
        <w:rFonts w:hint="default"/>
        <w:b w:val="0"/>
        <w:bCs w:val="0"/>
        <w:lang w:val="fr-FR"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8A259C6"/>
    <w:multiLevelType w:val="hybridMultilevel"/>
    <w:tmpl w:val="C1F42954"/>
    <w:lvl w:ilvl="0" w:tplc="0C0A0015">
      <w:start w:val="1"/>
      <w:numFmt w:val="upp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5" w15:restartNumberingAfterBreak="0">
    <w:nsid w:val="09C87B84"/>
    <w:multiLevelType w:val="hybridMultilevel"/>
    <w:tmpl w:val="84D672B8"/>
    <w:lvl w:ilvl="0" w:tplc="A40CF8AA">
      <w:start w:val="1"/>
      <w:numFmt w:val="bullet"/>
      <w:lvlText w:val="-"/>
      <w:lvlJc w:val="left"/>
      <w:pPr>
        <w:ind w:left="429" w:hanging="360"/>
      </w:pPr>
      <w:rPr>
        <w:rFonts w:ascii="Courier New" w:hAnsi="Courier New" w:hint="default"/>
        <w:b w:val="0"/>
        <w:bCs w:val="0"/>
        <w:color w:val="auto"/>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16" w15:restartNumberingAfterBreak="0">
    <w:nsid w:val="0B851AF4"/>
    <w:multiLevelType w:val="hybridMultilevel"/>
    <w:tmpl w:val="7740538E"/>
    <w:lvl w:ilvl="0" w:tplc="E89AD7DE">
      <w:start w:val="1"/>
      <w:numFmt w:val="bullet"/>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D0C3C20"/>
    <w:multiLevelType w:val="hybridMultilevel"/>
    <w:tmpl w:val="9EFE1632"/>
    <w:lvl w:ilvl="0" w:tplc="A40CF8AA">
      <w:start w:val="1"/>
      <w:numFmt w:val="bullet"/>
      <w:lvlText w:val="-"/>
      <w:lvlJc w:val="left"/>
      <w:pPr>
        <w:ind w:left="429" w:hanging="360"/>
      </w:pPr>
      <w:rPr>
        <w:rFonts w:ascii="Courier New" w:hAnsi="Courier New" w:hint="default"/>
        <w:b w:val="0"/>
        <w:bCs w:val="0"/>
        <w:color w:val="auto"/>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18"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3053F5B"/>
    <w:multiLevelType w:val="hybridMultilevel"/>
    <w:tmpl w:val="3720442C"/>
    <w:lvl w:ilvl="0" w:tplc="04090001">
      <w:start w:val="1"/>
      <w:numFmt w:val="bullet"/>
      <w:lvlText w:val=""/>
      <w:lvlJc w:val="left"/>
      <w:pPr>
        <w:ind w:left="429" w:hanging="360"/>
      </w:pPr>
      <w:rPr>
        <w:rFonts w:ascii="Symbol" w:hAnsi="Symbol" w:hint="default"/>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21" w15:restartNumberingAfterBreak="0">
    <w:nsid w:val="25F272F0"/>
    <w:multiLevelType w:val="hybridMultilevel"/>
    <w:tmpl w:val="842AD3E4"/>
    <w:lvl w:ilvl="0" w:tplc="E6B8D5B8">
      <w:start w:val="1"/>
      <w:numFmt w:val="decimal"/>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2" w15:restartNumberingAfterBreak="0">
    <w:nsid w:val="30C250D5"/>
    <w:multiLevelType w:val="hybridMultilevel"/>
    <w:tmpl w:val="7FB0116C"/>
    <w:lvl w:ilvl="0" w:tplc="A40CF8AA">
      <w:start w:val="1"/>
      <w:numFmt w:val="bullet"/>
      <w:lvlText w:val="-"/>
      <w:lvlJc w:val="left"/>
      <w:pPr>
        <w:ind w:left="429" w:hanging="360"/>
      </w:pPr>
      <w:rPr>
        <w:rFonts w:ascii="Courier New" w:hAnsi="Courier New" w:hint="default"/>
        <w:b w:val="0"/>
        <w:bCs w:val="0"/>
        <w:color w:val="auto"/>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23" w15:restartNumberingAfterBreak="0">
    <w:nsid w:val="32A75D52"/>
    <w:multiLevelType w:val="hybridMultilevel"/>
    <w:tmpl w:val="AF6C6348"/>
    <w:lvl w:ilvl="0" w:tplc="308CB36A">
      <w:start w:val="1"/>
      <w:numFmt w:val="decimal"/>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3C927785"/>
    <w:multiLevelType w:val="hybridMultilevel"/>
    <w:tmpl w:val="FB881C74"/>
    <w:lvl w:ilvl="0" w:tplc="04090001">
      <w:start w:val="1"/>
      <w:numFmt w:val="bullet"/>
      <w:lvlText w:val=""/>
      <w:lvlJc w:val="left"/>
      <w:pPr>
        <w:ind w:left="429" w:hanging="360"/>
      </w:pPr>
      <w:rPr>
        <w:rFonts w:ascii="Symbol" w:hAnsi="Symbol" w:hint="default"/>
      </w:rPr>
    </w:lvl>
    <w:lvl w:ilvl="1" w:tplc="04090001">
      <w:start w:val="1"/>
      <w:numFmt w:val="bullet"/>
      <w:lvlText w:val=""/>
      <w:lvlJc w:val="left"/>
      <w:pPr>
        <w:ind w:left="1149" w:hanging="360"/>
      </w:pPr>
      <w:rPr>
        <w:rFonts w:ascii="Symbol" w:hAnsi="Symbol"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27" w15:restartNumberingAfterBreak="0">
    <w:nsid w:val="454B2370"/>
    <w:multiLevelType w:val="hybridMultilevel"/>
    <w:tmpl w:val="64AEC0BA"/>
    <w:lvl w:ilvl="0" w:tplc="DE1A3C16">
      <w:start w:val="1"/>
      <w:numFmt w:val="bullet"/>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8" w15:restartNumberingAfterBreak="0">
    <w:nsid w:val="45BE5033"/>
    <w:multiLevelType w:val="hybridMultilevel"/>
    <w:tmpl w:val="D9F0496C"/>
    <w:lvl w:ilvl="0" w:tplc="04090001">
      <w:start w:val="1"/>
      <w:numFmt w:val="bullet"/>
      <w:lvlText w:val=""/>
      <w:lvlJc w:val="left"/>
      <w:pPr>
        <w:ind w:left="429" w:hanging="360"/>
      </w:pPr>
      <w:rPr>
        <w:rFonts w:ascii="Symbol" w:hAnsi="Symbol" w:hint="default"/>
      </w:rPr>
    </w:lvl>
    <w:lvl w:ilvl="1" w:tplc="04090003">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29"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D7D73DF"/>
    <w:multiLevelType w:val="hybridMultilevel"/>
    <w:tmpl w:val="E0D4BC8A"/>
    <w:lvl w:ilvl="0" w:tplc="04090001">
      <w:start w:val="1"/>
      <w:numFmt w:val="bullet"/>
      <w:lvlText w:val=""/>
      <w:lvlJc w:val="left"/>
      <w:pPr>
        <w:ind w:left="429" w:hanging="360"/>
      </w:pPr>
      <w:rPr>
        <w:rFonts w:ascii="Symbol" w:hAnsi="Symbol" w:hint="default"/>
        <w:b w:val="0"/>
        <w:bCs w:val="0"/>
        <w:color w:val="auto"/>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32" w15:restartNumberingAfterBreak="0">
    <w:nsid w:val="55061A0D"/>
    <w:multiLevelType w:val="hybridMultilevel"/>
    <w:tmpl w:val="582C013E"/>
    <w:lvl w:ilvl="0" w:tplc="BDF023FE">
      <w:start w:val="10"/>
      <w:numFmt w:val="bullet"/>
      <w:lvlText w:val="-"/>
      <w:lvlJc w:val="left"/>
      <w:pPr>
        <w:ind w:left="720" w:hanging="360"/>
      </w:pPr>
      <w:rPr>
        <w:rFonts w:ascii="Calibri" w:eastAsia="Times New Roman" w:hAnsi="Calibri" w:cs="Qat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692328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9523BA4"/>
    <w:multiLevelType w:val="hybridMultilevel"/>
    <w:tmpl w:val="789436DE"/>
    <w:lvl w:ilvl="0" w:tplc="A40CF8AA">
      <w:start w:val="1"/>
      <w:numFmt w:val="bullet"/>
      <w:lvlText w:val="-"/>
      <w:lvlJc w:val="left"/>
      <w:pPr>
        <w:ind w:left="429" w:hanging="360"/>
      </w:pPr>
      <w:rPr>
        <w:rFonts w:ascii="Courier New" w:hAnsi="Courier New" w:hint="default"/>
        <w:b w:val="0"/>
        <w:bCs w:val="0"/>
        <w:color w:val="auto"/>
      </w:rPr>
    </w:lvl>
    <w:lvl w:ilvl="1" w:tplc="04090003">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40" w15:restartNumberingAfterBreak="0">
    <w:nsid w:val="699122D8"/>
    <w:multiLevelType w:val="hybridMultilevel"/>
    <w:tmpl w:val="CFD8478C"/>
    <w:lvl w:ilvl="0" w:tplc="D152E154">
      <w:start w:val="1"/>
      <w:numFmt w:val="decimal"/>
      <w:lvlText w:val="%1."/>
      <w:lvlJc w:val="left"/>
      <w:pPr>
        <w:ind w:left="429" w:hanging="360"/>
      </w:pPr>
      <w:rPr>
        <w:b w:val="0"/>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41"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3" w15:restartNumberingAfterBreak="0">
    <w:nsid w:val="707F1653"/>
    <w:multiLevelType w:val="hybridMultilevel"/>
    <w:tmpl w:val="8BF26E1C"/>
    <w:lvl w:ilvl="0" w:tplc="85C8D6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6" w15:restartNumberingAfterBreak="0">
    <w:nsid w:val="7AE32A09"/>
    <w:multiLevelType w:val="hybridMultilevel"/>
    <w:tmpl w:val="8F4C0150"/>
    <w:lvl w:ilvl="0" w:tplc="C9160F04">
      <w:start w:val="1"/>
      <w:numFmt w:val="decimal"/>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41"/>
  </w:num>
  <w:num w:numId="2">
    <w:abstractNumId w:val="24"/>
  </w:num>
  <w:num w:numId="3">
    <w:abstractNumId w:val="45"/>
  </w:num>
  <w:num w:numId="4">
    <w:abstractNumId w:val="44"/>
  </w:num>
  <w:num w:numId="5">
    <w:abstractNumId w:val="3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42"/>
  </w:num>
  <w:num w:numId="17">
    <w:abstractNumId w:val="29"/>
  </w:num>
  <w:num w:numId="18">
    <w:abstractNumId w:val="16"/>
  </w:num>
  <w:num w:numId="19">
    <w:abstractNumId w:val="27"/>
  </w:num>
  <w:num w:numId="20">
    <w:abstractNumId w:val="23"/>
  </w:num>
  <w:num w:numId="21">
    <w:abstractNumId w:val="21"/>
  </w:num>
  <w:num w:numId="22">
    <w:abstractNumId w:val="46"/>
  </w:num>
  <w:num w:numId="23">
    <w:abstractNumId w:val="16"/>
    <w:lvlOverride w:ilvl="0">
      <w:lvl w:ilvl="0" w:tplc="E89AD7DE">
        <w:start w:val="1"/>
        <w:numFmt w:val="bullet"/>
        <w:lvlText w:val=""/>
        <w:lvlJc w:val="left"/>
        <w:pPr>
          <w:tabs>
            <w:tab w:val="num" w:pos="2495"/>
          </w:tabs>
          <w:ind w:left="2495" w:hanging="545"/>
        </w:pPr>
        <w:rPr>
          <w:rFonts w:ascii="Symbol" w:hAnsi="Symbol" w:hint="default"/>
        </w:rPr>
      </w:lvl>
    </w:lvlOverride>
  </w:num>
  <w:num w:numId="24">
    <w:abstractNumId w:val="37"/>
  </w:num>
  <w:num w:numId="25">
    <w:abstractNumId w:val="25"/>
  </w:num>
  <w:num w:numId="26">
    <w:abstractNumId w:val="18"/>
  </w:num>
  <w:num w:numId="27">
    <w:abstractNumId w:val="12"/>
  </w:num>
  <w:num w:numId="28">
    <w:abstractNumId w:val="38"/>
  </w:num>
  <w:num w:numId="29">
    <w:abstractNumId w:val="43"/>
  </w:num>
  <w:num w:numId="30">
    <w:abstractNumId w:val="10"/>
  </w:num>
  <w:num w:numId="31">
    <w:abstractNumId w:val="13"/>
  </w:num>
  <w:num w:numId="32">
    <w:abstractNumId w:val="17"/>
  </w:num>
  <w:num w:numId="33">
    <w:abstractNumId w:val="28"/>
  </w:num>
  <w:num w:numId="34">
    <w:abstractNumId w:val="39"/>
  </w:num>
  <w:num w:numId="35">
    <w:abstractNumId w:val="22"/>
  </w:num>
  <w:num w:numId="36">
    <w:abstractNumId w:val="20"/>
  </w:num>
  <w:num w:numId="37">
    <w:abstractNumId w:val="15"/>
  </w:num>
  <w:num w:numId="38">
    <w:abstractNumId w:val="32"/>
  </w:num>
  <w:num w:numId="39">
    <w:abstractNumId w:val="40"/>
  </w:num>
  <w:num w:numId="40">
    <w:abstractNumId w:val="26"/>
  </w:num>
  <w:num w:numId="41">
    <w:abstractNumId w:val="31"/>
  </w:num>
  <w:num w:numId="42">
    <w:abstractNumId w:val="14"/>
  </w:num>
  <w:num w:numId="43">
    <w:abstractNumId w:val="33"/>
  </w:num>
  <w:num w:numId="44">
    <w:abstractNumId w:val="30"/>
  </w:num>
  <w:num w:numId="45">
    <w:abstractNumId w:val="35"/>
  </w:num>
  <w:num w:numId="46">
    <w:abstractNumId w:val="19"/>
  </w:num>
  <w:num w:numId="47">
    <w:abstractNumId w:val="36"/>
  </w:num>
  <w:num w:numId="4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F0"/>
    <w:rsid w:val="00011E92"/>
    <w:rsid w:val="000229F0"/>
    <w:rsid w:val="00027B68"/>
    <w:rsid w:val="00033EE1"/>
    <w:rsid w:val="00045AC2"/>
    <w:rsid w:val="00061E5A"/>
    <w:rsid w:val="00067590"/>
    <w:rsid w:val="000B57E7"/>
    <w:rsid w:val="000F07A4"/>
    <w:rsid w:val="000F09DF"/>
    <w:rsid w:val="000F61B2"/>
    <w:rsid w:val="00106F7F"/>
    <w:rsid w:val="00107459"/>
    <w:rsid w:val="001075E9"/>
    <w:rsid w:val="001256EA"/>
    <w:rsid w:val="00147E30"/>
    <w:rsid w:val="001560AB"/>
    <w:rsid w:val="00157176"/>
    <w:rsid w:val="001611AC"/>
    <w:rsid w:val="001710EA"/>
    <w:rsid w:val="0017589D"/>
    <w:rsid w:val="00180183"/>
    <w:rsid w:val="00181AFB"/>
    <w:rsid w:val="001850FD"/>
    <w:rsid w:val="0018649F"/>
    <w:rsid w:val="0019554A"/>
    <w:rsid w:val="00196389"/>
    <w:rsid w:val="001B44C0"/>
    <w:rsid w:val="001C7A89"/>
    <w:rsid w:val="001F308D"/>
    <w:rsid w:val="001F5E10"/>
    <w:rsid w:val="0022258A"/>
    <w:rsid w:val="00251742"/>
    <w:rsid w:val="002A2EFC"/>
    <w:rsid w:val="002B0F41"/>
    <w:rsid w:val="002C0E18"/>
    <w:rsid w:val="002D5AAC"/>
    <w:rsid w:val="002F5021"/>
    <w:rsid w:val="00301299"/>
    <w:rsid w:val="00302D2B"/>
    <w:rsid w:val="0030543C"/>
    <w:rsid w:val="00322004"/>
    <w:rsid w:val="003402C2"/>
    <w:rsid w:val="0036600C"/>
    <w:rsid w:val="00376619"/>
    <w:rsid w:val="00381C24"/>
    <w:rsid w:val="003958D0"/>
    <w:rsid w:val="003A0AAE"/>
    <w:rsid w:val="003B00E5"/>
    <w:rsid w:val="00403650"/>
    <w:rsid w:val="00407909"/>
    <w:rsid w:val="00414A16"/>
    <w:rsid w:val="00427F10"/>
    <w:rsid w:val="00454E07"/>
    <w:rsid w:val="00465412"/>
    <w:rsid w:val="004705A5"/>
    <w:rsid w:val="004C662A"/>
    <w:rsid w:val="004D3D0B"/>
    <w:rsid w:val="004D45DB"/>
    <w:rsid w:val="0050108D"/>
    <w:rsid w:val="00501F38"/>
    <w:rsid w:val="00515B0A"/>
    <w:rsid w:val="005213A3"/>
    <w:rsid w:val="005332CE"/>
    <w:rsid w:val="0055237B"/>
    <w:rsid w:val="00557AA7"/>
    <w:rsid w:val="00570901"/>
    <w:rsid w:val="00572E19"/>
    <w:rsid w:val="00580CD8"/>
    <w:rsid w:val="0059644E"/>
    <w:rsid w:val="005A1AA8"/>
    <w:rsid w:val="005C43E4"/>
    <w:rsid w:val="005F0B42"/>
    <w:rsid w:val="005F6365"/>
    <w:rsid w:val="006140E7"/>
    <w:rsid w:val="00614F22"/>
    <w:rsid w:val="00666938"/>
    <w:rsid w:val="00695B94"/>
    <w:rsid w:val="006A175E"/>
    <w:rsid w:val="006A24AC"/>
    <w:rsid w:val="006B559A"/>
    <w:rsid w:val="006C1EF8"/>
    <w:rsid w:val="006E69AB"/>
    <w:rsid w:val="006F35EE"/>
    <w:rsid w:val="007021FF"/>
    <w:rsid w:val="0070620A"/>
    <w:rsid w:val="007358B2"/>
    <w:rsid w:val="007436A1"/>
    <w:rsid w:val="00757357"/>
    <w:rsid w:val="00764249"/>
    <w:rsid w:val="007972A8"/>
    <w:rsid w:val="007C4727"/>
    <w:rsid w:val="007C60A0"/>
    <w:rsid w:val="007D2CC4"/>
    <w:rsid w:val="0082699E"/>
    <w:rsid w:val="00834B71"/>
    <w:rsid w:val="00841719"/>
    <w:rsid w:val="008504FF"/>
    <w:rsid w:val="00853903"/>
    <w:rsid w:val="0085715B"/>
    <w:rsid w:val="00864355"/>
    <w:rsid w:val="0086445C"/>
    <w:rsid w:val="00875B5C"/>
    <w:rsid w:val="0089004A"/>
    <w:rsid w:val="00896271"/>
    <w:rsid w:val="008A08D7"/>
    <w:rsid w:val="008C08D3"/>
    <w:rsid w:val="008C1073"/>
    <w:rsid w:val="008D0DD7"/>
    <w:rsid w:val="008D794A"/>
    <w:rsid w:val="008E5789"/>
    <w:rsid w:val="00901CD5"/>
    <w:rsid w:val="00906890"/>
    <w:rsid w:val="00915741"/>
    <w:rsid w:val="00932CF7"/>
    <w:rsid w:val="00935F0A"/>
    <w:rsid w:val="00951972"/>
    <w:rsid w:val="00954853"/>
    <w:rsid w:val="0095700F"/>
    <w:rsid w:val="0096216B"/>
    <w:rsid w:val="00972A33"/>
    <w:rsid w:val="00996BF2"/>
    <w:rsid w:val="009C6705"/>
    <w:rsid w:val="009D6492"/>
    <w:rsid w:val="009E172C"/>
    <w:rsid w:val="00A04A76"/>
    <w:rsid w:val="00A737E5"/>
    <w:rsid w:val="00A917B3"/>
    <w:rsid w:val="00AB4B51"/>
    <w:rsid w:val="00AC76E8"/>
    <w:rsid w:val="00B02853"/>
    <w:rsid w:val="00B062D5"/>
    <w:rsid w:val="00B10CC7"/>
    <w:rsid w:val="00B14A24"/>
    <w:rsid w:val="00B25B0A"/>
    <w:rsid w:val="00B31513"/>
    <w:rsid w:val="00B43F85"/>
    <w:rsid w:val="00B460DE"/>
    <w:rsid w:val="00B62458"/>
    <w:rsid w:val="00B70FD1"/>
    <w:rsid w:val="00B813F6"/>
    <w:rsid w:val="00B965A0"/>
    <w:rsid w:val="00BA56B6"/>
    <w:rsid w:val="00BB6203"/>
    <w:rsid w:val="00BD33EE"/>
    <w:rsid w:val="00BF3783"/>
    <w:rsid w:val="00C057D5"/>
    <w:rsid w:val="00C3191F"/>
    <w:rsid w:val="00C57E42"/>
    <w:rsid w:val="00C60F0C"/>
    <w:rsid w:val="00C64E75"/>
    <w:rsid w:val="00C65352"/>
    <w:rsid w:val="00C805C9"/>
    <w:rsid w:val="00C973C7"/>
    <w:rsid w:val="00CA1679"/>
    <w:rsid w:val="00CC6053"/>
    <w:rsid w:val="00CD732B"/>
    <w:rsid w:val="00CF69B6"/>
    <w:rsid w:val="00D05606"/>
    <w:rsid w:val="00D33D63"/>
    <w:rsid w:val="00D4001E"/>
    <w:rsid w:val="00D74294"/>
    <w:rsid w:val="00D90138"/>
    <w:rsid w:val="00D91221"/>
    <w:rsid w:val="00DB499C"/>
    <w:rsid w:val="00DB6076"/>
    <w:rsid w:val="00DC036C"/>
    <w:rsid w:val="00DD147F"/>
    <w:rsid w:val="00DD5CDA"/>
    <w:rsid w:val="00DD6DF0"/>
    <w:rsid w:val="00DF047C"/>
    <w:rsid w:val="00E17493"/>
    <w:rsid w:val="00E2391B"/>
    <w:rsid w:val="00E35B46"/>
    <w:rsid w:val="00E40393"/>
    <w:rsid w:val="00E465BD"/>
    <w:rsid w:val="00E60314"/>
    <w:rsid w:val="00E73F76"/>
    <w:rsid w:val="00E7588C"/>
    <w:rsid w:val="00EC2B77"/>
    <w:rsid w:val="00EC4C22"/>
    <w:rsid w:val="00EE2F13"/>
    <w:rsid w:val="00EF1360"/>
    <w:rsid w:val="00EF3220"/>
    <w:rsid w:val="00EF5DF3"/>
    <w:rsid w:val="00F0382A"/>
    <w:rsid w:val="00F05DA0"/>
    <w:rsid w:val="00F21271"/>
    <w:rsid w:val="00F2520F"/>
    <w:rsid w:val="00F71C89"/>
    <w:rsid w:val="00F80811"/>
    <w:rsid w:val="00F8428D"/>
    <w:rsid w:val="00F94155"/>
    <w:rsid w:val="00FB3B5E"/>
    <w:rsid w:val="00FB4A33"/>
    <w:rsid w:val="00FC2E21"/>
    <w:rsid w:val="00FD2EF7"/>
    <w:rsid w:val="00FF6D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5919FE3-2E6A-4DE2-B8CD-F83F8DB6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lsdException w:name="Subtle Reference" w:semiHidden="1" w:qFormat="1"/>
    <w:lsdException w:name="Intense Reference" w:semiHidden="1" w:qFormat="1"/>
    <w:lsdException w:name="Book Title" w:semiHidden="1"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332CE"/>
    <w:pPr>
      <w:spacing w:line="240" w:lineRule="atLeast"/>
    </w:pPr>
    <w:rPr>
      <w:lang w:val="es-ES" w:eastAsia="es-ES"/>
    </w:rPr>
  </w:style>
  <w:style w:type="paragraph" w:styleId="Ttulo1">
    <w:name w:val="heading 1"/>
    <w:aliases w:val="Table_G,Cuadro_G,Table_GA"/>
    <w:basedOn w:val="SingleTxtG"/>
    <w:next w:val="SingleTxtG"/>
    <w:link w:val="Ttulo1Car"/>
    <w:qFormat/>
    <w:rsid w:val="00B43F85"/>
    <w:pPr>
      <w:keepNext/>
      <w:spacing w:after="0" w:line="240" w:lineRule="auto"/>
      <w:outlineLvl w:val="0"/>
    </w:pPr>
    <w:rPr>
      <w:rFonts w:cs="Arial"/>
      <w:bCs/>
      <w:szCs w:val="32"/>
    </w:rPr>
  </w:style>
  <w:style w:type="paragraph" w:styleId="Ttulo2">
    <w:name w:val="heading 2"/>
    <w:basedOn w:val="Normal"/>
    <w:next w:val="Normal"/>
    <w:link w:val="Ttulo2Car"/>
    <w:rsid w:val="00F2520F"/>
    <w:pPr>
      <w:keepNext/>
      <w:outlineLvl w:val="1"/>
    </w:pPr>
    <w:rPr>
      <w:rFonts w:cs="Arial"/>
      <w:bCs/>
      <w:iCs/>
      <w:szCs w:val="28"/>
    </w:rPr>
  </w:style>
  <w:style w:type="paragraph" w:styleId="Ttulo3">
    <w:name w:val="heading 3"/>
    <w:basedOn w:val="Normal"/>
    <w:next w:val="Normal"/>
    <w:link w:val="Ttulo3Car"/>
    <w:rsid w:val="00F2520F"/>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F2520F"/>
    <w:pPr>
      <w:keepNext/>
      <w:spacing w:before="240" w:after="60"/>
      <w:outlineLvl w:val="3"/>
    </w:pPr>
    <w:rPr>
      <w:b/>
      <w:bCs/>
      <w:sz w:val="28"/>
      <w:szCs w:val="28"/>
    </w:rPr>
  </w:style>
  <w:style w:type="paragraph" w:styleId="Ttulo5">
    <w:name w:val="heading 5"/>
    <w:basedOn w:val="Normal"/>
    <w:next w:val="Normal"/>
    <w:link w:val="Ttulo5Car"/>
    <w:rsid w:val="00F2520F"/>
    <w:pPr>
      <w:spacing w:before="240" w:after="60"/>
      <w:outlineLvl w:val="4"/>
    </w:pPr>
    <w:rPr>
      <w:b/>
      <w:bCs/>
      <w:i/>
      <w:iCs/>
      <w:sz w:val="26"/>
      <w:szCs w:val="26"/>
    </w:rPr>
  </w:style>
  <w:style w:type="paragraph" w:styleId="Ttulo6">
    <w:name w:val="heading 6"/>
    <w:basedOn w:val="Normal"/>
    <w:next w:val="Normal"/>
    <w:link w:val="Ttulo6Car"/>
    <w:rsid w:val="00F2520F"/>
    <w:pPr>
      <w:spacing w:before="240" w:after="60"/>
      <w:outlineLvl w:val="5"/>
    </w:pPr>
    <w:rPr>
      <w:b/>
      <w:bCs/>
      <w:sz w:val="22"/>
      <w:szCs w:val="22"/>
    </w:rPr>
  </w:style>
  <w:style w:type="paragraph" w:styleId="Ttulo7">
    <w:name w:val="heading 7"/>
    <w:basedOn w:val="Normal"/>
    <w:next w:val="Normal"/>
    <w:link w:val="Ttulo7Car"/>
    <w:rsid w:val="00F2520F"/>
    <w:pPr>
      <w:spacing w:before="240" w:after="60"/>
      <w:outlineLvl w:val="6"/>
    </w:pPr>
    <w:rPr>
      <w:sz w:val="24"/>
      <w:szCs w:val="24"/>
    </w:rPr>
  </w:style>
  <w:style w:type="paragraph" w:styleId="Ttulo8">
    <w:name w:val="heading 8"/>
    <w:basedOn w:val="Normal"/>
    <w:next w:val="Normal"/>
    <w:link w:val="Ttulo8Car"/>
    <w:rsid w:val="00F2520F"/>
    <w:pPr>
      <w:spacing w:before="240" w:after="60"/>
      <w:outlineLvl w:val="7"/>
    </w:pPr>
    <w:rPr>
      <w:i/>
      <w:iCs/>
      <w:sz w:val="24"/>
      <w:szCs w:val="24"/>
    </w:rPr>
  </w:style>
  <w:style w:type="paragraph" w:styleId="Ttulo9">
    <w:name w:val="heading 9"/>
    <w:basedOn w:val="Normal"/>
    <w:next w:val="Normal"/>
    <w:link w:val="Ttulo9Car"/>
    <w:rsid w:val="00F2520F"/>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4_GA,callout"/>
    <w:basedOn w:val="Fuentedeprrafopredeter"/>
    <w:qFormat/>
    <w:rsid w:val="00F2520F"/>
    <w:rPr>
      <w:rFonts w:ascii="Times New Roman" w:hAnsi="Times New Roman"/>
      <w:sz w:val="18"/>
      <w:vertAlign w:val="superscript"/>
    </w:rPr>
  </w:style>
  <w:style w:type="paragraph" w:customStyle="1" w:styleId="HMG">
    <w:name w:val="_ H __M_G"/>
    <w:basedOn w:val="Normal"/>
    <w:next w:val="Normal"/>
    <w:qFormat/>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F2520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F2520F"/>
    <w:pPr>
      <w:keepNext/>
      <w:keepLines/>
      <w:tabs>
        <w:tab w:val="right" w:pos="851"/>
      </w:tabs>
      <w:suppressAutoHyphens/>
      <w:spacing w:before="240" w:after="120" w:line="240" w:lineRule="exact"/>
      <w:ind w:left="1134" w:right="1134" w:hanging="1134"/>
    </w:pPr>
  </w:style>
  <w:style w:type="paragraph" w:styleId="Encabezado">
    <w:name w:val="header"/>
    <w:aliases w:val="6_G,6_GA,رأس صفحة"/>
    <w:basedOn w:val="Normal"/>
    <w:next w:val="Normal"/>
    <w:link w:val="EncabezadoCar"/>
    <w:qFormat/>
    <w:rsid w:val="001611AC"/>
    <w:pPr>
      <w:pBdr>
        <w:bottom w:val="single" w:sz="4" w:space="4" w:color="auto"/>
      </w:pBdr>
      <w:spacing w:line="240" w:lineRule="auto"/>
    </w:pPr>
    <w:rPr>
      <w:b/>
      <w:sz w:val="18"/>
    </w:rPr>
  </w:style>
  <w:style w:type="paragraph" w:customStyle="1" w:styleId="SingleTxtG">
    <w:name w:val="_ Single Txt_G"/>
    <w:basedOn w:val="Normal"/>
    <w:link w:val="SingleTxtGChar"/>
    <w:qFormat/>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Piedepgina">
    <w:name w:val="footer"/>
    <w:aliases w:val="3_G,3_GA,تذييل صفحة"/>
    <w:basedOn w:val="Normal"/>
    <w:next w:val="Normal"/>
    <w:link w:val="PiedepginaCar"/>
    <w:qFormat/>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Textonotapie">
    <w:name w:val="footnote text"/>
    <w:aliases w:val="5_G, Char,Footnote Text Blue,EUMC_Lábjegyzetszöveg + 13 pt,Félkövér,Dolt,Középre zárt Char,Középre zárt Char Char,Középre zárt,Märk,Footnote Text Char1,Footnote Text Char Char,Footnote Text Char2 Char Char,Footnote Text Char1 Char Char Ch"/>
    <w:basedOn w:val="Normal"/>
    <w:link w:val="TextonotapieCar"/>
    <w:qFormat/>
    <w:rsid w:val="00F2520F"/>
    <w:pPr>
      <w:tabs>
        <w:tab w:val="right" w:pos="1021"/>
      </w:tabs>
      <w:spacing w:line="220" w:lineRule="exact"/>
      <w:ind w:left="1134" w:right="1134" w:hanging="1134"/>
    </w:pPr>
    <w:rPr>
      <w:sz w:val="18"/>
    </w:rPr>
  </w:style>
  <w:style w:type="table" w:styleId="Tablaconcuadrcula">
    <w:name w:val="Table Grid"/>
    <w:basedOn w:val="Tablanormal"/>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F2520F"/>
    <w:pPr>
      <w:numPr>
        <w:numId w:val="3"/>
      </w:numPr>
    </w:pPr>
  </w:style>
  <w:style w:type="numbering" w:styleId="1ai">
    <w:name w:val="Outline List 1"/>
    <w:basedOn w:val="Sinlista"/>
    <w:rsid w:val="00F2520F"/>
    <w:pPr>
      <w:numPr>
        <w:numId w:val="4"/>
      </w:numPr>
    </w:pPr>
  </w:style>
  <w:style w:type="character" w:styleId="AcrnimoHTML">
    <w:name w:val="HTML Acronym"/>
    <w:basedOn w:val="Fuentedeprrafopredeter"/>
    <w:semiHidden/>
    <w:rsid w:val="00F2520F"/>
  </w:style>
  <w:style w:type="numbering" w:styleId="ArtculoSeccin">
    <w:name w:val="Outline List 3"/>
    <w:basedOn w:val="Sinlista"/>
    <w:rsid w:val="00F2520F"/>
    <w:pPr>
      <w:numPr>
        <w:numId w:val="5"/>
      </w:numPr>
    </w:pPr>
  </w:style>
  <w:style w:type="paragraph" w:styleId="Cierre">
    <w:name w:val="Closing"/>
    <w:basedOn w:val="Normal"/>
    <w:link w:val="CierreCar"/>
    <w:semiHidden/>
    <w:rsid w:val="00F2520F"/>
    <w:pPr>
      <w:ind w:left="4252"/>
    </w:pPr>
  </w:style>
  <w:style w:type="character" w:styleId="CitaHTML">
    <w:name w:val="HTML Cite"/>
    <w:basedOn w:val="Fuentedeprrafopredeter"/>
    <w:semiHidden/>
    <w:rsid w:val="00F2520F"/>
    <w:rPr>
      <w:i/>
      <w:iCs/>
    </w:rPr>
  </w:style>
  <w:style w:type="character" w:styleId="CdigoHTML">
    <w:name w:val="HTML Code"/>
    <w:basedOn w:val="Fuentedeprrafopredeter"/>
    <w:semiHidden/>
    <w:rsid w:val="00F2520F"/>
    <w:rPr>
      <w:rFonts w:ascii="Courier New" w:hAnsi="Courier New" w:cs="Courier New"/>
      <w:sz w:val="20"/>
      <w:szCs w:val="20"/>
    </w:rPr>
  </w:style>
  <w:style w:type="paragraph" w:styleId="Continuarlista">
    <w:name w:val="List Continue"/>
    <w:basedOn w:val="Normal"/>
    <w:semiHidden/>
    <w:rsid w:val="00F2520F"/>
    <w:pPr>
      <w:spacing w:after="120"/>
      <w:ind w:left="283"/>
    </w:pPr>
  </w:style>
  <w:style w:type="paragraph" w:styleId="Continuarlista2">
    <w:name w:val="List Continue 2"/>
    <w:basedOn w:val="Normal"/>
    <w:semiHidden/>
    <w:rsid w:val="00F2520F"/>
    <w:pPr>
      <w:spacing w:after="120"/>
      <w:ind w:left="566"/>
    </w:pPr>
  </w:style>
  <w:style w:type="paragraph" w:styleId="Continuarlista3">
    <w:name w:val="List Continue 3"/>
    <w:basedOn w:val="Normal"/>
    <w:semiHidden/>
    <w:rsid w:val="00F2520F"/>
    <w:pPr>
      <w:spacing w:after="120"/>
      <w:ind w:left="849"/>
    </w:pPr>
  </w:style>
  <w:style w:type="paragraph" w:styleId="Continuarlista4">
    <w:name w:val="List Continue 4"/>
    <w:basedOn w:val="Normal"/>
    <w:semiHidden/>
    <w:rsid w:val="00F2520F"/>
    <w:pPr>
      <w:spacing w:after="120"/>
      <w:ind w:left="1132"/>
    </w:pPr>
  </w:style>
  <w:style w:type="paragraph" w:styleId="Continuarlista5">
    <w:name w:val="List Continue 5"/>
    <w:basedOn w:val="Normal"/>
    <w:semiHidden/>
    <w:rsid w:val="00F2520F"/>
    <w:pPr>
      <w:spacing w:after="120"/>
      <w:ind w:left="1415"/>
    </w:pPr>
  </w:style>
  <w:style w:type="character" w:styleId="DefinicinHTML">
    <w:name w:val="HTML Definition"/>
    <w:basedOn w:val="Fuentedeprrafopredeter"/>
    <w:semiHidden/>
    <w:rsid w:val="00F2520F"/>
    <w:rPr>
      <w:i/>
      <w:iCs/>
    </w:rPr>
  </w:style>
  <w:style w:type="paragraph" w:styleId="DireccinHTML">
    <w:name w:val="HTML Address"/>
    <w:basedOn w:val="Normal"/>
    <w:link w:val="DireccinHTMLCar"/>
    <w:semiHidden/>
    <w:rsid w:val="00F2520F"/>
    <w:rPr>
      <w:i/>
      <w:iCs/>
    </w:rPr>
  </w:style>
  <w:style w:type="paragraph" w:styleId="Direccinsobre">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F2520F"/>
    <w:rPr>
      <w:rFonts w:ascii="Courier New" w:hAnsi="Courier New" w:cs="Courier New"/>
    </w:rPr>
  </w:style>
  <w:style w:type="paragraph" w:styleId="Encabezadodemensaje">
    <w:name w:val="Message Header"/>
    <w:basedOn w:val="Normal"/>
    <w:link w:val="EncabezadodemensajeCar"/>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F2520F"/>
  </w:style>
  <w:style w:type="character" w:styleId="nfasis">
    <w:name w:val="Emphasis"/>
    <w:basedOn w:val="Fuentedeprrafopredeter"/>
    <w:rsid w:val="00F2520F"/>
    <w:rPr>
      <w:i/>
      <w:iCs/>
    </w:rPr>
  </w:style>
  <w:style w:type="paragraph" w:styleId="Fecha">
    <w:name w:val="Date"/>
    <w:basedOn w:val="Normal"/>
    <w:next w:val="Normal"/>
    <w:link w:val="FechaCar"/>
    <w:semiHidden/>
    <w:rsid w:val="00F2520F"/>
  </w:style>
  <w:style w:type="paragraph" w:styleId="Firma">
    <w:name w:val="Signature"/>
    <w:basedOn w:val="Normal"/>
    <w:link w:val="FirmaCar"/>
    <w:semiHidden/>
    <w:rsid w:val="00F2520F"/>
    <w:pPr>
      <w:ind w:left="4252"/>
    </w:pPr>
  </w:style>
  <w:style w:type="paragraph" w:styleId="Firmadecorreoelectrnico">
    <w:name w:val="E-mail Signature"/>
    <w:basedOn w:val="Normal"/>
    <w:link w:val="FirmadecorreoelectrnicoCar"/>
    <w:semiHidden/>
    <w:rsid w:val="00F2520F"/>
  </w:style>
  <w:style w:type="character" w:styleId="Hipervnculo">
    <w:name w:val="Hyperlink"/>
    <w:basedOn w:val="Fuentedeprrafopredeter"/>
    <w:rsid w:val="005332CE"/>
    <w:rPr>
      <w:color w:val="0000FF"/>
      <w:u w:val="none"/>
    </w:rPr>
  </w:style>
  <w:style w:type="character" w:styleId="Hipervnculovisitado">
    <w:name w:val="FollowedHyperlink"/>
    <w:basedOn w:val="Fuentedeprrafopredeter"/>
    <w:rsid w:val="005332CE"/>
    <w:rPr>
      <w:color w:val="0000FF"/>
      <w:u w:val="none"/>
    </w:rPr>
  </w:style>
  <w:style w:type="paragraph" w:styleId="HTMLconformatoprevio">
    <w:name w:val="HTML Preformatted"/>
    <w:basedOn w:val="Normal"/>
    <w:link w:val="HTMLconformatoprevioCar"/>
    <w:semiHidden/>
    <w:rsid w:val="00F2520F"/>
    <w:rPr>
      <w:rFonts w:ascii="Courier New" w:hAnsi="Courier New" w:cs="Courier New"/>
    </w:rPr>
  </w:style>
  <w:style w:type="paragraph" w:styleId="Lista">
    <w:name w:val="List"/>
    <w:basedOn w:val="Normal"/>
    <w:semiHidden/>
    <w:rsid w:val="00F2520F"/>
    <w:pPr>
      <w:ind w:left="283" w:hanging="283"/>
    </w:pPr>
  </w:style>
  <w:style w:type="paragraph" w:styleId="Lista2">
    <w:name w:val="List 2"/>
    <w:basedOn w:val="Normal"/>
    <w:semiHidden/>
    <w:rsid w:val="00F2520F"/>
    <w:pPr>
      <w:ind w:left="566" w:hanging="283"/>
    </w:pPr>
  </w:style>
  <w:style w:type="paragraph" w:styleId="Lista3">
    <w:name w:val="List 3"/>
    <w:basedOn w:val="Normal"/>
    <w:semiHidden/>
    <w:rsid w:val="00F2520F"/>
    <w:pPr>
      <w:ind w:left="849" w:hanging="283"/>
    </w:pPr>
  </w:style>
  <w:style w:type="paragraph" w:styleId="Lista4">
    <w:name w:val="List 4"/>
    <w:basedOn w:val="Normal"/>
    <w:semiHidden/>
    <w:rsid w:val="00F2520F"/>
    <w:pPr>
      <w:ind w:left="1132" w:hanging="283"/>
    </w:pPr>
  </w:style>
  <w:style w:type="paragraph" w:styleId="Lista5">
    <w:name w:val="List 5"/>
    <w:basedOn w:val="Normal"/>
    <w:semiHidden/>
    <w:rsid w:val="00F2520F"/>
    <w:pPr>
      <w:ind w:left="1415" w:hanging="283"/>
    </w:pPr>
  </w:style>
  <w:style w:type="paragraph" w:styleId="Listaconnmeros">
    <w:name w:val="List Number"/>
    <w:basedOn w:val="Normal"/>
    <w:semiHidden/>
    <w:rsid w:val="00F2520F"/>
    <w:pPr>
      <w:numPr>
        <w:numId w:val="6"/>
      </w:numPr>
    </w:pPr>
  </w:style>
  <w:style w:type="paragraph" w:styleId="Listaconnmeros2">
    <w:name w:val="List Number 2"/>
    <w:basedOn w:val="Normal"/>
    <w:semiHidden/>
    <w:rsid w:val="00F2520F"/>
    <w:pPr>
      <w:numPr>
        <w:numId w:val="7"/>
      </w:numPr>
    </w:pPr>
  </w:style>
  <w:style w:type="paragraph" w:styleId="Listaconnmeros3">
    <w:name w:val="List Number 3"/>
    <w:basedOn w:val="Normal"/>
    <w:semiHidden/>
    <w:rsid w:val="00F2520F"/>
    <w:pPr>
      <w:numPr>
        <w:numId w:val="8"/>
      </w:numPr>
    </w:pPr>
  </w:style>
  <w:style w:type="paragraph" w:styleId="Listaconnmeros4">
    <w:name w:val="List Number 4"/>
    <w:basedOn w:val="Normal"/>
    <w:semiHidden/>
    <w:rsid w:val="00F2520F"/>
    <w:pPr>
      <w:numPr>
        <w:numId w:val="9"/>
      </w:numPr>
    </w:pPr>
  </w:style>
  <w:style w:type="paragraph" w:styleId="Listaconnmeros5">
    <w:name w:val="List Number 5"/>
    <w:basedOn w:val="Normal"/>
    <w:semiHidden/>
    <w:rsid w:val="00F2520F"/>
    <w:pPr>
      <w:numPr>
        <w:numId w:val="10"/>
      </w:numPr>
    </w:pPr>
  </w:style>
  <w:style w:type="paragraph" w:styleId="Listaconvietas">
    <w:name w:val="List Bullet"/>
    <w:basedOn w:val="Normal"/>
    <w:semiHidden/>
    <w:rsid w:val="00F2520F"/>
    <w:pPr>
      <w:numPr>
        <w:numId w:val="11"/>
      </w:numPr>
    </w:pPr>
  </w:style>
  <w:style w:type="paragraph" w:styleId="Listaconvietas2">
    <w:name w:val="List Bullet 2"/>
    <w:basedOn w:val="Normal"/>
    <w:semiHidden/>
    <w:rsid w:val="00F2520F"/>
    <w:pPr>
      <w:numPr>
        <w:numId w:val="12"/>
      </w:numPr>
    </w:pPr>
  </w:style>
  <w:style w:type="paragraph" w:styleId="Listaconvietas3">
    <w:name w:val="List Bullet 3"/>
    <w:basedOn w:val="Normal"/>
    <w:semiHidden/>
    <w:rsid w:val="00F2520F"/>
    <w:pPr>
      <w:numPr>
        <w:numId w:val="13"/>
      </w:numPr>
    </w:pPr>
  </w:style>
  <w:style w:type="paragraph" w:styleId="Listaconvietas4">
    <w:name w:val="List Bullet 4"/>
    <w:basedOn w:val="Normal"/>
    <w:semiHidden/>
    <w:rsid w:val="00F2520F"/>
    <w:pPr>
      <w:numPr>
        <w:numId w:val="14"/>
      </w:numPr>
    </w:pPr>
  </w:style>
  <w:style w:type="paragraph" w:styleId="Listaconvietas5">
    <w:name w:val="List Bullet 5"/>
    <w:basedOn w:val="Normal"/>
    <w:semiHidden/>
    <w:rsid w:val="00F2520F"/>
    <w:pPr>
      <w:numPr>
        <w:numId w:val="15"/>
      </w:numPr>
    </w:pPr>
  </w:style>
  <w:style w:type="character" w:styleId="MquinadeescribirHTML">
    <w:name w:val="HTML Typewriter"/>
    <w:basedOn w:val="Fuentedeprrafopredeter"/>
    <w:semiHidden/>
    <w:rsid w:val="00F2520F"/>
    <w:rPr>
      <w:rFonts w:ascii="Courier New" w:hAnsi="Courier New" w:cs="Courier New"/>
      <w:sz w:val="20"/>
      <w:szCs w:val="20"/>
    </w:rPr>
  </w:style>
  <w:style w:type="paragraph" w:styleId="NormalWeb">
    <w:name w:val="Normal (Web)"/>
    <w:basedOn w:val="Normal"/>
    <w:rsid w:val="00F2520F"/>
    <w:rPr>
      <w:sz w:val="24"/>
      <w:szCs w:val="24"/>
    </w:rPr>
  </w:style>
  <w:style w:type="character" w:styleId="Nmerodelnea">
    <w:name w:val="line number"/>
    <w:basedOn w:val="Fuentedeprrafopredeter"/>
    <w:semiHidden/>
    <w:rsid w:val="00F2520F"/>
  </w:style>
  <w:style w:type="character" w:styleId="Nmerodepgina">
    <w:name w:val="page number"/>
    <w:aliases w:val="7_G,7_GA,رقم صفحة"/>
    <w:basedOn w:val="Fuentedeprrafopredeter"/>
    <w:qFormat/>
    <w:rsid w:val="00F2520F"/>
    <w:rPr>
      <w:b/>
      <w:sz w:val="18"/>
    </w:rPr>
  </w:style>
  <w:style w:type="character" w:styleId="Refdenotaalfinal">
    <w:name w:val="endnote reference"/>
    <w:aliases w:val="1_G"/>
    <w:basedOn w:val="Refdenotaalpie"/>
    <w:qFormat/>
    <w:rsid w:val="00F2520F"/>
    <w:rPr>
      <w:rFonts w:ascii="Times New Roman" w:hAnsi="Times New Roman"/>
      <w:sz w:val="18"/>
      <w:vertAlign w:val="superscript"/>
    </w:rPr>
  </w:style>
  <w:style w:type="paragraph" w:styleId="Remitedesobre">
    <w:name w:val="envelope return"/>
    <w:basedOn w:val="Normal"/>
    <w:semiHidden/>
    <w:rsid w:val="00F2520F"/>
    <w:rPr>
      <w:rFonts w:ascii="Arial" w:hAnsi="Arial" w:cs="Arial"/>
    </w:rPr>
  </w:style>
  <w:style w:type="paragraph" w:styleId="Saludo">
    <w:name w:val="Salutation"/>
    <w:basedOn w:val="Normal"/>
    <w:next w:val="Normal"/>
    <w:link w:val="SaludoCar"/>
    <w:semiHidden/>
    <w:rsid w:val="00F2520F"/>
  </w:style>
  <w:style w:type="paragraph" w:styleId="Sangra2detindependiente">
    <w:name w:val="Body Text Indent 2"/>
    <w:basedOn w:val="Normal"/>
    <w:link w:val="Sangra2detindependienteCar"/>
    <w:rsid w:val="00F2520F"/>
    <w:pPr>
      <w:spacing w:after="120" w:line="480" w:lineRule="auto"/>
      <w:ind w:left="283"/>
    </w:pPr>
  </w:style>
  <w:style w:type="paragraph" w:styleId="Sangra3detindependiente">
    <w:name w:val="Body Text Indent 3"/>
    <w:basedOn w:val="Normal"/>
    <w:link w:val="Sangra3detindependienteCar"/>
    <w:semiHidden/>
    <w:rsid w:val="00F2520F"/>
    <w:pPr>
      <w:spacing w:after="120"/>
      <w:ind w:left="283"/>
    </w:pPr>
    <w:rPr>
      <w:sz w:val="16"/>
      <w:szCs w:val="16"/>
    </w:rPr>
  </w:style>
  <w:style w:type="paragraph" w:styleId="Sangradetextonormal">
    <w:name w:val="Body Text Indent"/>
    <w:basedOn w:val="Normal"/>
    <w:link w:val="SangradetextonormalCar"/>
    <w:semiHidden/>
    <w:rsid w:val="00F2520F"/>
    <w:pPr>
      <w:spacing w:after="120"/>
      <w:ind w:left="283"/>
    </w:pPr>
  </w:style>
  <w:style w:type="paragraph" w:styleId="Sangranormal">
    <w:name w:val="Normal Indent"/>
    <w:basedOn w:val="Normal"/>
    <w:semiHidden/>
    <w:rsid w:val="00F2520F"/>
    <w:pPr>
      <w:ind w:left="567"/>
    </w:pPr>
  </w:style>
  <w:style w:type="paragraph" w:styleId="Subttulo">
    <w:name w:val="Subtitle"/>
    <w:basedOn w:val="Normal"/>
    <w:link w:val="SubttuloCar"/>
    <w:rsid w:val="00F2520F"/>
    <w:pPr>
      <w:spacing w:after="60"/>
      <w:jc w:val="center"/>
      <w:outlineLvl w:val="1"/>
    </w:pPr>
    <w:rPr>
      <w:rFonts w:ascii="Arial" w:hAnsi="Arial" w:cs="Arial"/>
      <w:sz w:val="24"/>
      <w:szCs w:val="24"/>
    </w:rPr>
  </w:style>
  <w:style w:type="table" w:styleId="Tablabsica1">
    <w:name w:val="Table Simple 1"/>
    <w:basedOn w:val="Tablanormal"/>
    <w:rsid w:val="00F2520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F2520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F2520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F2520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F2520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F2520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F2520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F2520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F2520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F2520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F2520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F2520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F2520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F2520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F2520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F2520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F2520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F2520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F2520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F2520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F2520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F2520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F2520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F2520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F2520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F2520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F2520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F2520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F2520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F2520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F2520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F2520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F2520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F2520F"/>
    <w:rPr>
      <w:rFonts w:ascii="Courier New" w:hAnsi="Courier New" w:cs="Courier New"/>
      <w:sz w:val="20"/>
      <w:szCs w:val="20"/>
    </w:rPr>
  </w:style>
  <w:style w:type="paragraph" w:styleId="Textodebloque">
    <w:name w:val="Block Text"/>
    <w:basedOn w:val="Normal"/>
    <w:rsid w:val="00F2520F"/>
    <w:pPr>
      <w:spacing w:after="120"/>
      <w:ind w:left="1440" w:right="1440"/>
    </w:pPr>
  </w:style>
  <w:style w:type="character" w:styleId="Textoennegrita">
    <w:name w:val="Strong"/>
    <w:basedOn w:val="Fuentedeprrafopredeter"/>
    <w:rsid w:val="00F2520F"/>
    <w:rPr>
      <w:b/>
      <w:bCs/>
    </w:rPr>
  </w:style>
  <w:style w:type="paragraph" w:styleId="Textoindependiente">
    <w:name w:val="Body Text"/>
    <w:basedOn w:val="Normal"/>
    <w:link w:val="TextoindependienteCar"/>
    <w:rsid w:val="00F2520F"/>
    <w:pPr>
      <w:spacing w:after="120"/>
    </w:pPr>
  </w:style>
  <w:style w:type="paragraph" w:styleId="Textoindependiente2">
    <w:name w:val="Body Text 2"/>
    <w:basedOn w:val="Normal"/>
    <w:link w:val="Textoindependiente2Car"/>
    <w:rsid w:val="00F2520F"/>
    <w:pPr>
      <w:spacing w:after="120" w:line="480" w:lineRule="auto"/>
    </w:pPr>
  </w:style>
  <w:style w:type="paragraph" w:styleId="Textoindependiente3">
    <w:name w:val="Body Text 3"/>
    <w:basedOn w:val="Normal"/>
    <w:link w:val="Textoindependiente3Car"/>
    <w:semiHidden/>
    <w:rsid w:val="00F2520F"/>
    <w:pPr>
      <w:spacing w:after="120"/>
    </w:pPr>
    <w:rPr>
      <w:sz w:val="16"/>
      <w:szCs w:val="16"/>
    </w:rPr>
  </w:style>
  <w:style w:type="paragraph" w:styleId="Textoindependienteprimerasangra">
    <w:name w:val="Body Text First Indent"/>
    <w:basedOn w:val="Textoindependiente"/>
    <w:link w:val="TextoindependienteprimerasangraCar"/>
    <w:semiHidden/>
    <w:rsid w:val="00F2520F"/>
    <w:pPr>
      <w:ind w:firstLine="210"/>
    </w:pPr>
  </w:style>
  <w:style w:type="paragraph" w:styleId="Textoindependienteprimerasangra2">
    <w:name w:val="Body Text First Indent 2"/>
    <w:basedOn w:val="Sangradetextonormal"/>
    <w:link w:val="Textoindependienteprimerasangra2Car"/>
    <w:semiHidden/>
    <w:rsid w:val="00F2520F"/>
    <w:pPr>
      <w:ind w:firstLine="210"/>
    </w:pPr>
  </w:style>
  <w:style w:type="paragraph" w:styleId="Textonotaalfinal">
    <w:name w:val="endnote text"/>
    <w:aliases w:val="2_G,2_ GA"/>
    <w:basedOn w:val="Textonotapie"/>
    <w:link w:val="TextonotaalfinalCar"/>
    <w:qFormat/>
    <w:rsid w:val="00F2520F"/>
  </w:style>
  <w:style w:type="paragraph" w:styleId="Textosinformato">
    <w:name w:val="Plain Text"/>
    <w:basedOn w:val="Normal"/>
    <w:link w:val="TextosinformatoCar"/>
    <w:semiHidden/>
    <w:rsid w:val="00F2520F"/>
    <w:rPr>
      <w:rFonts w:ascii="Courier New" w:hAnsi="Courier New" w:cs="Courier New"/>
    </w:rPr>
  </w:style>
  <w:style w:type="paragraph" w:styleId="Ttulo">
    <w:name w:val="Title"/>
    <w:basedOn w:val="Normal"/>
    <w:link w:val="TtuloCar"/>
    <w:rsid w:val="00F2520F"/>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F2520F"/>
    <w:rPr>
      <w:i/>
      <w:iCs/>
    </w:rPr>
  </w:style>
  <w:style w:type="paragraph" w:customStyle="1" w:styleId="Bullet1G">
    <w:name w:val="_Bullet 1_G"/>
    <w:basedOn w:val="Normal"/>
    <w:qFormat/>
    <w:rsid w:val="00F2520F"/>
    <w:pPr>
      <w:numPr>
        <w:numId w:val="1"/>
      </w:numPr>
      <w:spacing w:after="120"/>
      <w:ind w:right="1134"/>
      <w:jc w:val="both"/>
    </w:pPr>
    <w:rPr>
      <w:lang w:eastAsia="en-US"/>
    </w:rPr>
  </w:style>
  <w:style w:type="paragraph" w:customStyle="1" w:styleId="Bullet2G">
    <w:name w:val="_Bullet 2_G"/>
    <w:basedOn w:val="Normal"/>
    <w:qFormat/>
    <w:rsid w:val="00F2520F"/>
    <w:pPr>
      <w:numPr>
        <w:numId w:val="2"/>
      </w:numPr>
      <w:spacing w:after="120"/>
      <w:ind w:right="1134"/>
      <w:jc w:val="both"/>
    </w:pPr>
  </w:style>
  <w:style w:type="paragraph" w:styleId="Textodeglobo">
    <w:name w:val="Balloon Text"/>
    <w:basedOn w:val="Normal"/>
    <w:link w:val="TextodegloboCar"/>
    <w:uiPriority w:val="99"/>
    <w:semiHidden/>
    <w:rsid w:val="0095700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700F"/>
    <w:rPr>
      <w:rFonts w:ascii="Tahoma" w:hAnsi="Tahoma" w:cs="Tahoma"/>
      <w:sz w:val="16"/>
      <w:szCs w:val="16"/>
      <w:lang w:val="es-ES" w:eastAsia="es-ES"/>
    </w:rPr>
  </w:style>
  <w:style w:type="character" w:customStyle="1" w:styleId="Ttulo1Car">
    <w:name w:val="Título 1 Car"/>
    <w:aliases w:val="Table_G Car,Cuadro_G Car,Table_GA Car"/>
    <w:basedOn w:val="Fuentedeprrafopredeter"/>
    <w:link w:val="Ttulo1"/>
    <w:rsid w:val="00D74294"/>
    <w:rPr>
      <w:rFonts w:cs="Arial"/>
      <w:bCs/>
      <w:szCs w:val="32"/>
      <w:lang w:val="es-ES" w:eastAsia="es-ES"/>
    </w:rPr>
  </w:style>
  <w:style w:type="character" w:customStyle="1" w:styleId="Ttulo2Car">
    <w:name w:val="Título 2 Car"/>
    <w:basedOn w:val="Fuentedeprrafopredeter"/>
    <w:link w:val="Ttulo2"/>
    <w:rsid w:val="00D74294"/>
    <w:rPr>
      <w:rFonts w:cs="Arial"/>
      <w:bCs/>
      <w:iCs/>
      <w:szCs w:val="28"/>
      <w:lang w:val="es-ES" w:eastAsia="es-ES"/>
    </w:rPr>
  </w:style>
  <w:style w:type="character" w:customStyle="1" w:styleId="Ttulo3Car">
    <w:name w:val="Título 3 Car"/>
    <w:basedOn w:val="Fuentedeprrafopredeter"/>
    <w:link w:val="Ttulo3"/>
    <w:rsid w:val="00D74294"/>
    <w:rPr>
      <w:rFonts w:ascii="Arial" w:hAnsi="Arial" w:cs="Arial"/>
      <w:b/>
      <w:bCs/>
      <w:sz w:val="26"/>
      <w:szCs w:val="26"/>
      <w:lang w:val="es-ES" w:eastAsia="es-ES"/>
    </w:rPr>
  </w:style>
  <w:style w:type="character" w:customStyle="1" w:styleId="Ttulo4Car">
    <w:name w:val="Título 4 Car"/>
    <w:basedOn w:val="Fuentedeprrafopredeter"/>
    <w:link w:val="Ttulo4"/>
    <w:rsid w:val="00D74294"/>
    <w:rPr>
      <w:b/>
      <w:bCs/>
      <w:sz w:val="28"/>
      <w:szCs w:val="28"/>
      <w:lang w:val="es-ES" w:eastAsia="es-ES"/>
    </w:rPr>
  </w:style>
  <w:style w:type="character" w:customStyle="1" w:styleId="Ttulo5Car">
    <w:name w:val="Título 5 Car"/>
    <w:basedOn w:val="Fuentedeprrafopredeter"/>
    <w:link w:val="Ttulo5"/>
    <w:rsid w:val="00D74294"/>
    <w:rPr>
      <w:b/>
      <w:bCs/>
      <w:i/>
      <w:iCs/>
      <w:sz w:val="26"/>
      <w:szCs w:val="26"/>
      <w:lang w:val="es-ES" w:eastAsia="es-ES"/>
    </w:rPr>
  </w:style>
  <w:style w:type="character" w:customStyle="1" w:styleId="Ttulo6Car">
    <w:name w:val="Título 6 Car"/>
    <w:basedOn w:val="Fuentedeprrafopredeter"/>
    <w:link w:val="Ttulo6"/>
    <w:rsid w:val="00D74294"/>
    <w:rPr>
      <w:b/>
      <w:bCs/>
      <w:sz w:val="22"/>
      <w:szCs w:val="22"/>
      <w:lang w:val="es-ES" w:eastAsia="es-ES"/>
    </w:rPr>
  </w:style>
  <w:style w:type="character" w:customStyle="1" w:styleId="Ttulo7Car">
    <w:name w:val="Título 7 Car"/>
    <w:basedOn w:val="Fuentedeprrafopredeter"/>
    <w:link w:val="Ttulo7"/>
    <w:rsid w:val="00D74294"/>
    <w:rPr>
      <w:sz w:val="24"/>
      <w:szCs w:val="24"/>
      <w:lang w:val="es-ES" w:eastAsia="es-ES"/>
    </w:rPr>
  </w:style>
  <w:style w:type="character" w:customStyle="1" w:styleId="Ttulo8Car">
    <w:name w:val="Título 8 Car"/>
    <w:basedOn w:val="Fuentedeprrafopredeter"/>
    <w:link w:val="Ttulo8"/>
    <w:rsid w:val="00D74294"/>
    <w:rPr>
      <w:i/>
      <w:iCs/>
      <w:sz w:val="24"/>
      <w:szCs w:val="24"/>
      <w:lang w:val="es-ES" w:eastAsia="es-ES"/>
    </w:rPr>
  </w:style>
  <w:style w:type="character" w:customStyle="1" w:styleId="Ttulo9Car">
    <w:name w:val="Título 9 Car"/>
    <w:basedOn w:val="Fuentedeprrafopredeter"/>
    <w:link w:val="Ttulo9"/>
    <w:rsid w:val="00D74294"/>
    <w:rPr>
      <w:rFonts w:ascii="Arial" w:hAnsi="Arial" w:cs="Arial"/>
      <w:sz w:val="22"/>
      <w:szCs w:val="22"/>
      <w:lang w:val="es-ES" w:eastAsia="es-ES"/>
    </w:rPr>
  </w:style>
  <w:style w:type="character" w:customStyle="1" w:styleId="EncabezadoCar">
    <w:name w:val="Encabezado Car"/>
    <w:aliases w:val="6_G Car,6_GA Car,رأس صفحة Car"/>
    <w:basedOn w:val="Fuentedeprrafopredeter"/>
    <w:link w:val="Encabezado"/>
    <w:rsid w:val="00D74294"/>
    <w:rPr>
      <w:b/>
      <w:sz w:val="18"/>
      <w:lang w:val="es-ES" w:eastAsia="es-ES"/>
    </w:rPr>
  </w:style>
  <w:style w:type="character" w:customStyle="1" w:styleId="PiedepginaCar">
    <w:name w:val="Pie de página Car"/>
    <w:aliases w:val="3_G Car,3_GA Car,تذييل صفحة Car"/>
    <w:basedOn w:val="Fuentedeprrafopredeter"/>
    <w:link w:val="Piedepgina"/>
    <w:rsid w:val="00D74294"/>
    <w:rPr>
      <w:sz w:val="16"/>
      <w:lang w:val="es-ES" w:eastAsia="es-ES"/>
    </w:rPr>
  </w:style>
  <w:style w:type="character" w:customStyle="1" w:styleId="TextonotapieCar">
    <w:name w:val="Texto nota pie Car"/>
    <w:aliases w:val="5_G Car, Char Car,Footnote Text Blue Car,EUMC_Lábjegyzetszöveg + 13 pt Car,Félkövér Car,Dolt Car,Középre zárt Char Car,Középre zárt Char Char Car,Középre zárt Car,Märk Car,Footnote Text Char1 Car,Footnote Text Char Char Car"/>
    <w:basedOn w:val="Fuentedeprrafopredeter"/>
    <w:link w:val="Textonotapie"/>
    <w:rsid w:val="00D74294"/>
    <w:rPr>
      <w:sz w:val="18"/>
      <w:lang w:val="es-ES" w:eastAsia="es-ES"/>
    </w:rPr>
  </w:style>
  <w:style w:type="character" w:customStyle="1" w:styleId="CierreCar">
    <w:name w:val="Cierre Car"/>
    <w:basedOn w:val="Fuentedeprrafopredeter"/>
    <w:link w:val="Cierre"/>
    <w:semiHidden/>
    <w:rsid w:val="00D74294"/>
    <w:rPr>
      <w:lang w:val="es-ES" w:eastAsia="es-ES"/>
    </w:rPr>
  </w:style>
  <w:style w:type="character" w:customStyle="1" w:styleId="DireccinHTMLCar">
    <w:name w:val="Dirección HTML Car"/>
    <w:basedOn w:val="Fuentedeprrafopredeter"/>
    <w:link w:val="DireccinHTML"/>
    <w:semiHidden/>
    <w:rsid w:val="00D74294"/>
    <w:rPr>
      <w:i/>
      <w:iCs/>
      <w:lang w:val="es-ES" w:eastAsia="es-ES"/>
    </w:rPr>
  </w:style>
  <w:style w:type="character" w:customStyle="1" w:styleId="EncabezadodemensajeCar">
    <w:name w:val="Encabezado de mensaje Car"/>
    <w:basedOn w:val="Fuentedeprrafopredeter"/>
    <w:link w:val="Encabezadodemensaje"/>
    <w:semiHidden/>
    <w:rsid w:val="00D7429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74294"/>
    <w:rPr>
      <w:lang w:val="es-ES" w:eastAsia="es-ES"/>
    </w:rPr>
  </w:style>
  <w:style w:type="character" w:customStyle="1" w:styleId="FechaCar">
    <w:name w:val="Fecha Car"/>
    <w:basedOn w:val="Fuentedeprrafopredeter"/>
    <w:link w:val="Fecha"/>
    <w:semiHidden/>
    <w:rsid w:val="00D74294"/>
    <w:rPr>
      <w:lang w:val="es-ES" w:eastAsia="es-ES"/>
    </w:rPr>
  </w:style>
  <w:style w:type="character" w:customStyle="1" w:styleId="FirmaCar">
    <w:name w:val="Firma Car"/>
    <w:basedOn w:val="Fuentedeprrafopredeter"/>
    <w:link w:val="Firma"/>
    <w:semiHidden/>
    <w:rsid w:val="00D74294"/>
    <w:rPr>
      <w:lang w:val="es-ES" w:eastAsia="es-ES"/>
    </w:rPr>
  </w:style>
  <w:style w:type="character" w:customStyle="1" w:styleId="FirmadecorreoelectrnicoCar">
    <w:name w:val="Firma de correo electrónico Car"/>
    <w:basedOn w:val="Fuentedeprrafopredeter"/>
    <w:link w:val="Firmadecorreoelectrnico"/>
    <w:semiHidden/>
    <w:rsid w:val="00D74294"/>
    <w:rPr>
      <w:lang w:val="es-ES" w:eastAsia="es-ES"/>
    </w:rPr>
  </w:style>
  <w:style w:type="character" w:customStyle="1" w:styleId="HTMLconformatoprevioCar">
    <w:name w:val="HTML con formato previo Car"/>
    <w:basedOn w:val="Fuentedeprrafopredeter"/>
    <w:link w:val="HTMLconformatoprevio"/>
    <w:semiHidden/>
    <w:rsid w:val="00D74294"/>
    <w:rPr>
      <w:rFonts w:ascii="Courier New" w:hAnsi="Courier New" w:cs="Courier New"/>
      <w:lang w:val="es-ES" w:eastAsia="es-ES"/>
    </w:rPr>
  </w:style>
  <w:style w:type="character" w:customStyle="1" w:styleId="SaludoCar">
    <w:name w:val="Saludo Car"/>
    <w:basedOn w:val="Fuentedeprrafopredeter"/>
    <w:link w:val="Saludo"/>
    <w:semiHidden/>
    <w:rsid w:val="00D74294"/>
    <w:rPr>
      <w:lang w:val="es-ES" w:eastAsia="es-ES"/>
    </w:rPr>
  </w:style>
  <w:style w:type="character" w:customStyle="1" w:styleId="Sangra2detindependienteCar">
    <w:name w:val="Sangría 2 de t. independiente Car"/>
    <w:basedOn w:val="Fuentedeprrafopredeter"/>
    <w:link w:val="Sangra2detindependiente"/>
    <w:rsid w:val="00D74294"/>
    <w:rPr>
      <w:lang w:val="es-ES" w:eastAsia="es-ES"/>
    </w:rPr>
  </w:style>
  <w:style w:type="character" w:customStyle="1" w:styleId="Sangra3detindependienteCar">
    <w:name w:val="Sangría 3 de t. independiente Car"/>
    <w:basedOn w:val="Fuentedeprrafopredeter"/>
    <w:link w:val="Sangra3detindependiente"/>
    <w:semiHidden/>
    <w:rsid w:val="00D74294"/>
    <w:rPr>
      <w:sz w:val="16"/>
      <w:szCs w:val="16"/>
      <w:lang w:val="es-ES" w:eastAsia="es-ES"/>
    </w:rPr>
  </w:style>
  <w:style w:type="character" w:customStyle="1" w:styleId="SangradetextonormalCar">
    <w:name w:val="Sangría de texto normal Car"/>
    <w:basedOn w:val="Fuentedeprrafopredeter"/>
    <w:link w:val="Sangradetextonormal"/>
    <w:semiHidden/>
    <w:rsid w:val="00D74294"/>
    <w:rPr>
      <w:lang w:val="es-ES" w:eastAsia="es-ES"/>
    </w:rPr>
  </w:style>
  <w:style w:type="character" w:customStyle="1" w:styleId="SubttuloCar">
    <w:name w:val="Subtítulo Car"/>
    <w:basedOn w:val="Fuentedeprrafopredeter"/>
    <w:link w:val="Subttulo"/>
    <w:rsid w:val="00D74294"/>
    <w:rPr>
      <w:rFonts w:ascii="Arial" w:hAnsi="Arial" w:cs="Arial"/>
      <w:sz w:val="24"/>
      <w:szCs w:val="24"/>
      <w:lang w:val="es-ES" w:eastAsia="es-ES"/>
    </w:rPr>
  </w:style>
  <w:style w:type="character" w:customStyle="1" w:styleId="TextoindependienteCar">
    <w:name w:val="Texto independiente Car"/>
    <w:basedOn w:val="Fuentedeprrafopredeter"/>
    <w:link w:val="Textoindependiente"/>
    <w:rsid w:val="00D74294"/>
    <w:rPr>
      <w:lang w:val="es-ES" w:eastAsia="es-ES"/>
    </w:rPr>
  </w:style>
  <w:style w:type="character" w:customStyle="1" w:styleId="Textoindependiente2Car">
    <w:name w:val="Texto independiente 2 Car"/>
    <w:basedOn w:val="Fuentedeprrafopredeter"/>
    <w:link w:val="Textoindependiente2"/>
    <w:rsid w:val="00D74294"/>
    <w:rPr>
      <w:lang w:val="es-ES" w:eastAsia="es-ES"/>
    </w:rPr>
  </w:style>
  <w:style w:type="character" w:customStyle="1" w:styleId="Textoindependiente3Car">
    <w:name w:val="Texto independiente 3 Car"/>
    <w:basedOn w:val="Fuentedeprrafopredeter"/>
    <w:link w:val="Textoindependiente3"/>
    <w:semiHidden/>
    <w:rsid w:val="00D7429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7429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74294"/>
    <w:rPr>
      <w:lang w:val="es-ES" w:eastAsia="es-ES"/>
    </w:rPr>
  </w:style>
  <w:style w:type="character" w:customStyle="1" w:styleId="TextonotaalfinalCar">
    <w:name w:val="Texto nota al final Car"/>
    <w:aliases w:val="2_G Car,2_ GA Car"/>
    <w:basedOn w:val="Fuentedeprrafopredeter"/>
    <w:link w:val="Textonotaalfinal"/>
    <w:rsid w:val="00D74294"/>
    <w:rPr>
      <w:sz w:val="18"/>
      <w:lang w:val="es-ES" w:eastAsia="es-ES"/>
    </w:rPr>
  </w:style>
  <w:style w:type="character" w:customStyle="1" w:styleId="TextosinformatoCar">
    <w:name w:val="Texto sin formato Car"/>
    <w:basedOn w:val="Fuentedeprrafopredeter"/>
    <w:link w:val="Textosinformato"/>
    <w:semiHidden/>
    <w:rsid w:val="00D74294"/>
    <w:rPr>
      <w:rFonts w:ascii="Courier New" w:hAnsi="Courier New" w:cs="Courier New"/>
      <w:lang w:val="es-ES" w:eastAsia="es-ES"/>
    </w:rPr>
  </w:style>
  <w:style w:type="character" w:customStyle="1" w:styleId="TtuloCar">
    <w:name w:val="Título Car"/>
    <w:basedOn w:val="Fuentedeprrafopredeter"/>
    <w:link w:val="Ttulo"/>
    <w:rsid w:val="00D74294"/>
    <w:rPr>
      <w:rFonts w:ascii="Arial" w:hAnsi="Arial" w:cs="Arial"/>
      <w:b/>
      <w:bCs/>
      <w:kern w:val="28"/>
      <w:sz w:val="32"/>
      <w:szCs w:val="32"/>
      <w:lang w:val="es-ES" w:eastAsia="es-ES"/>
    </w:rPr>
  </w:style>
  <w:style w:type="character" w:styleId="nfasisintenso">
    <w:name w:val="Intense Emphasis"/>
    <w:uiPriority w:val="21"/>
    <w:rsid w:val="00D74294"/>
    <w:rPr>
      <w:b/>
      <w:bCs/>
      <w:i/>
      <w:iCs/>
      <w:color w:val="4F81BD"/>
    </w:rPr>
  </w:style>
  <w:style w:type="paragraph" w:styleId="Citadestacada">
    <w:name w:val="Intense Quote"/>
    <w:basedOn w:val="Normal"/>
    <w:next w:val="Normal"/>
    <w:link w:val="CitadestacadaCar"/>
    <w:uiPriority w:val="30"/>
    <w:rsid w:val="00D74294"/>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D74294"/>
    <w:rPr>
      <w:b/>
      <w:bCs/>
      <w:i/>
      <w:iCs/>
      <w:color w:val="4F81BD"/>
      <w:lang w:val="es-ES" w:eastAsia="es-ES"/>
    </w:rPr>
  </w:style>
  <w:style w:type="character" w:customStyle="1" w:styleId="SingleTxtGChar">
    <w:name w:val="_ Single Txt_G Char"/>
    <w:link w:val="SingleTxtG"/>
    <w:rsid w:val="00D74294"/>
    <w:rPr>
      <w:lang w:val="es-ES" w:eastAsia="es-ES"/>
    </w:rPr>
  </w:style>
  <w:style w:type="character" w:styleId="Ttulodellibro">
    <w:name w:val="Book Title"/>
    <w:basedOn w:val="Fuentedeprrafopredeter"/>
    <w:uiPriority w:val="33"/>
    <w:qFormat/>
    <w:rsid w:val="00D74294"/>
    <w:rPr>
      <w:b/>
      <w:bCs/>
      <w:smallCaps/>
      <w:spacing w:val="5"/>
    </w:rPr>
  </w:style>
  <w:style w:type="character" w:styleId="nfasissutil">
    <w:name w:val="Subtle Emphasis"/>
    <w:basedOn w:val="Fuentedeprrafopredeter"/>
    <w:qFormat/>
    <w:rsid w:val="00D74294"/>
    <w:rPr>
      <w:i/>
      <w:iCs/>
      <w:color w:val="808080" w:themeColor="text1" w:themeTint="7F"/>
    </w:rPr>
  </w:style>
  <w:style w:type="table" w:styleId="Cuadrculavistosa-nfasis6">
    <w:name w:val="Colorful Grid Accent 6"/>
    <w:basedOn w:val="Tablanormal"/>
    <w:uiPriority w:val="73"/>
    <w:rsid w:val="00D74294"/>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Cita">
    <w:name w:val="Quote"/>
    <w:basedOn w:val="Normal"/>
    <w:next w:val="Normal"/>
    <w:link w:val="CitaCar"/>
    <w:qFormat/>
    <w:rsid w:val="00D74294"/>
    <w:pPr>
      <w:bidi/>
      <w:jc w:val="lowKashida"/>
    </w:pPr>
    <w:rPr>
      <w:rFonts w:cs="Traditional Arabic"/>
      <w:i/>
      <w:iCs/>
      <w:color w:val="000000" w:themeColor="text1"/>
      <w:szCs w:val="30"/>
      <w:lang w:val="en-US" w:eastAsia="en-US"/>
    </w:rPr>
  </w:style>
  <w:style w:type="character" w:customStyle="1" w:styleId="CitaCar">
    <w:name w:val="Cita Car"/>
    <w:basedOn w:val="Fuentedeprrafopredeter"/>
    <w:link w:val="Cita"/>
    <w:rsid w:val="00D74294"/>
    <w:rPr>
      <w:rFonts w:cs="Traditional Arabic"/>
      <w:i/>
      <w:iCs/>
      <w:color w:val="000000" w:themeColor="text1"/>
      <w:szCs w:val="30"/>
      <w:lang w:eastAsia="en-US"/>
    </w:rPr>
  </w:style>
  <w:style w:type="character" w:styleId="Referenciasutil">
    <w:name w:val="Subtle Reference"/>
    <w:basedOn w:val="Fuentedeprrafopredeter"/>
    <w:qFormat/>
    <w:rsid w:val="00D74294"/>
    <w:rPr>
      <w:smallCaps/>
      <w:color w:val="C0504D" w:themeColor="accent2"/>
      <w:u w:val="single"/>
    </w:rPr>
  </w:style>
  <w:style w:type="character" w:styleId="Referenciaintensa">
    <w:name w:val="Intense Reference"/>
    <w:basedOn w:val="Fuentedeprrafopredeter"/>
    <w:qFormat/>
    <w:rsid w:val="00D74294"/>
    <w:rPr>
      <w:b/>
      <w:bCs/>
      <w:smallCaps/>
      <w:color w:val="C0504D" w:themeColor="accent2"/>
      <w:spacing w:val="5"/>
      <w:u w:val="single"/>
    </w:rPr>
  </w:style>
  <w:style w:type="paragraph" w:styleId="Prrafodelista">
    <w:name w:val="List Paragraph"/>
    <w:basedOn w:val="Normal"/>
    <w:link w:val="PrrafodelistaCar"/>
    <w:uiPriority w:val="34"/>
    <w:qFormat/>
    <w:rsid w:val="00D74294"/>
    <w:pPr>
      <w:bidi/>
      <w:ind w:left="720"/>
      <w:contextualSpacing/>
      <w:jc w:val="lowKashida"/>
    </w:pPr>
    <w:rPr>
      <w:rFonts w:cs="Traditional Arabic"/>
      <w:szCs w:val="30"/>
      <w:lang w:val="en-US" w:eastAsia="en-US"/>
    </w:rPr>
  </w:style>
  <w:style w:type="table" w:styleId="Sombreadomedio1-nfasis4">
    <w:name w:val="Medium Shading 1 Accent 4"/>
    <w:basedOn w:val="Tablanormal"/>
    <w:uiPriority w:val="63"/>
    <w:rsid w:val="00D74294"/>
    <w:rPr>
      <w:rFonts w:ascii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TABLEA">
    <w:name w:val="TABLE_A"/>
    <w:basedOn w:val="Tablanormal"/>
    <w:uiPriority w:val="99"/>
    <w:rsid w:val="00D74294"/>
    <w:pPr>
      <w:spacing w:before="80" w:after="80" w:line="320" w:lineRule="exact"/>
      <w:ind w:left="113" w:right="113"/>
      <w:jc w:val="lowKashida"/>
    </w:pPr>
    <w:rPr>
      <w:rFonts w:cs="Traditional Arabic"/>
      <w:sz w:val="18"/>
      <w:szCs w:val="28"/>
      <w:lang w:eastAsia="en-US"/>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styleId="Refdecomentario">
    <w:name w:val="annotation reference"/>
    <w:basedOn w:val="Fuentedeprrafopredeter"/>
    <w:rsid w:val="00D74294"/>
    <w:rPr>
      <w:sz w:val="6"/>
    </w:rPr>
  </w:style>
  <w:style w:type="paragraph" w:styleId="Textocomentario">
    <w:name w:val="annotation text"/>
    <w:basedOn w:val="Normal"/>
    <w:link w:val="TextocomentarioCar"/>
    <w:uiPriority w:val="99"/>
    <w:rsid w:val="00D74294"/>
    <w:pPr>
      <w:suppressAutoHyphens/>
    </w:pPr>
    <w:rPr>
      <w:lang w:val="en-GB" w:eastAsia="en-US"/>
    </w:rPr>
  </w:style>
  <w:style w:type="character" w:customStyle="1" w:styleId="TextocomentarioCar">
    <w:name w:val="Texto comentario Car"/>
    <w:basedOn w:val="Fuentedeprrafopredeter"/>
    <w:link w:val="Textocomentario"/>
    <w:uiPriority w:val="99"/>
    <w:rsid w:val="00D74294"/>
    <w:rPr>
      <w:lang w:val="en-GB" w:eastAsia="en-US"/>
    </w:rPr>
  </w:style>
  <w:style w:type="table" w:customStyle="1" w:styleId="TableGrid1">
    <w:name w:val="Table Grid1"/>
    <w:basedOn w:val="Tablanormal"/>
    <w:next w:val="Tablaconcuadrcula"/>
    <w:rsid w:val="00D74294"/>
    <w:pPr>
      <w:bidi/>
      <w:jc w:val="lowKashida"/>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anormal"/>
    <w:next w:val="Tablaconefectos3D1"/>
    <w:semiHidden/>
    <w:rsid w:val="00D74294"/>
    <w:pPr>
      <w:suppressAutoHyphens/>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anormal"/>
    <w:next w:val="Tablaconefectos3D2"/>
    <w:semiHidden/>
    <w:rsid w:val="00D74294"/>
    <w:pPr>
      <w:suppressAutoHyphens/>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anormal"/>
    <w:next w:val="Tablaconefectos3D3"/>
    <w:semiHidden/>
    <w:rsid w:val="00D74294"/>
    <w:pPr>
      <w:suppressAutoHyphens/>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anormal"/>
    <w:next w:val="Tablaclsica1"/>
    <w:semiHidden/>
    <w:rsid w:val="00D74294"/>
    <w:pPr>
      <w:suppressAutoHyphens/>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anormal"/>
    <w:next w:val="Tablaclsica2"/>
    <w:semiHidden/>
    <w:rsid w:val="00D74294"/>
    <w:pPr>
      <w:suppressAutoHyphens/>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anormal"/>
    <w:next w:val="Tablaclsica3"/>
    <w:semiHidden/>
    <w:rsid w:val="00D74294"/>
    <w:pPr>
      <w:suppressAutoHyphens/>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anormal"/>
    <w:next w:val="Tablaclsica4"/>
    <w:semiHidden/>
    <w:rsid w:val="00D74294"/>
    <w:pPr>
      <w:suppressAutoHyphens/>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anormal"/>
    <w:next w:val="Tablavistosa1"/>
    <w:semiHidden/>
    <w:rsid w:val="00D74294"/>
    <w:pPr>
      <w:suppressAutoHyphens/>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anormal"/>
    <w:next w:val="Tablavistosa2"/>
    <w:semiHidden/>
    <w:rsid w:val="00D74294"/>
    <w:pPr>
      <w:suppressAutoHyphens/>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anormal"/>
    <w:next w:val="Tablavistosa3"/>
    <w:semiHidden/>
    <w:rsid w:val="00D74294"/>
    <w:pPr>
      <w:suppressAutoHyphens/>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anormal"/>
    <w:next w:val="Tablaconcolumnas1"/>
    <w:semiHidden/>
    <w:rsid w:val="00D74294"/>
    <w:pPr>
      <w:suppressAutoHyphens/>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anormal"/>
    <w:next w:val="Tablaconcolumnas2"/>
    <w:semiHidden/>
    <w:rsid w:val="00D74294"/>
    <w:pPr>
      <w:suppressAutoHyphens/>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anormal"/>
    <w:next w:val="Tablaconcolumnas3"/>
    <w:semiHidden/>
    <w:rsid w:val="00D74294"/>
    <w:pPr>
      <w:suppressAutoHyphens/>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anormal"/>
    <w:next w:val="Tablaconcolumnas4"/>
    <w:semiHidden/>
    <w:rsid w:val="00D74294"/>
    <w:pPr>
      <w:suppressAutoHyphens/>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anormal"/>
    <w:next w:val="Tablaconcolumnas5"/>
    <w:semiHidden/>
    <w:rsid w:val="00D74294"/>
    <w:pPr>
      <w:suppressAutoHyphens/>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anormal"/>
    <w:next w:val="Tablamoderna"/>
    <w:semiHidden/>
    <w:rsid w:val="00D74294"/>
    <w:pPr>
      <w:suppressAutoHyphens/>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anormal"/>
    <w:next w:val="Tablaelegante"/>
    <w:semiHidden/>
    <w:rsid w:val="00D74294"/>
    <w:pPr>
      <w:suppressAutoHyphens/>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anormal"/>
    <w:next w:val="Tablaconcuadrcula1"/>
    <w:semiHidden/>
    <w:rsid w:val="00D74294"/>
    <w:pPr>
      <w:suppressAutoHyphens/>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anormal"/>
    <w:next w:val="Tablaconcuadrcula2"/>
    <w:semiHidden/>
    <w:rsid w:val="00D74294"/>
    <w:pPr>
      <w:suppressAutoHyphens/>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anormal"/>
    <w:next w:val="Tablaconcuadrcula3"/>
    <w:semiHidden/>
    <w:rsid w:val="00D74294"/>
    <w:pPr>
      <w:suppressAutoHyphens/>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anormal"/>
    <w:next w:val="Tablaconcuadrcula4"/>
    <w:semiHidden/>
    <w:rsid w:val="00D74294"/>
    <w:pPr>
      <w:suppressAutoHyphens/>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anormal"/>
    <w:next w:val="Tablaconcuadrcula5"/>
    <w:semiHidden/>
    <w:rsid w:val="00D74294"/>
    <w:pPr>
      <w:suppressAutoHyphens/>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anormal"/>
    <w:next w:val="Tablaconcuadrcula6"/>
    <w:semiHidden/>
    <w:rsid w:val="00D74294"/>
    <w:pPr>
      <w:suppressAutoHyphens/>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anormal"/>
    <w:next w:val="Tablaconcuadrcula7"/>
    <w:semiHidden/>
    <w:rsid w:val="00D74294"/>
    <w:pPr>
      <w:suppressAutoHyphens/>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anormal"/>
    <w:next w:val="Tablaconcuadrcula8"/>
    <w:semiHidden/>
    <w:rsid w:val="00D74294"/>
    <w:pPr>
      <w:suppressAutoHyphens/>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anormal"/>
    <w:next w:val="Tablaconlista1"/>
    <w:semiHidden/>
    <w:rsid w:val="00D74294"/>
    <w:pPr>
      <w:suppressAutoHyphens/>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anormal"/>
    <w:next w:val="Tablaconlista2"/>
    <w:semiHidden/>
    <w:rsid w:val="00D74294"/>
    <w:pPr>
      <w:suppressAutoHyphens/>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anormal"/>
    <w:next w:val="Tablaconlista3"/>
    <w:semiHidden/>
    <w:rsid w:val="00D74294"/>
    <w:pPr>
      <w:suppressAutoHyphens/>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anormal"/>
    <w:next w:val="Tablaconlista4"/>
    <w:semiHidden/>
    <w:rsid w:val="00D74294"/>
    <w:pPr>
      <w:suppressAutoHyphens/>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anormal"/>
    <w:next w:val="Tablaconlista5"/>
    <w:semiHidden/>
    <w:rsid w:val="00D74294"/>
    <w:pPr>
      <w:suppressAutoHyphens/>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anormal"/>
    <w:next w:val="Tablaconlista6"/>
    <w:semiHidden/>
    <w:rsid w:val="00D74294"/>
    <w:pPr>
      <w:suppressAutoHyphens/>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anormal"/>
    <w:next w:val="Tablaconlista7"/>
    <w:semiHidden/>
    <w:rsid w:val="00D74294"/>
    <w:pPr>
      <w:suppressAutoHyphens/>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anormal"/>
    <w:next w:val="Tablaconlista8"/>
    <w:semiHidden/>
    <w:rsid w:val="00D74294"/>
    <w:pPr>
      <w:suppressAutoHyphens/>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anormal"/>
    <w:next w:val="Tablaprofesional"/>
    <w:semiHidden/>
    <w:rsid w:val="00D74294"/>
    <w:pPr>
      <w:suppressAutoHyphens/>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anormal"/>
    <w:next w:val="Tablabsica1"/>
    <w:semiHidden/>
    <w:rsid w:val="00D74294"/>
    <w:pPr>
      <w:suppressAutoHyphens/>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anormal"/>
    <w:next w:val="Tablabsica2"/>
    <w:semiHidden/>
    <w:rsid w:val="00D74294"/>
    <w:pPr>
      <w:suppressAutoHyphens/>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anormal"/>
    <w:next w:val="Tablabsica3"/>
    <w:semiHidden/>
    <w:rsid w:val="00D74294"/>
    <w:pPr>
      <w:suppressAutoHyphens/>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anormal"/>
    <w:next w:val="Tablasutil1"/>
    <w:semiHidden/>
    <w:rsid w:val="00D74294"/>
    <w:pPr>
      <w:suppressAutoHyphens/>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anormal"/>
    <w:next w:val="Tablasutil2"/>
    <w:semiHidden/>
    <w:rsid w:val="00D74294"/>
    <w:pPr>
      <w:suppressAutoHyphens/>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anormal"/>
    <w:next w:val="Tablacontema"/>
    <w:semiHidden/>
    <w:rsid w:val="00D74294"/>
    <w:pPr>
      <w:suppressAutoHyphens/>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anormal"/>
    <w:next w:val="Tablaweb1"/>
    <w:semiHidden/>
    <w:rsid w:val="00D74294"/>
    <w:pPr>
      <w:suppressAutoHyphens/>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anormal"/>
    <w:next w:val="Tablaweb2"/>
    <w:semiHidden/>
    <w:rsid w:val="00D74294"/>
    <w:pPr>
      <w:suppressAutoHyphens/>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anormal"/>
    <w:next w:val="Tablaweb3"/>
    <w:semiHidden/>
    <w:rsid w:val="00D74294"/>
    <w:pPr>
      <w:suppressAutoHyphens/>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suntodelcomentario">
    <w:name w:val="annotation subject"/>
    <w:basedOn w:val="Textocomentario"/>
    <w:next w:val="Textocomentario"/>
    <w:link w:val="AsuntodelcomentarioCar"/>
    <w:semiHidden/>
    <w:unhideWhenUsed/>
    <w:rsid w:val="00D74294"/>
    <w:pPr>
      <w:suppressAutoHyphens w:val="0"/>
      <w:bidi/>
      <w:spacing w:after="200" w:line="276" w:lineRule="auto"/>
    </w:pPr>
    <w:rPr>
      <w:rFonts w:ascii="Calibri" w:eastAsia="Calibri" w:hAnsi="Calibri"/>
      <w:b/>
      <w:bCs/>
    </w:rPr>
  </w:style>
  <w:style w:type="character" w:customStyle="1" w:styleId="AsuntodelcomentarioCar">
    <w:name w:val="Asunto del comentario Car"/>
    <w:basedOn w:val="TextocomentarioCar"/>
    <w:link w:val="Asuntodelcomentario"/>
    <w:semiHidden/>
    <w:rsid w:val="00D74294"/>
    <w:rPr>
      <w:rFonts w:ascii="Calibri" w:eastAsia="Calibri" w:hAnsi="Calibri"/>
      <w:b/>
      <w:bCs/>
      <w:lang w:val="en-GB" w:eastAsia="en-US"/>
    </w:rPr>
  </w:style>
  <w:style w:type="paragraph" w:styleId="Revisin">
    <w:name w:val="Revision"/>
    <w:hidden/>
    <w:uiPriority w:val="99"/>
    <w:semiHidden/>
    <w:rsid w:val="00D74294"/>
    <w:rPr>
      <w:rFonts w:ascii="Calibri" w:eastAsia="Calibri" w:hAnsi="Calibri" w:cs="Arial"/>
      <w:sz w:val="22"/>
      <w:szCs w:val="22"/>
      <w:lang w:eastAsia="en-US"/>
    </w:rPr>
  </w:style>
  <w:style w:type="character" w:customStyle="1" w:styleId="SinespaciadoCar">
    <w:name w:val="Sin espaciado Car"/>
    <w:link w:val="Sinespaciado"/>
    <w:uiPriority w:val="1"/>
    <w:locked/>
    <w:rsid w:val="00D74294"/>
  </w:style>
  <w:style w:type="table" w:customStyle="1" w:styleId="TableGrid110">
    <w:name w:val="Table Grid11"/>
    <w:basedOn w:val="Tablanormal"/>
    <w:next w:val="Tablaconcuadrcula"/>
    <w:uiPriority w:val="59"/>
    <w:rsid w:val="00D74294"/>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Principiodelformulario">
    <w:name w:val="HTML Top of Form"/>
    <w:basedOn w:val="Normal"/>
    <w:next w:val="Normal"/>
    <w:link w:val="z-PrincipiodelformularioCar"/>
    <w:hidden/>
    <w:semiHidden/>
    <w:unhideWhenUsed/>
    <w:rsid w:val="00D74294"/>
    <w:pPr>
      <w:pBdr>
        <w:bottom w:val="single" w:sz="6" w:space="1" w:color="auto"/>
      </w:pBdr>
      <w:spacing w:line="240" w:lineRule="auto"/>
      <w:jc w:val="center"/>
    </w:pPr>
    <w:rPr>
      <w:rFonts w:ascii="Arial" w:hAnsi="Arial"/>
      <w:vanish/>
      <w:sz w:val="16"/>
      <w:szCs w:val="16"/>
      <w:lang w:val="en-US" w:eastAsia="en-US"/>
    </w:rPr>
  </w:style>
  <w:style w:type="character" w:customStyle="1" w:styleId="z-PrincipiodelformularioCar">
    <w:name w:val="z-Principio del formulario Car"/>
    <w:basedOn w:val="Fuentedeprrafopredeter"/>
    <w:link w:val="z-Principiodelformulario"/>
    <w:semiHidden/>
    <w:rsid w:val="00D74294"/>
    <w:rPr>
      <w:rFonts w:ascii="Arial" w:hAnsi="Arial"/>
      <w:vanish/>
      <w:sz w:val="16"/>
      <w:szCs w:val="16"/>
      <w:lang w:eastAsia="en-US"/>
    </w:rPr>
  </w:style>
  <w:style w:type="paragraph" w:styleId="z-Finaldelformulario">
    <w:name w:val="HTML Bottom of Form"/>
    <w:basedOn w:val="Normal"/>
    <w:next w:val="Normal"/>
    <w:link w:val="z-FinaldelformularioCar"/>
    <w:hidden/>
    <w:semiHidden/>
    <w:unhideWhenUsed/>
    <w:rsid w:val="00D74294"/>
    <w:pPr>
      <w:pBdr>
        <w:top w:val="single" w:sz="6" w:space="1" w:color="auto"/>
      </w:pBdr>
      <w:spacing w:line="240" w:lineRule="auto"/>
      <w:jc w:val="center"/>
    </w:pPr>
    <w:rPr>
      <w:rFonts w:ascii="Arial" w:hAnsi="Arial"/>
      <w:vanish/>
      <w:sz w:val="16"/>
      <w:szCs w:val="16"/>
      <w:lang w:val="en-US" w:eastAsia="en-US"/>
    </w:rPr>
  </w:style>
  <w:style w:type="character" w:customStyle="1" w:styleId="z-FinaldelformularioCar">
    <w:name w:val="z-Final del formulario Car"/>
    <w:basedOn w:val="Fuentedeprrafopredeter"/>
    <w:link w:val="z-Finaldelformulario"/>
    <w:semiHidden/>
    <w:rsid w:val="00D74294"/>
    <w:rPr>
      <w:rFonts w:ascii="Arial" w:hAnsi="Arial"/>
      <w:vanish/>
      <w:sz w:val="16"/>
      <w:szCs w:val="16"/>
      <w:lang w:eastAsia="en-US"/>
    </w:rPr>
  </w:style>
  <w:style w:type="paragraph" w:styleId="TtuloTDC">
    <w:name w:val="TOC Heading"/>
    <w:basedOn w:val="Ttulo1"/>
    <w:next w:val="Normal"/>
    <w:qFormat/>
    <w:rsid w:val="00D74294"/>
    <w:pPr>
      <w:keepLines/>
      <w:spacing w:before="480" w:line="276" w:lineRule="auto"/>
      <w:ind w:left="0" w:right="0"/>
      <w:jc w:val="right"/>
      <w:outlineLvl w:val="9"/>
    </w:pPr>
    <w:rPr>
      <w:rFonts w:ascii="Cambria" w:hAnsi="Cambria" w:cs="Times New Roman"/>
      <w:b/>
      <w:color w:val="365F91"/>
      <w:sz w:val="28"/>
      <w:szCs w:val="28"/>
      <w:lang w:val="en-US" w:eastAsia="en-US"/>
    </w:rPr>
  </w:style>
  <w:style w:type="paragraph" w:styleId="TDC1">
    <w:name w:val="toc 1"/>
    <w:basedOn w:val="Normal"/>
    <w:next w:val="Normal"/>
    <w:autoRedefine/>
    <w:unhideWhenUsed/>
    <w:qFormat/>
    <w:rsid w:val="00D74294"/>
    <w:pPr>
      <w:tabs>
        <w:tab w:val="right" w:leader="dot" w:pos="9350"/>
      </w:tabs>
      <w:bidi/>
      <w:spacing w:before="60" w:line="240" w:lineRule="auto"/>
      <w:jc w:val="right"/>
    </w:pPr>
    <w:rPr>
      <w:b/>
      <w:bCs/>
      <w:noProof/>
      <w:sz w:val="24"/>
      <w:szCs w:val="24"/>
      <w:lang w:val="en-US" w:eastAsia="en-US" w:bidi="ar-QA"/>
    </w:rPr>
  </w:style>
  <w:style w:type="paragraph" w:styleId="TDC2">
    <w:name w:val="toc 2"/>
    <w:basedOn w:val="Normal"/>
    <w:next w:val="Normal"/>
    <w:autoRedefine/>
    <w:unhideWhenUsed/>
    <w:qFormat/>
    <w:rsid w:val="00D74294"/>
    <w:pPr>
      <w:spacing w:line="240" w:lineRule="auto"/>
      <w:ind w:left="240"/>
    </w:pPr>
    <w:rPr>
      <w:sz w:val="24"/>
      <w:szCs w:val="24"/>
      <w:lang w:val="en-US" w:eastAsia="en-US"/>
    </w:rPr>
  </w:style>
  <w:style w:type="paragraph" w:styleId="TDC3">
    <w:name w:val="toc 3"/>
    <w:basedOn w:val="Normal"/>
    <w:next w:val="Normal"/>
    <w:autoRedefine/>
    <w:unhideWhenUsed/>
    <w:qFormat/>
    <w:rsid w:val="00D74294"/>
    <w:pPr>
      <w:tabs>
        <w:tab w:val="right" w:leader="dot" w:pos="9350"/>
      </w:tabs>
      <w:bidi/>
      <w:spacing w:line="240" w:lineRule="auto"/>
      <w:ind w:left="480"/>
      <w:jc w:val="both"/>
    </w:pPr>
    <w:rPr>
      <w:sz w:val="24"/>
      <w:szCs w:val="24"/>
      <w:lang w:val="en-US" w:eastAsia="en-US"/>
    </w:rPr>
  </w:style>
  <w:style w:type="paragraph" w:styleId="TDC4">
    <w:name w:val="toc 4"/>
    <w:basedOn w:val="Normal"/>
    <w:next w:val="Normal"/>
    <w:autoRedefine/>
    <w:unhideWhenUsed/>
    <w:rsid w:val="00D74294"/>
    <w:pPr>
      <w:spacing w:line="240" w:lineRule="auto"/>
      <w:ind w:left="720"/>
    </w:pPr>
    <w:rPr>
      <w:sz w:val="24"/>
      <w:szCs w:val="24"/>
      <w:lang w:val="en-US" w:eastAsia="en-US"/>
    </w:rPr>
  </w:style>
  <w:style w:type="paragraph" w:styleId="TDC5">
    <w:name w:val="toc 5"/>
    <w:basedOn w:val="Normal"/>
    <w:next w:val="Normal"/>
    <w:autoRedefine/>
    <w:unhideWhenUsed/>
    <w:rsid w:val="00D74294"/>
    <w:pPr>
      <w:spacing w:line="240" w:lineRule="auto"/>
      <w:ind w:left="960"/>
    </w:pPr>
    <w:rPr>
      <w:sz w:val="24"/>
      <w:szCs w:val="24"/>
      <w:lang w:val="en-US" w:eastAsia="en-US"/>
    </w:rPr>
  </w:style>
  <w:style w:type="table" w:customStyle="1" w:styleId="TableGrid2">
    <w:name w:val="Table Grid2"/>
    <w:basedOn w:val="Tablanormal"/>
    <w:next w:val="Tablaconcuadrcula"/>
    <w:uiPriority w:val="59"/>
    <w:rsid w:val="00D74294"/>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D74294"/>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anormal"/>
    <w:next w:val="Tablaconcuadrcula"/>
    <w:uiPriority w:val="59"/>
    <w:rsid w:val="00D74294"/>
    <w:rPr>
      <w:rFonts w:ascii="Calibri" w:eastAsia="Calibri" w:hAnsi="Calibri"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تظليل فاتح1"/>
    <w:basedOn w:val="Tablanormal"/>
    <w:uiPriority w:val="60"/>
    <w:rsid w:val="00D74294"/>
    <w:rPr>
      <w:rFonts w:ascii="Calibri" w:eastAsia="Calibri" w:hAnsi="Calibri" w:cs="Arial"/>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1">
    <w:name w:val="Trame claire - Accent 11"/>
    <w:basedOn w:val="Tablanormal"/>
    <w:uiPriority w:val="60"/>
    <w:rsid w:val="00D74294"/>
    <w:rPr>
      <w:rFonts w:ascii="Calibri" w:eastAsia="Calibri" w:hAnsi="Calibri" w:cs="Arial"/>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illeclaire-Accent11">
    <w:name w:val="Grille claire - Accent 11"/>
    <w:basedOn w:val="Tablanormal"/>
    <w:uiPriority w:val="62"/>
    <w:rsid w:val="00D74294"/>
    <w:rPr>
      <w:rFonts w:ascii="Calibri" w:eastAsia="Calibri" w:hAnsi="Calibri" w:cs="Arial"/>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PrrafodelistaCar">
    <w:name w:val="Párrafo de lista Car"/>
    <w:link w:val="Prrafodelista"/>
    <w:uiPriority w:val="34"/>
    <w:rsid w:val="00D74294"/>
    <w:rPr>
      <w:rFonts w:cs="Traditional Arabic"/>
      <w:szCs w:val="30"/>
      <w:lang w:eastAsia="en-US"/>
    </w:rPr>
  </w:style>
  <w:style w:type="table" w:customStyle="1" w:styleId="TableGrid111">
    <w:name w:val="Table Grid111"/>
    <w:basedOn w:val="Tablanormal"/>
    <w:next w:val="Tablaconcuadrcula"/>
    <w:uiPriority w:val="59"/>
    <w:rsid w:val="00D74294"/>
    <w:rPr>
      <w:rFonts w:ascii="Calibri" w:eastAsia="Calibri" w:hAnsi="Calibri"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anormal"/>
    <w:next w:val="Trameclaire-Accent11"/>
    <w:uiPriority w:val="60"/>
    <w:rsid w:val="00D74294"/>
    <w:rPr>
      <w:rFonts w:ascii="Calibri" w:eastAsia="Calibri" w:hAnsi="Calibri" w:cs="Arial"/>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111">
    <w:name w:val="Table Grid1111"/>
    <w:basedOn w:val="Tablanormal"/>
    <w:next w:val="Tablaconcuadrcula"/>
    <w:uiPriority w:val="59"/>
    <w:rsid w:val="00D74294"/>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2">
    <w:name w:val="Light Shading - Accent 12"/>
    <w:basedOn w:val="Tablanormal"/>
    <w:next w:val="Trameclaire-Accent11"/>
    <w:uiPriority w:val="60"/>
    <w:rsid w:val="00D74294"/>
    <w:rPr>
      <w:rFonts w:ascii="Calibri" w:eastAsia="Calibri" w:hAnsi="Calibri" w:cs="Arial"/>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3">
    <w:name w:val="Light Shading - Accent 13"/>
    <w:basedOn w:val="Tablanormal"/>
    <w:next w:val="Trameclaire-Accent11"/>
    <w:uiPriority w:val="60"/>
    <w:rsid w:val="00D74294"/>
    <w:rPr>
      <w:rFonts w:ascii="Calibri" w:eastAsia="Calibri" w:hAnsi="Calibri" w:cs="Arial"/>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4">
    <w:name w:val="Light Shading - Accent 14"/>
    <w:basedOn w:val="Tablanormal"/>
    <w:next w:val="Trameclaire-Accent11"/>
    <w:uiPriority w:val="60"/>
    <w:rsid w:val="00D74294"/>
    <w:rPr>
      <w:rFonts w:ascii="Calibri" w:eastAsia="Calibri" w:hAnsi="Calibri" w:cs="Arial"/>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5">
    <w:name w:val="Light Shading - Accent 15"/>
    <w:basedOn w:val="Tablanormal"/>
    <w:next w:val="Trameclaire-Accent11"/>
    <w:uiPriority w:val="60"/>
    <w:rsid w:val="00D74294"/>
    <w:rPr>
      <w:rFonts w:ascii="Calibri" w:eastAsia="Calibri" w:hAnsi="Calibri" w:cs="Arial"/>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6">
    <w:name w:val="Light Shading - Accent 16"/>
    <w:basedOn w:val="Tablanormal"/>
    <w:next w:val="Trameclaire-Accent11"/>
    <w:uiPriority w:val="60"/>
    <w:rsid w:val="00D74294"/>
    <w:rPr>
      <w:rFonts w:ascii="Calibri" w:eastAsia="Calibri" w:hAnsi="Calibri" w:cs="Arial"/>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210">
    <w:name w:val="Table Grid21"/>
    <w:basedOn w:val="Tablanormal"/>
    <w:next w:val="Tablaconcuadrcula"/>
    <w:uiPriority w:val="59"/>
    <w:rsid w:val="00D74294"/>
    <w:rPr>
      <w:rFonts w:ascii="Calibri" w:eastAsia="Calibri" w:hAnsi="Calibri"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clara-nfasis4">
    <w:name w:val="Light Grid Accent 4"/>
    <w:basedOn w:val="Tablanormal"/>
    <w:uiPriority w:val="62"/>
    <w:rsid w:val="00D74294"/>
    <w:rPr>
      <w:rFonts w:ascii="Calibri" w:eastAsia="Calibri" w:hAnsi="Calibri" w:cs="Arial"/>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Elegant11">
    <w:name w:val="Table Elegant11"/>
    <w:basedOn w:val="Tablanormal"/>
    <w:next w:val="Tablaelegante"/>
    <w:rsid w:val="00D74294"/>
    <w:pPr>
      <w:jc w:val="righ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410">
    <w:name w:val="Table Grid41"/>
    <w:basedOn w:val="Tablanormal"/>
    <w:next w:val="Tablaconcuadrcula"/>
    <w:uiPriority w:val="59"/>
    <w:rsid w:val="00D74294"/>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D74294"/>
    <w:pPr>
      <w:spacing w:after="200" w:line="240" w:lineRule="auto"/>
    </w:pPr>
    <w:rPr>
      <w:rFonts w:ascii="Calibri" w:eastAsia="Calibri" w:hAnsi="Calibri" w:cs="Arial"/>
      <w:b/>
      <w:bCs/>
      <w:color w:val="4F81BD"/>
      <w:sz w:val="18"/>
      <w:szCs w:val="18"/>
      <w:lang w:val="en-US" w:eastAsia="en-US"/>
    </w:rPr>
  </w:style>
  <w:style w:type="table" w:customStyle="1" w:styleId="MediumShading1-Accent21">
    <w:name w:val="Medium Shading 1 - Accent 21"/>
    <w:basedOn w:val="Tablanormal"/>
    <w:next w:val="Sombreadomedio1-nfasis2"/>
    <w:uiPriority w:val="63"/>
    <w:rsid w:val="00D74294"/>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LightList-Accent21">
    <w:name w:val="Light List - Accent 21"/>
    <w:basedOn w:val="Tablanormal"/>
    <w:next w:val="Listaclara-nfasis2"/>
    <w:uiPriority w:val="61"/>
    <w:rsid w:val="00D74294"/>
    <w:rPr>
      <w:lang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LightList-Accent51">
    <w:name w:val="Light List - Accent 51"/>
    <w:basedOn w:val="Tablanormal"/>
    <w:next w:val="Listaclara-nfasis5"/>
    <w:uiPriority w:val="61"/>
    <w:rsid w:val="00D74294"/>
    <w:rPr>
      <w:lang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MediumShading1-Accent22">
    <w:name w:val="Medium Shading 1 - Accent 22"/>
    <w:basedOn w:val="Tablanormal"/>
    <w:next w:val="Sombreadomedio1-nfasis2"/>
    <w:uiPriority w:val="63"/>
    <w:rsid w:val="00D74294"/>
    <w:rPr>
      <w:rFonts w:ascii="Calibri" w:eastAsia="Calibri" w:hAnsi="Calibri" w:cs="Arial"/>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LightList-Accent22">
    <w:name w:val="Light List - Accent 22"/>
    <w:basedOn w:val="Tablanormal"/>
    <w:next w:val="Listaclara-nfasis2"/>
    <w:uiPriority w:val="61"/>
    <w:rsid w:val="00D74294"/>
    <w:rPr>
      <w:rFonts w:ascii="Calibri" w:eastAsia="Calibri" w:hAnsi="Calibri" w:cs="Arial"/>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52">
    <w:name w:val="Light List - Accent 52"/>
    <w:basedOn w:val="Tablanormal"/>
    <w:next w:val="Listaclara-nfasis5"/>
    <w:uiPriority w:val="61"/>
    <w:rsid w:val="00D74294"/>
    <w:rPr>
      <w:rFonts w:ascii="Calibri" w:eastAsia="Calibri" w:hAnsi="Calibri" w:cs="Arial"/>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5">
    <w:name w:val="Table Grid5"/>
    <w:basedOn w:val="Tablanormal"/>
    <w:next w:val="Tablaconcuadrcula"/>
    <w:uiPriority w:val="59"/>
    <w:rsid w:val="00D74294"/>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74294"/>
    <w:pPr>
      <w:suppressAutoHyphens/>
    </w:pPr>
  </w:style>
  <w:style w:type="table" w:styleId="Sombreadomedio1-nfasis2">
    <w:name w:val="Medium Shading 1 Accent 2"/>
    <w:basedOn w:val="Tablanormal"/>
    <w:uiPriority w:val="63"/>
    <w:semiHidden/>
    <w:unhideWhenUsed/>
    <w:rsid w:val="00D74294"/>
    <w:rPr>
      <w:lang w:val="fr-FR" w:eastAsia="fr-FR"/>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staclara-nfasis2">
    <w:name w:val="Light List Accent 2"/>
    <w:basedOn w:val="Tablanormal"/>
    <w:uiPriority w:val="61"/>
    <w:semiHidden/>
    <w:unhideWhenUsed/>
    <w:rsid w:val="00D74294"/>
    <w:rPr>
      <w:lang w:val="fr-FR" w:eastAsia="fr-F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5">
    <w:name w:val="Light List Accent 5"/>
    <w:basedOn w:val="Tablanormal"/>
    <w:uiPriority w:val="61"/>
    <w:semiHidden/>
    <w:unhideWhenUsed/>
    <w:rsid w:val="00D74294"/>
    <w:rPr>
      <w:lang w:val="fr-FR" w:eastAsia="fr-FR"/>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3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HRI.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329581683645476"/>
          <c:y val="5.1400554097404488E-2"/>
          <c:w val="0.76614885003781308"/>
          <c:h val="0.8326195683872849"/>
        </c:manualLayout>
      </c:layout>
      <c:barChart>
        <c:barDir val="col"/>
        <c:grouping val="clustered"/>
        <c:varyColors val="0"/>
        <c:ser>
          <c:idx val="1"/>
          <c:order val="0"/>
          <c:tx>
            <c:strRef>
              <c:f>Sheet1!$A$3</c:f>
              <c:strCache>
                <c:ptCount val="1"/>
                <c:pt idx="0">
                  <c:v>السكان(بالالف)</c:v>
                </c:pt>
              </c:strCache>
            </c:strRef>
          </c:tx>
          <c:spPr>
            <a:solidFill>
              <a:schemeClr val="bg2">
                <a:lumMod val="75000"/>
              </a:schemeClr>
            </a:solidFill>
          </c:spPr>
          <c:invertIfNegative val="0"/>
          <c:dLbls>
            <c:dLbl>
              <c:idx val="0"/>
              <c:tx>
                <c:rich>
                  <a:bodyPr/>
                  <a:lstStyle/>
                  <a:p>
                    <a:r>
                      <a:rPr lang="en-US"/>
                      <a:t>1 833</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C96-4C64-B9B6-D9A680C4CF8E}"/>
                </c:ext>
              </c:extLst>
            </c:dLbl>
            <c:dLbl>
              <c:idx val="1"/>
              <c:tx>
                <c:rich>
                  <a:bodyPr/>
                  <a:lstStyle/>
                  <a:p>
                    <a:r>
                      <a:rPr lang="en-US"/>
                      <a:t>2 004</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C96-4C64-B9B6-D9A680C4CF8E}"/>
                </c:ext>
              </c:extLst>
            </c:dLbl>
            <c:dLbl>
              <c:idx val="2"/>
              <c:tx>
                <c:rich>
                  <a:bodyPr/>
                  <a:lstStyle/>
                  <a:p>
                    <a:r>
                      <a:rPr lang="en-US"/>
                      <a:t>2 216</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C96-4C64-B9B6-D9A680C4CF8E}"/>
                </c:ext>
              </c:extLst>
            </c:dLbl>
            <c:dLbl>
              <c:idx val="3"/>
              <c:tx>
                <c:rich>
                  <a:bodyPr/>
                  <a:lstStyle/>
                  <a:p>
                    <a:r>
                      <a:rPr lang="en-US"/>
                      <a:t>2 438</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C96-4C64-B9B6-D9A680C4CF8E}"/>
                </c:ext>
              </c:extLst>
            </c:dLbl>
            <c:dLbl>
              <c:idx val="4"/>
              <c:tx>
                <c:rich>
                  <a:bodyPr/>
                  <a:lstStyle/>
                  <a:p>
                    <a:r>
                      <a:rPr lang="en-US"/>
                      <a:t>2 618</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C96-4C64-B9B6-D9A680C4CF8E}"/>
                </c:ext>
              </c:extLst>
            </c:dLbl>
            <c:numFmt formatCode="#,##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Sheet1!$B$2:$F$2</c:f>
              <c:numCache>
                <c:formatCode>General</c:formatCode>
                <c:ptCount val="5"/>
                <c:pt idx="0">
                  <c:v>2012</c:v>
                </c:pt>
                <c:pt idx="1">
                  <c:v>2013</c:v>
                </c:pt>
                <c:pt idx="2">
                  <c:v>2014</c:v>
                </c:pt>
                <c:pt idx="3">
                  <c:v>2015</c:v>
                </c:pt>
                <c:pt idx="4">
                  <c:v>2016</c:v>
                </c:pt>
              </c:numCache>
            </c:numRef>
          </c:cat>
          <c:val>
            <c:numRef>
              <c:f>Sheet1!$B$3:$F$3</c:f>
              <c:numCache>
                <c:formatCode>General</c:formatCode>
                <c:ptCount val="5"/>
                <c:pt idx="0">
                  <c:v>1833</c:v>
                </c:pt>
                <c:pt idx="1">
                  <c:v>2004</c:v>
                </c:pt>
                <c:pt idx="2">
                  <c:v>2216</c:v>
                </c:pt>
                <c:pt idx="3">
                  <c:v>2438</c:v>
                </c:pt>
                <c:pt idx="4">
                  <c:v>2618</c:v>
                </c:pt>
              </c:numCache>
            </c:numRef>
          </c:val>
          <c:extLst>
            <c:ext xmlns:c16="http://schemas.microsoft.com/office/drawing/2014/chart" uri="{C3380CC4-5D6E-409C-BE32-E72D297353CC}">
              <c16:uniqueId val="{00000000-B4E0-4682-B90B-E438C263650D}"/>
            </c:ext>
          </c:extLst>
        </c:ser>
        <c:dLbls>
          <c:showLegendKey val="0"/>
          <c:showVal val="0"/>
          <c:showCatName val="0"/>
          <c:showSerName val="0"/>
          <c:showPercent val="0"/>
          <c:showBubbleSize val="0"/>
        </c:dLbls>
        <c:gapWidth val="100"/>
        <c:axId val="269701504"/>
        <c:axId val="270625024"/>
      </c:barChart>
      <c:catAx>
        <c:axId val="269701504"/>
        <c:scaling>
          <c:orientation val="minMax"/>
        </c:scaling>
        <c:delete val="0"/>
        <c:axPos val="b"/>
        <c:numFmt formatCode="General" sourceLinked="1"/>
        <c:majorTickMark val="none"/>
        <c:minorTickMark val="none"/>
        <c:tickLblPos val="nextTo"/>
        <c:crossAx val="270625024"/>
        <c:crosses val="autoZero"/>
        <c:auto val="1"/>
        <c:lblAlgn val="ctr"/>
        <c:lblOffset val="100"/>
        <c:noMultiLvlLbl val="0"/>
      </c:catAx>
      <c:valAx>
        <c:axId val="270625024"/>
        <c:scaling>
          <c:orientation val="minMax"/>
          <c:min val="0"/>
        </c:scaling>
        <c:delete val="0"/>
        <c:axPos val="l"/>
        <c:majorGridlines>
          <c:spPr>
            <a:ln>
              <a:solidFill>
                <a:schemeClr val="bg2">
                  <a:lumMod val="90000"/>
                </a:schemeClr>
              </a:solidFill>
            </a:ln>
          </c:spPr>
        </c:majorGridlines>
        <c:title>
          <c:tx>
            <c:rich>
              <a:bodyPr rot="-5400000" vert="horz"/>
              <a:lstStyle/>
              <a:p>
                <a:pPr>
                  <a:defRPr/>
                </a:pPr>
                <a:r>
                  <a:rPr lang="es-ES" b="0"/>
                  <a:t>Miles</a:t>
                </a:r>
                <a:endParaRPr lang="ar-QA" b="0"/>
              </a:p>
            </c:rich>
          </c:tx>
          <c:layout>
            <c:manualLayout>
              <c:xMode val="edge"/>
              <c:yMode val="edge"/>
              <c:x val="6.7549608247021081E-2"/>
              <c:y val="0.40159808284833964"/>
            </c:manualLayout>
          </c:layout>
          <c:overlay val="0"/>
        </c:title>
        <c:numFmt formatCode="#\ ##0" sourceLinked="0"/>
        <c:majorTickMark val="none"/>
        <c:minorTickMark val="none"/>
        <c:tickLblPos val="nextTo"/>
        <c:crossAx val="269701504"/>
        <c:crosses val="autoZero"/>
        <c:crossBetween val="between"/>
        <c:majorUnit val="400"/>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957210623901371"/>
          <c:y val="2.7622834813953456E-2"/>
          <c:w val="0.65591516134012662"/>
          <c:h val="0.76213123359580048"/>
        </c:manualLayout>
      </c:layout>
      <c:barChart>
        <c:barDir val="bar"/>
        <c:grouping val="stacked"/>
        <c:varyColors val="0"/>
        <c:ser>
          <c:idx val="0"/>
          <c:order val="0"/>
          <c:tx>
            <c:strRef>
              <c:f>'EP4-Fig 5.10 Age-SexPyramid (2'!$C$7</c:f>
              <c:strCache>
                <c:ptCount val="1"/>
                <c:pt idx="0">
                  <c:v>Males</c:v>
                </c:pt>
              </c:strCache>
            </c:strRef>
          </c:tx>
          <c:spPr>
            <a:solidFill>
              <a:schemeClr val="bg2">
                <a:lumMod val="90000"/>
              </a:schemeClr>
            </a:solidFill>
            <a:ln w="12700">
              <a:noFill/>
              <a:prstDash val="solid"/>
            </a:ln>
          </c:spPr>
          <c:invertIfNegative val="0"/>
          <c:cat>
            <c:strRef>
              <c:f>'EP4-Fig 5.10 Age-SexPyramid (2'!$B$8:$B$24</c:f>
              <c:strCache>
                <c:ptCount val="17"/>
                <c:pt idx="0">
                  <c:v>  0–4</c:v>
                </c:pt>
                <c:pt idx="1">
                  <c:v>  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  80+</c:v>
                </c:pt>
              </c:strCache>
            </c:strRef>
          </c:cat>
          <c:val>
            <c:numRef>
              <c:f>'EP4-Fig 5.10 Age-SexPyramid (2'!$C$8:$C$24</c:f>
              <c:numCache>
                <c:formatCode>General</c:formatCode>
                <c:ptCount val="17"/>
                <c:pt idx="0">
                  <c:v>-19.295000000000002</c:v>
                </c:pt>
                <c:pt idx="1">
                  <c:v>-18.943999999999999</c:v>
                </c:pt>
                <c:pt idx="2">
                  <c:v>-15.888999999999999</c:v>
                </c:pt>
                <c:pt idx="3">
                  <c:v>-13.827</c:v>
                </c:pt>
                <c:pt idx="4">
                  <c:v>-13.035</c:v>
                </c:pt>
                <c:pt idx="5">
                  <c:v>-12.000999999999999</c:v>
                </c:pt>
                <c:pt idx="6">
                  <c:v>-10.859</c:v>
                </c:pt>
                <c:pt idx="7">
                  <c:v>-9.3320000000000007</c:v>
                </c:pt>
                <c:pt idx="8">
                  <c:v>-7.8479999999999999</c:v>
                </c:pt>
                <c:pt idx="9">
                  <c:v>-7.0659999999999998</c:v>
                </c:pt>
                <c:pt idx="10">
                  <c:v>-6.2039999999999997</c:v>
                </c:pt>
                <c:pt idx="11">
                  <c:v>-5.1479999999999997</c:v>
                </c:pt>
                <c:pt idx="12">
                  <c:v>-3.472</c:v>
                </c:pt>
                <c:pt idx="13">
                  <c:v>-1.9730000000000001</c:v>
                </c:pt>
                <c:pt idx="14">
                  <c:v>-1.5860000000000001</c:v>
                </c:pt>
                <c:pt idx="15">
                  <c:v>-1.099</c:v>
                </c:pt>
                <c:pt idx="16">
                  <c:v>-0.88600000000000001</c:v>
                </c:pt>
              </c:numCache>
            </c:numRef>
          </c:val>
          <c:extLst>
            <c:ext xmlns:c16="http://schemas.microsoft.com/office/drawing/2014/chart" uri="{C3380CC4-5D6E-409C-BE32-E72D297353CC}">
              <c16:uniqueId val="{00000000-E317-40A9-A35F-C6D8E8C60C70}"/>
            </c:ext>
          </c:extLst>
        </c:ser>
        <c:ser>
          <c:idx val="1"/>
          <c:order val="1"/>
          <c:tx>
            <c:strRef>
              <c:f>'EP4-Fig 5.10 Age-SexPyramid (2'!$D$7</c:f>
              <c:strCache>
                <c:ptCount val="1"/>
                <c:pt idx="0">
                  <c:v>Females</c:v>
                </c:pt>
              </c:strCache>
            </c:strRef>
          </c:tx>
          <c:spPr>
            <a:solidFill>
              <a:schemeClr val="bg2">
                <a:lumMod val="50000"/>
              </a:schemeClr>
            </a:solidFill>
            <a:ln w="12700">
              <a:noFill/>
              <a:prstDash val="solid"/>
            </a:ln>
          </c:spPr>
          <c:invertIfNegative val="0"/>
          <c:cat>
            <c:strRef>
              <c:f>'EP4-Fig 5.10 Age-SexPyramid (2'!$B$8:$B$24</c:f>
              <c:strCache>
                <c:ptCount val="17"/>
                <c:pt idx="0">
                  <c:v>  0–4</c:v>
                </c:pt>
                <c:pt idx="1">
                  <c:v>  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  80+</c:v>
                </c:pt>
              </c:strCache>
            </c:strRef>
          </c:cat>
          <c:val>
            <c:numRef>
              <c:f>'EP4-Fig 5.10 Age-SexPyramid (2'!$D$8:$D$24</c:f>
              <c:numCache>
                <c:formatCode>General</c:formatCode>
                <c:ptCount val="17"/>
                <c:pt idx="0">
                  <c:v>20.300999999999998</c:v>
                </c:pt>
                <c:pt idx="1">
                  <c:v>19.334</c:v>
                </c:pt>
                <c:pt idx="2">
                  <c:v>16.515000000000001</c:v>
                </c:pt>
                <c:pt idx="3">
                  <c:v>14.382</c:v>
                </c:pt>
                <c:pt idx="4">
                  <c:v>13.686999999999999</c:v>
                </c:pt>
                <c:pt idx="5">
                  <c:v>11.725</c:v>
                </c:pt>
                <c:pt idx="6">
                  <c:v>9.7750000000000004</c:v>
                </c:pt>
                <c:pt idx="7">
                  <c:v>8.1080000000000005</c:v>
                </c:pt>
                <c:pt idx="8">
                  <c:v>6.9969999999999999</c:v>
                </c:pt>
                <c:pt idx="9">
                  <c:v>6.3140000000000001</c:v>
                </c:pt>
                <c:pt idx="10">
                  <c:v>5.2249999999999996</c:v>
                </c:pt>
                <c:pt idx="11">
                  <c:v>4.1959999999999997</c:v>
                </c:pt>
                <c:pt idx="12">
                  <c:v>3.0659999999999998</c:v>
                </c:pt>
                <c:pt idx="13">
                  <c:v>1.7170000000000001</c:v>
                </c:pt>
                <c:pt idx="14">
                  <c:v>1.2749999999999999</c:v>
                </c:pt>
                <c:pt idx="15">
                  <c:v>1.0149999999999999</c:v>
                </c:pt>
                <c:pt idx="16">
                  <c:v>0.77500000000000002</c:v>
                </c:pt>
              </c:numCache>
            </c:numRef>
          </c:val>
          <c:extLst>
            <c:ext xmlns:c16="http://schemas.microsoft.com/office/drawing/2014/chart" uri="{C3380CC4-5D6E-409C-BE32-E72D297353CC}">
              <c16:uniqueId val="{00000001-E317-40A9-A35F-C6D8E8C60C70}"/>
            </c:ext>
          </c:extLst>
        </c:ser>
        <c:dLbls>
          <c:showLegendKey val="0"/>
          <c:showVal val="0"/>
          <c:showCatName val="0"/>
          <c:showSerName val="0"/>
          <c:showPercent val="0"/>
          <c:showBubbleSize val="0"/>
        </c:dLbls>
        <c:gapWidth val="20"/>
        <c:overlap val="100"/>
        <c:axId val="288919936"/>
        <c:axId val="288921472"/>
      </c:barChart>
      <c:catAx>
        <c:axId val="288919936"/>
        <c:scaling>
          <c:orientation val="minMax"/>
        </c:scaling>
        <c:delete val="0"/>
        <c:axPos val="l"/>
        <c:numFmt formatCode="General" sourceLinked="1"/>
        <c:majorTickMark val="none"/>
        <c:minorTickMark val="none"/>
        <c:tickLblPos val="low"/>
        <c:spPr>
          <a:ln w="9525">
            <a:noFill/>
          </a:ln>
        </c:spPr>
        <c:txPr>
          <a:bodyPr rot="0" vert="horz"/>
          <a:lstStyle/>
          <a:p>
            <a:pPr>
              <a:defRPr sz="900" baseline="0"/>
            </a:pPr>
            <a:endParaRPr lang="es-ES"/>
          </a:p>
        </c:txPr>
        <c:crossAx val="288921472"/>
        <c:crossesAt val="-10"/>
        <c:auto val="0"/>
        <c:lblAlgn val="ctr"/>
        <c:lblOffset val="100"/>
        <c:tickLblSkip val="1"/>
        <c:tickMarkSkip val="1"/>
        <c:noMultiLvlLbl val="0"/>
      </c:catAx>
      <c:valAx>
        <c:axId val="288921472"/>
        <c:scaling>
          <c:orientation val="minMax"/>
          <c:max val="20"/>
          <c:min val="-20"/>
        </c:scaling>
        <c:delete val="0"/>
        <c:axPos val="b"/>
        <c:majorGridlines>
          <c:spPr>
            <a:ln w="12700">
              <a:solidFill>
                <a:schemeClr val="bg2">
                  <a:lumMod val="90000"/>
                </a:schemeClr>
              </a:solidFill>
            </a:ln>
          </c:spPr>
        </c:majorGridlines>
        <c:title>
          <c:tx>
            <c:rich>
              <a:bodyPr/>
              <a:lstStyle/>
              <a:p>
                <a:pPr>
                  <a:defRPr sz="900" baseline="0"/>
                </a:pPr>
                <a:r>
                  <a:rPr lang="ar-SA" sz="900" baseline="0"/>
                  <a:t>بالألف</a:t>
                </a:r>
                <a:endParaRPr lang="en-US" sz="900" baseline="0"/>
              </a:p>
            </c:rich>
          </c:tx>
          <c:layout>
            <c:manualLayout>
              <c:xMode val="edge"/>
              <c:yMode val="edge"/>
              <c:x val="0.5202406019946787"/>
              <c:y val="0.90616455088804826"/>
            </c:manualLayout>
          </c:layout>
          <c:overlay val="0"/>
          <c:spPr>
            <a:noFill/>
            <a:ln w="25400">
              <a:noFill/>
            </a:ln>
          </c:spPr>
        </c:title>
        <c:numFmt formatCode="#,##0;[Red]#,##0" sourceLinked="0"/>
        <c:majorTickMark val="out"/>
        <c:minorTickMark val="none"/>
        <c:tickLblPos val="nextTo"/>
        <c:spPr>
          <a:ln w="3175">
            <a:solidFill>
              <a:srgbClr val="000000"/>
            </a:solidFill>
            <a:prstDash val="solid"/>
          </a:ln>
        </c:spPr>
        <c:txPr>
          <a:bodyPr rot="0" vert="horz"/>
          <a:lstStyle/>
          <a:p>
            <a:pPr>
              <a:defRPr sz="900" baseline="0"/>
            </a:pPr>
            <a:endParaRPr lang="es-ES"/>
          </a:p>
        </c:txPr>
        <c:crossAx val="288919936"/>
        <c:crosses val="autoZero"/>
        <c:crossBetween val="between"/>
      </c:valAx>
      <c:spPr>
        <a:noFill/>
        <a:ln w="12700">
          <a:solidFill>
            <a:schemeClr val="bg2">
              <a:lumMod val="90000"/>
            </a:schemeClr>
          </a:solidFill>
        </a:ln>
      </c:spPr>
    </c:plotArea>
    <c:plotVisOnly val="1"/>
    <c:dispBlanksAs val="gap"/>
    <c:showDLblsOverMax val="0"/>
  </c:chart>
  <c:spPr>
    <a:solidFill>
      <a:schemeClr val="bg1"/>
    </a:solidFill>
    <a:ln w="9525">
      <a:noFill/>
    </a:ln>
  </c:spPr>
  <c:txPr>
    <a:bodyPr/>
    <a:lstStyle/>
    <a:p>
      <a:pPr>
        <a:defRPr sz="1000" b="0" i="0" u="none" strike="noStrike" baseline="0">
          <a:solidFill>
            <a:srgbClr val="000000"/>
          </a:solidFill>
          <a:latin typeface="Arial"/>
          <a:ea typeface="Arial"/>
          <a:cs typeface="Arial"/>
        </a:defRPr>
      </a:pPr>
      <a:endParaRPr lang="es-E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0.28544</cdr:x>
      <cdr:y>0.22323</cdr:y>
    </cdr:from>
    <cdr:to>
      <cdr:x>0.4947</cdr:x>
      <cdr:y>0.29808</cdr:y>
    </cdr:to>
    <cdr:sp macro="" textlink="">
      <cdr:nvSpPr>
        <cdr:cNvPr id="2" name="TextBox 1"/>
        <cdr:cNvSpPr txBox="1"/>
      </cdr:nvSpPr>
      <cdr:spPr>
        <a:xfrm xmlns:a="http://schemas.openxmlformats.org/drawingml/2006/main">
          <a:off x="769437" y="663388"/>
          <a:ext cx="564060" cy="2224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ar-QA" sz="1100">
              <a:effectLst/>
              <a:latin typeface="+mn-lt"/>
              <a:ea typeface="+mn-ea"/>
              <a:cs typeface="Qatar" pitchFamily="2" charset="-78"/>
            </a:rPr>
            <a:t>ذكور</a:t>
          </a:r>
          <a:endParaRPr lang="en-US" sz="1200">
            <a:effectLst/>
            <a:cs typeface="Qatar" pitchFamily="2" charset="-78"/>
          </a:endParaRPr>
        </a:p>
      </cdr:txBody>
    </cdr:sp>
  </cdr:relSizeAnchor>
  <cdr:relSizeAnchor xmlns:cdr="http://schemas.openxmlformats.org/drawingml/2006/chartDrawing">
    <cdr:from>
      <cdr:x>0.70147</cdr:x>
      <cdr:y>0.22671</cdr:y>
    </cdr:from>
    <cdr:to>
      <cdr:x>0.89399</cdr:x>
      <cdr:y>0.33013</cdr:y>
    </cdr:to>
    <cdr:sp macro="" textlink="">
      <cdr:nvSpPr>
        <cdr:cNvPr id="5" name="TextBox 1"/>
        <cdr:cNvSpPr txBox="1"/>
      </cdr:nvSpPr>
      <cdr:spPr>
        <a:xfrm xmlns:a="http://schemas.openxmlformats.org/drawingml/2006/main">
          <a:off x="1890851" y="673731"/>
          <a:ext cx="518971" cy="30734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ar-QA" sz="1100">
              <a:effectLst/>
              <a:latin typeface="+mn-lt"/>
              <a:ea typeface="+mn-ea"/>
              <a:cs typeface="Qatar" pitchFamily="2" charset="-78"/>
            </a:rPr>
            <a:t>إناث</a:t>
          </a:r>
          <a:endParaRPr lang="en-US" sz="1200">
            <a:effectLst/>
            <a:cs typeface="Qatar" pitchFamily="2" charset="-78"/>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HRI.dotm</Template>
  <TotalTime>1</TotalTime>
  <Pages>38</Pages>
  <Words>19819</Words>
  <Characters>109009</Characters>
  <Application>Microsoft Office Word</Application>
  <DocSecurity>0</DocSecurity>
  <Lines>908</Lines>
  <Paragraphs>257</Paragraphs>
  <ScaleCrop>false</ScaleCrop>
  <HeadingPairs>
    <vt:vector size="2" baseType="variant">
      <vt:variant>
        <vt:lpstr>Título</vt:lpstr>
      </vt:variant>
      <vt:variant>
        <vt:i4>1</vt:i4>
      </vt:variant>
    </vt:vector>
  </HeadingPairs>
  <TitlesOfParts>
    <vt:vector size="1" baseType="lpstr">
      <vt:lpstr>HRI/CORE/QAT/2019</vt:lpstr>
    </vt:vector>
  </TitlesOfParts>
  <Company/>
  <LinksUpToDate>false</LinksUpToDate>
  <CharactersWithSpaces>128571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HRI/CORE/QAT/2019</dc:title>
  <dc:subject/>
  <dc:creator>Angel MORENO TORRES</dc:creator>
  <cp:keywords/>
  <cp:lastModifiedBy>Maria De La Plaza</cp:lastModifiedBy>
  <cp:revision>3</cp:revision>
  <cp:lastPrinted>2019-05-09T12:49:00Z</cp:lastPrinted>
  <dcterms:created xsi:type="dcterms:W3CDTF">2019-05-09T12:49:00Z</dcterms:created>
  <dcterms:modified xsi:type="dcterms:W3CDTF">2019-05-09T12:50:00Z</dcterms:modified>
</cp:coreProperties>
</file>