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64D7778" w14:textId="77777777" w:rsidTr="003A3D90">
        <w:trPr>
          <w:trHeight w:hRule="exact" w:val="851"/>
        </w:trPr>
        <w:tc>
          <w:tcPr>
            <w:tcW w:w="142" w:type="dxa"/>
            <w:tcBorders>
              <w:bottom w:val="single" w:sz="4" w:space="0" w:color="auto"/>
            </w:tcBorders>
          </w:tcPr>
          <w:p w14:paraId="6A1459F8" w14:textId="77777777" w:rsidR="002D5AAC" w:rsidRDefault="002D5AAC" w:rsidP="005D278A">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9CC80B9" w14:textId="77777777"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572F5D3" w14:textId="460EA53D" w:rsidR="002D5AAC" w:rsidRDefault="005D278A" w:rsidP="005D278A">
            <w:pPr>
              <w:jc w:val="right"/>
            </w:pPr>
            <w:r w:rsidRPr="005D278A">
              <w:rPr>
                <w:sz w:val="40"/>
              </w:rPr>
              <w:t>HRI</w:t>
            </w:r>
            <w:r>
              <w:t>/CORE/ISR/2021</w:t>
            </w:r>
          </w:p>
        </w:tc>
      </w:tr>
      <w:tr w:rsidR="002D5AAC" w:rsidRPr="00F34CA7" w14:paraId="3D3F799A" w14:textId="77777777" w:rsidTr="003A3D90">
        <w:trPr>
          <w:trHeight w:hRule="exact" w:val="2835"/>
        </w:trPr>
        <w:tc>
          <w:tcPr>
            <w:tcW w:w="1280" w:type="dxa"/>
            <w:gridSpan w:val="2"/>
            <w:tcBorders>
              <w:top w:val="single" w:sz="4" w:space="0" w:color="auto"/>
              <w:bottom w:val="single" w:sz="12" w:space="0" w:color="auto"/>
            </w:tcBorders>
          </w:tcPr>
          <w:p w14:paraId="24ED0BF0" w14:textId="77777777" w:rsidR="002D5AAC" w:rsidRDefault="007B5263" w:rsidP="003A3D90">
            <w:pPr>
              <w:spacing w:before="120"/>
              <w:jc w:val="center"/>
            </w:pPr>
            <w:r>
              <w:rPr>
                <w:noProof/>
                <w:lang w:val="fr-CH" w:eastAsia="fr-CH"/>
              </w:rPr>
              <w:drawing>
                <wp:inline distT="0" distB="0" distL="0" distR="0" wp14:anchorId="07600162" wp14:editId="0921C9D2">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4EFCBC2" w14:textId="77777777"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14:paraId="2E6BC421" w14:textId="18E18C38" w:rsidR="002D5AAC" w:rsidRPr="005D278A" w:rsidRDefault="005D278A" w:rsidP="003A3D90">
            <w:pPr>
              <w:spacing w:before="240"/>
              <w:rPr>
                <w:lang w:val="en-US"/>
              </w:rPr>
            </w:pPr>
            <w:r w:rsidRPr="005D278A">
              <w:rPr>
                <w:lang w:val="en-US"/>
              </w:rPr>
              <w:t>Distr.: General</w:t>
            </w:r>
          </w:p>
          <w:p w14:paraId="53AE92D5" w14:textId="502D6E40" w:rsidR="005D278A" w:rsidRPr="005D278A" w:rsidRDefault="005D278A" w:rsidP="005D278A">
            <w:pPr>
              <w:spacing w:line="240" w:lineRule="exact"/>
              <w:rPr>
                <w:lang w:val="en-US"/>
              </w:rPr>
            </w:pPr>
            <w:r w:rsidRPr="005D278A">
              <w:rPr>
                <w:lang w:val="en-US"/>
              </w:rPr>
              <w:t>23 July 2021</w:t>
            </w:r>
          </w:p>
          <w:p w14:paraId="4AA5775F" w14:textId="77777777" w:rsidR="005D278A" w:rsidRPr="005D278A" w:rsidRDefault="005D278A" w:rsidP="005D278A">
            <w:pPr>
              <w:spacing w:line="240" w:lineRule="exact"/>
              <w:rPr>
                <w:lang w:val="en-US"/>
              </w:rPr>
            </w:pPr>
            <w:r w:rsidRPr="005D278A">
              <w:rPr>
                <w:lang w:val="en-US"/>
              </w:rPr>
              <w:t>Russian</w:t>
            </w:r>
          </w:p>
          <w:p w14:paraId="6E689595" w14:textId="61E8B6BB" w:rsidR="005D278A" w:rsidRPr="005D278A" w:rsidRDefault="005D278A" w:rsidP="005D278A">
            <w:pPr>
              <w:spacing w:line="240" w:lineRule="exact"/>
              <w:rPr>
                <w:lang w:val="en-US"/>
              </w:rPr>
            </w:pPr>
            <w:r w:rsidRPr="005D278A">
              <w:rPr>
                <w:lang w:val="en-US"/>
              </w:rPr>
              <w:t>Original:</w:t>
            </w:r>
            <w:r w:rsidRPr="00AC47B1">
              <w:rPr>
                <w:lang w:val="en-US"/>
              </w:rPr>
              <w:t xml:space="preserve"> English</w:t>
            </w:r>
          </w:p>
        </w:tc>
      </w:tr>
    </w:tbl>
    <w:p w14:paraId="23D3B822" w14:textId="77777777" w:rsidR="005D278A" w:rsidRPr="006C124B" w:rsidRDefault="005D278A" w:rsidP="005D278A">
      <w:pPr>
        <w:pStyle w:val="HMG"/>
      </w:pPr>
      <w:r w:rsidRPr="00D34A20">
        <w:rPr>
          <w:lang w:val="en-US"/>
        </w:rPr>
        <w:tab/>
      </w:r>
      <w:r w:rsidRPr="00D34A20">
        <w:rPr>
          <w:lang w:val="en-US"/>
        </w:rPr>
        <w:tab/>
      </w:r>
      <w:r w:rsidRPr="006C124B">
        <w:rPr>
          <w:bCs/>
        </w:rPr>
        <w:t>Общий</w:t>
      </w:r>
      <w:r w:rsidRPr="006C124B">
        <w:t xml:space="preserve"> базовый документ, являющийся составной частью докладов государств-участников</w:t>
      </w:r>
    </w:p>
    <w:p w14:paraId="0C4BBE6E" w14:textId="498CAD38" w:rsidR="005D278A" w:rsidRPr="007B5460" w:rsidRDefault="005D278A" w:rsidP="005D278A">
      <w:pPr>
        <w:pStyle w:val="HMG"/>
        <w:rPr>
          <w:b w:val="0"/>
          <w:bCs/>
          <w:sz w:val="20"/>
        </w:rPr>
      </w:pPr>
      <w:r w:rsidRPr="006C124B">
        <w:tab/>
      </w:r>
      <w:r w:rsidRPr="006C124B">
        <w:tab/>
      </w:r>
      <w:r w:rsidRPr="007B5460">
        <w:t>Израиль</w:t>
      </w:r>
      <w:r w:rsidRPr="005D278A">
        <w:rPr>
          <w:rStyle w:val="ab"/>
          <w:b w:val="0"/>
          <w:bCs/>
          <w:position w:val="6"/>
          <w:sz w:val="20"/>
          <w:vertAlign w:val="baseline"/>
        </w:rPr>
        <w:footnoteReference w:customMarkFollows="1" w:id="1"/>
        <w:t>*</w:t>
      </w:r>
      <w:r w:rsidRPr="005D278A">
        <w:rPr>
          <w:b w:val="0"/>
          <w:bCs/>
          <w:position w:val="6"/>
          <w:sz w:val="20"/>
        </w:rPr>
        <w:t xml:space="preserve"> </w:t>
      </w:r>
      <w:r w:rsidRPr="005D278A">
        <w:rPr>
          <w:rStyle w:val="ab"/>
          <w:b w:val="0"/>
          <w:bCs/>
          <w:position w:val="6"/>
          <w:sz w:val="20"/>
          <w:vertAlign w:val="baseline"/>
        </w:rPr>
        <w:footnoteReference w:customMarkFollows="1" w:id="2"/>
        <w:t>**</w:t>
      </w:r>
    </w:p>
    <w:p w14:paraId="50D53FC7" w14:textId="77777777" w:rsidR="005D278A" w:rsidRPr="007B5460" w:rsidRDefault="005D278A" w:rsidP="005D278A">
      <w:pPr>
        <w:pStyle w:val="SingleTxtG"/>
        <w:ind w:left="0"/>
        <w:jc w:val="right"/>
      </w:pPr>
      <w:r w:rsidRPr="007B5460">
        <w:t xml:space="preserve">[Дата получения: 15 </w:t>
      </w:r>
      <w:r>
        <w:t>февраля</w:t>
      </w:r>
      <w:r w:rsidRPr="007B5460">
        <w:t xml:space="preserve"> 2021</w:t>
      </w:r>
      <w:r>
        <w:t xml:space="preserve"> года</w:t>
      </w:r>
      <w:r w:rsidRPr="007B5460">
        <w:t>]</w:t>
      </w:r>
    </w:p>
    <w:p w14:paraId="363446B9" w14:textId="77777777" w:rsidR="005D278A" w:rsidRPr="007B5460" w:rsidRDefault="005D278A" w:rsidP="005D278A">
      <w:pPr>
        <w:pStyle w:val="HMG"/>
        <w:pageBreakBefore/>
      </w:pPr>
      <w:bookmarkStart w:id="0" w:name="_Toc54696477"/>
      <w:bookmarkStart w:id="1" w:name="_Toc404610379"/>
      <w:bookmarkStart w:id="2" w:name="_Toc405025824"/>
      <w:bookmarkStart w:id="3" w:name="_Toc165619029"/>
      <w:r w:rsidRPr="007B5460">
        <w:lastRenderedPageBreak/>
        <w:tab/>
      </w:r>
      <w:r w:rsidRPr="007B5460">
        <w:tab/>
      </w:r>
      <w:bookmarkEnd w:id="0"/>
      <w:r w:rsidRPr="007B5460">
        <w:rPr>
          <w:bCs/>
        </w:rPr>
        <w:t>Общие сведения о Государстве Израиль</w:t>
      </w:r>
    </w:p>
    <w:p w14:paraId="0E8A02C6" w14:textId="7A245244" w:rsidR="005D278A" w:rsidRPr="007F6536" w:rsidRDefault="005D278A" w:rsidP="005D278A">
      <w:pPr>
        <w:pStyle w:val="HChG"/>
      </w:pPr>
      <w:bookmarkStart w:id="4" w:name="_Toc54696478"/>
      <w:r w:rsidRPr="007B5460">
        <w:tab/>
      </w:r>
      <w:r w:rsidRPr="008B5E26">
        <w:t>I</w:t>
      </w:r>
      <w:r w:rsidRPr="007F6536">
        <w:t>.</w:t>
      </w:r>
      <w:bookmarkEnd w:id="1"/>
      <w:bookmarkEnd w:id="2"/>
      <w:bookmarkEnd w:id="3"/>
      <w:r w:rsidRPr="007F6536">
        <w:tab/>
      </w:r>
      <w:bookmarkEnd w:id="4"/>
      <w:r w:rsidRPr="007F6536">
        <w:rPr>
          <w:bCs/>
        </w:rPr>
        <w:t>Демографические, экономические, социальные</w:t>
      </w:r>
      <w:r w:rsidR="00AC47B1">
        <w:rPr>
          <w:bCs/>
        </w:rPr>
        <w:br/>
      </w:r>
      <w:r w:rsidRPr="007F6536">
        <w:rPr>
          <w:bCs/>
        </w:rPr>
        <w:t>и культурные характеристики</w:t>
      </w:r>
    </w:p>
    <w:p w14:paraId="5F99180E" w14:textId="77777777" w:rsidR="005D278A" w:rsidRPr="007F6536" w:rsidRDefault="005D278A" w:rsidP="005D278A">
      <w:pPr>
        <w:pStyle w:val="H1G"/>
      </w:pPr>
      <w:bookmarkStart w:id="5" w:name="_Toc404610380"/>
      <w:bookmarkStart w:id="6" w:name="_Toc405025825"/>
      <w:bookmarkStart w:id="7" w:name="_Toc165619030"/>
      <w:bookmarkStart w:id="8" w:name="_Toc54696479"/>
      <w:r w:rsidRPr="007F6536">
        <w:tab/>
      </w:r>
      <w:r w:rsidRPr="008B5E26">
        <w:t>A</w:t>
      </w:r>
      <w:r w:rsidRPr="007F6536">
        <w:t>.</w:t>
      </w:r>
      <w:r w:rsidRPr="007F6536">
        <w:tab/>
      </w:r>
      <w:bookmarkEnd w:id="5"/>
      <w:bookmarkEnd w:id="6"/>
      <w:bookmarkEnd w:id="7"/>
      <w:bookmarkEnd w:id="8"/>
      <w:r w:rsidRPr="007F6536">
        <w:rPr>
          <w:bCs/>
        </w:rPr>
        <w:t>География</w:t>
      </w:r>
    </w:p>
    <w:p w14:paraId="0F3CBEC9" w14:textId="77777777" w:rsidR="005D278A" w:rsidRPr="007F6536" w:rsidRDefault="005D278A" w:rsidP="005D278A">
      <w:pPr>
        <w:pStyle w:val="SingleTxtG"/>
      </w:pPr>
      <w:r w:rsidRPr="007F6536">
        <w:t>1.</w:t>
      </w:r>
      <w:r w:rsidRPr="007F6536">
        <w:tab/>
        <w:t>См. первоначальный базовый документ Израиля (</w:t>
      </w:r>
      <w:r w:rsidRPr="008B5E26">
        <w:t>HRI</w:t>
      </w:r>
      <w:r w:rsidRPr="007F6536">
        <w:t>/</w:t>
      </w:r>
      <w:r w:rsidRPr="008B5E26">
        <w:t>CORE</w:t>
      </w:r>
      <w:r w:rsidRPr="007F6536">
        <w:t>/</w:t>
      </w:r>
      <w:r w:rsidRPr="008B5E26">
        <w:t>ISR</w:t>
      </w:r>
      <w:r w:rsidRPr="007F6536">
        <w:t>/2008), стр. 6.</w:t>
      </w:r>
    </w:p>
    <w:p w14:paraId="286FD580" w14:textId="77777777" w:rsidR="005D278A" w:rsidRPr="00274EB5" w:rsidRDefault="005D278A" w:rsidP="005D278A">
      <w:pPr>
        <w:pStyle w:val="H1G"/>
      </w:pPr>
      <w:bookmarkStart w:id="9" w:name="_Toc165619031"/>
      <w:bookmarkStart w:id="10" w:name="_Toc54696480"/>
      <w:r w:rsidRPr="007F6536">
        <w:tab/>
      </w:r>
      <w:r w:rsidRPr="008B5E26">
        <w:t>B</w:t>
      </w:r>
      <w:r w:rsidRPr="00274EB5">
        <w:t>.</w:t>
      </w:r>
      <w:r w:rsidRPr="00274EB5">
        <w:tab/>
      </w:r>
      <w:bookmarkEnd w:id="9"/>
      <w:bookmarkEnd w:id="10"/>
      <w:r w:rsidRPr="00274EB5">
        <w:rPr>
          <w:bCs/>
        </w:rPr>
        <w:t>Демография</w:t>
      </w:r>
    </w:p>
    <w:p w14:paraId="655E56FB" w14:textId="0FDD934F" w:rsidR="005D278A" w:rsidRPr="008C710A" w:rsidRDefault="005D278A" w:rsidP="005D278A">
      <w:pPr>
        <w:pStyle w:val="SingleTxtG"/>
      </w:pPr>
      <w:r w:rsidRPr="001559C0">
        <w:t>2.</w:t>
      </w:r>
      <w:r w:rsidRPr="001559C0">
        <w:tab/>
        <w:t xml:space="preserve">В Израиле проживает довольно пестрое население, имеющее разные этнические, религиозные, культурные и социальные корни. </w:t>
      </w:r>
      <w:r w:rsidRPr="008C710A">
        <w:t>Согласно данным за апрель 2020 года общая численность населения Израиля составляла 9,19 млн человек, из которых свыше 6,806 млн человек являются евреями (74</w:t>
      </w:r>
      <w:r>
        <w:rPr>
          <w:lang w:val="en-US"/>
        </w:rPr>
        <w:t> </w:t>
      </w:r>
      <w:r w:rsidRPr="008C710A">
        <w:t xml:space="preserve">% всего населения страны) и 1,930 млн человек арабами </w:t>
      </w:r>
      <w:r w:rsidRPr="00B76E19">
        <w:t>‒‒</w:t>
      </w:r>
      <w:r w:rsidRPr="008C710A">
        <w:t xml:space="preserve"> главным образом мусульманами, а также христианами, друзами и черкесами (примерно 21</w:t>
      </w:r>
      <w:r>
        <w:t> </w:t>
      </w:r>
      <w:r w:rsidRPr="008C710A">
        <w:t>%</w:t>
      </w:r>
      <w:r>
        <w:t xml:space="preserve"> всего</w:t>
      </w:r>
      <w:r w:rsidRPr="008C710A">
        <w:t xml:space="preserve"> населения)</w:t>
      </w:r>
      <w:r>
        <w:t xml:space="preserve">. </w:t>
      </w:r>
      <w:r w:rsidRPr="004934EC">
        <w:t>Общее число христиан неарабского происхождения, лиц без религиозной принадлежности и представителей иных вероисповеданий равняется 454 000 человек (5</w:t>
      </w:r>
      <w:r>
        <w:t> </w:t>
      </w:r>
      <w:r w:rsidRPr="004934EC">
        <w:t>% всего населения).</w:t>
      </w:r>
      <w:r w:rsidRPr="008C710A">
        <w:t xml:space="preserve"> Данные о росте групп населения Израиля (евреев, мусульман, христиан и друзов) в период</w:t>
      </w:r>
      <w:r>
        <w:br/>
      </w:r>
      <w:r w:rsidRPr="008C710A">
        <w:t xml:space="preserve">2014–2019 годов приведены в таблице 1 в приложении к настоящему докладу Израиля (именуемом далее по тексту </w:t>
      </w:r>
      <w:r>
        <w:t>«</w:t>
      </w:r>
      <w:r w:rsidRPr="008C710A">
        <w:t>приложение</w:t>
      </w:r>
      <w:r>
        <w:t>»</w:t>
      </w:r>
      <w:r w:rsidRPr="008C710A">
        <w:t>).</w:t>
      </w:r>
    </w:p>
    <w:p w14:paraId="6F3BBFF6" w14:textId="4268EDF4" w:rsidR="005D278A" w:rsidRPr="00623776" w:rsidRDefault="005D278A" w:rsidP="005D278A">
      <w:pPr>
        <w:pStyle w:val="SingleTxtG"/>
      </w:pPr>
      <w:r w:rsidRPr="00754756">
        <w:t>3.</w:t>
      </w:r>
      <w:r w:rsidRPr="00754756">
        <w:tab/>
        <w:t>В 2019 году 91,4</w:t>
      </w:r>
      <w:r>
        <w:t> </w:t>
      </w:r>
      <w:r w:rsidRPr="00754756">
        <w:t>% населения Израиля проживало в городских районах</w:t>
      </w:r>
      <w:r>
        <w:br/>
      </w:r>
      <w:r w:rsidRPr="00754756">
        <w:t>и 8,5</w:t>
      </w:r>
      <w:r>
        <w:t> </w:t>
      </w:r>
      <w:r w:rsidRPr="00754756">
        <w:t xml:space="preserve">% </w:t>
      </w:r>
      <w:r w:rsidRPr="00B76E19">
        <w:t>‒‒</w:t>
      </w:r>
      <w:r w:rsidRPr="00754756">
        <w:t xml:space="preserve"> в сельских. </w:t>
      </w:r>
      <w:r w:rsidRPr="00623776">
        <w:t>Данные о плотности населения в Израиле с разбивкой по округам приведены в таблице 3 в приложении к настоящему докладу.</w:t>
      </w:r>
    </w:p>
    <w:p w14:paraId="624025F8" w14:textId="400758E8" w:rsidR="005D278A" w:rsidRPr="006B0ADF" w:rsidRDefault="005D278A" w:rsidP="005D278A">
      <w:pPr>
        <w:pStyle w:val="SingleTxtG"/>
      </w:pPr>
      <w:r w:rsidRPr="006B0ADF">
        <w:t>4.</w:t>
      </w:r>
      <w:r w:rsidRPr="006B0ADF">
        <w:tab/>
      </w:r>
      <w:r w:rsidRPr="006B0ADF">
        <w:rPr>
          <w:color w:val="000000" w:themeColor="text1"/>
        </w:rPr>
        <w:t>Общая численность еврейских иммигрантов («олим»), прибывших в Израиль после 1989 года, составляет 1</w:t>
      </w:r>
      <w:r w:rsidR="00E82D70">
        <w:rPr>
          <w:color w:val="000000" w:themeColor="text1"/>
        </w:rPr>
        <w:t> </w:t>
      </w:r>
      <w:r w:rsidRPr="006B0ADF">
        <w:rPr>
          <w:color w:val="000000" w:themeColor="text1"/>
        </w:rPr>
        <w:t>457</w:t>
      </w:r>
      <w:r w:rsidR="00E82D70">
        <w:rPr>
          <w:color w:val="000000" w:themeColor="text1"/>
        </w:rPr>
        <w:t> </w:t>
      </w:r>
      <w:r w:rsidRPr="006B0ADF">
        <w:rPr>
          <w:color w:val="000000" w:themeColor="text1"/>
        </w:rPr>
        <w:t>483 человека, из которых примерно</w:t>
      </w:r>
      <w:r w:rsidR="00E82D70">
        <w:rPr>
          <w:color w:val="000000" w:themeColor="text1"/>
        </w:rPr>
        <w:br/>
      </w:r>
      <w:r w:rsidRPr="006B0ADF">
        <w:rPr>
          <w:color w:val="000000" w:themeColor="text1"/>
        </w:rPr>
        <w:t>1</w:t>
      </w:r>
      <w:r w:rsidR="00E82D70">
        <w:rPr>
          <w:color w:val="000000" w:themeColor="text1"/>
        </w:rPr>
        <w:t> </w:t>
      </w:r>
      <w:r w:rsidRPr="006B0ADF">
        <w:rPr>
          <w:color w:val="000000" w:themeColor="text1"/>
        </w:rPr>
        <w:t>114</w:t>
      </w:r>
      <w:r w:rsidR="00E82D70">
        <w:rPr>
          <w:color w:val="000000" w:themeColor="text1"/>
        </w:rPr>
        <w:t> </w:t>
      </w:r>
      <w:r w:rsidRPr="006B0ADF">
        <w:rPr>
          <w:color w:val="000000" w:themeColor="text1"/>
        </w:rPr>
        <w:t>552 человека прибыли из бывшего Советского Союза, 160</w:t>
      </w:r>
      <w:r w:rsidR="00E82D70">
        <w:rPr>
          <w:color w:val="000000" w:themeColor="text1"/>
        </w:rPr>
        <w:t> </w:t>
      </w:r>
      <w:r w:rsidRPr="006B0ADF">
        <w:rPr>
          <w:color w:val="000000" w:themeColor="text1"/>
        </w:rPr>
        <w:t xml:space="preserve">400 </w:t>
      </w:r>
      <w:r w:rsidR="00E82D70" w:rsidRPr="00E82D70">
        <w:rPr>
          <w:color w:val="000000" w:themeColor="text1"/>
        </w:rPr>
        <w:t>‒‒</w:t>
      </w:r>
      <w:r w:rsidRPr="006B0ADF">
        <w:rPr>
          <w:color w:val="000000" w:themeColor="text1"/>
        </w:rPr>
        <w:t xml:space="preserve"> из Российской Федерации и 75 592 </w:t>
      </w:r>
      <w:r w:rsidR="00E82D70" w:rsidRPr="00E82D70">
        <w:rPr>
          <w:color w:val="000000" w:themeColor="text1"/>
        </w:rPr>
        <w:t>‒‒</w:t>
      </w:r>
      <w:r w:rsidRPr="006B0ADF">
        <w:rPr>
          <w:color w:val="000000" w:themeColor="text1"/>
        </w:rPr>
        <w:t xml:space="preserve"> из Эфиопии</w:t>
      </w:r>
      <w:r w:rsidRPr="006B0ADF">
        <w:t>. Дополнительные данные об источниках роста численности населения в период 2009–2019 годов приведены в таблице 4</w:t>
      </w:r>
      <w:r w:rsidR="00E82D70">
        <w:br/>
      </w:r>
      <w:r w:rsidRPr="006B0ADF">
        <w:t>в приложении к настоящему докладу.</w:t>
      </w:r>
    </w:p>
    <w:p w14:paraId="51FD809F" w14:textId="560A0091" w:rsidR="005D278A" w:rsidRPr="005A0564" w:rsidRDefault="005D278A" w:rsidP="005D278A">
      <w:pPr>
        <w:pStyle w:val="SingleTxtG"/>
      </w:pPr>
      <w:r w:rsidRPr="00F66518">
        <w:t>5.</w:t>
      </w:r>
      <w:r w:rsidRPr="00F66518">
        <w:tab/>
        <w:t xml:space="preserve">В декабре 2018 года в стране проживали примерно </w:t>
      </w:r>
      <w:r w:rsidRPr="0081130F">
        <w:t>4,4073 млн</w:t>
      </w:r>
      <w:r w:rsidRPr="00F66518">
        <w:t xml:space="preserve"> мужчин</w:t>
      </w:r>
      <w:r w:rsidR="00E82D70">
        <w:br/>
      </w:r>
      <w:r w:rsidRPr="00F66518">
        <w:t xml:space="preserve">и </w:t>
      </w:r>
      <w:r w:rsidRPr="0081130F">
        <w:t>4,4755 млн</w:t>
      </w:r>
      <w:r w:rsidRPr="00F66518">
        <w:t xml:space="preserve"> женщин. В 2018 году суммарный коэффициент рождаемости</w:t>
      </w:r>
      <w:r w:rsidR="00E82D70">
        <w:br/>
      </w:r>
      <w:r w:rsidRPr="00F66518">
        <w:t xml:space="preserve">составлял 3,09, ожидаемая продолжительность жизни израильских мужчин составляла 80,9 лет, а женщин </w:t>
      </w:r>
      <w:r w:rsidR="00E82D70" w:rsidRPr="00B76E19">
        <w:t>‒‒</w:t>
      </w:r>
      <w:r w:rsidRPr="00F66518">
        <w:t xml:space="preserve"> 84,8 года (в 2012 году эти показатели составляли 79,9 и 83,6 года соответственно). </w:t>
      </w:r>
      <w:r w:rsidRPr="0010006A">
        <w:t>В том же году 28,2</w:t>
      </w:r>
      <w:r w:rsidR="00E82D70">
        <w:t> </w:t>
      </w:r>
      <w:r w:rsidRPr="0010006A">
        <w:t>% населения имело возраст не старше 15 лет</w:t>
      </w:r>
      <w:r w:rsidR="00E82D70">
        <w:br/>
      </w:r>
      <w:r w:rsidRPr="0010006A">
        <w:t>и 11,6</w:t>
      </w:r>
      <w:r w:rsidR="00E82D70">
        <w:t> </w:t>
      </w:r>
      <w:r w:rsidRPr="0010006A">
        <w:t xml:space="preserve">% населения </w:t>
      </w:r>
      <w:r w:rsidR="00E82D70" w:rsidRPr="00B76E19">
        <w:t>‒‒</w:t>
      </w:r>
      <w:r w:rsidRPr="0010006A">
        <w:t xml:space="preserve"> 65 лет и старше. </w:t>
      </w:r>
      <w:r w:rsidRPr="005A0564">
        <w:t>Более подробные данные о возрастных категориях с разбивкой по религиозной принадлежности приведены в таблице 2</w:t>
      </w:r>
      <w:r w:rsidR="0081130F">
        <w:br/>
      </w:r>
      <w:r w:rsidRPr="005A0564">
        <w:t>в приложении к настоящему докладу.</w:t>
      </w:r>
    </w:p>
    <w:p w14:paraId="053C3253" w14:textId="0C6F61FC" w:rsidR="005D278A" w:rsidRPr="00F651F6" w:rsidRDefault="005D278A" w:rsidP="005D278A">
      <w:pPr>
        <w:pStyle w:val="SingleTxtG"/>
      </w:pPr>
      <w:r w:rsidRPr="006C10C9">
        <w:t>6.</w:t>
      </w:r>
      <w:r w:rsidRPr="006C10C9">
        <w:tab/>
        <w:t>В 2019 году общий коэффициент рождаемости составил 20,1 на 1000 человек,</w:t>
      </w:r>
      <w:r w:rsidR="00E82D70">
        <w:br/>
      </w:r>
      <w:r w:rsidRPr="006C10C9">
        <w:t xml:space="preserve">а коэффициент младенческой смертности </w:t>
      </w:r>
      <w:r w:rsidR="0014789C" w:rsidRPr="00B76E19">
        <w:t>‒‒</w:t>
      </w:r>
      <w:r w:rsidRPr="006C10C9">
        <w:t xml:space="preserve"> 3,0 на 1000 человек.</w:t>
      </w:r>
      <w:r w:rsidR="00571988">
        <w:br/>
      </w:r>
      <w:r w:rsidRPr="006C10C9">
        <w:t>Из 2</w:t>
      </w:r>
      <w:r w:rsidR="00571988">
        <w:t> </w:t>
      </w:r>
      <w:r w:rsidRPr="006C10C9">
        <w:t>587</w:t>
      </w:r>
      <w:r w:rsidR="00571988">
        <w:t> </w:t>
      </w:r>
      <w:r w:rsidRPr="006C10C9">
        <w:t>100 домохозяйств 8,8</w:t>
      </w:r>
      <w:r w:rsidR="00571988">
        <w:t> </w:t>
      </w:r>
      <w:r w:rsidRPr="006C10C9">
        <w:t>% (почти 240</w:t>
      </w:r>
      <w:r w:rsidR="00571988">
        <w:t> </w:t>
      </w:r>
      <w:r w:rsidRPr="006C10C9">
        <w:t>000) являются домохозяйствами, возглавляем</w:t>
      </w:r>
      <w:r>
        <w:t>ыми</w:t>
      </w:r>
      <w:r w:rsidRPr="006C10C9">
        <w:t xml:space="preserve"> од</w:t>
      </w:r>
      <w:r>
        <w:t>ним</w:t>
      </w:r>
      <w:r w:rsidRPr="006C10C9">
        <w:t xml:space="preserve"> родителем. Из домохозяйств с одним родителем</w:t>
      </w:r>
      <w:r w:rsidR="00571988">
        <w:br/>
      </w:r>
      <w:r w:rsidRPr="006C10C9">
        <w:t>161</w:t>
      </w:r>
      <w:r w:rsidR="00571988">
        <w:t> </w:t>
      </w:r>
      <w:r w:rsidRPr="006C10C9">
        <w:t>600 имеют детей в возрасте до 24 лет, при этом 86,1</w:t>
      </w:r>
      <w:r w:rsidR="00571988">
        <w:t> </w:t>
      </w:r>
      <w:r w:rsidRPr="006C10C9">
        <w:t>% (158</w:t>
      </w:r>
      <w:r w:rsidR="00571988">
        <w:t> </w:t>
      </w:r>
      <w:r w:rsidRPr="006C10C9">
        <w:t xml:space="preserve">600) домохозяйств с одним родителем и детьми до 24 лет возглавляют женщины. </w:t>
      </w:r>
      <w:r w:rsidRPr="00F651F6">
        <w:rPr>
          <w:color w:val="000000" w:themeColor="text1"/>
        </w:rPr>
        <w:t>По состоянию на 2019 год средний размер израильской семьи составлял 3,8 человека (3,63 человека в еврейских семьях и 4,72 человека в арабских семьях) (без учета домохозяйств, состоящих из одного лица)</w:t>
      </w:r>
      <w:r w:rsidRPr="00F651F6">
        <w:t>.</w:t>
      </w:r>
    </w:p>
    <w:p w14:paraId="71635678" w14:textId="361ABF0D" w:rsidR="005D278A" w:rsidRPr="00B90E8F" w:rsidRDefault="005D278A" w:rsidP="005D278A">
      <w:pPr>
        <w:pStyle w:val="SingleTxtG"/>
      </w:pPr>
      <w:r w:rsidRPr="00B90E8F">
        <w:t>7.</w:t>
      </w:r>
      <w:r w:rsidRPr="00B90E8F">
        <w:tab/>
        <w:t>В 2018 году уровень грамотности израильского населения составлял примерно 97,8</w:t>
      </w:r>
      <w:r w:rsidR="00666CCB">
        <w:t> </w:t>
      </w:r>
      <w:r w:rsidRPr="00B90E8F">
        <w:t>% (98,6</w:t>
      </w:r>
      <w:r w:rsidR="00666CCB">
        <w:t> </w:t>
      </w:r>
      <w:r w:rsidRPr="00B90E8F">
        <w:t>% среди мужчин и 97,1</w:t>
      </w:r>
      <w:r w:rsidR="00666CCB">
        <w:t> </w:t>
      </w:r>
      <w:r w:rsidRPr="00B90E8F">
        <w:t>% среди женщин).</w:t>
      </w:r>
    </w:p>
    <w:p w14:paraId="0AF91BE7" w14:textId="77777777" w:rsidR="005D278A" w:rsidRPr="00A207B1" w:rsidRDefault="005D278A" w:rsidP="005D278A">
      <w:pPr>
        <w:pStyle w:val="H1G"/>
      </w:pPr>
      <w:bookmarkStart w:id="11" w:name="_Toc165619033"/>
      <w:bookmarkStart w:id="12" w:name="_Toc54696481"/>
      <w:r w:rsidRPr="00B90E8F">
        <w:lastRenderedPageBreak/>
        <w:tab/>
      </w:r>
      <w:r w:rsidRPr="008B5E26">
        <w:t>C</w:t>
      </w:r>
      <w:r w:rsidRPr="00A207B1">
        <w:t>.</w:t>
      </w:r>
      <w:r w:rsidRPr="00A207B1">
        <w:tab/>
      </w:r>
      <w:bookmarkEnd w:id="11"/>
      <w:bookmarkEnd w:id="12"/>
      <w:r w:rsidRPr="00A207B1">
        <w:rPr>
          <w:bCs/>
        </w:rPr>
        <w:t>Культура и религия</w:t>
      </w:r>
    </w:p>
    <w:p w14:paraId="11B02C63" w14:textId="77777777" w:rsidR="005D278A" w:rsidRPr="006D2DD6" w:rsidRDefault="005D278A" w:rsidP="005D278A">
      <w:pPr>
        <w:pStyle w:val="SingleTxtG"/>
      </w:pPr>
      <w:r w:rsidRPr="00A207B1">
        <w:t>8.</w:t>
      </w:r>
      <w:r w:rsidRPr="00A207B1">
        <w:tab/>
        <w:t xml:space="preserve">Израиль представляет собой богатое сочетание западной и современной культуры, а также ближневосточных и ортодоксальных традиций. </w:t>
      </w:r>
      <w:r w:rsidRPr="006D2DD6">
        <w:t>По своей сути израильское общество основано на еврейских идеалах, традициях и культуре, а также находится под сильным влиянием других религий и культурных меньшинств.</w:t>
      </w:r>
    </w:p>
    <w:p w14:paraId="2EA37FAC" w14:textId="508BA195" w:rsidR="005D278A" w:rsidRPr="00225089" w:rsidRDefault="005D278A" w:rsidP="005D278A">
      <w:pPr>
        <w:pStyle w:val="SingleTxtG"/>
      </w:pPr>
      <w:r w:rsidRPr="00444AB9">
        <w:t>9.</w:t>
      </w:r>
      <w:r w:rsidRPr="00444AB9">
        <w:tab/>
        <w:t>По состоянию на апрель 2020 года 45</w:t>
      </w:r>
      <w:r w:rsidR="0071707D">
        <w:t> </w:t>
      </w:r>
      <w:r w:rsidRPr="00444AB9">
        <w:t xml:space="preserve">% всех евреев мира проживали в Израиле, который также является домом для последователей многих других религий, включая, среди прочих, мусульман, христиан, друзов и бахаистов. </w:t>
      </w:r>
      <w:r w:rsidRPr="00F83B8E">
        <w:t xml:space="preserve">Как закреплено в его Декларации независимости (1948 год), Израиль гарантирует свободу религии и совести для всех. </w:t>
      </w:r>
      <w:r w:rsidRPr="00225089">
        <w:t>Каждая религиозная община в соответствии с законом и на практике может свободно исповедовать свою веру, отмечать свои праздники и иметь еженедельный выходной.</w:t>
      </w:r>
    </w:p>
    <w:p w14:paraId="5165BBAE" w14:textId="624792EF" w:rsidR="005D278A" w:rsidRPr="00EF1A13" w:rsidRDefault="005D278A" w:rsidP="005D278A">
      <w:pPr>
        <w:pStyle w:val="SingleTxtG"/>
      </w:pPr>
      <w:r w:rsidRPr="00C55804">
        <w:t>10.</w:t>
      </w:r>
      <w:r w:rsidRPr="00C55804">
        <w:tab/>
        <w:t>После создания государства Израиль Кнессет сохранил</w:t>
      </w:r>
      <w:r w:rsidR="0071707D">
        <w:br/>
      </w:r>
      <w:r w:rsidRPr="00C55804">
        <w:t>три (3) основополагающих принципа статус-кво: религиозное право в вопросах личного статуса, общинная юрисдикция и преференциальное обращение с иностранным</w:t>
      </w:r>
      <w:r>
        <w:t>и</w:t>
      </w:r>
      <w:r w:rsidRPr="00C55804">
        <w:t xml:space="preserve"> гражданам</w:t>
      </w:r>
      <w:r>
        <w:t>и</w:t>
      </w:r>
      <w:r w:rsidRPr="00C55804">
        <w:t xml:space="preserve">. С 1948 года были признаны еще три (3) религиозные общины </w:t>
      </w:r>
      <w:r w:rsidR="0071707D" w:rsidRPr="00B76E19">
        <w:t>‒‒</w:t>
      </w:r>
      <w:r w:rsidRPr="00C55804">
        <w:t xml:space="preserve"> друзы (в 1957 году), Евангелическая епископальная церковь (в 1970 году) и вера Бахаи (в 1971 году). </w:t>
      </w:r>
      <w:r w:rsidRPr="00C6127A">
        <w:t xml:space="preserve">Некоторые другие религиозные общины официально не признаны </w:t>
      </w:r>
      <w:r w:rsidR="0071707D" w:rsidRPr="00B76E19">
        <w:t>‒‒</w:t>
      </w:r>
      <w:r w:rsidRPr="00C6127A">
        <w:t xml:space="preserve"> англиканцы, Шотландская церковь, лютеране, унитарии, баптисты, квакеры и другие </w:t>
      </w:r>
      <w:r w:rsidR="0071707D" w:rsidRPr="0071707D">
        <w:rPr>
          <w:color w:val="000000" w:themeColor="text1"/>
        </w:rPr>
        <w:t>‒‒</w:t>
      </w:r>
      <w:r w:rsidRPr="00C6127A">
        <w:t xml:space="preserve"> и поэтому ни один местный религиозный суд не имеет юрисдикции над их членами в вопросах личного статуса. </w:t>
      </w:r>
      <w:r>
        <w:t>Такое о</w:t>
      </w:r>
      <w:r w:rsidRPr="00EF1A13">
        <w:t>тсутствие официального признания не влияет на способность этих общин свободно исповедовать свою религию или содержать общинные институты.</w:t>
      </w:r>
    </w:p>
    <w:p w14:paraId="46DDE604" w14:textId="77777777" w:rsidR="005D278A" w:rsidRPr="000F7399" w:rsidRDefault="005D278A" w:rsidP="005D278A">
      <w:pPr>
        <w:pStyle w:val="H1G"/>
      </w:pPr>
      <w:bookmarkStart w:id="13" w:name="_Toc165619034"/>
      <w:bookmarkStart w:id="14" w:name="_Toc54696482"/>
      <w:r w:rsidRPr="00EF1A13">
        <w:tab/>
      </w:r>
      <w:r w:rsidRPr="008B5E26">
        <w:t>D</w:t>
      </w:r>
      <w:r w:rsidRPr="000F7399">
        <w:t>.</w:t>
      </w:r>
      <w:r w:rsidRPr="000F7399">
        <w:tab/>
      </w:r>
      <w:bookmarkEnd w:id="13"/>
      <w:bookmarkEnd w:id="14"/>
      <w:r w:rsidRPr="000F7399">
        <w:rPr>
          <w:bCs/>
        </w:rPr>
        <w:t>Языки</w:t>
      </w:r>
    </w:p>
    <w:p w14:paraId="49CDFF32" w14:textId="5E3AE3F8" w:rsidR="005D278A" w:rsidRPr="00EC3EB0" w:rsidRDefault="005D278A" w:rsidP="005D278A">
      <w:pPr>
        <w:pStyle w:val="SingleTxtG"/>
      </w:pPr>
      <w:r w:rsidRPr="000F7399">
        <w:t>11.</w:t>
      </w:r>
      <w:r w:rsidRPr="000F7399">
        <w:tab/>
        <w:t>19 июля 2018 года Кнессет абсолютным большинством в 62 голоса принял Основной закон</w:t>
      </w:r>
      <w:r>
        <w:t xml:space="preserve"> </w:t>
      </w:r>
      <w:r w:rsidRPr="000F7399">
        <w:t xml:space="preserve">5778-2018: </w:t>
      </w:r>
      <w:r>
        <w:t>«</w:t>
      </w:r>
      <w:r w:rsidRPr="000F7399">
        <w:t xml:space="preserve">Израиль </w:t>
      </w:r>
      <w:r w:rsidR="0071707D" w:rsidRPr="00B76E19">
        <w:t>‒‒</w:t>
      </w:r>
      <w:r w:rsidRPr="000F7399">
        <w:t xml:space="preserve"> национальное государство еврейского народа</w:t>
      </w:r>
      <w:r>
        <w:t>»</w:t>
      </w:r>
      <w:r w:rsidRPr="000F7399">
        <w:t xml:space="preserve"> (далее </w:t>
      </w:r>
      <w:r>
        <w:t>«</w:t>
      </w:r>
      <w:r w:rsidRPr="000F7399">
        <w:t>Основной закон</w:t>
      </w:r>
      <w:r>
        <w:t>»</w:t>
      </w:r>
      <w:r w:rsidRPr="000F7399">
        <w:t xml:space="preserve">). </w:t>
      </w:r>
      <w:r w:rsidRPr="00E81DB8">
        <w:t xml:space="preserve">Согласно этому Основному закону, официальным языком Государства Израиль является иврит, как исторический язык еврейского народа и соответствующий его современному возрождению. </w:t>
      </w:r>
      <w:r w:rsidRPr="00801D54">
        <w:t xml:space="preserve">Арабскому языку предоставляется особый статус, его использование в государственных учреждениях должно быть закреплено законодательно, а особый статус, ранее предоставленный арабскому языку, должен быть сохранен. </w:t>
      </w:r>
      <w:r w:rsidRPr="004D27AD">
        <w:t xml:space="preserve">Здесь следует упомянуть арабоязычные государственные школы, израильское телевидение и радиостанции, вещающие на иврите, арабском и, в меньшей степени, на английском, русском и амхарском языках. </w:t>
      </w:r>
      <w:r w:rsidRPr="009A4E3B">
        <w:t xml:space="preserve">Кроме того, надписи на дорожных указателях на автомагистралях и местных дорогах сделаны одновременно на иврите и на арабском и английском языках. </w:t>
      </w:r>
      <w:r w:rsidRPr="00EC3EB0">
        <w:t xml:space="preserve">Как официально заявил Генеральный прокурор (ГП), </w:t>
      </w:r>
      <w:r>
        <w:t>этот</w:t>
      </w:r>
      <w:r w:rsidRPr="00EC3EB0">
        <w:t xml:space="preserve"> Основной закон ни в коей мере не умаляет прав</w:t>
      </w:r>
      <w:r>
        <w:t>а</w:t>
      </w:r>
      <w:r w:rsidRPr="00EC3EB0">
        <w:t xml:space="preserve"> человека, защищаемые другими основными законами Израиля.</w:t>
      </w:r>
    </w:p>
    <w:p w14:paraId="7EC3EF89" w14:textId="712CD2A4" w:rsidR="005D278A" w:rsidRPr="00E42DD9" w:rsidRDefault="005D278A" w:rsidP="005D278A">
      <w:pPr>
        <w:pStyle w:val="SingleTxtG"/>
      </w:pPr>
      <w:r w:rsidRPr="00A2211B">
        <w:t>12.</w:t>
      </w:r>
      <w:r w:rsidRPr="00A2211B">
        <w:tab/>
        <w:t xml:space="preserve">Правительство Израиля продолжает переводить содержание </w:t>
      </w:r>
      <w:r w:rsidR="0071707D">
        <w:t>и</w:t>
      </w:r>
      <w:r w:rsidRPr="00A2211B">
        <w:t xml:space="preserve">нтернет-сайтов своих министерств на арабский язык; это хорошо отлаженный и непрерывно </w:t>
      </w:r>
      <w:r>
        <w:t>осуществляемый проект</w:t>
      </w:r>
      <w:r w:rsidRPr="00A2211B">
        <w:t xml:space="preserve">. </w:t>
      </w:r>
      <w:r w:rsidRPr="00DE23B0">
        <w:t>На главном правительственном сайте и на сайтах отдельных министерств содержится обширная информация, начиная с пособий по заключению государственных контрактов и налоговым платежам, и заканчивая различными услугами, включая продление водительских прав, публикацию вакантных должностей и ознакомлени</w:t>
      </w:r>
      <w:r>
        <w:t>е</w:t>
      </w:r>
      <w:r w:rsidRPr="00DE23B0">
        <w:t xml:space="preserve"> с процедурой подачи жалоб на нарушение прав человека. </w:t>
      </w:r>
      <w:r w:rsidRPr="00E42DD9">
        <w:t xml:space="preserve">Ключевая идея этой инициативы </w:t>
      </w:r>
      <w:r w:rsidR="0071707D" w:rsidRPr="00B76E19">
        <w:t>‒‒</w:t>
      </w:r>
      <w:r w:rsidRPr="00E42DD9">
        <w:t xml:space="preserve"> обеспечить арабским гражданам Израиля, не владеющим свободно ивритом, равный и легкий доступ к правительственным услугам и информации в Интернете на их родном языке.</w:t>
      </w:r>
    </w:p>
    <w:p w14:paraId="3DC95AD3" w14:textId="77777777" w:rsidR="005D278A" w:rsidRPr="008C3815" w:rsidRDefault="005D278A" w:rsidP="005D278A">
      <w:pPr>
        <w:pStyle w:val="SingleTxtG"/>
      </w:pPr>
      <w:r w:rsidRPr="008C3815">
        <w:t>13.</w:t>
      </w:r>
      <w:r w:rsidRPr="008C3815">
        <w:tab/>
        <w:t xml:space="preserve">Что касается Академии арабского языка, то в последние годы она выступила с большим числом важных инициатив, направленных на развитие преподавания арабского языка, включая проведение семинаров для специалистов, выделение стипендий для студентов, которые преуспели в изучении арабского языка, а также подготовку групп арабских и еврейских учащихся с их последующей стажировкой в </w:t>
      </w:r>
      <w:r w:rsidRPr="008C3815">
        <w:lastRenderedPageBreak/>
        <w:t>Испании, где они изучают арабскую культуру в Андалусии и ее влияние на арабскую и еврейскую культуру в целом.</w:t>
      </w:r>
    </w:p>
    <w:p w14:paraId="70AE1476" w14:textId="77777777" w:rsidR="005D278A" w:rsidRPr="00C616FC" w:rsidRDefault="005D278A" w:rsidP="005D278A">
      <w:pPr>
        <w:pStyle w:val="H1G"/>
      </w:pPr>
      <w:bookmarkStart w:id="15" w:name="_Toc54696483"/>
      <w:r w:rsidRPr="008C3815">
        <w:tab/>
      </w:r>
      <w:r w:rsidRPr="008B5E26">
        <w:t>E</w:t>
      </w:r>
      <w:r w:rsidRPr="00C616FC">
        <w:t>.</w:t>
      </w:r>
      <w:r w:rsidRPr="00C616FC">
        <w:tab/>
      </w:r>
      <w:bookmarkEnd w:id="15"/>
      <w:r w:rsidRPr="00C616FC">
        <w:rPr>
          <w:bCs/>
        </w:rPr>
        <w:t>Социально-экономические показатели</w:t>
      </w:r>
    </w:p>
    <w:p w14:paraId="6153DB77" w14:textId="45AEBB84" w:rsidR="005D278A" w:rsidRPr="00425780" w:rsidRDefault="005D278A" w:rsidP="005D278A">
      <w:pPr>
        <w:pStyle w:val="SingleTxtG"/>
      </w:pPr>
      <w:r w:rsidRPr="00C616FC">
        <w:t>14.</w:t>
      </w:r>
      <w:r w:rsidRPr="00C616FC">
        <w:tab/>
        <w:t>В 2018 году валовой внутренний продукт (ВВП) Израиля составил</w:t>
      </w:r>
      <w:r w:rsidR="0071707D">
        <w:br/>
      </w:r>
      <w:r w:rsidRPr="0081130F">
        <w:t>1330,6 млрд</w:t>
      </w:r>
      <w:r w:rsidRPr="00C616FC">
        <w:t xml:space="preserve"> новых израильских шекелей (примерно 369,6 млрд долл. </w:t>
      </w:r>
      <w:r w:rsidRPr="00267F44">
        <w:t xml:space="preserve">США). В расчете на душу населения ВВП составил 149 828 </w:t>
      </w:r>
      <w:r w:rsidRPr="00C616FC">
        <w:t>новых израильских шекелей</w:t>
      </w:r>
      <w:r w:rsidRPr="00267F44">
        <w:t xml:space="preserve"> (примерно</w:t>
      </w:r>
      <w:r w:rsidR="0071707D">
        <w:br/>
      </w:r>
      <w:r w:rsidRPr="00267F44">
        <w:t xml:space="preserve">42 800 долл. США). </w:t>
      </w:r>
      <w:r w:rsidRPr="00425780">
        <w:t>Валовой внешний долг составил 93,8 млрд долл. США.</w:t>
      </w:r>
    </w:p>
    <w:p w14:paraId="691753F2" w14:textId="65CEE6B6" w:rsidR="005D278A" w:rsidRPr="002F3B0C" w:rsidRDefault="005D278A" w:rsidP="005D278A">
      <w:pPr>
        <w:pStyle w:val="SingleTxtG"/>
      </w:pPr>
      <w:r w:rsidRPr="00425780">
        <w:t>15.</w:t>
      </w:r>
      <w:r w:rsidRPr="00425780">
        <w:tab/>
        <w:t xml:space="preserve">В сентябре 2020 года обменный курс нового израильского шекеля к доллару США составлял </w:t>
      </w:r>
      <w:r w:rsidRPr="0081130F">
        <w:t>3,4175</w:t>
      </w:r>
      <w:r w:rsidRPr="00425780">
        <w:t xml:space="preserve"> шекеля за один (1) долл</w:t>
      </w:r>
      <w:r>
        <w:t>.</w:t>
      </w:r>
      <w:r w:rsidRPr="00425780">
        <w:t xml:space="preserve"> США (рост по сравнению с концом 1990 года, когда он составлял </w:t>
      </w:r>
      <w:r w:rsidRPr="0081130F">
        <w:t>2,048</w:t>
      </w:r>
      <w:r w:rsidRPr="00425780">
        <w:t xml:space="preserve"> нового израильского шекеля за 1 долл</w:t>
      </w:r>
      <w:r>
        <w:t>.</w:t>
      </w:r>
      <w:r w:rsidRPr="00425780">
        <w:t xml:space="preserve"> США).</w:t>
      </w:r>
      <w:r w:rsidR="0071707D">
        <w:br/>
      </w:r>
      <w:r w:rsidRPr="00425780">
        <w:t>В период 2015</w:t>
      </w:r>
      <w:r>
        <w:t>‒</w:t>
      </w:r>
      <w:r w:rsidRPr="00425780">
        <w:t xml:space="preserve">2020 годов (далее: </w:t>
      </w:r>
      <w:r>
        <w:t>«</w:t>
      </w:r>
      <w:r w:rsidRPr="00425780">
        <w:t>период обновления</w:t>
      </w:r>
      <w:r>
        <w:t>»</w:t>
      </w:r>
      <w:r w:rsidRPr="00425780">
        <w:t xml:space="preserve">) новый израильский шекель был наиболее сильным в 2015 году, когда среднегодовой обменный курс нового израильского шекеля к доллару США составлял 3,8869. </w:t>
      </w:r>
      <w:r w:rsidRPr="002F3B0C">
        <w:t>Уровень инфляции в 2019 году составил примерно 0,6</w:t>
      </w:r>
      <w:r w:rsidR="0071707D">
        <w:t> </w:t>
      </w:r>
      <w:r w:rsidRPr="002F3B0C">
        <w:t>%.</w:t>
      </w:r>
    </w:p>
    <w:p w14:paraId="3EFC6473" w14:textId="722F3851" w:rsidR="005D278A" w:rsidRPr="002F3B0C" w:rsidRDefault="005D278A" w:rsidP="005D278A">
      <w:pPr>
        <w:pStyle w:val="SingleTxtG"/>
      </w:pPr>
      <w:r w:rsidRPr="002F3B0C">
        <w:t>16.</w:t>
      </w:r>
      <w:r w:rsidRPr="002F3B0C">
        <w:tab/>
        <w:t>Уровень безработицы в 2019 году составил 3,8</w:t>
      </w:r>
      <w:r w:rsidR="006F1590">
        <w:t> </w:t>
      </w:r>
      <w:r w:rsidRPr="002F3B0C">
        <w:t>% (приблизительно), 3,8</w:t>
      </w:r>
      <w:r w:rsidR="006F1590">
        <w:t> </w:t>
      </w:r>
      <w:r w:rsidRPr="002F3B0C">
        <w:t>% среди мужчин и 3,9</w:t>
      </w:r>
      <w:r w:rsidR="006F1590">
        <w:t> </w:t>
      </w:r>
      <w:r w:rsidRPr="002F3B0C">
        <w:t>% среди женщин.</w:t>
      </w:r>
    </w:p>
    <w:p w14:paraId="73A65B14" w14:textId="4FCB9A18" w:rsidR="005D278A" w:rsidRPr="000F4199" w:rsidRDefault="005D278A" w:rsidP="005D278A">
      <w:pPr>
        <w:pStyle w:val="SingleTxtG"/>
      </w:pPr>
      <w:r w:rsidRPr="000F4199">
        <w:t>17.</w:t>
      </w:r>
      <w:r w:rsidRPr="000F4199">
        <w:tab/>
        <w:t>В 2018 году за национальной чертой бедности жили 18</w:t>
      </w:r>
      <w:r w:rsidR="006F1590">
        <w:t> </w:t>
      </w:r>
      <w:r w:rsidRPr="000F4199">
        <w:t>% домохозяйств.</w:t>
      </w:r>
      <w:r w:rsidR="006F1590">
        <w:br/>
      </w:r>
      <w:r w:rsidRPr="000F4199">
        <w:t>В 2018 году в стране насчитывалось 469 400 бедных семей общей численностью</w:t>
      </w:r>
      <w:r w:rsidR="006F1590">
        <w:br/>
      </w:r>
      <w:r w:rsidRPr="000F4199">
        <w:t xml:space="preserve">1 810 500 человек, из которых 841 700 </w:t>
      </w:r>
      <w:r w:rsidR="006F1590" w:rsidRPr="00B76E19">
        <w:t>‒‒</w:t>
      </w:r>
      <w:r w:rsidRPr="000F4199">
        <w:t xml:space="preserve"> дети.</w:t>
      </w:r>
    </w:p>
    <w:p w14:paraId="5000FD29" w14:textId="67EBDEFF" w:rsidR="005D278A" w:rsidRPr="004D79D8" w:rsidRDefault="005D278A" w:rsidP="005D278A">
      <w:pPr>
        <w:pStyle w:val="SingleTxtG"/>
      </w:pPr>
      <w:r w:rsidRPr="004D79D8">
        <w:t>18.</w:t>
      </w:r>
      <w:r w:rsidRPr="004D79D8">
        <w:tab/>
        <w:t>Подробная информации о коэффициенте Джини за 2014–2018 годы и потребительских расходах домашних хозяйств на продукты питания, жилье, здравоохранение и образование в 2014–2018 годах представлена</w:t>
      </w:r>
      <w:r w:rsidR="00192032">
        <w:br/>
      </w:r>
      <w:r w:rsidRPr="004D79D8">
        <w:t>в таблицах 8 и 9 в приложении к настоящему докладу.</w:t>
      </w:r>
    </w:p>
    <w:p w14:paraId="50FCE124" w14:textId="011F295F" w:rsidR="005D278A" w:rsidRPr="000B08EE" w:rsidRDefault="005D278A" w:rsidP="005D278A">
      <w:pPr>
        <w:pStyle w:val="SingleTxtG"/>
      </w:pPr>
      <w:r w:rsidRPr="00FA58F9">
        <w:t>19.</w:t>
      </w:r>
      <w:r w:rsidRPr="00FA58F9">
        <w:tab/>
        <w:t>В 2019 году основными статьями экспорта Израиля были производство химикатов и химической продукции, производство компьютеров, электронных и оптических изделий и обработка алмазов (что составляло 20,1</w:t>
      </w:r>
      <w:r w:rsidR="00192032">
        <w:t> </w:t>
      </w:r>
      <w:r w:rsidRPr="00FA58F9">
        <w:t>%, 19,5</w:t>
      </w:r>
      <w:r w:rsidR="00192032">
        <w:t> </w:t>
      </w:r>
      <w:r w:rsidRPr="00FA58F9">
        <w:t>% и 16,5</w:t>
      </w:r>
      <w:r w:rsidR="00192032">
        <w:t> </w:t>
      </w:r>
      <w:r w:rsidRPr="00FA58F9">
        <w:t xml:space="preserve">% соответственно от общего годового экспорта страны). </w:t>
      </w:r>
      <w:r w:rsidRPr="000B08EE">
        <w:t>В 2018 году основными статьями импорта Израиля были производственные ресурсы (61,8</w:t>
      </w:r>
      <w:r w:rsidR="00192032">
        <w:t> </w:t>
      </w:r>
      <w:r w:rsidRPr="000B08EE">
        <w:t>% от общего годового импорта страны) (из них 13,7</w:t>
      </w:r>
      <w:r w:rsidR="00192032">
        <w:t> </w:t>
      </w:r>
      <w:r w:rsidRPr="000B08EE">
        <w:t>% алмазы (неограненные)) и потребительские товары (19,2</w:t>
      </w:r>
      <w:r w:rsidR="00192032">
        <w:t> </w:t>
      </w:r>
      <w:r w:rsidRPr="000B08EE">
        <w:t>% от общего годового импорта страны). Израиль экспортирует большую часть своей продукции в Европейский союз и США, а импортные закупки осуществляет в первую очередь в странах Европейского союза и других европейских государствах.</w:t>
      </w:r>
    </w:p>
    <w:p w14:paraId="1055F45A" w14:textId="77777777" w:rsidR="005D278A" w:rsidRPr="00841FBD" w:rsidRDefault="005D278A" w:rsidP="005D278A">
      <w:pPr>
        <w:pStyle w:val="SingleTxtG"/>
      </w:pPr>
      <w:r w:rsidRPr="00841FBD">
        <w:t>20.</w:t>
      </w:r>
      <w:r w:rsidRPr="00841FBD">
        <w:tab/>
        <w:t>Израиль остается активным членом ОЭСР и продолжает участвовать во многих ее комитетах и рабочих группах.</w:t>
      </w:r>
    </w:p>
    <w:p w14:paraId="4C8BE51B" w14:textId="5ED6CD67" w:rsidR="005D278A" w:rsidRPr="00793681" w:rsidRDefault="005D278A" w:rsidP="005D278A">
      <w:pPr>
        <w:pStyle w:val="SingleTxtG"/>
      </w:pPr>
      <w:r w:rsidRPr="00793681">
        <w:t>21.</w:t>
      </w:r>
      <w:r w:rsidRPr="00793681">
        <w:tab/>
        <w:t>Статистические данные о характеристиках гражданской рабочей силы (население в возрасте 15 лет и старше) (2015</w:t>
      </w:r>
      <w:r>
        <w:t>‒</w:t>
      </w:r>
      <w:r w:rsidRPr="00793681">
        <w:t>2019 годы) и отдельно за 2019 год (население в возрасте 15 лет и старше)</w:t>
      </w:r>
      <w:r>
        <w:t xml:space="preserve">, </w:t>
      </w:r>
      <w:r w:rsidRPr="00793681">
        <w:rPr>
          <w:color w:val="333333"/>
          <w:shd w:val="clear" w:color="auto" w:fill="FFFFFF"/>
        </w:rPr>
        <w:t>а также о количестве занятых</w:t>
      </w:r>
      <w:r w:rsidRPr="00793681">
        <w:t xml:space="preserve"> с разбивкой по отраслям экономики и полу (2019</w:t>
      </w:r>
      <w:r>
        <w:t xml:space="preserve"> год</w:t>
      </w:r>
      <w:r w:rsidRPr="00793681">
        <w:t>) и о количестве занятых с разбивкой по последнему месту работы и полу (2019</w:t>
      </w:r>
      <w:r>
        <w:t xml:space="preserve"> год</w:t>
      </w:r>
      <w:r w:rsidRPr="00793681">
        <w:t>)</w:t>
      </w:r>
      <w:r w:rsidRPr="00793681">
        <w:rPr>
          <w:color w:val="333333"/>
          <w:shd w:val="clear" w:color="auto" w:fill="FFFFFF"/>
        </w:rPr>
        <w:t xml:space="preserve"> </w:t>
      </w:r>
      <w:r w:rsidRPr="00793681">
        <w:t>представлены в таблицах</w:t>
      </w:r>
      <w:r>
        <w:t xml:space="preserve"> </w:t>
      </w:r>
      <w:r w:rsidRPr="00793681">
        <w:t>10–13</w:t>
      </w:r>
      <w:r w:rsidR="008F2860">
        <w:br/>
      </w:r>
      <w:r w:rsidRPr="00793681">
        <w:t>в приложении к настоящему докладу.</w:t>
      </w:r>
    </w:p>
    <w:p w14:paraId="2DE1106E" w14:textId="77777777" w:rsidR="005D278A" w:rsidRPr="00C63B86" w:rsidRDefault="005D278A" w:rsidP="005D278A">
      <w:pPr>
        <w:pStyle w:val="H1G"/>
      </w:pPr>
      <w:bookmarkStart w:id="16" w:name="_Toc165619036"/>
      <w:bookmarkStart w:id="17" w:name="_Toc54696484"/>
      <w:r w:rsidRPr="00793681">
        <w:tab/>
      </w:r>
      <w:r w:rsidRPr="008B5E26">
        <w:t>F</w:t>
      </w:r>
      <w:r w:rsidRPr="00C63B86">
        <w:t>.</w:t>
      </w:r>
      <w:r w:rsidRPr="00C63B86">
        <w:tab/>
      </w:r>
      <w:bookmarkEnd w:id="16"/>
      <w:bookmarkEnd w:id="17"/>
      <w:r w:rsidRPr="00C63B86">
        <w:t>Наука и техника</w:t>
      </w:r>
    </w:p>
    <w:p w14:paraId="2E401AB6" w14:textId="79B54B73" w:rsidR="005D278A" w:rsidRPr="001C735A" w:rsidRDefault="005D278A" w:rsidP="005D278A">
      <w:pPr>
        <w:pStyle w:val="SingleTxtG"/>
      </w:pPr>
      <w:r w:rsidRPr="00C63B86">
        <w:t>22.</w:t>
      </w:r>
      <w:r w:rsidRPr="00C63B86">
        <w:tab/>
        <w:t xml:space="preserve">Израиль идет в авангарде высоких технологий, предпринимательства, инноваций и научных исследований, а также государственных программ поддержки. </w:t>
      </w:r>
      <w:r w:rsidRPr="00416324">
        <w:t xml:space="preserve">В рамках различных государственных программ и схем помощь оказывается прикладной исследовательской деятельности университетов и исследовательских центров и внедрению ее результатов применительно к технологиям в промышленности. </w:t>
      </w:r>
      <w:r w:rsidRPr="00E872DA">
        <w:t xml:space="preserve">Израиль уделяет большое внимание созданию центров передового опыта в таких областях, как биотехнология и нанотехнология, а также в широком спектре других чисто научных областей. </w:t>
      </w:r>
      <w:r w:rsidRPr="001B66C2">
        <w:t xml:space="preserve">По сравнению с другими странами Израиль </w:t>
      </w:r>
      <w:r w:rsidRPr="001B66C2">
        <w:lastRenderedPageBreak/>
        <w:t>имеет один из самых высоких показателей ВВП по инвестициям в НИОКР (порядка 4,9</w:t>
      </w:r>
      <w:r w:rsidR="008F2860">
        <w:t> </w:t>
      </w:r>
      <w:r w:rsidRPr="001B66C2">
        <w:t xml:space="preserve">% ВВП страны). </w:t>
      </w:r>
      <w:r w:rsidRPr="001C735A">
        <w:t>Соответствующие показатели по данному вопросу приведены в приложении к настоящему докладу (стр. 9).</w:t>
      </w:r>
    </w:p>
    <w:p w14:paraId="6C4D8E48" w14:textId="77777777" w:rsidR="005D278A" w:rsidRPr="00DF304A" w:rsidRDefault="005D278A" w:rsidP="005D278A">
      <w:pPr>
        <w:pStyle w:val="H1G"/>
      </w:pPr>
      <w:bookmarkStart w:id="18" w:name="_Toc165619037"/>
      <w:bookmarkStart w:id="19" w:name="_Toc54696485"/>
      <w:r w:rsidRPr="001C735A">
        <w:tab/>
      </w:r>
      <w:r w:rsidRPr="008B5E26">
        <w:t>G</w:t>
      </w:r>
      <w:r w:rsidRPr="00DF304A">
        <w:t>.</w:t>
      </w:r>
      <w:r w:rsidRPr="00DF304A">
        <w:tab/>
      </w:r>
      <w:bookmarkEnd w:id="18"/>
      <w:bookmarkEnd w:id="19"/>
      <w:r w:rsidRPr="00DF304A">
        <w:t>Здравоохранение</w:t>
      </w:r>
    </w:p>
    <w:p w14:paraId="76585C02" w14:textId="77777777" w:rsidR="005D278A" w:rsidRPr="00077437" w:rsidRDefault="005D278A" w:rsidP="005D278A">
      <w:pPr>
        <w:pStyle w:val="SingleTxtG"/>
      </w:pPr>
      <w:r w:rsidRPr="00DF304A">
        <w:t>23.</w:t>
      </w:r>
      <w:r w:rsidRPr="00DF304A">
        <w:tab/>
        <w:t xml:space="preserve">Израиль отличают высокий уровень здравоохранения и медицинских ресурсов, современные больничные центры, а также высокая доля врачей и специалистов на душу населения. Этими факторами в значительной степени можно объяснить низкий уровень младенческой смертности в стране (3,1 на 1000 живорождений по сравнению с 4,3 в 2006 году) и высокую ожидаемую продолжительность жизни (84,8 года для женщин и 80,9 года для мужчин). </w:t>
      </w:r>
      <w:r w:rsidRPr="00077437">
        <w:t>Каждому гражданину Израиля предоставляется государственная медицинская страховка (как это предусмотрено законом), которая включает доступ к различным медицинским услугам, необходимым с младенческого возраста до старости. Национальные расходы Израиля на здравоохранение выгодно отличаются от расходов других развитых стран.</w:t>
      </w:r>
    </w:p>
    <w:p w14:paraId="36CEC2AC" w14:textId="28527735" w:rsidR="005D278A" w:rsidRPr="006016E8" w:rsidRDefault="005D278A" w:rsidP="005D278A">
      <w:pPr>
        <w:pStyle w:val="SingleTxtG"/>
      </w:pPr>
      <w:r w:rsidRPr="006016E8">
        <w:t>24.</w:t>
      </w:r>
      <w:r w:rsidRPr="006016E8">
        <w:tab/>
        <w:t>Статистические данные о прерывании беременности в больницах</w:t>
      </w:r>
      <w:r w:rsidR="008F2860">
        <w:br/>
      </w:r>
      <w:r w:rsidRPr="006016E8">
        <w:t>(в соответствии с законом) (2010–2018 годы); об основных причинах смерти; о новых зарегистрированных случаях ВИЧ/СПИДа с разбивкой по полу (2000–2019 годы)</w:t>
      </w:r>
      <w:r w:rsidR="008F2860">
        <w:br/>
      </w:r>
      <w:r w:rsidRPr="006016E8">
        <w:t>и о зарегистрированных пациентах со СПИДом с разбивкой по способу инфицирования (1981–2019 годы) приведены в таблицах 14–17 в приложении к настоящему докладу.</w:t>
      </w:r>
    </w:p>
    <w:p w14:paraId="350F0365" w14:textId="77777777" w:rsidR="005D278A" w:rsidRPr="00CC55CF" w:rsidRDefault="005D278A" w:rsidP="005D278A">
      <w:pPr>
        <w:pStyle w:val="H1G"/>
      </w:pPr>
      <w:bookmarkStart w:id="20" w:name="_Toc54696486"/>
      <w:bookmarkStart w:id="21" w:name="_Toc165619038"/>
      <w:r w:rsidRPr="006016E8">
        <w:tab/>
      </w:r>
      <w:r w:rsidRPr="008B5E26">
        <w:t>H</w:t>
      </w:r>
      <w:r w:rsidRPr="00CC55CF">
        <w:t>.</w:t>
      </w:r>
      <w:r w:rsidRPr="00CC55CF">
        <w:tab/>
      </w:r>
      <w:bookmarkEnd w:id="20"/>
      <w:r w:rsidRPr="00CC55CF">
        <w:rPr>
          <w:bCs/>
        </w:rPr>
        <w:t>Образование</w:t>
      </w:r>
    </w:p>
    <w:p w14:paraId="1C021B67" w14:textId="77777777" w:rsidR="005D278A" w:rsidRPr="00A24BD4" w:rsidRDefault="005D278A" w:rsidP="005D278A">
      <w:pPr>
        <w:pStyle w:val="SingleTxtG"/>
      </w:pPr>
      <w:r w:rsidRPr="00CC55CF">
        <w:t>25.</w:t>
      </w:r>
      <w:r w:rsidRPr="00CC55CF">
        <w:tab/>
        <w:t xml:space="preserve">Образование считается одной из основополагающих ценностей израильского общества и признано неоспоримой основой для обеспечения успеха будущих поколений. </w:t>
      </w:r>
      <w:r w:rsidRPr="00840C28">
        <w:t xml:space="preserve">Система образования направлена на то, чтобы подготовить детей к тому, чтобы они стали ответственными членами общества, основанного на принципах демократического плюрализма, в котором представители разных этносов, религий, культур и политических течений живут рядом друг с другом. </w:t>
      </w:r>
      <w:r w:rsidRPr="00D23728">
        <w:t xml:space="preserve">Она основана на еврейских ценностях и на принципах свободы и терпимости. </w:t>
      </w:r>
      <w:r w:rsidRPr="00A24BD4">
        <w:t xml:space="preserve">Кроме того, система образования в Израиле направлена на привитие высокого уровня общих знаний с упором на научно-технические знания, которые считаются необходимыми для </w:t>
      </w:r>
      <w:r>
        <w:t>непрерывного</w:t>
      </w:r>
      <w:r w:rsidRPr="00A24BD4">
        <w:t xml:space="preserve"> развития страны.</w:t>
      </w:r>
    </w:p>
    <w:p w14:paraId="17E1EC80" w14:textId="77777777" w:rsidR="005D278A" w:rsidRPr="00BA4A91" w:rsidRDefault="005D278A" w:rsidP="005D278A">
      <w:pPr>
        <w:pStyle w:val="SingleTxtG"/>
      </w:pPr>
      <w:r w:rsidRPr="00A24BD4">
        <w:t>26.</w:t>
      </w:r>
      <w:r w:rsidRPr="00A24BD4">
        <w:tab/>
        <w:t xml:space="preserve">Министерство образования (МО) постоянно стремится приводить стандарты образования в соответствие с современными педагогическими требованиями, в том числе устанавливая гендерное равенство, расширяя программу гуманитарных предметов, поощряя изучение научно-технических дисциплин и одновременно повышая статус преподавателей. </w:t>
      </w:r>
      <w:r w:rsidRPr="00BA4A91">
        <w:t>Ключевым направлением образовательной политики Министерства является обеспечение равных возможностей для получения образования всеми детьми независимо от их социально-экономического и культурного уровня и увеличение числа учащихся, успешно сдающих вступительные экзамены в высшие учебные заведения, при сохранении высокого уровня образования.</w:t>
      </w:r>
    </w:p>
    <w:p w14:paraId="513AB92D" w14:textId="7EB3FA1A" w:rsidR="005D278A" w:rsidRPr="00B237DB" w:rsidRDefault="005D278A" w:rsidP="005D278A">
      <w:pPr>
        <w:pStyle w:val="SingleTxtG"/>
      </w:pPr>
      <w:r w:rsidRPr="00B237DB">
        <w:t>27.</w:t>
      </w:r>
      <w:r w:rsidRPr="00B237DB">
        <w:tab/>
        <w:t>Сведения о количестве учащихся и студентов на различных уровнях образования, о соотношении числа учащихся и преподавателей с разбивкой по уровню образования и о числе учащихся (7–12 классы)</w:t>
      </w:r>
      <w:r w:rsidR="00B66684">
        <w:t xml:space="preserve"> </w:t>
      </w:r>
      <w:r w:rsidRPr="00B237DB">
        <w:t>(включая отсев), а также о количестве студентов в университетах, академических колледжах и научно-образовательных учреждениях приведены в таблицах 18–21 в приложении к настоящему докладу.</w:t>
      </w:r>
    </w:p>
    <w:p w14:paraId="54DEC28C" w14:textId="77777777" w:rsidR="005D278A" w:rsidRPr="00093AA4" w:rsidRDefault="005D278A" w:rsidP="005D278A">
      <w:pPr>
        <w:pStyle w:val="H1G"/>
      </w:pPr>
      <w:bookmarkStart w:id="22" w:name="_Toc175383785"/>
      <w:bookmarkStart w:id="23" w:name="_Toc54696487"/>
      <w:r w:rsidRPr="00B237DB">
        <w:tab/>
      </w:r>
      <w:r w:rsidRPr="008B5E26">
        <w:t>I</w:t>
      </w:r>
      <w:r w:rsidRPr="00093AA4">
        <w:t>.</w:t>
      </w:r>
      <w:r w:rsidRPr="00093AA4">
        <w:tab/>
      </w:r>
      <w:bookmarkEnd w:id="22"/>
      <w:bookmarkEnd w:id="23"/>
      <w:r w:rsidRPr="00093AA4">
        <w:rPr>
          <w:bCs/>
        </w:rPr>
        <w:t>Показатели преступности и отправление правосудия</w:t>
      </w:r>
    </w:p>
    <w:p w14:paraId="00DA4E7A" w14:textId="77777777" w:rsidR="005D278A" w:rsidRPr="00207AD8" w:rsidRDefault="005D278A" w:rsidP="005D278A">
      <w:pPr>
        <w:pStyle w:val="SingleTxtG"/>
      </w:pPr>
      <w:r w:rsidRPr="00207AD8">
        <w:t>28.</w:t>
      </w:r>
      <w:r w:rsidRPr="00207AD8">
        <w:tab/>
        <w:t>Израиль обладает сильными правоохранительными органами, в полной мере хорошо осознающими важность вопросов прав человека и понимающими необходимость разумно сочетать меры по поддержанию правопорядка и соблюдению прав человека.</w:t>
      </w:r>
    </w:p>
    <w:p w14:paraId="52015B16" w14:textId="12325695" w:rsidR="005D278A" w:rsidRPr="00170E0B" w:rsidRDefault="005D278A" w:rsidP="005D278A">
      <w:pPr>
        <w:pStyle w:val="SingleTxtG"/>
      </w:pPr>
      <w:r w:rsidRPr="00170E0B">
        <w:lastRenderedPageBreak/>
        <w:t>29.</w:t>
      </w:r>
      <w:r w:rsidRPr="00170E0B">
        <w:tab/>
        <w:t xml:space="preserve">25 апреля 2017 года Комитет по назначению судей шариатских судов назначил первую женщину на должность судьи </w:t>
      </w:r>
      <w:r w:rsidR="00B66684" w:rsidRPr="00B76E19">
        <w:t>‒‒</w:t>
      </w:r>
      <w:r w:rsidRPr="00170E0B">
        <w:t xml:space="preserve"> кади в мусульманском религиозном суде.</w:t>
      </w:r>
    </w:p>
    <w:p w14:paraId="191040C0" w14:textId="463E8385" w:rsidR="005D278A" w:rsidRPr="00AA3618" w:rsidRDefault="005D278A" w:rsidP="005D278A">
      <w:pPr>
        <w:pStyle w:val="SingleTxtG"/>
      </w:pPr>
      <w:r w:rsidRPr="00AA3618">
        <w:t>30.</w:t>
      </w:r>
      <w:r w:rsidRPr="00AA3618">
        <w:tab/>
        <w:t>28 сентября 2016 года Министр юстиции объявил</w:t>
      </w:r>
      <w:r>
        <w:t>а</w:t>
      </w:r>
      <w:r w:rsidRPr="00AA3618">
        <w:t xml:space="preserve"> о назначении</w:t>
      </w:r>
      <w:r w:rsidR="00B66684">
        <w:br/>
      </w:r>
      <w:r w:rsidRPr="00AA3618">
        <w:t xml:space="preserve">26 дополнительных судей, среди которых впервые две (2) женщины эфиопского происхождения, одна из которых в настоящее время работает в Тель-Авиве–Яффе и Центральном магистратском суде, а другая </w:t>
      </w:r>
      <w:r w:rsidR="00B66684" w:rsidRPr="00B76E19">
        <w:t>‒‒</w:t>
      </w:r>
      <w:r w:rsidRPr="00AA3618">
        <w:t xml:space="preserve"> в Транспортном суде Хайфского округа.</w:t>
      </w:r>
    </w:p>
    <w:p w14:paraId="1F90B7F4" w14:textId="598EAD15" w:rsidR="005D278A" w:rsidRPr="002A1DD3" w:rsidRDefault="005D278A" w:rsidP="005D278A">
      <w:pPr>
        <w:pStyle w:val="SingleTxtG"/>
      </w:pPr>
      <w:r w:rsidRPr="002A1DD3">
        <w:t>31.</w:t>
      </w:r>
      <w:r w:rsidRPr="002A1DD3">
        <w:tab/>
        <w:t>Информацию о судьях, сотрудниках полиции и тюремной службы</w:t>
      </w:r>
      <w:r w:rsidR="00B66684">
        <w:br/>
      </w:r>
      <w:r w:rsidRPr="002A1DD3">
        <w:t>(2015</w:t>
      </w:r>
      <w:r>
        <w:t>‒</w:t>
      </w:r>
      <w:r w:rsidRPr="002A1DD3">
        <w:t xml:space="preserve">2019 годы), заключенных в учреждениях </w:t>
      </w:r>
      <w:r w:rsidRPr="009D4E22">
        <w:rPr>
          <w:bCs/>
        </w:rPr>
        <w:t>Управлени</w:t>
      </w:r>
      <w:r>
        <w:rPr>
          <w:bCs/>
        </w:rPr>
        <w:t>я</w:t>
      </w:r>
      <w:r w:rsidRPr="009D4E22">
        <w:rPr>
          <w:bCs/>
        </w:rPr>
        <w:t xml:space="preserve"> тюрем Израиля</w:t>
      </w:r>
      <w:r w:rsidRPr="002A1DD3">
        <w:t xml:space="preserve"> (</w:t>
      </w:r>
      <w:r w:rsidRPr="009D4E22">
        <w:rPr>
          <w:bCs/>
        </w:rPr>
        <w:t>УТИ</w:t>
      </w:r>
      <w:r w:rsidRPr="002A1DD3">
        <w:t>)</w:t>
      </w:r>
      <w:r w:rsidR="00B66684">
        <w:br/>
      </w:r>
      <w:r w:rsidRPr="002A1DD3">
        <w:t>(по видам правонарушений) (2014</w:t>
      </w:r>
      <w:r>
        <w:t>‒</w:t>
      </w:r>
      <w:r w:rsidRPr="002A1DD3">
        <w:t>2020 годы), сравнительные данные о количестве мужчин и женин, содержащихся в тюрьмах (2016</w:t>
      </w:r>
      <w:r>
        <w:t>‒</w:t>
      </w:r>
      <w:r w:rsidRPr="002A1DD3">
        <w:t>2018 годы), сведения о тюремных охранниках в разбивке по округам и о количестве учреждений в каждом</w:t>
      </w:r>
      <w:r w:rsidR="00B66684">
        <w:br/>
      </w:r>
      <w:r w:rsidRPr="002A1DD3">
        <w:t>округе (2018 год), данные об активности в вопросах рассмотрения судебных</w:t>
      </w:r>
      <w:r w:rsidR="00B66684">
        <w:br/>
      </w:r>
      <w:r w:rsidRPr="002A1DD3">
        <w:t>дел (2018 год), о национальных расходах на поддержание общественного</w:t>
      </w:r>
      <w:r w:rsidR="00B66684">
        <w:br/>
      </w:r>
      <w:r w:rsidRPr="002A1DD3">
        <w:t>порядка (2015</w:t>
      </w:r>
      <w:r>
        <w:t>‒</w:t>
      </w:r>
      <w:r w:rsidRPr="002A1DD3">
        <w:t>2018 годы), а также о запросах на юридическую помощь и о требованиях для ее получения (2016</w:t>
      </w:r>
      <w:r>
        <w:t>‒</w:t>
      </w:r>
      <w:r w:rsidRPr="002A1DD3">
        <w:t xml:space="preserve">2018 годы) см. в таблицах </w:t>
      </w:r>
      <w:r w:rsidRPr="0081130F">
        <w:t>2</w:t>
      </w:r>
      <w:r w:rsidRPr="002A1DD3">
        <w:t>2</w:t>
      </w:r>
      <w:r>
        <w:t>‒</w:t>
      </w:r>
      <w:r w:rsidRPr="002A1DD3">
        <w:t>30 в приложении к настоящему докладу.</w:t>
      </w:r>
    </w:p>
    <w:p w14:paraId="0DEDD9F2" w14:textId="77777777" w:rsidR="005D278A" w:rsidRPr="009468D7" w:rsidRDefault="005D278A" w:rsidP="005D278A">
      <w:pPr>
        <w:pStyle w:val="HChG"/>
      </w:pPr>
      <w:bookmarkStart w:id="24" w:name="_Toc54696488"/>
      <w:r w:rsidRPr="002A1DD3">
        <w:tab/>
      </w:r>
      <w:r w:rsidRPr="008B5E26">
        <w:t>II</w:t>
      </w:r>
      <w:r w:rsidRPr="009468D7">
        <w:t>.</w:t>
      </w:r>
      <w:bookmarkEnd w:id="21"/>
      <w:r w:rsidRPr="009468D7">
        <w:tab/>
      </w:r>
      <w:bookmarkEnd w:id="24"/>
      <w:r w:rsidRPr="009468D7">
        <w:rPr>
          <w:bCs/>
        </w:rPr>
        <w:t>Конституционная, политическая и правовая структура</w:t>
      </w:r>
    </w:p>
    <w:p w14:paraId="78CEC545" w14:textId="78085A11" w:rsidR="005D278A" w:rsidRPr="009468D7" w:rsidRDefault="005D278A" w:rsidP="005D278A">
      <w:pPr>
        <w:pStyle w:val="H1G"/>
      </w:pPr>
      <w:bookmarkStart w:id="25" w:name="_Toc54696489"/>
      <w:r w:rsidRPr="009468D7">
        <w:tab/>
      </w:r>
      <w:r w:rsidRPr="008B5E26">
        <w:t>A</w:t>
      </w:r>
      <w:r w:rsidRPr="009468D7">
        <w:t>.</w:t>
      </w:r>
      <w:r w:rsidRPr="009468D7">
        <w:tab/>
      </w:r>
      <w:bookmarkEnd w:id="25"/>
      <w:r w:rsidRPr="009468D7">
        <w:rPr>
          <w:bCs/>
        </w:rPr>
        <w:t>События, предшествовавшие созданию государства Израиль,</w:t>
      </w:r>
      <w:r w:rsidR="00B66684">
        <w:rPr>
          <w:bCs/>
        </w:rPr>
        <w:br/>
      </w:r>
      <w:r w:rsidRPr="009468D7">
        <w:rPr>
          <w:bCs/>
        </w:rPr>
        <w:t>и его новейшая история</w:t>
      </w:r>
    </w:p>
    <w:p w14:paraId="2F72D64A" w14:textId="23DC2288" w:rsidR="005D278A" w:rsidRPr="009468D7" w:rsidRDefault="005D278A" w:rsidP="005D278A">
      <w:pPr>
        <w:pStyle w:val="SingleTxtG"/>
      </w:pPr>
      <w:r w:rsidRPr="009468D7">
        <w:t>32.</w:t>
      </w:r>
      <w:r w:rsidRPr="009468D7">
        <w:tab/>
        <w:t>См. первоначальный базовый документ Израиля (</w:t>
      </w:r>
      <w:r w:rsidRPr="008B5E26">
        <w:t>HRI</w:t>
      </w:r>
      <w:r w:rsidRPr="009468D7">
        <w:t>/</w:t>
      </w:r>
      <w:r w:rsidRPr="008B5E26">
        <w:t>CORE</w:t>
      </w:r>
      <w:r w:rsidRPr="009468D7">
        <w:t>/</w:t>
      </w:r>
      <w:r w:rsidRPr="008B5E26">
        <w:t>ISR</w:t>
      </w:r>
      <w:r w:rsidRPr="009468D7">
        <w:t>/2008)</w:t>
      </w:r>
      <w:r w:rsidRPr="00AC4F0E">
        <w:rPr>
          <w:rStyle w:val="ab"/>
        </w:rPr>
        <w:footnoteReference w:id="3"/>
      </w:r>
      <w:r w:rsidR="00ED717C">
        <w:t>,</w:t>
      </w:r>
      <w:r w:rsidR="00ED717C">
        <w:br/>
      </w:r>
      <w:r>
        <w:t>стр.</w:t>
      </w:r>
      <w:r w:rsidRPr="009468D7">
        <w:t xml:space="preserve"> 2</w:t>
      </w:r>
      <w:r>
        <w:t>7</w:t>
      </w:r>
      <w:r w:rsidRPr="009468D7">
        <w:t>–</w:t>
      </w:r>
      <w:r>
        <w:t>34</w:t>
      </w:r>
      <w:r w:rsidRPr="009468D7">
        <w:t>.</w:t>
      </w:r>
    </w:p>
    <w:p w14:paraId="63938FD9" w14:textId="77777777" w:rsidR="005D278A" w:rsidRPr="009222C1" w:rsidRDefault="005D278A" w:rsidP="005D278A">
      <w:pPr>
        <w:pStyle w:val="H1G"/>
      </w:pPr>
      <w:bookmarkStart w:id="26" w:name="_Toc54696490"/>
      <w:r w:rsidRPr="009468D7">
        <w:tab/>
      </w:r>
      <w:r w:rsidRPr="008B5E26">
        <w:t>B</w:t>
      </w:r>
      <w:r w:rsidRPr="009222C1">
        <w:t>.</w:t>
      </w:r>
      <w:r w:rsidRPr="009222C1">
        <w:tab/>
      </w:r>
      <w:bookmarkEnd w:id="26"/>
      <w:r w:rsidRPr="009222C1">
        <w:rPr>
          <w:bCs/>
        </w:rPr>
        <w:t>Израиль как демократическое еврейское государство</w:t>
      </w:r>
    </w:p>
    <w:p w14:paraId="2F02762A" w14:textId="77777777" w:rsidR="005D278A" w:rsidRPr="009222C1" w:rsidRDefault="005D278A" w:rsidP="005D278A">
      <w:pPr>
        <w:pStyle w:val="SingleTxtG"/>
      </w:pPr>
      <w:r w:rsidRPr="009222C1">
        <w:t>33.</w:t>
      </w:r>
      <w:r w:rsidRPr="009222C1">
        <w:tab/>
        <w:t>См. первоначальный базовый документ Израиля (</w:t>
      </w:r>
      <w:r w:rsidRPr="008B5E26">
        <w:t>HRI</w:t>
      </w:r>
      <w:r w:rsidRPr="009222C1">
        <w:t>/</w:t>
      </w:r>
      <w:r w:rsidRPr="008B5E26">
        <w:t>CORE</w:t>
      </w:r>
      <w:r w:rsidRPr="009222C1">
        <w:t>/</w:t>
      </w:r>
      <w:r w:rsidRPr="008B5E26">
        <w:t>ISR</w:t>
      </w:r>
      <w:r w:rsidRPr="009222C1">
        <w:t xml:space="preserve">/2008), </w:t>
      </w:r>
      <w:r>
        <w:t>стр.</w:t>
      </w:r>
      <w:r w:rsidRPr="009222C1">
        <w:t xml:space="preserve"> 3</w:t>
      </w:r>
      <w:r>
        <w:t>4</w:t>
      </w:r>
      <w:r w:rsidRPr="009222C1">
        <w:t>.</w:t>
      </w:r>
    </w:p>
    <w:p w14:paraId="0C7BE62E" w14:textId="77777777" w:rsidR="005D278A" w:rsidRPr="00C27C27" w:rsidRDefault="005D278A" w:rsidP="005D278A">
      <w:pPr>
        <w:pStyle w:val="H1G"/>
      </w:pPr>
      <w:bookmarkStart w:id="27" w:name="_Toc54696491"/>
      <w:r w:rsidRPr="009222C1">
        <w:tab/>
      </w:r>
      <w:r w:rsidRPr="008B5E26">
        <w:t>C</w:t>
      </w:r>
      <w:r w:rsidRPr="00C27C27">
        <w:t>.</w:t>
      </w:r>
      <w:r w:rsidRPr="00C27C27">
        <w:tab/>
      </w:r>
      <w:bookmarkEnd w:id="27"/>
      <w:r w:rsidRPr="00C27C27">
        <w:rPr>
          <w:bCs/>
        </w:rPr>
        <w:t>Показатели политической системы и структуры правительства</w:t>
      </w:r>
    </w:p>
    <w:p w14:paraId="083A19AD" w14:textId="0A8FB95F" w:rsidR="005D278A" w:rsidRPr="00DC3930" w:rsidRDefault="005D278A" w:rsidP="005D278A">
      <w:pPr>
        <w:pStyle w:val="SingleTxtG"/>
      </w:pPr>
      <w:r w:rsidRPr="000A66F4">
        <w:t>34.</w:t>
      </w:r>
      <w:r w:rsidRPr="000A66F4">
        <w:tab/>
        <w:t>См. первоначальный базовый документ Израиля (</w:t>
      </w:r>
      <w:r w:rsidRPr="008B5E26">
        <w:t>HRI</w:t>
      </w:r>
      <w:r w:rsidRPr="000A66F4">
        <w:t>/</w:t>
      </w:r>
      <w:r w:rsidRPr="008B5E26">
        <w:t>CORE</w:t>
      </w:r>
      <w:r w:rsidRPr="000A66F4">
        <w:t>/</w:t>
      </w:r>
      <w:r w:rsidRPr="008B5E26">
        <w:t>ISR</w:t>
      </w:r>
      <w:r w:rsidRPr="000A66F4">
        <w:t xml:space="preserve">/2008), </w:t>
      </w:r>
      <w:r w:rsidRPr="0081130F">
        <w:t>стр. 36</w:t>
      </w:r>
      <w:r w:rsidRPr="000A66F4">
        <w:t xml:space="preserve">. </w:t>
      </w:r>
      <w:r w:rsidRPr="00276040">
        <w:t>Сведения о числе признанных политических партий на национальном уровне и об их представительстве в Кнессете 23-го созыва (2020 год) представлены в таблице  5</w:t>
      </w:r>
      <w:r w:rsidR="00ED717C">
        <w:br/>
      </w:r>
      <w:r w:rsidRPr="00276040">
        <w:t xml:space="preserve">в приложении к настоящему докладу. </w:t>
      </w:r>
      <w:r w:rsidRPr="00DC3930">
        <w:t>Кроме того, в таблицах 6 и 7 в приложении к настоящему докладу приведены общие факты и справочные сведения о выборах в Кнессет 23-го созыва, а также о числе и проценте женщин в израильском Кнессете.</w:t>
      </w:r>
    </w:p>
    <w:p w14:paraId="37F7C6B5" w14:textId="77777777" w:rsidR="005D278A" w:rsidRPr="00AF014E" w:rsidRDefault="005D278A" w:rsidP="005D278A">
      <w:pPr>
        <w:pStyle w:val="H23G"/>
      </w:pPr>
      <w:r w:rsidRPr="00DC3930">
        <w:tab/>
      </w:r>
      <w:r w:rsidRPr="00DC3930">
        <w:tab/>
      </w:r>
      <w:r w:rsidRPr="00AF014E">
        <w:rPr>
          <w:bCs/>
        </w:rPr>
        <w:t>Кнессет (</w:t>
      </w:r>
      <w:r>
        <w:rPr>
          <w:bCs/>
        </w:rPr>
        <w:t>п</w:t>
      </w:r>
      <w:r w:rsidRPr="00AF014E">
        <w:rPr>
          <w:bCs/>
        </w:rPr>
        <w:t>арламент)</w:t>
      </w:r>
    </w:p>
    <w:p w14:paraId="378EE4D2" w14:textId="77777777" w:rsidR="005D278A" w:rsidRPr="00AF014E" w:rsidRDefault="005D278A" w:rsidP="005D278A">
      <w:pPr>
        <w:pStyle w:val="SingleTxtG"/>
      </w:pPr>
      <w:r w:rsidRPr="00AF014E">
        <w:t>35.</w:t>
      </w:r>
      <w:r w:rsidRPr="00AF014E">
        <w:tab/>
        <w:t>См. первоначальный базовый документ Израиля (</w:t>
      </w:r>
      <w:r w:rsidRPr="008B5E26">
        <w:t>HRI</w:t>
      </w:r>
      <w:r w:rsidRPr="00AF014E">
        <w:t>/</w:t>
      </w:r>
      <w:r w:rsidRPr="008B5E26">
        <w:t>CORE</w:t>
      </w:r>
      <w:r w:rsidRPr="00AF014E">
        <w:t>/</w:t>
      </w:r>
      <w:r w:rsidRPr="008B5E26">
        <w:t>ISR</w:t>
      </w:r>
      <w:r w:rsidRPr="00AF014E">
        <w:t xml:space="preserve">/2008), </w:t>
      </w:r>
      <w:r>
        <w:t>стр.</w:t>
      </w:r>
      <w:r w:rsidRPr="00AF014E">
        <w:t xml:space="preserve"> 3</w:t>
      </w:r>
      <w:r>
        <w:t>6</w:t>
      </w:r>
      <w:r w:rsidRPr="00AF014E">
        <w:t>.</w:t>
      </w:r>
    </w:p>
    <w:p w14:paraId="7FED28AC" w14:textId="46C72909" w:rsidR="005D278A" w:rsidRPr="005C6317" w:rsidRDefault="005D278A" w:rsidP="005D278A">
      <w:pPr>
        <w:pStyle w:val="SingleTxtG"/>
      </w:pPr>
      <w:r w:rsidRPr="00AA4B80">
        <w:t>36.</w:t>
      </w:r>
      <w:r w:rsidRPr="00AA4B80">
        <w:tab/>
        <w:t xml:space="preserve">Однако следует отметить, что в соответствии с поправкой  62 2014 года к </w:t>
      </w:r>
      <w:r>
        <w:t xml:space="preserve">Закону </w:t>
      </w:r>
      <w:r w:rsidRPr="00AA4B80">
        <w:t xml:space="preserve">5729-1969 </w:t>
      </w:r>
      <w:r>
        <w:t>о выборах</w:t>
      </w:r>
      <w:r w:rsidRPr="00AA4B80">
        <w:t xml:space="preserve"> (</w:t>
      </w:r>
      <w:r>
        <w:t>объединенный вариант</w:t>
      </w:r>
      <w:r w:rsidRPr="00AA4B80">
        <w:t>) участвующая в парламентских выборах партия должна преодолеть электоральный барьер, установленный отныне на уровне в 3,25</w:t>
      </w:r>
      <w:r w:rsidR="00ED717C">
        <w:t> </w:t>
      </w:r>
      <w:r w:rsidRPr="00AA4B80">
        <w:t xml:space="preserve">%. </w:t>
      </w:r>
      <w:r w:rsidRPr="005C6317">
        <w:t xml:space="preserve">В пояснительных примечаниях далее говорится, что такой показатель для данного барьера является обычным и в других странах, и что несколько партий могут баллотироваться в едином списке </w:t>
      </w:r>
      <w:r w:rsidR="00A60851" w:rsidRPr="00B76E19">
        <w:t>‒‒</w:t>
      </w:r>
      <w:r w:rsidRPr="005C6317">
        <w:t xml:space="preserve"> но при этом оставаться отдельными партиями в Кнессете </w:t>
      </w:r>
      <w:r w:rsidR="00A60851" w:rsidRPr="00B76E19">
        <w:t>‒‒</w:t>
      </w:r>
      <w:r w:rsidRPr="005C6317">
        <w:t xml:space="preserve"> при условии предварительного уведомления Председателя Кнессета.</w:t>
      </w:r>
    </w:p>
    <w:p w14:paraId="483E4D43" w14:textId="3A8F9D19" w:rsidR="005D278A" w:rsidRPr="00654DAE" w:rsidRDefault="005D278A" w:rsidP="005D278A">
      <w:pPr>
        <w:pStyle w:val="SingleTxtG"/>
      </w:pPr>
      <w:r w:rsidRPr="00D827B6">
        <w:t>37.</w:t>
      </w:r>
      <w:r w:rsidRPr="00D827B6">
        <w:tab/>
        <w:t>9 декабря 2014 года Кнессет утвердил Закон</w:t>
      </w:r>
      <w:r>
        <w:t xml:space="preserve"> </w:t>
      </w:r>
      <w:r w:rsidRPr="00D827B6">
        <w:t>5775-2014 о выборах (законодательные поправки), который, в частности, внес изменения в Закон</w:t>
      </w:r>
      <w:r>
        <w:t xml:space="preserve"> </w:t>
      </w:r>
      <w:r w:rsidRPr="00D827B6">
        <w:t>5729-1969 о выборах в Кнессет [</w:t>
      </w:r>
      <w:r>
        <w:t>объединенный вариант</w:t>
      </w:r>
      <w:r w:rsidRPr="00D827B6">
        <w:t xml:space="preserve">]. </w:t>
      </w:r>
      <w:r w:rsidRPr="00056705">
        <w:t xml:space="preserve">Среди прочего в Законе о внесении </w:t>
      </w:r>
      <w:r w:rsidRPr="00056705">
        <w:lastRenderedPageBreak/>
        <w:t>поправок была пересмотрена статья 76 C) Закона о выборах в Кнессет</w:t>
      </w:r>
      <w:r>
        <w:t xml:space="preserve"> и было уточнено</w:t>
      </w:r>
      <w:r w:rsidRPr="00056705">
        <w:t>, что чист</w:t>
      </w:r>
      <w:r>
        <w:t>ый</w:t>
      </w:r>
      <w:r w:rsidRPr="00056705">
        <w:t xml:space="preserve"> </w:t>
      </w:r>
      <w:r>
        <w:t>бюллетень</w:t>
      </w:r>
      <w:r w:rsidRPr="00056705">
        <w:t>, помеченн</w:t>
      </w:r>
      <w:r>
        <w:t>ый</w:t>
      </w:r>
      <w:r w:rsidRPr="00056705">
        <w:t xml:space="preserve"> рукописной буквой, представляющей список, или помеченн</w:t>
      </w:r>
      <w:r>
        <w:t>ый</w:t>
      </w:r>
      <w:r w:rsidRPr="00056705">
        <w:t xml:space="preserve"> такой рукописной буквой и надписью на списке на иврите, арабском или обоих языках, является достаточн</w:t>
      </w:r>
      <w:r>
        <w:t>ым</w:t>
      </w:r>
      <w:r w:rsidRPr="00056705">
        <w:t xml:space="preserve"> для того, чтобы считаться </w:t>
      </w:r>
      <w:r>
        <w:t>бюллетенем</w:t>
      </w:r>
      <w:r w:rsidRPr="00056705">
        <w:t>, имеющ</w:t>
      </w:r>
      <w:r>
        <w:t>им</w:t>
      </w:r>
      <w:r w:rsidRPr="00056705">
        <w:t xml:space="preserve"> юридическую сил</w:t>
      </w:r>
      <w:r>
        <w:t>у</w:t>
      </w:r>
      <w:r w:rsidRPr="00056705">
        <w:t xml:space="preserve">. </w:t>
      </w:r>
      <w:r w:rsidRPr="00654DAE">
        <w:t>До внесения этой поправки в Законе о выборах в Кнессет ничего не говорилось о языках, на которых может проводиться такое голосование.</w:t>
      </w:r>
    </w:p>
    <w:p w14:paraId="1926EA12" w14:textId="77777777" w:rsidR="005D278A" w:rsidRPr="00A75953" w:rsidRDefault="005D278A" w:rsidP="005D278A">
      <w:pPr>
        <w:pStyle w:val="H23G"/>
      </w:pPr>
      <w:r w:rsidRPr="00654DAE">
        <w:tab/>
      </w:r>
      <w:r w:rsidRPr="00654DAE">
        <w:tab/>
      </w:r>
      <w:r w:rsidRPr="00D4699C">
        <w:rPr>
          <w:bCs/>
        </w:rPr>
        <w:t>Правительство</w:t>
      </w:r>
    </w:p>
    <w:p w14:paraId="04EE6925" w14:textId="77777777" w:rsidR="005D278A" w:rsidRPr="00026209" w:rsidRDefault="005D278A" w:rsidP="005D278A">
      <w:pPr>
        <w:pStyle w:val="SingleTxtG"/>
      </w:pPr>
      <w:r w:rsidRPr="00AB0189">
        <w:t>38.</w:t>
      </w:r>
      <w:r w:rsidRPr="00AB0189">
        <w:tab/>
        <w:t>По итогам всеобщих выборов Президент должен провести консультации с председателями всех партий и затем по своему усмотрению поручить одному из членов Кнессета сформировать правительство. Этот член Кнессета, который будет исполнять обязанности</w:t>
      </w:r>
      <w:r>
        <w:t xml:space="preserve"> Премьер-министра</w:t>
      </w:r>
      <w:r w:rsidRPr="00AB0189">
        <w:t xml:space="preserve">, формирует правительство, назначая министров для руководства различными министерствами. Затем состав правительства и его основные принципы представляются на утверждение Кнессету. </w:t>
      </w:r>
      <w:r w:rsidRPr="00026209">
        <w:t>Премьер-министр может отстранять министров от должности.</w:t>
      </w:r>
    </w:p>
    <w:p w14:paraId="4944512F" w14:textId="00F86797" w:rsidR="005D278A" w:rsidRPr="00026209" w:rsidRDefault="005D278A" w:rsidP="005D278A">
      <w:pPr>
        <w:pStyle w:val="SingleTxtG"/>
      </w:pPr>
      <w:r w:rsidRPr="00026209">
        <w:t>39.</w:t>
      </w:r>
      <w:r w:rsidRPr="00026209">
        <w:tab/>
        <w:t>Для того чтобы все члены правительства единодушно поддерживали решения и действия правительства, они несут коллективную ответственность перед Кнессетом.</w:t>
      </w:r>
    </w:p>
    <w:p w14:paraId="5CEB605F" w14:textId="77777777" w:rsidR="005D278A" w:rsidRPr="00C74F5A" w:rsidRDefault="005D278A" w:rsidP="005D278A">
      <w:pPr>
        <w:pStyle w:val="SingleTxtG"/>
      </w:pPr>
      <w:r w:rsidRPr="00C7080F">
        <w:t>40.</w:t>
      </w:r>
      <w:r w:rsidRPr="00C7080F">
        <w:tab/>
        <w:t xml:space="preserve">7 мая 2020 года в Основной закон: </w:t>
      </w:r>
      <w:r>
        <w:t>«</w:t>
      </w:r>
      <w:r w:rsidRPr="00C7080F">
        <w:t>Правительство</w:t>
      </w:r>
      <w:r>
        <w:t>»</w:t>
      </w:r>
      <w:r w:rsidRPr="00C7080F">
        <w:t xml:space="preserve"> был</w:t>
      </w:r>
      <w:r>
        <w:t>а</w:t>
      </w:r>
      <w:r w:rsidRPr="00C7080F">
        <w:t xml:space="preserve"> внесен</w:t>
      </w:r>
      <w:r>
        <w:t>а</w:t>
      </w:r>
      <w:r w:rsidRPr="00C7080F">
        <w:t xml:space="preserve"> поправк</w:t>
      </w:r>
      <w:r>
        <w:t>а</w:t>
      </w:r>
      <w:r w:rsidRPr="00C7080F">
        <w:t xml:space="preserve"> (поправка № 8). </w:t>
      </w:r>
      <w:r w:rsidRPr="004A010C">
        <w:t xml:space="preserve">Данная поправка позволяет сформировать правительство, которое характеризуется разделением на два (2) равных политических блока, а также ротацией премьер-министров, которая будет происходить в заранее определенное законом время, между действующим и альтернативным премьер-министрами. </w:t>
      </w:r>
      <w:r w:rsidRPr="00C5202A">
        <w:t xml:space="preserve">Согласно этой новой модели, альтернативный Премьер-министр будет иметь особый статус не только в отношении самой ротации должности Премьер-министра. </w:t>
      </w:r>
      <w:r w:rsidRPr="001F607E">
        <w:t xml:space="preserve">Среди прочего, альтернативный Премьер-министр будет приводиться к присяге перед пленарным заседанием Кнессета и будет носить официальный титул </w:t>
      </w:r>
      <w:r>
        <w:t>«</w:t>
      </w:r>
      <w:r w:rsidRPr="001F607E">
        <w:t>альтернативный Премьер-министр</w:t>
      </w:r>
      <w:r>
        <w:t>»</w:t>
      </w:r>
      <w:r w:rsidRPr="001F607E">
        <w:t xml:space="preserve">, он будет влиять на назначение или увольнение министров правительства, связанных с его политической партией в правительстве, и будет замещать действующего Премьер-министра. </w:t>
      </w:r>
      <w:r w:rsidRPr="00234A1A">
        <w:t xml:space="preserve">Действующий Премьер-министр не будет уполномочен отстранять от должности альтернативного Премьер-министра. </w:t>
      </w:r>
      <w:r w:rsidRPr="00C46CFD">
        <w:t xml:space="preserve">Основной закон также предусматривает, что даже в составе министерских комитетов будет гарантировано паритетное разделение в соответствии с принадлежностью к двум политическим блокам, составляющим правительство. </w:t>
      </w:r>
      <w:r w:rsidRPr="00C74F5A">
        <w:t>Следует уточнить, что полномочия альтернативного правительства ничем не отличаются от полномочий обычного правительства.</w:t>
      </w:r>
    </w:p>
    <w:p w14:paraId="4CDD16B8" w14:textId="77777777" w:rsidR="005D278A" w:rsidRPr="008D7E1C" w:rsidRDefault="005D278A" w:rsidP="005D278A">
      <w:pPr>
        <w:pStyle w:val="SingleTxtG"/>
      </w:pPr>
      <w:r w:rsidRPr="008D7E1C">
        <w:t>41.</w:t>
      </w:r>
      <w:r w:rsidRPr="008D7E1C">
        <w:tab/>
      </w:r>
      <w:r w:rsidRPr="00CA4D45">
        <w:t>В</w:t>
      </w:r>
      <w:r w:rsidRPr="008D7E1C">
        <w:t xml:space="preserve"> </w:t>
      </w:r>
      <w:r w:rsidRPr="00CA4D45">
        <w:t>настоящее</w:t>
      </w:r>
      <w:r w:rsidRPr="008D7E1C">
        <w:t xml:space="preserve"> </w:t>
      </w:r>
      <w:r w:rsidRPr="00CA4D45">
        <w:t>время</w:t>
      </w:r>
      <w:r w:rsidRPr="008D7E1C">
        <w:t xml:space="preserve"> </w:t>
      </w:r>
      <w:r w:rsidRPr="00CA4D45">
        <w:t>в</w:t>
      </w:r>
      <w:r w:rsidRPr="008D7E1C">
        <w:t xml:space="preserve"> </w:t>
      </w:r>
      <w:r w:rsidRPr="00CA4D45">
        <w:t>состав</w:t>
      </w:r>
      <w:r w:rsidRPr="008D7E1C">
        <w:t xml:space="preserve"> </w:t>
      </w:r>
      <w:r w:rsidRPr="00CA4D45">
        <w:t>израильского</w:t>
      </w:r>
      <w:r w:rsidRPr="008D7E1C">
        <w:t xml:space="preserve"> </w:t>
      </w:r>
      <w:r w:rsidRPr="00CA4D45">
        <w:t>правительства</w:t>
      </w:r>
      <w:r w:rsidRPr="008D7E1C">
        <w:t xml:space="preserve"> </w:t>
      </w:r>
      <w:r w:rsidRPr="00CA4D45">
        <w:t>входят</w:t>
      </w:r>
      <w:r w:rsidRPr="008D7E1C">
        <w:t xml:space="preserve"> </w:t>
      </w:r>
      <w:r w:rsidRPr="00CA4D45">
        <w:t>следующие</w:t>
      </w:r>
      <w:r w:rsidRPr="008D7E1C">
        <w:t xml:space="preserve"> </w:t>
      </w:r>
      <w:r w:rsidRPr="00CA4D45">
        <w:t>министерства</w:t>
      </w:r>
      <w:r w:rsidRPr="008D7E1C">
        <w:t xml:space="preserve">: Канцелярия Премьер-министра, Министерство иностранных дел, Министерство обороны, Министерство юстиции, Министерство финансов, Министерство здравоохранения, Министерство труда, социального обеспечения и социальных служб, Министерство науки и технологий, Министерство внутренних дел, Министерство культуры и спорта, Министерство образования, Министерство экономики и промышленности, </w:t>
      </w:r>
      <w:r w:rsidRPr="004554B8">
        <w:t>Министерство общественной безопасности</w:t>
      </w:r>
      <w:r w:rsidRPr="008D7E1C">
        <w:t xml:space="preserve">, </w:t>
      </w:r>
      <w:r w:rsidRPr="004554B8">
        <w:t>Министерство туризма</w:t>
      </w:r>
      <w:r w:rsidRPr="008D7E1C">
        <w:t xml:space="preserve">, </w:t>
      </w:r>
      <w:r w:rsidRPr="009A629A">
        <w:t>Министерство энергетики</w:t>
      </w:r>
      <w:r w:rsidRPr="008D7E1C">
        <w:t xml:space="preserve">, </w:t>
      </w:r>
      <w:r w:rsidRPr="009A629A">
        <w:t>Министерство связи</w:t>
      </w:r>
      <w:r w:rsidRPr="008D7E1C">
        <w:t xml:space="preserve">, </w:t>
      </w:r>
      <w:r w:rsidRPr="009A629A">
        <w:t>Министерство охраны окружающей среды</w:t>
      </w:r>
      <w:r w:rsidRPr="008D7E1C">
        <w:t xml:space="preserve">, </w:t>
      </w:r>
      <w:r w:rsidRPr="009A629A">
        <w:t>Министерство алии и интеграционной абсорбции</w:t>
      </w:r>
      <w:r w:rsidRPr="008D7E1C">
        <w:t xml:space="preserve">, </w:t>
      </w:r>
      <w:r w:rsidRPr="008D04BA">
        <w:t>Министерство строительства и заселения</w:t>
      </w:r>
      <w:r w:rsidRPr="008D7E1C">
        <w:t xml:space="preserve">, </w:t>
      </w:r>
      <w:r w:rsidRPr="007D1A22">
        <w:t>Министерство транспорта и безопасности дорожного движения</w:t>
      </w:r>
      <w:r w:rsidRPr="008D7E1C">
        <w:t xml:space="preserve">, </w:t>
      </w:r>
      <w:r w:rsidRPr="00634800">
        <w:t>Министерство сельского хозяйства и аграрного развития</w:t>
      </w:r>
      <w:r w:rsidRPr="008D7E1C">
        <w:t xml:space="preserve">, </w:t>
      </w:r>
      <w:r w:rsidRPr="00634800">
        <w:t>Министерство высшего образования и водных ресурсов</w:t>
      </w:r>
      <w:r w:rsidRPr="008D7E1C">
        <w:t xml:space="preserve">, </w:t>
      </w:r>
      <w:r w:rsidRPr="00634800">
        <w:t>Министерство по делам религий</w:t>
      </w:r>
      <w:r w:rsidRPr="008D7E1C">
        <w:t xml:space="preserve">, </w:t>
      </w:r>
      <w:r w:rsidRPr="00634800">
        <w:t>Министерство разведки</w:t>
      </w:r>
      <w:r w:rsidRPr="008D7E1C">
        <w:t xml:space="preserve">, </w:t>
      </w:r>
      <w:r w:rsidRPr="00634800">
        <w:t>Министерство регионального сотрудничества</w:t>
      </w:r>
      <w:r w:rsidRPr="008D7E1C">
        <w:t xml:space="preserve">, </w:t>
      </w:r>
      <w:r w:rsidRPr="00634800">
        <w:t>Министерство по делам Иерусалима и наследия</w:t>
      </w:r>
      <w:r w:rsidRPr="008D7E1C">
        <w:t xml:space="preserve">, </w:t>
      </w:r>
      <w:r w:rsidRPr="00634800">
        <w:t>Министерство по стратегическим вопросам</w:t>
      </w:r>
      <w:r w:rsidRPr="008D7E1C">
        <w:t xml:space="preserve">, </w:t>
      </w:r>
      <w:r w:rsidRPr="00BD57C1">
        <w:t>Министерство по делам развития и укрепления общин</w:t>
      </w:r>
      <w:r w:rsidRPr="008D7E1C">
        <w:t xml:space="preserve">, </w:t>
      </w:r>
      <w:r w:rsidRPr="00BD57C1">
        <w:t>Министерство социального равенства</w:t>
      </w:r>
      <w:r w:rsidRPr="008D7E1C">
        <w:t xml:space="preserve">, </w:t>
      </w:r>
      <w:r w:rsidRPr="001A348B">
        <w:t>Министерство по делам диаспоры</w:t>
      </w:r>
      <w:r w:rsidRPr="008D7E1C">
        <w:t xml:space="preserve">, </w:t>
      </w:r>
      <w:r w:rsidRPr="001A348B">
        <w:t>Министерство по делам поселений</w:t>
      </w:r>
      <w:r>
        <w:t xml:space="preserve"> и</w:t>
      </w:r>
      <w:r w:rsidRPr="008D7E1C">
        <w:t xml:space="preserve"> </w:t>
      </w:r>
      <w:r w:rsidRPr="000E6D5E">
        <w:t>Министерство по вопросам киберпространства и национальной цифровизации</w:t>
      </w:r>
      <w:r w:rsidRPr="008D7E1C">
        <w:t>.</w:t>
      </w:r>
    </w:p>
    <w:p w14:paraId="58BD747F" w14:textId="77777777" w:rsidR="005D278A" w:rsidRPr="00CF738A" w:rsidRDefault="005D278A" w:rsidP="005D278A">
      <w:pPr>
        <w:pStyle w:val="SingleTxtG"/>
      </w:pPr>
      <w:r w:rsidRPr="00D4699C">
        <w:t>42.</w:t>
      </w:r>
      <w:r w:rsidRPr="00D4699C">
        <w:tab/>
        <w:t>Следует отметить, что 22 декабря 2020 года Кнессет 23-го созыва не смог согласовать бюджет на 2020 год и поэтому был автоматически распущен. Выборы</w:t>
      </w:r>
      <w:r w:rsidRPr="00A75953">
        <w:t xml:space="preserve"> в </w:t>
      </w:r>
      <w:r w:rsidRPr="00D4699C">
        <w:t>Кнессет</w:t>
      </w:r>
      <w:r w:rsidRPr="00A75953">
        <w:t xml:space="preserve"> 24-го </w:t>
      </w:r>
      <w:r w:rsidRPr="00D4699C">
        <w:t>созыва назначены на</w:t>
      </w:r>
      <w:r w:rsidRPr="00A75953">
        <w:t xml:space="preserve"> 21 </w:t>
      </w:r>
      <w:r w:rsidRPr="00D4699C">
        <w:t>марта</w:t>
      </w:r>
      <w:r w:rsidRPr="00A75953">
        <w:t xml:space="preserve"> 2021 </w:t>
      </w:r>
      <w:r w:rsidRPr="00D4699C">
        <w:t>года</w:t>
      </w:r>
      <w:r w:rsidRPr="00CF738A">
        <w:t>.</w:t>
      </w:r>
    </w:p>
    <w:p w14:paraId="772B1C4D" w14:textId="77777777" w:rsidR="005D278A" w:rsidRPr="00CF738A" w:rsidRDefault="005D278A" w:rsidP="005D278A">
      <w:pPr>
        <w:pStyle w:val="H23G"/>
      </w:pPr>
      <w:r w:rsidRPr="00CF738A">
        <w:lastRenderedPageBreak/>
        <w:tab/>
      </w:r>
      <w:r w:rsidRPr="00CF738A">
        <w:tab/>
      </w:r>
      <w:r w:rsidRPr="00CF738A">
        <w:rPr>
          <w:bCs/>
        </w:rPr>
        <w:t>Судебная власть</w:t>
      </w:r>
    </w:p>
    <w:p w14:paraId="4BE9B2F4" w14:textId="77777777" w:rsidR="005D278A" w:rsidRPr="00CF738A" w:rsidRDefault="005D278A" w:rsidP="005D278A">
      <w:pPr>
        <w:pStyle w:val="SingleTxtG"/>
      </w:pPr>
      <w:r w:rsidRPr="00CF738A">
        <w:t>43.</w:t>
      </w:r>
      <w:r w:rsidRPr="00CF738A">
        <w:tab/>
        <w:t>См. первоначальный базовый документ Израиля (</w:t>
      </w:r>
      <w:r w:rsidRPr="008B5E26">
        <w:t>HRI</w:t>
      </w:r>
      <w:r w:rsidRPr="00CF738A">
        <w:t>/</w:t>
      </w:r>
      <w:r w:rsidRPr="008B5E26">
        <w:t>CORE</w:t>
      </w:r>
      <w:r w:rsidRPr="00CF738A">
        <w:t>/</w:t>
      </w:r>
      <w:r w:rsidRPr="008B5E26">
        <w:t>ISR</w:t>
      </w:r>
      <w:r w:rsidRPr="00CF738A">
        <w:t xml:space="preserve">/2008), </w:t>
      </w:r>
      <w:r w:rsidRPr="0081130F">
        <w:t>стр. 38.</w:t>
      </w:r>
    </w:p>
    <w:p w14:paraId="5F831394" w14:textId="0F3774C1" w:rsidR="005D278A" w:rsidRPr="00FB3578" w:rsidRDefault="005D278A" w:rsidP="005D278A">
      <w:pPr>
        <w:pStyle w:val="SingleTxtG"/>
      </w:pPr>
      <w:r w:rsidRPr="00FB3578">
        <w:t>44.</w:t>
      </w:r>
      <w:r w:rsidRPr="00FB3578">
        <w:tab/>
      </w:r>
      <w:r>
        <w:t>Необходимо отметить, что в</w:t>
      </w:r>
      <w:r w:rsidRPr="00FB3578">
        <w:t xml:space="preserve"> настоящее время в Израиле насчитывается</w:t>
      </w:r>
      <w:r w:rsidR="00A60851">
        <w:br/>
      </w:r>
      <w:r w:rsidRPr="00FB3578">
        <w:t>29 магистратских судов, расположенных по всей стране от города Масаада на самом севере до Эйлата на юге.</w:t>
      </w:r>
    </w:p>
    <w:p w14:paraId="429305E8" w14:textId="77777777" w:rsidR="005D278A" w:rsidRPr="002012C0" w:rsidRDefault="005D278A" w:rsidP="005D278A">
      <w:pPr>
        <w:pStyle w:val="H23G"/>
      </w:pPr>
      <w:r w:rsidRPr="00FB3578">
        <w:tab/>
      </w:r>
      <w:r w:rsidRPr="00FB3578">
        <w:tab/>
      </w:r>
      <w:r w:rsidRPr="002012C0">
        <w:rPr>
          <w:bCs/>
        </w:rPr>
        <w:t>Генеральный прокурор</w:t>
      </w:r>
    </w:p>
    <w:p w14:paraId="1D5679C3" w14:textId="77777777" w:rsidR="005D278A" w:rsidRPr="00CF738A" w:rsidRDefault="005D278A" w:rsidP="005D278A">
      <w:pPr>
        <w:pStyle w:val="SingleTxtG"/>
      </w:pPr>
      <w:r w:rsidRPr="00CF738A">
        <w:t>45.</w:t>
      </w:r>
      <w:r w:rsidRPr="00CF738A">
        <w:tab/>
        <w:t>См. первоначальный базовый документ Израиля (</w:t>
      </w:r>
      <w:r w:rsidRPr="008B5E26">
        <w:t>HRI</w:t>
      </w:r>
      <w:r w:rsidRPr="00CF738A">
        <w:t>/</w:t>
      </w:r>
      <w:r w:rsidRPr="008B5E26">
        <w:t>CORE</w:t>
      </w:r>
      <w:r w:rsidRPr="00CF738A">
        <w:t>/</w:t>
      </w:r>
      <w:r w:rsidRPr="008B5E26">
        <w:t>ISR</w:t>
      </w:r>
      <w:r w:rsidRPr="00CF738A">
        <w:t xml:space="preserve">/2008), </w:t>
      </w:r>
      <w:r>
        <w:t>стр.</w:t>
      </w:r>
      <w:r w:rsidRPr="00CF738A">
        <w:t xml:space="preserve"> </w:t>
      </w:r>
      <w:r>
        <w:t>40</w:t>
      </w:r>
      <w:r w:rsidRPr="00CF738A">
        <w:t>.</w:t>
      </w:r>
    </w:p>
    <w:p w14:paraId="1989F792" w14:textId="77777777" w:rsidR="005D278A" w:rsidRPr="00BB2158" w:rsidRDefault="005D278A" w:rsidP="005D278A">
      <w:pPr>
        <w:pStyle w:val="H4G"/>
      </w:pPr>
      <w:r w:rsidRPr="00CF738A">
        <w:tab/>
      </w:r>
      <w:r w:rsidRPr="00CF738A">
        <w:tab/>
      </w:r>
      <w:r w:rsidRPr="00BB2158">
        <w:t>Президент</w:t>
      </w:r>
    </w:p>
    <w:p w14:paraId="5CEB6BB0" w14:textId="77777777" w:rsidR="005D278A" w:rsidRPr="00CF738A" w:rsidRDefault="005D278A" w:rsidP="005D278A">
      <w:pPr>
        <w:pStyle w:val="SingleTxtG"/>
      </w:pPr>
      <w:r w:rsidRPr="00CF738A">
        <w:t>46.</w:t>
      </w:r>
      <w:r w:rsidRPr="00CF738A">
        <w:tab/>
        <w:t>См. первоначальный базовый документ Израиля (</w:t>
      </w:r>
      <w:r w:rsidRPr="008B5E26">
        <w:t>HRI</w:t>
      </w:r>
      <w:r w:rsidRPr="00CF738A">
        <w:t>/</w:t>
      </w:r>
      <w:r w:rsidRPr="008B5E26">
        <w:t>CORE</w:t>
      </w:r>
      <w:r w:rsidRPr="00CF738A">
        <w:t>/</w:t>
      </w:r>
      <w:r w:rsidRPr="008B5E26">
        <w:t>ISR</w:t>
      </w:r>
      <w:r w:rsidRPr="00CF738A">
        <w:t xml:space="preserve">/2008), </w:t>
      </w:r>
      <w:r w:rsidRPr="00BB2158">
        <w:t>стр.</w:t>
      </w:r>
      <w:r w:rsidRPr="00CF738A">
        <w:t xml:space="preserve"> </w:t>
      </w:r>
      <w:r>
        <w:t>41</w:t>
      </w:r>
      <w:r w:rsidRPr="00CF738A">
        <w:t>.</w:t>
      </w:r>
    </w:p>
    <w:p w14:paraId="4E8F1BFF" w14:textId="77777777" w:rsidR="005D278A" w:rsidRPr="003F513F" w:rsidRDefault="005D278A" w:rsidP="005D278A">
      <w:pPr>
        <w:pStyle w:val="H23G"/>
        <w:rPr>
          <w:color w:val="000000" w:themeColor="text1"/>
        </w:rPr>
      </w:pPr>
      <w:r w:rsidRPr="00CF738A">
        <w:tab/>
      </w:r>
      <w:r w:rsidRPr="00CF738A">
        <w:tab/>
      </w:r>
      <w:r w:rsidRPr="003F513F">
        <w:rPr>
          <w:bCs/>
        </w:rPr>
        <w:t>Государственный контролер</w:t>
      </w:r>
    </w:p>
    <w:p w14:paraId="6331F667" w14:textId="77777777" w:rsidR="005D278A" w:rsidRPr="00CF738A" w:rsidRDefault="005D278A" w:rsidP="005D278A">
      <w:pPr>
        <w:pStyle w:val="SingleTxtG"/>
      </w:pPr>
      <w:r w:rsidRPr="00CF738A">
        <w:t>47.</w:t>
      </w:r>
      <w:r w:rsidRPr="00CF738A">
        <w:tab/>
      </w:r>
      <w:r w:rsidRPr="009222C1">
        <w:t>См. первоначальный базовый документ Израиля</w:t>
      </w:r>
      <w:r w:rsidRPr="00CF738A">
        <w:t xml:space="preserve"> (</w:t>
      </w:r>
      <w:r w:rsidRPr="008B5E26">
        <w:t>HRI</w:t>
      </w:r>
      <w:r w:rsidRPr="00CF738A">
        <w:t>/</w:t>
      </w:r>
      <w:r w:rsidRPr="008B5E26">
        <w:t>CORE</w:t>
      </w:r>
      <w:r w:rsidRPr="00CF738A">
        <w:t>/</w:t>
      </w:r>
      <w:r w:rsidRPr="008B5E26">
        <w:t>ISR</w:t>
      </w:r>
      <w:r w:rsidRPr="00CF738A">
        <w:t xml:space="preserve">/2008), </w:t>
      </w:r>
      <w:r>
        <w:t>стр.</w:t>
      </w:r>
      <w:r w:rsidRPr="00CF738A">
        <w:t xml:space="preserve"> </w:t>
      </w:r>
      <w:r>
        <w:t>41</w:t>
      </w:r>
      <w:r w:rsidRPr="00CF738A">
        <w:t>.</w:t>
      </w:r>
    </w:p>
    <w:p w14:paraId="0EC6B56C" w14:textId="77777777" w:rsidR="005D278A" w:rsidRPr="003F513F" w:rsidRDefault="005D278A" w:rsidP="005D278A">
      <w:pPr>
        <w:pStyle w:val="H23G"/>
      </w:pPr>
      <w:r w:rsidRPr="00CF738A">
        <w:tab/>
      </w:r>
      <w:r w:rsidRPr="00CF738A">
        <w:tab/>
      </w:r>
      <w:r w:rsidRPr="003F513F">
        <w:rPr>
          <w:bCs/>
        </w:rPr>
        <w:t>Инспектор по работе с исками против дознавателей ШАБАКа</w:t>
      </w:r>
    </w:p>
    <w:p w14:paraId="782AA834" w14:textId="77777777" w:rsidR="005D278A" w:rsidRPr="00CE3581" w:rsidRDefault="005D278A" w:rsidP="005D278A">
      <w:pPr>
        <w:pStyle w:val="SingleTxtG"/>
      </w:pPr>
      <w:r w:rsidRPr="00CE3581">
        <w:t>48.</w:t>
      </w:r>
      <w:r w:rsidRPr="00CE3581">
        <w:tab/>
        <w:t>См. обновленную информацию Израиля к базовому документу (</w:t>
      </w:r>
      <w:r w:rsidRPr="008B5E26">
        <w:t>HRI</w:t>
      </w:r>
      <w:r w:rsidRPr="00CE3581">
        <w:t>/</w:t>
      </w:r>
      <w:r w:rsidRPr="008B5E26">
        <w:t>CORE</w:t>
      </w:r>
      <w:r w:rsidRPr="00CE3581">
        <w:t>/</w:t>
      </w:r>
      <w:r w:rsidRPr="008B5E26">
        <w:t>ISR</w:t>
      </w:r>
      <w:r w:rsidRPr="00CE3581">
        <w:t xml:space="preserve">/2015), </w:t>
      </w:r>
      <w:r>
        <w:t>стр.</w:t>
      </w:r>
      <w:r w:rsidRPr="00CE3581">
        <w:t xml:space="preserve"> 10.</w:t>
      </w:r>
    </w:p>
    <w:p w14:paraId="1783C708" w14:textId="77777777" w:rsidR="005D278A" w:rsidRPr="00312564" w:rsidRDefault="005D278A" w:rsidP="005D278A">
      <w:pPr>
        <w:pStyle w:val="SingleTxtG"/>
      </w:pPr>
      <w:bookmarkStart w:id="28" w:name="_Toc165619039"/>
      <w:r w:rsidRPr="00312564">
        <w:t>49.</w:t>
      </w:r>
      <w:r w:rsidRPr="00312564">
        <w:tab/>
        <w:t>Некоторые обновленные сведения, касающиеся Инспектора, приведены в приложении к настоящему докладу (стр. 15).</w:t>
      </w:r>
    </w:p>
    <w:p w14:paraId="3577465D" w14:textId="77777777" w:rsidR="005D278A" w:rsidRPr="00A75953" w:rsidRDefault="005D278A" w:rsidP="005D278A">
      <w:pPr>
        <w:pStyle w:val="HMG"/>
      </w:pPr>
      <w:bookmarkStart w:id="29" w:name="_Toc54696492"/>
      <w:r w:rsidRPr="00312564">
        <w:tab/>
      </w:r>
      <w:r w:rsidRPr="00312564">
        <w:tab/>
      </w:r>
      <w:bookmarkEnd w:id="28"/>
      <w:bookmarkEnd w:id="29"/>
      <w:r w:rsidRPr="00A75953">
        <w:rPr>
          <w:bCs/>
        </w:rPr>
        <w:t>Общая основа защиты и поощрения прав человека</w:t>
      </w:r>
    </w:p>
    <w:p w14:paraId="3BD32A10" w14:textId="77777777" w:rsidR="005D278A" w:rsidRPr="00A75953" w:rsidRDefault="005D278A" w:rsidP="005D278A">
      <w:pPr>
        <w:pStyle w:val="HChG"/>
      </w:pPr>
      <w:bookmarkStart w:id="30" w:name="_Toc54696493"/>
      <w:r w:rsidRPr="00A75953">
        <w:tab/>
      </w:r>
      <w:r w:rsidRPr="008B5E26">
        <w:t>III</w:t>
      </w:r>
      <w:r w:rsidRPr="00A75953">
        <w:t>.</w:t>
      </w:r>
      <w:r w:rsidRPr="00A75953">
        <w:tab/>
      </w:r>
      <w:bookmarkEnd w:id="30"/>
      <w:r w:rsidRPr="00A75953">
        <w:rPr>
          <w:bCs/>
        </w:rPr>
        <w:t>Принятие международных норм в области прав человека</w:t>
      </w:r>
    </w:p>
    <w:p w14:paraId="2F017E35" w14:textId="77777777" w:rsidR="005D278A" w:rsidRPr="00A75953" w:rsidRDefault="005D278A" w:rsidP="005D278A">
      <w:pPr>
        <w:pStyle w:val="H1G"/>
      </w:pPr>
      <w:bookmarkStart w:id="31" w:name="_Toc54696494"/>
      <w:r w:rsidRPr="00A75953">
        <w:tab/>
      </w:r>
      <w:r w:rsidRPr="008B5E26">
        <w:t>A</w:t>
      </w:r>
      <w:r w:rsidRPr="00A75953">
        <w:t>.</w:t>
      </w:r>
      <w:r w:rsidRPr="00A75953">
        <w:tab/>
      </w:r>
      <w:bookmarkEnd w:id="31"/>
      <w:r w:rsidRPr="00A75953">
        <w:rPr>
          <w:bCs/>
        </w:rPr>
        <w:t>Интеграция документов по правам человека в национальную правовую систему</w:t>
      </w:r>
    </w:p>
    <w:p w14:paraId="67537B49" w14:textId="195A4361" w:rsidR="005D278A" w:rsidRPr="00685D17" w:rsidRDefault="005D278A" w:rsidP="005D278A">
      <w:pPr>
        <w:pStyle w:val="SingleTxtG"/>
      </w:pPr>
      <w:r w:rsidRPr="00A75953">
        <w:t>50.</w:t>
      </w:r>
      <w:r w:rsidRPr="00A75953">
        <w:tab/>
        <w:t>В рамках своей приверженности ценностям прав человека и верховенства права Израиль ратифицировал в 1991 году пять (5) основных договоров Организации Объединенных Наций по правам человека. Эти договоры включают: Международный пакт о гражданских и политических правах (МПГПП), Конвенцию против пыток и других жестоких, бесчеловечных или унижающих достоинство видов обращения и наказания (КПП), Конвенцию о ликвидации всех форм дискриминации в отношении женщин (КЛДЖ), Конвенцию о правах ребенка (КПР) (и два протокола к ней) и Международный пакт об экономических, социальных и культурных правах (МПЭСКП). Это имело место в дополнение к ранее ратифицированной Международной конвенции о ликвидации всех форм расовой дискриминации</w:t>
      </w:r>
      <w:r w:rsidR="00A60851">
        <w:br/>
      </w:r>
      <w:r w:rsidRPr="00A75953">
        <w:t>1969 года (МКЛРД</w:t>
      </w:r>
      <w:r>
        <w:t>).</w:t>
      </w:r>
      <w:r w:rsidRPr="00A75953">
        <w:rPr>
          <w:color w:val="333333"/>
          <w:shd w:val="clear" w:color="auto" w:fill="FFFFFF"/>
        </w:rPr>
        <w:t xml:space="preserve"> </w:t>
      </w:r>
      <w:r w:rsidRPr="00A75953">
        <w:t xml:space="preserve">В 2012 году Израиль ратифицировал Конвенцию о правах инвалидов 2007 года (КПИ). </w:t>
      </w:r>
      <w:r w:rsidRPr="00AF5783">
        <w:t>Израиль</w:t>
      </w:r>
      <w:r w:rsidRPr="00685D17">
        <w:t xml:space="preserve"> </w:t>
      </w:r>
      <w:r w:rsidRPr="00EF7ED7">
        <w:t>представил первоначальные доклады</w:t>
      </w:r>
      <w:r w:rsidRPr="00685D17">
        <w:t xml:space="preserve"> в </w:t>
      </w:r>
      <w:r w:rsidRPr="00EF7ED7">
        <w:t>соответствии со</w:t>
      </w:r>
      <w:r w:rsidRPr="00685D17">
        <w:t xml:space="preserve"> </w:t>
      </w:r>
      <w:r w:rsidRPr="00EF7ED7">
        <w:t>своими обязательствами по всем этим семи</w:t>
      </w:r>
      <w:r w:rsidRPr="00685D17">
        <w:t xml:space="preserve"> (7) </w:t>
      </w:r>
      <w:r w:rsidRPr="00EF7ED7">
        <w:t>основным конвенциям по правам</w:t>
      </w:r>
      <w:r w:rsidRPr="00685D17">
        <w:t xml:space="preserve"> </w:t>
      </w:r>
      <w:r w:rsidRPr="00EF7ED7">
        <w:t>человека</w:t>
      </w:r>
      <w:r w:rsidRPr="00685D17">
        <w:t xml:space="preserve"> и </w:t>
      </w:r>
      <w:r w:rsidRPr="00EF7ED7">
        <w:t>продолжает представлять</w:t>
      </w:r>
      <w:r w:rsidRPr="00685D17">
        <w:t xml:space="preserve"> </w:t>
      </w:r>
      <w:r w:rsidRPr="00AF5783">
        <w:t>соответствующие периодические доклады</w:t>
      </w:r>
      <w:r w:rsidRPr="00685D17">
        <w:t xml:space="preserve"> (</w:t>
      </w:r>
      <w:r w:rsidRPr="00EF7ED7">
        <w:t>такие как настоящий базовый</w:t>
      </w:r>
      <w:r w:rsidRPr="00685D17">
        <w:t xml:space="preserve"> </w:t>
      </w:r>
      <w:r w:rsidRPr="00A75953">
        <w:t>документ</w:t>
      </w:r>
      <w:r w:rsidRPr="00685D17">
        <w:t>).</w:t>
      </w:r>
    </w:p>
    <w:p w14:paraId="08AD9D07" w14:textId="77777777" w:rsidR="005D278A" w:rsidRPr="00AF5783" w:rsidRDefault="005D278A" w:rsidP="005D278A">
      <w:pPr>
        <w:pStyle w:val="SingleTxtG"/>
      </w:pPr>
      <w:r w:rsidRPr="00AF5783">
        <w:t>51.</w:t>
      </w:r>
      <w:r w:rsidRPr="00AF5783">
        <w:tab/>
        <w:t>За рассматриваемый период Израиль также ратифицировал следующие дополнительные договоры и протоколы:</w:t>
      </w:r>
    </w:p>
    <w:p w14:paraId="076DD28A" w14:textId="77777777" w:rsidR="005D278A" w:rsidRPr="00EB4F43" w:rsidRDefault="005D278A" w:rsidP="005D278A">
      <w:pPr>
        <w:pStyle w:val="Bullet1G"/>
        <w:numPr>
          <w:ilvl w:val="0"/>
          <w:numId w:val="5"/>
        </w:numPr>
      </w:pPr>
      <w:r w:rsidRPr="00995EE6">
        <w:t xml:space="preserve">21 марта 2016 года Израиль присоединился к 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который курируется Всемирной организацией интеллектуальной собственности (ВОИС). </w:t>
      </w:r>
      <w:r w:rsidRPr="00EB4F43">
        <w:t xml:space="preserve">Присоединение Израиля к этому Договору подчеркивает то значение, которое Израиль придает </w:t>
      </w:r>
      <w:r w:rsidRPr="00EB4F43">
        <w:lastRenderedPageBreak/>
        <w:t>правам инвалидов, и те усилия, которые он прилагает для поощрения таких прав;</w:t>
      </w:r>
    </w:p>
    <w:p w14:paraId="1B32A611" w14:textId="77777777" w:rsidR="005D278A" w:rsidRPr="004E60EA" w:rsidRDefault="005D278A" w:rsidP="005D278A">
      <w:pPr>
        <w:pStyle w:val="Bullet1G"/>
        <w:numPr>
          <w:ilvl w:val="0"/>
          <w:numId w:val="5"/>
        </w:numPr>
      </w:pPr>
      <w:r w:rsidRPr="00EB4F43">
        <w:t xml:space="preserve">11 октября 2018 года Израиль ратифицировал Протокол 2014 года к Конвенции МОТ 1930 года о принудительном труде. </w:t>
      </w:r>
      <w:r w:rsidRPr="004E60EA">
        <w:t xml:space="preserve">Эта ратификация является частью неизменной приверженности Израиля международным усилиям по борьбе со всеми формами современного рабства, включая принудительный труд, и их искоренению. </w:t>
      </w:r>
      <w:r w:rsidRPr="00DA25BF">
        <w:t>Протокол вступил</w:t>
      </w:r>
      <w:r w:rsidRPr="00F85D42">
        <w:t xml:space="preserve"> в </w:t>
      </w:r>
      <w:r w:rsidRPr="00DA25BF">
        <w:t>силу для</w:t>
      </w:r>
      <w:r w:rsidRPr="00F85D42">
        <w:t xml:space="preserve"> </w:t>
      </w:r>
      <w:r w:rsidRPr="00DA25BF">
        <w:t>Израиля</w:t>
      </w:r>
      <w:r w:rsidRPr="00F85D42">
        <w:t xml:space="preserve"> 11 </w:t>
      </w:r>
      <w:r w:rsidRPr="00DA25BF">
        <w:t>октября</w:t>
      </w:r>
      <w:r w:rsidRPr="00F85D42">
        <w:t xml:space="preserve"> 2019 </w:t>
      </w:r>
      <w:r w:rsidRPr="00DA25BF">
        <w:t>года</w:t>
      </w:r>
      <w:r w:rsidRPr="004E60EA">
        <w:t>.</w:t>
      </w:r>
    </w:p>
    <w:p w14:paraId="01199AEB" w14:textId="77777777" w:rsidR="005D278A" w:rsidRPr="008B5E26" w:rsidRDefault="005D278A" w:rsidP="005D278A">
      <w:pPr>
        <w:pStyle w:val="H1G"/>
      </w:pPr>
      <w:bookmarkStart w:id="32" w:name="_Toc54696495"/>
      <w:r w:rsidRPr="004E60EA">
        <w:tab/>
      </w:r>
      <w:r w:rsidRPr="008B5E26">
        <w:t>B.</w:t>
      </w:r>
      <w:r w:rsidRPr="008B5E26">
        <w:tab/>
      </w:r>
      <w:bookmarkEnd w:id="32"/>
      <w:r w:rsidRPr="00DA25BF">
        <w:rPr>
          <w:bCs/>
        </w:rPr>
        <w:t>Оговорки</w:t>
      </w:r>
      <w:r w:rsidRPr="00AA727C">
        <w:rPr>
          <w:bCs/>
        </w:rPr>
        <w:t xml:space="preserve"> и </w:t>
      </w:r>
      <w:r w:rsidRPr="00DA25BF">
        <w:rPr>
          <w:bCs/>
        </w:rPr>
        <w:t>заявления</w:t>
      </w:r>
    </w:p>
    <w:p w14:paraId="4E58DA73" w14:textId="3DC3EBD4" w:rsidR="005D278A" w:rsidRPr="00DA25BF" w:rsidRDefault="005D278A" w:rsidP="005D278A">
      <w:pPr>
        <w:pStyle w:val="SingleTxtG"/>
      </w:pPr>
      <w:r w:rsidRPr="00DA25BF">
        <w:t>52.</w:t>
      </w:r>
      <w:r w:rsidRPr="00DA25BF">
        <w:tab/>
        <w:t>О ранее сделанных оговорках и заявлениях к соответствующим конвенциям см. первоначальный базовый документ Израиля (</w:t>
      </w:r>
      <w:r w:rsidRPr="008B5E26">
        <w:t>HRI</w:t>
      </w:r>
      <w:r w:rsidRPr="00DA25BF">
        <w:t>/</w:t>
      </w:r>
      <w:r w:rsidRPr="008B5E26">
        <w:t>CORE</w:t>
      </w:r>
      <w:r w:rsidRPr="00DA25BF">
        <w:t>/</w:t>
      </w:r>
      <w:r w:rsidRPr="008B5E26">
        <w:t>ISR</w:t>
      </w:r>
      <w:r w:rsidRPr="00DA25BF">
        <w:t xml:space="preserve">/2008, стр. 44 </w:t>
      </w:r>
      <w:r>
        <w:t>и</w:t>
      </w:r>
      <w:r w:rsidRPr="00DA25BF">
        <w:t xml:space="preserve"> </w:t>
      </w:r>
      <w:r w:rsidRPr="008B5E26">
        <w:t>HRI</w:t>
      </w:r>
      <w:r w:rsidRPr="00DA25BF">
        <w:t>/</w:t>
      </w:r>
      <w:r w:rsidR="00A60851">
        <w:t xml:space="preserve"> </w:t>
      </w:r>
      <w:r w:rsidRPr="008B5E26">
        <w:t>CORE</w:t>
      </w:r>
      <w:r w:rsidRPr="00DA25BF">
        <w:t>/</w:t>
      </w:r>
      <w:r w:rsidRPr="008B5E26">
        <w:t>ISR</w:t>
      </w:r>
      <w:r w:rsidRPr="00DA25BF">
        <w:t xml:space="preserve">/2015, </w:t>
      </w:r>
      <w:r>
        <w:t>стр</w:t>
      </w:r>
      <w:r w:rsidRPr="00DA25BF">
        <w:t>. 11).</w:t>
      </w:r>
    </w:p>
    <w:p w14:paraId="41C146A5" w14:textId="77777777" w:rsidR="005D278A" w:rsidRPr="003025EB" w:rsidRDefault="005D278A" w:rsidP="005D278A">
      <w:pPr>
        <w:pStyle w:val="H1G"/>
      </w:pPr>
      <w:bookmarkStart w:id="33" w:name="_Toc54696496"/>
      <w:r w:rsidRPr="00DA25BF">
        <w:tab/>
      </w:r>
      <w:r w:rsidRPr="008B5E26">
        <w:t>C</w:t>
      </w:r>
      <w:r w:rsidRPr="003025EB">
        <w:t>.</w:t>
      </w:r>
      <w:r w:rsidRPr="003025EB">
        <w:tab/>
      </w:r>
      <w:bookmarkEnd w:id="33"/>
      <w:r w:rsidRPr="003025EB">
        <w:rPr>
          <w:bCs/>
        </w:rPr>
        <w:t>Изъятия, исключения или ограничения</w:t>
      </w:r>
    </w:p>
    <w:p w14:paraId="2EBFF738" w14:textId="77777777" w:rsidR="005D278A" w:rsidRPr="003025EB" w:rsidRDefault="005D278A" w:rsidP="005D278A">
      <w:pPr>
        <w:pStyle w:val="SingleTxtG"/>
      </w:pPr>
      <w:r w:rsidRPr="003025EB">
        <w:t>53.</w:t>
      </w:r>
      <w:r w:rsidRPr="003025EB">
        <w:tab/>
        <w:t>О ранее заявленных изъятиях, исключениях или ограничениях к соответствующим конвенциям см. первоначальный базовый документ Израиля (</w:t>
      </w:r>
      <w:r w:rsidRPr="008B5E26">
        <w:t>HRI</w:t>
      </w:r>
      <w:r w:rsidRPr="003025EB">
        <w:t>/</w:t>
      </w:r>
      <w:r w:rsidRPr="008B5E26">
        <w:t>CORE</w:t>
      </w:r>
      <w:r w:rsidRPr="003025EB">
        <w:t>/</w:t>
      </w:r>
      <w:r w:rsidRPr="008B5E26">
        <w:t>ISR</w:t>
      </w:r>
      <w:r w:rsidRPr="003025EB">
        <w:t>/2008 (стр. 4</w:t>
      </w:r>
      <w:r>
        <w:t>6)</w:t>
      </w:r>
      <w:r w:rsidRPr="003025EB">
        <w:t xml:space="preserve"> </w:t>
      </w:r>
      <w:r>
        <w:t>и</w:t>
      </w:r>
      <w:r w:rsidRPr="003025EB">
        <w:t xml:space="preserve"> </w:t>
      </w:r>
      <w:r w:rsidRPr="008B5E26">
        <w:t>HRI</w:t>
      </w:r>
      <w:r w:rsidRPr="003025EB">
        <w:t>/</w:t>
      </w:r>
      <w:r w:rsidRPr="008B5E26">
        <w:t>CORE</w:t>
      </w:r>
      <w:r w:rsidRPr="003025EB">
        <w:t>/</w:t>
      </w:r>
      <w:r w:rsidRPr="008B5E26">
        <w:t>ISR</w:t>
      </w:r>
      <w:r w:rsidRPr="003025EB">
        <w:t>/2015 (стр. 1</w:t>
      </w:r>
      <w:r>
        <w:t>1</w:t>
      </w:r>
      <w:r w:rsidRPr="003025EB">
        <w:t>)).</w:t>
      </w:r>
    </w:p>
    <w:p w14:paraId="157BD991" w14:textId="77777777" w:rsidR="005D278A" w:rsidRPr="00563FF3" w:rsidRDefault="005D278A" w:rsidP="005D278A">
      <w:pPr>
        <w:pStyle w:val="H1G"/>
      </w:pPr>
      <w:bookmarkStart w:id="34" w:name="_Toc54696497"/>
      <w:r w:rsidRPr="003025EB">
        <w:tab/>
      </w:r>
      <w:r w:rsidRPr="008B5E26">
        <w:t>D</w:t>
      </w:r>
      <w:r w:rsidRPr="00563FF3">
        <w:t>.</w:t>
      </w:r>
      <w:r w:rsidRPr="00563FF3">
        <w:tab/>
      </w:r>
      <w:bookmarkEnd w:id="34"/>
      <w:r w:rsidRPr="00563FF3">
        <w:rPr>
          <w:bCs/>
        </w:rPr>
        <w:t>Включение международных договоров во внутреннее право</w:t>
      </w:r>
    </w:p>
    <w:p w14:paraId="4B564852" w14:textId="77777777" w:rsidR="005D278A" w:rsidRPr="00563FF3" w:rsidRDefault="005D278A" w:rsidP="005D278A">
      <w:pPr>
        <w:pStyle w:val="SingleTxtG"/>
      </w:pPr>
      <w:r w:rsidRPr="00563FF3">
        <w:t>54.</w:t>
      </w:r>
      <w:r w:rsidRPr="00563FF3">
        <w:tab/>
        <w:t>См. первоначальный базовый документ Израиля (</w:t>
      </w:r>
      <w:r w:rsidRPr="008B5E26">
        <w:t>HRI</w:t>
      </w:r>
      <w:r w:rsidRPr="00563FF3">
        <w:t>/</w:t>
      </w:r>
      <w:r w:rsidRPr="008B5E26">
        <w:t>CORE</w:t>
      </w:r>
      <w:r w:rsidRPr="00563FF3">
        <w:t>/</w:t>
      </w:r>
      <w:r w:rsidRPr="008B5E26">
        <w:t>ISR</w:t>
      </w:r>
      <w:r w:rsidRPr="00563FF3">
        <w:t>/2008), стр. 4</w:t>
      </w:r>
      <w:r>
        <w:t>7</w:t>
      </w:r>
      <w:r w:rsidRPr="00563FF3">
        <w:t>.</w:t>
      </w:r>
    </w:p>
    <w:p w14:paraId="482157EB" w14:textId="13433F8F" w:rsidR="005D278A" w:rsidRPr="00C90CFF" w:rsidRDefault="005D278A" w:rsidP="005D278A">
      <w:pPr>
        <w:pStyle w:val="HChG"/>
      </w:pPr>
      <w:bookmarkStart w:id="35" w:name="_Toc54696498"/>
      <w:r w:rsidRPr="00563FF3">
        <w:tab/>
      </w:r>
      <w:r w:rsidRPr="008B5E26">
        <w:t>IV</w:t>
      </w:r>
      <w:r w:rsidRPr="00C90CFF">
        <w:t>.</w:t>
      </w:r>
      <w:r w:rsidRPr="00C90CFF">
        <w:tab/>
      </w:r>
      <w:bookmarkEnd w:id="35"/>
      <w:r w:rsidRPr="00C90CFF">
        <w:rPr>
          <w:bCs/>
        </w:rPr>
        <w:t>Правовая основа защиты прав человека</w:t>
      </w:r>
      <w:r w:rsidR="00A60851">
        <w:rPr>
          <w:bCs/>
        </w:rPr>
        <w:br/>
      </w:r>
      <w:r w:rsidRPr="00C90CFF">
        <w:rPr>
          <w:bCs/>
        </w:rPr>
        <w:t>на национальном уровне</w:t>
      </w:r>
    </w:p>
    <w:p w14:paraId="42369BF3" w14:textId="77777777" w:rsidR="005D278A" w:rsidRPr="00993EA4" w:rsidRDefault="005D278A" w:rsidP="005D278A">
      <w:pPr>
        <w:pStyle w:val="H1G"/>
      </w:pPr>
      <w:bookmarkStart w:id="36" w:name="_Toc54696499"/>
      <w:r w:rsidRPr="00C90CFF">
        <w:tab/>
      </w:r>
      <w:r w:rsidRPr="008B5E26">
        <w:t>A</w:t>
      </w:r>
      <w:r w:rsidRPr="00993EA4">
        <w:t>.</w:t>
      </w:r>
      <w:r w:rsidRPr="00993EA4">
        <w:tab/>
      </w:r>
      <w:bookmarkEnd w:id="36"/>
      <w:r w:rsidRPr="00993EA4">
        <w:t>Правовая основа защиты прав человека</w:t>
      </w:r>
    </w:p>
    <w:p w14:paraId="4409A15A" w14:textId="77777777" w:rsidR="005D278A" w:rsidRPr="008F2B22" w:rsidRDefault="005D278A" w:rsidP="005D278A">
      <w:pPr>
        <w:pStyle w:val="SingleTxtG"/>
      </w:pPr>
      <w:r w:rsidRPr="008F2B22">
        <w:t>55.</w:t>
      </w:r>
      <w:r w:rsidRPr="008F2B22">
        <w:tab/>
        <w:t>Защита прав человека является краеугольным камнем израильского общества. Так было с первого дня существования государства, о чем свидетельствуют различные юридические документы, в том числе Декларация независимости, Основные и другие ключевые (</w:t>
      </w:r>
      <w:r>
        <w:t>«</w:t>
      </w:r>
      <w:r w:rsidRPr="008F2B22">
        <w:t>обычные</w:t>
      </w:r>
      <w:r>
        <w:t>»</w:t>
      </w:r>
      <w:r w:rsidRPr="008F2B22">
        <w:t>) законы Израиля, а также постановления Верховного суда.</w:t>
      </w:r>
    </w:p>
    <w:p w14:paraId="407FDF00" w14:textId="77777777" w:rsidR="005D278A" w:rsidRPr="00D91224" w:rsidRDefault="005D278A" w:rsidP="005D278A">
      <w:pPr>
        <w:pStyle w:val="H23G"/>
      </w:pPr>
      <w:r w:rsidRPr="008F2B22">
        <w:tab/>
      </w:r>
      <w:r w:rsidRPr="008F2B22">
        <w:tab/>
      </w:r>
      <w:r w:rsidRPr="00D91224">
        <w:rPr>
          <w:bCs/>
        </w:rPr>
        <w:t>Декларация независимости</w:t>
      </w:r>
    </w:p>
    <w:p w14:paraId="049ACCA9" w14:textId="77777777" w:rsidR="005D278A" w:rsidRPr="00D91224" w:rsidRDefault="005D278A" w:rsidP="005D278A">
      <w:pPr>
        <w:pStyle w:val="SingleTxtG"/>
      </w:pPr>
      <w:r w:rsidRPr="00D91224">
        <w:t>56.</w:t>
      </w:r>
      <w:r w:rsidRPr="00D91224">
        <w:tab/>
        <w:t>См. первоначальный базовый документ Израиля (</w:t>
      </w:r>
      <w:r w:rsidRPr="008B5E26">
        <w:t>HRI</w:t>
      </w:r>
      <w:r w:rsidRPr="00D91224">
        <w:t>/</w:t>
      </w:r>
      <w:r w:rsidRPr="008B5E26">
        <w:t>CORE</w:t>
      </w:r>
      <w:r w:rsidRPr="00D91224">
        <w:t>/</w:t>
      </w:r>
      <w:r w:rsidRPr="008B5E26">
        <w:t>ISR</w:t>
      </w:r>
      <w:r w:rsidRPr="00D91224">
        <w:t>/2008), стр. 4</w:t>
      </w:r>
      <w:r>
        <w:t>8</w:t>
      </w:r>
      <w:r w:rsidRPr="00D91224">
        <w:t>.</w:t>
      </w:r>
    </w:p>
    <w:p w14:paraId="41AA11B6" w14:textId="77777777" w:rsidR="005D278A" w:rsidRPr="008B5E26" w:rsidRDefault="005D278A" w:rsidP="005D278A">
      <w:pPr>
        <w:pStyle w:val="H23G"/>
        <w:rPr>
          <w:rtl/>
        </w:rPr>
      </w:pPr>
      <w:r w:rsidRPr="00D91224">
        <w:tab/>
      </w:r>
      <w:r w:rsidRPr="00D91224">
        <w:tab/>
      </w:r>
      <w:r w:rsidRPr="004576B3">
        <w:rPr>
          <w:bCs/>
        </w:rPr>
        <w:t>Основные законы</w:t>
      </w:r>
    </w:p>
    <w:p w14:paraId="3476544D" w14:textId="77777777" w:rsidR="005D278A" w:rsidRPr="004576B3" w:rsidRDefault="005D278A" w:rsidP="005D278A">
      <w:pPr>
        <w:pStyle w:val="SingleTxtG"/>
      </w:pPr>
      <w:r w:rsidRPr="004576B3">
        <w:t>57.</w:t>
      </w:r>
      <w:r w:rsidRPr="004576B3">
        <w:tab/>
        <w:t>См. первоначальный базовый документ Израиля (</w:t>
      </w:r>
      <w:r w:rsidRPr="008B5E26">
        <w:t>HRI</w:t>
      </w:r>
      <w:r w:rsidRPr="004576B3">
        <w:t>/</w:t>
      </w:r>
      <w:r w:rsidRPr="008B5E26">
        <w:t>CORE</w:t>
      </w:r>
      <w:r w:rsidRPr="004576B3">
        <w:t>/</w:t>
      </w:r>
      <w:r w:rsidRPr="008B5E26">
        <w:t>ISR</w:t>
      </w:r>
      <w:r w:rsidRPr="004576B3">
        <w:t>/2008), стр. 4</w:t>
      </w:r>
      <w:r>
        <w:t>8</w:t>
      </w:r>
      <w:r w:rsidRPr="004576B3">
        <w:t>.</w:t>
      </w:r>
    </w:p>
    <w:p w14:paraId="3A8CD801" w14:textId="439CFCFC" w:rsidR="005D278A" w:rsidRPr="00075545" w:rsidRDefault="005D278A" w:rsidP="005D278A">
      <w:pPr>
        <w:pStyle w:val="SingleTxtG"/>
      </w:pPr>
      <w:r w:rsidRPr="00075545">
        <w:t>58.</w:t>
      </w:r>
      <w:r w:rsidRPr="00075545">
        <w:tab/>
        <w:t>См. также выше обновленную информацию об Основном законе: Правительство и Основной закон</w:t>
      </w:r>
      <w:r>
        <w:t xml:space="preserve"> </w:t>
      </w:r>
      <w:r w:rsidRPr="00075545">
        <w:t>5778-2018</w:t>
      </w:r>
      <w:r w:rsidR="00A60851">
        <w:t>:</w:t>
      </w:r>
      <w:r w:rsidRPr="00075545">
        <w:t xml:space="preserve"> «Израиль </w:t>
      </w:r>
      <w:r w:rsidR="0014789C" w:rsidRPr="00B76E19">
        <w:t>‒‒</w:t>
      </w:r>
      <w:r w:rsidRPr="00075545">
        <w:t xml:space="preserve"> национальное государство еврейского народа».</w:t>
      </w:r>
    </w:p>
    <w:p w14:paraId="48476386" w14:textId="77777777" w:rsidR="005D278A" w:rsidRPr="0009010A" w:rsidRDefault="005D278A" w:rsidP="005D278A">
      <w:pPr>
        <w:pStyle w:val="H23G"/>
      </w:pPr>
      <w:r w:rsidRPr="00075545">
        <w:tab/>
      </w:r>
      <w:r w:rsidRPr="00075545">
        <w:tab/>
      </w:r>
      <w:r w:rsidRPr="00B07D86">
        <w:rPr>
          <w:bCs/>
        </w:rPr>
        <w:t>Обычные законы</w:t>
      </w:r>
    </w:p>
    <w:p w14:paraId="75C1D841" w14:textId="67131DA6" w:rsidR="005D278A" w:rsidRPr="0009010A" w:rsidRDefault="005D278A" w:rsidP="005D278A">
      <w:pPr>
        <w:pStyle w:val="SingleTxtG"/>
      </w:pPr>
      <w:r w:rsidRPr="00685D17">
        <w:t>59.</w:t>
      </w:r>
      <w:r w:rsidRPr="00685D17">
        <w:tab/>
        <w:t xml:space="preserve">Важным источником средств защиты прав человека служат обычные законы государства. </w:t>
      </w:r>
      <w:r w:rsidRPr="00B07D86">
        <w:t>Помимо законов</w:t>
      </w:r>
      <w:r w:rsidRPr="0009010A">
        <w:t xml:space="preserve">, </w:t>
      </w:r>
      <w:r w:rsidRPr="00B07D86">
        <w:t xml:space="preserve">подробно рассмотренных </w:t>
      </w:r>
      <w:r w:rsidRPr="0009010A">
        <w:t xml:space="preserve">в первоначальном базовом </w:t>
      </w:r>
      <w:r w:rsidRPr="00066B08">
        <w:t>документе Израиля</w:t>
      </w:r>
      <w:r w:rsidRPr="0009010A">
        <w:t xml:space="preserve"> (</w:t>
      </w:r>
      <w:r w:rsidRPr="00B07D86">
        <w:t>см</w:t>
      </w:r>
      <w:r w:rsidRPr="0009010A">
        <w:t xml:space="preserve">. </w:t>
      </w:r>
      <w:r w:rsidRPr="00066B08">
        <w:t xml:space="preserve">первоначальный базовый документ Израиля </w:t>
      </w:r>
      <w:r w:rsidRPr="0009010A">
        <w:t>(</w:t>
      </w:r>
      <w:r w:rsidRPr="00685D17">
        <w:t>HRI</w:t>
      </w:r>
      <w:r w:rsidRPr="0009010A">
        <w:t>/</w:t>
      </w:r>
      <w:r w:rsidRPr="00685D17">
        <w:t>CORE</w:t>
      </w:r>
      <w:r w:rsidRPr="0009010A">
        <w:t>/</w:t>
      </w:r>
      <w:r w:rsidR="00A60851">
        <w:t xml:space="preserve"> </w:t>
      </w:r>
      <w:r w:rsidRPr="00685D17">
        <w:t>ISR</w:t>
      </w:r>
      <w:r w:rsidRPr="0009010A">
        <w:t xml:space="preserve">/2008, </w:t>
      </w:r>
      <w:r w:rsidRPr="00B80296">
        <w:t>стр.</w:t>
      </w:r>
      <w:r w:rsidRPr="0009010A">
        <w:t xml:space="preserve"> 50) и </w:t>
      </w:r>
      <w:r w:rsidRPr="00066B08">
        <w:t xml:space="preserve">его обновление </w:t>
      </w:r>
      <w:r w:rsidRPr="0009010A">
        <w:t xml:space="preserve">2014 </w:t>
      </w:r>
      <w:r w:rsidRPr="00066B08">
        <w:t>года</w:t>
      </w:r>
      <w:r w:rsidRPr="0009010A">
        <w:t xml:space="preserve"> (</w:t>
      </w:r>
      <w:r w:rsidRPr="00685D17">
        <w:t>HRI</w:t>
      </w:r>
      <w:r w:rsidRPr="0009010A">
        <w:t>/</w:t>
      </w:r>
      <w:r w:rsidRPr="00685D17">
        <w:t>CORE</w:t>
      </w:r>
      <w:r w:rsidRPr="0009010A">
        <w:t>/</w:t>
      </w:r>
      <w:r w:rsidRPr="00685D17">
        <w:t>ISR</w:t>
      </w:r>
      <w:r w:rsidRPr="0009010A">
        <w:t xml:space="preserve">/2015)), в </w:t>
      </w:r>
      <w:r w:rsidRPr="00B07D86">
        <w:t xml:space="preserve">следующих </w:t>
      </w:r>
      <w:r>
        <w:t>пунктах</w:t>
      </w:r>
      <w:r w:rsidRPr="00B07D86">
        <w:t xml:space="preserve"> описывается несколько новых законов</w:t>
      </w:r>
      <w:r w:rsidRPr="0009010A">
        <w:t xml:space="preserve"> и </w:t>
      </w:r>
      <w:r w:rsidRPr="00B07D86">
        <w:t>важных поправок</w:t>
      </w:r>
      <w:r w:rsidRPr="0009010A">
        <w:t xml:space="preserve"> к </w:t>
      </w:r>
      <w:r w:rsidRPr="00B07D86">
        <w:t>существующим законам</w:t>
      </w:r>
      <w:r w:rsidRPr="0009010A">
        <w:t xml:space="preserve">, а </w:t>
      </w:r>
      <w:r w:rsidRPr="00B07D86">
        <w:t>также введение новых законов</w:t>
      </w:r>
      <w:r w:rsidRPr="0009010A">
        <w:t xml:space="preserve">, в </w:t>
      </w:r>
      <w:r w:rsidRPr="00B07D86">
        <w:t>общей сложности направленных на дальнейшую защиту прав человека</w:t>
      </w:r>
      <w:r w:rsidRPr="0009010A">
        <w:t xml:space="preserve"> в </w:t>
      </w:r>
      <w:r w:rsidRPr="00685D17">
        <w:t>Израиле</w:t>
      </w:r>
      <w:r w:rsidRPr="0009010A">
        <w:t>.</w:t>
      </w:r>
    </w:p>
    <w:p w14:paraId="289227E1" w14:textId="13082B58" w:rsidR="005D278A" w:rsidRPr="00412B2D" w:rsidRDefault="005D278A" w:rsidP="005D278A">
      <w:pPr>
        <w:pStyle w:val="SingleTxtG"/>
      </w:pPr>
      <w:r w:rsidRPr="001255ED">
        <w:t>60.</w:t>
      </w:r>
      <w:r w:rsidRPr="001255ED">
        <w:tab/>
      </w:r>
      <w:r w:rsidRPr="00412B2D">
        <w:rPr>
          <w:color w:val="000000" w:themeColor="text1"/>
        </w:rPr>
        <w:t>В январе 2019 года Кнессет утвердил поправку № 137 к Уголовному</w:t>
      </w:r>
      <w:r w:rsidR="00A60851">
        <w:rPr>
          <w:color w:val="000000" w:themeColor="text1"/>
        </w:rPr>
        <w:br/>
      </w:r>
      <w:r w:rsidRPr="00412B2D">
        <w:rPr>
          <w:color w:val="000000" w:themeColor="text1"/>
        </w:rPr>
        <w:t xml:space="preserve">закону 5737-1977. Эта поправка вводит расистские мотивы или враждебность по </w:t>
      </w:r>
      <w:r w:rsidRPr="00412B2D">
        <w:rPr>
          <w:color w:val="000000" w:themeColor="text1"/>
        </w:rPr>
        <w:lastRenderedPageBreak/>
        <w:t>отношению к общественности в качестве отягчающего обстоятельства в случае совершения убийства. В пояснительной записке к этой поправке Кнессет отметил,</w:t>
      </w:r>
      <w:r w:rsidR="00A60851">
        <w:rPr>
          <w:color w:val="000000" w:themeColor="text1"/>
        </w:rPr>
        <w:br/>
      </w:r>
      <w:r w:rsidRPr="00412B2D">
        <w:rPr>
          <w:color w:val="000000" w:themeColor="text1"/>
        </w:rPr>
        <w:t>что убийство, совершенное на почве расизма или враждебности по отношению к общественности, оправдывает суровое наказание в виде обязательного пожизненного заключения.</w:t>
      </w:r>
    </w:p>
    <w:p w14:paraId="0A10BCBB" w14:textId="77777777" w:rsidR="005D278A" w:rsidRPr="000E1DD9" w:rsidRDefault="005D278A" w:rsidP="005D278A">
      <w:pPr>
        <w:pStyle w:val="SingleTxtG"/>
      </w:pPr>
      <w:r w:rsidRPr="00587638">
        <w:t>61.</w:t>
      </w:r>
      <w:r w:rsidRPr="00587638">
        <w:tab/>
        <w:t>10 января 2019 года Кнессет принял Закон</w:t>
      </w:r>
      <w:r>
        <w:t xml:space="preserve"> </w:t>
      </w:r>
      <w:r w:rsidRPr="00587638">
        <w:t xml:space="preserve">5779-2018 о запрете потребления услуг проституции (временное положение), который запрещает потребление сексуальных услуг. Закон был принят в рамках предпринимаемых государством усилий по сокращению масштабов проституции и предоставлению помощи и реабилитации лицам, занимающимся проституцией. </w:t>
      </w:r>
      <w:r w:rsidRPr="005148E8">
        <w:t xml:space="preserve">Согласно этому Закону, правонарушение в виде потребления услуг проституции, которое включает в себя нахождение в месте, используемом для занятия проституцией, является административным правонарушением, за которое может быть наложен штраф в размере 2000 шекелей (540 долл. США) для лиц, совершивших правонарушение впервые, и штраф в двойном размере для рецидивистов, однако при определенных обстоятельствах против нарушителя может быть также возбуждено уголовное дело. </w:t>
      </w:r>
      <w:r w:rsidRPr="00B262DC">
        <w:t xml:space="preserve">Этот Закон вступил в силу 10 июля 2020 года сроком на пять (5) лет. </w:t>
      </w:r>
      <w:r w:rsidRPr="000E1DD9">
        <w:t>Его продление, требующее принятия дальнейшего законодательства, будет определяться в соответствии с результатами исследований его последствий.</w:t>
      </w:r>
    </w:p>
    <w:p w14:paraId="3F250B2E" w14:textId="77777777" w:rsidR="005D278A" w:rsidRPr="000C3FCE" w:rsidRDefault="005D278A" w:rsidP="005D278A">
      <w:pPr>
        <w:pStyle w:val="SingleTxtG"/>
      </w:pPr>
      <w:r w:rsidRPr="00A44A98">
        <w:t>62.</w:t>
      </w:r>
      <w:r w:rsidRPr="00A44A98">
        <w:tab/>
        <w:t xml:space="preserve">В октябре 2018 года Кнессет принял поправку № 22 к Закону о правовой помощи (5732-1972). Согласно этой поправке, Управление правовой помощи (УПП) при Минюсте будет предоставлять бесплатную правовую помощь любому лицу, подавшему гражданский иск в соответствии с Законом 5761-2000 о запрете дискриминации в связи с товарами, услугами и посещением мест развлечений и общественных мест, и которое не может позволить себе оплатить такие услуги, без проверки материального положения или оснований. </w:t>
      </w:r>
      <w:r w:rsidRPr="00580A29">
        <w:t xml:space="preserve">Данная поправка, в частности, является результатом выполнения рекомендаций 2016 года межведомственной группы Генерального директора Министерства юстиции, которой было поручено разработать план действий по борьбе с расизмом в отношении лиц эфиопского происхождения. </w:t>
      </w:r>
      <w:r w:rsidRPr="00FC2958">
        <w:t xml:space="preserve">Включение Закона о запрете дискриминации в приложение к Закону о правовой помощи имеет важное значение для общественных интересов и реализации прав различных слоев населения в израильском обществе. </w:t>
      </w:r>
      <w:r w:rsidRPr="007E3687">
        <w:t>Данная</w:t>
      </w:r>
      <w:r w:rsidRPr="0009010A">
        <w:t xml:space="preserve"> </w:t>
      </w:r>
      <w:r w:rsidRPr="007E3687">
        <w:t>поправка является временным постановлением сроком на три</w:t>
      </w:r>
      <w:r w:rsidRPr="0009010A">
        <w:t xml:space="preserve"> (3) </w:t>
      </w:r>
      <w:r w:rsidRPr="007E3687">
        <w:t>года</w:t>
      </w:r>
      <w:r w:rsidRPr="000C3FCE">
        <w:t>.</w:t>
      </w:r>
    </w:p>
    <w:p w14:paraId="0B2AB4DD" w14:textId="77777777" w:rsidR="005D278A" w:rsidRPr="007D2514" w:rsidRDefault="005D278A" w:rsidP="005D278A">
      <w:pPr>
        <w:pStyle w:val="SingleTxtG"/>
      </w:pPr>
      <w:r w:rsidRPr="000C3FCE">
        <w:t>63.</w:t>
      </w:r>
      <w:r w:rsidRPr="000C3FCE">
        <w:tab/>
        <w:t>В марте 2018 года Кнессет принял Закон</w:t>
      </w:r>
      <w:r>
        <w:t xml:space="preserve"> </w:t>
      </w:r>
      <w:r w:rsidRPr="000C3FCE">
        <w:t>5768-2018 о блокировке телефонных номеров для предотвращения преступлений, который уполномочивает сотрудника полиции блокировать публичн</w:t>
      </w:r>
      <w:r>
        <w:t>о афишированный</w:t>
      </w:r>
      <w:r w:rsidRPr="000C3FCE">
        <w:t xml:space="preserve"> телефонный номер, если у него/нее есть разумные основания полагать, что этот телефонный номер используется для совершения преступления, в том числе через Интернет или другие технологические приложения. </w:t>
      </w:r>
      <w:r>
        <w:t>Кроме того, он</w:t>
      </w:r>
      <w:r w:rsidRPr="007D2514">
        <w:t xml:space="preserve"> позволяет блокировать телефонные номера, рекламирующие услуги проституции, включая услуги несовершеннолетних, а также используемые для совершения преступлений, связанных с наркотиками и опасными веществами.</w:t>
      </w:r>
    </w:p>
    <w:p w14:paraId="00692AE7" w14:textId="7E3313A8" w:rsidR="005D278A" w:rsidRPr="00885C51" w:rsidRDefault="005D278A" w:rsidP="005D278A">
      <w:pPr>
        <w:pStyle w:val="SingleTxtG"/>
      </w:pPr>
      <w:r w:rsidRPr="006A7689">
        <w:t>64.</w:t>
      </w:r>
      <w:r w:rsidRPr="006A7689">
        <w:tab/>
        <w:t xml:space="preserve">В июле 2017 года Кнессет принял Закон 5777-2017 </w:t>
      </w:r>
      <w:r>
        <w:t>«</w:t>
      </w:r>
      <w:r w:rsidRPr="006A7689">
        <w:t>Об органах по предотвращению использования интернета для совершения правонарушений</w:t>
      </w:r>
      <w:r>
        <w:t>»</w:t>
      </w:r>
      <w:r w:rsidRPr="006A7689">
        <w:t xml:space="preserve">, который уполномочивает суды издавать постановления о блокировке доступа к веб-сайту или его удалении из Интернета. </w:t>
      </w:r>
      <w:r w:rsidRPr="00DA2FD0">
        <w:t xml:space="preserve">Такое постановление может быть издано, если оно будет иметь решающее значение для пресечения имеющего место правонарушения, предусмотренного Законом, например, правонарушения, связанного с проституцией, детской порнографией, азартными играми, наркотиками и опасными веществами. </w:t>
      </w:r>
      <w:r w:rsidRPr="00547826">
        <w:t xml:space="preserve">Этот Закон позволяет судам издавать три (3) вида постановлений: постановление об ограничении доступа к соответствующему сайту; постановление об ограничении возможности обнаружения соответствующего сайта; или постановление об удалении сайта из Интернета </w:t>
      </w:r>
      <w:r w:rsidR="001F0F04" w:rsidRPr="00B76E19">
        <w:t>‒‒</w:t>
      </w:r>
      <w:r w:rsidRPr="00547826">
        <w:t xml:space="preserve"> при условии, что соответствующий сайт хранится на сервере в Израиле или находится под контролем лица, находящегося в Израиле. </w:t>
      </w:r>
      <w:r w:rsidRPr="00885C51">
        <w:t xml:space="preserve">Цель этого Закона </w:t>
      </w:r>
      <w:r w:rsidR="001F0F04" w:rsidRPr="00B76E19">
        <w:t>‒‒</w:t>
      </w:r>
      <w:r w:rsidRPr="00885C51">
        <w:t xml:space="preserve"> предоставить правоохранительным органам дополнительные средства для борьбы с такими правонарушениями в виртуальном мире в рамках общих усилий, предпринимаемых в этом направлении.</w:t>
      </w:r>
    </w:p>
    <w:p w14:paraId="5D9F7E43" w14:textId="3B7DDECA" w:rsidR="005D278A" w:rsidRPr="00DC0E4F" w:rsidRDefault="005D278A" w:rsidP="005D278A">
      <w:pPr>
        <w:pStyle w:val="SingleTxtG"/>
      </w:pPr>
      <w:r w:rsidRPr="00FC6D23">
        <w:lastRenderedPageBreak/>
        <w:t>65.</w:t>
      </w:r>
      <w:r w:rsidRPr="00FC6D23">
        <w:tab/>
        <w:t>Закон</w:t>
      </w:r>
      <w:r>
        <w:t xml:space="preserve"> </w:t>
      </w:r>
      <w:r w:rsidRPr="00FC6D23">
        <w:t xml:space="preserve">5761-2000 о запрете дискриминации в связи с товарами, услугами и посещением мест развлечений и общественных мест, был дважды изменен в 2017 году (поправки </w:t>
      </w:r>
      <w:r w:rsidRPr="00C02344">
        <w:t>№</w:t>
      </w:r>
      <w:r w:rsidRPr="00FC6D23">
        <w:t xml:space="preserve"> 4 и 5), чтобы добавить фразы </w:t>
      </w:r>
      <w:r>
        <w:t>«</w:t>
      </w:r>
      <w:r w:rsidRPr="00FC6D23">
        <w:t>место проживания</w:t>
      </w:r>
      <w:r>
        <w:t>»</w:t>
      </w:r>
      <w:r w:rsidRPr="00FC6D23">
        <w:t xml:space="preserve"> и </w:t>
      </w:r>
      <w:r>
        <w:t>«</w:t>
      </w:r>
      <w:r w:rsidRPr="00FC6D23">
        <w:t>ношение формы сил безопасности и спасательных служб или их символики</w:t>
      </w:r>
      <w:r>
        <w:t>»</w:t>
      </w:r>
      <w:r w:rsidRPr="00FC6D23">
        <w:t xml:space="preserve"> к причинам, по которым дискриминация запрещена. </w:t>
      </w:r>
      <w:r w:rsidRPr="00DC0E4F">
        <w:t xml:space="preserve">Этот Закон считается нарушенным, если доказано, что лицо, чья деятельность связана с предоставлением товаров или общественных услуг или с эксплуатацией общественного места, задерживает предоставление общественной услуги или товара в месте ведения бизнеса или входа в общественное место </w:t>
      </w:r>
      <w:r w:rsidR="001F0F04" w:rsidRPr="00B76E19">
        <w:t>‒‒</w:t>
      </w:r>
      <w:r w:rsidRPr="00DC0E4F">
        <w:t xml:space="preserve"> на основании расы, религии или религиозной принадлежности, национальности, страны происхождения, пола, сексуальной ориентации, взглядов, политической принадлежности, возраста, личного статуса, родительских прав, места жительства или ношения формы сил безопасности и спасательных служб или их символики </w:t>
      </w:r>
      <w:r w:rsidR="001F0F04" w:rsidRPr="00B76E19">
        <w:t>‒‒</w:t>
      </w:r>
      <w:r w:rsidRPr="00DC0E4F">
        <w:t xml:space="preserve"> в то время как при аналогичных обстоятельствах лицам, не относящимся к данной группе, услуги предоставляются без задержки.</w:t>
      </w:r>
    </w:p>
    <w:p w14:paraId="4ABBBFD6" w14:textId="77777777" w:rsidR="005D278A" w:rsidRPr="00FA0C54" w:rsidRDefault="005D278A" w:rsidP="005D278A">
      <w:pPr>
        <w:pStyle w:val="SingleTxtG"/>
      </w:pPr>
      <w:r w:rsidRPr="00FA0C54">
        <w:t>66.</w:t>
      </w:r>
      <w:r w:rsidRPr="00FA0C54">
        <w:tab/>
        <w:t>Существуют и другие законы, которые были приняты аналогичным образом с конкретной целью обеспечить защиту какого-либо меньшинства или группы населения, находящихся в уязвимом положении и исторически подвергавшихся дискриминации.</w:t>
      </w:r>
    </w:p>
    <w:p w14:paraId="1FBB4165" w14:textId="35328A4C" w:rsidR="005D278A" w:rsidRPr="00AC191D" w:rsidRDefault="005D278A" w:rsidP="005D278A">
      <w:pPr>
        <w:pStyle w:val="SingleTxtG"/>
      </w:pPr>
      <w:r w:rsidRPr="00AC191D">
        <w:t>67.</w:t>
      </w:r>
      <w:r w:rsidRPr="00AC191D">
        <w:tab/>
        <w:t>Поправка № 19 к Закону о гражданской службе (назначениях) (декабрь</w:t>
      </w:r>
      <w:r w:rsidR="001F0F04">
        <w:br/>
      </w:r>
      <w:r w:rsidRPr="00AC191D">
        <w:t>2016 года) добавила ультраортодоксальное население и новых иммигрантов (любого происхождения) к населению, имеющему право на адекватное представительство на гражданской службе.</w:t>
      </w:r>
    </w:p>
    <w:p w14:paraId="6DC8928F" w14:textId="16F4EBAB" w:rsidR="005D278A" w:rsidRPr="00E60757" w:rsidRDefault="005D278A" w:rsidP="005D278A">
      <w:pPr>
        <w:pStyle w:val="SingleTxtG"/>
      </w:pPr>
      <w:r w:rsidRPr="00C21E54">
        <w:t>68.</w:t>
      </w:r>
      <w:r w:rsidRPr="00C21E54">
        <w:tab/>
        <w:t>В рамках постоянно проводимой Израилем борьбы с терроризмом 15 июня</w:t>
      </w:r>
      <w:r w:rsidR="001F0F04">
        <w:br/>
      </w:r>
      <w:r w:rsidRPr="00C21E54">
        <w:t xml:space="preserve">2016 года правительство Израиля ввело в действие Закон 5776-2016 о борьбе с терроризмом. </w:t>
      </w:r>
      <w:r w:rsidRPr="00D93EE6">
        <w:t xml:space="preserve">Этот подробный и тщательно разработанный новый Закон является частью усилий по предоставлению правоохранительным органам более эффективных средств для борьбы с современными террористическими угрозами, при этом предусматривая дополнительные сдержки и противовесы, необходимые для защиты от необоснованных нарушений индивидуальных прав человека. </w:t>
      </w:r>
      <w:r w:rsidRPr="00586ADC">
        <w:t xml:space="preserve">Закон предусматривает, среди прочего, обновленные определения понятий </w:t>
      </w:r>
      <w:r>
        <w:t>«</w:t>
      </w:r>
      <w:r w:rsidRPr="00586ADC">
        <w:t>террористическая организация</w:t>
      </w:r>
      <w:r>
        <w:t>»</w:t>
      </w:r>
      <w:r w:rsidRPr="00586ADC">
        <w:t xml:space="preserve">, </w:t>
      </w:r>
      <w:r>
        <w:t>«</w:t>
      </w:r>
      <w:r w:rsidRPr="00586ADC">
        <w:t>террористический акт</w:t>
      </w:r>
      <w:r>
        <w:t>»</w:t>
      </w:r>
      <w:r w:rsidRPr="00586ADC">
        <w:t xml:space="preserve"> и </w:t>
      </w:r>
      <w:r>
        <w:t>«</w:t>
      </w:r>
      <w:r w:rsidRPr="00586ADC">
        <w:t>членство в террористической организации</w:t>
      </w:r>
      <w:r>
        <w:t>»</w:t>
      </w:r>
      <w:r w:rsidRPr="00586ADC">
        <w:t xml:space="preserve">, подробные правила процесса определения террористических организаций, а также расширенные средства правоприменения, как уголовного, так и финансового характера. </w:t>
      </w:r>
      <w:r w:rsidRPr="00E60757">
        <w:t>Этот Закон не создает какой-либо дискриминации по признаку расы, цвета кожи, происхождения или национальной или этнической принадлежности отдельных лиц и не подвергает людей расовому или этническому профилированию или стереотипам.</w:t>
      </w:r>
    </w:p>
    <w:p w14:paraId="42AB741B" w14:textId="77777777" w:rsidR="005D278A" w:rsidRPr="00BD13AD" w:rsidRDefault="005D278A" w:rsidP="005D278A">
      <w:pPr>
        <w:pStyle w:val="SingleTxtG"/>
      </w:pPr>
      <w:r w:rsidRPr="00BD13AD">
        <w:t>69.</w:t>
      </w:r>
      <w:r w:rsidRPr="00BD13AD">
        <w:tab/>
        <w:t>Информацию о дополнительных законах, включающих международные конвенции по правам человека или ссылающихся на них, см. в обновленном базовом документе Израиля за 2014 год (HRI/CORE/ISR/2015, стр. 17).</w:t>
      </w:r>
    </w:p>
    <w:p w14:paraId="469208E6" w14:textId="77777777" w:rsidR="005D278A" w:rsidRPr="00EB2A5D" w:rsidRDefault="005D278A" w:rsidP="005D278A">
      <w:pPr>
        <w:pStyle w:val="H23G"/>
      </w:pPr>
      <w:r w:rsidRPr="00BD13AD">
        <w:tab/>
      </w:r>
      <w:r w:rsidRPr="00BD13AD">
        <w:tab/>
      </w:r>
      <w:r w:rsidRPr="00720A49">
        <w:rPr>
          <w:bCs/>
        </w:rPr>
        <w:t>Постановления Верховного суда</w:t>
      </w:r>
    </w:p>
    <w:p w14:paraId="6B6C3844" w14:textId="77777777" w:rsidR="005D278A" w:rsidRPr="0009010A" w:rsidRDefault="005D278A" w:rsidP="005D278A">
      <w:pPr>
        <w:pStyle w:val="SingleTxtG"/>
      </w:pPr>
      <w:r w:rsidRPr="0009010A">
        <w:t>70.</w:t>
      </w:r>
      <w:r w:rsidRPr="0009010A">
        <w:tab/>
        <w:t xml:space="preserve">Постановления Верховного суда Израиля (особенно те, что он принимает в своем качестве Высокого суда) также являются важным механизмом защиты прав человека. </w:t>
      </w:r>
      <w:r>
        <w:t>Содержащиеся в них</w:t>
      </w:r>
      <w:r w:rsidRPr="0009010A">
        <w:t xml:space="preserve"> декларативные заявления в защиту прав человека, сформулированные при толковании тех или иных законов, свидетельствуют, что высшая судебная инстанция страны на протяжении многих лет является надежным защитником столь важных прав.</w:t>
      </w:r>
    </w:p>
    <w:p w14:paraId="31B78B4E" w14:textId="55446838" w:rsidR="005D278A" w:rsidRPr="00D703D8" w:rsidRDefault="005D278A" w:rsidP="005D278A">
      <w:pPr>
        <w:pStyle w:val="SingleTxtG"/>
      </w:pPr>
      <w:r w:rsidRPr="006C4D95">
        <w:t>71.</w:t>
      </w:r>
      <w:r w:rsidRPr="006C4D95">
        <w:tab/>
        <w:t>Верховный суд постановил, что все законодательные нормы должны толковаться в соответствии с требованиями Основных законов (</w:t>
      </w:r>
      <w:r w:rsidRPr="008B5E26">
        <w:t>C</w:t>
      </w:r>
      <w:r w:rsidRPr="006C4D95">
        <w:t>.</w:t>
      </w:r>
      <w:r w:rsidRPr="008B5E26">
        <w:t>A</w:t>
      </w:r>
      <w:r w:rsidRPr="006C4D95">
        <w:t xml:space="preserve">. 537/95 </w:t>
      </w:r>
      <w:r w:rsidRPr="008B5E26">
        <w:t>Ganimat</w:t>
      </w:r>
      <w:r w:rsidRPr="006C4D95">
        <w:t xml:space="preserve"> </w:t>
      </w:r>
      <w:r w:rsidRPr="008B5E26">
        <w:t>v</w:t>
      </w:r>
      <w:r w:rsidRPr="006C4D95">
        <w:t xml:space="preserve">. </w:t>
      </w:r>
      <w:r w:rsidRPr="008B5E26">
        <w:t>The</w:t>
      </w:r>
      <w:r w:rsidRPr="006C4D95">
        <w:t xml:space="preserve"> </w:t>
      </w:r>
      <w:r w:rsidRPr="008B5E26">
        <w:t>State</w:t>
      </w:r>
      <w:r w:rsidRPr="006C4D95">
        <w:t xml:space="preserve"> </w:t>
      </w:r>
      <w:r w:rsidRPr="008B5E26">
        <w:t>of</w:t>
      </w:r>
      <w:r w:rsidRPr="006C4D95">
        <w:t xml:space="preserve"> </w:t>
      </w:r>
      <w:r w:rsidRPr="008B5E26">
        <w:t>Israel</w:t>
      </w:r>
      <w:r w:rsidRPr="006C4D95">
        <w:t xml:space="preserve"> [1995] </w:t>
      </w:r>
      <w:r w:rsidRPr="008B5E26">
        <w:t>P</w:t>
      </w:r>
      <w:r w:rsidRPr="006C4D95">
        <w:t>.</w:t>
      </w:r>
      <w:r w:rsidRPr="008B5E26">
        <w:t>D</w:t>
      </w:r>
      <w:r w:rsidRPr="006C4D95">
        <w:t xml:space="preserve">. 49(4), 589). </w:t>
      </w:r>
      <w:r w:rsidRPr="00C23706">
        <w:t>Кроме того, многие права, получившие признание Верховного суда в прошлом, позднее превратились в официальные законодательные нормы, например, свобода занятий, которую Суд признал еще</w:t>
      </w:r>
      <w:r w:rsidR="001F0F04">
        <w:br/>
      </w:r>
      <w:r w:rsidRPr="00C23706">
        <w:t>в 1949 году, исходя из естественного права каждого гражданина или жителя страны выбирать любую работу или профессию, которая не запрещена законом (</w:t>
      </w:r>
      <w:r w:rsidRPr="008B5E26">
        <w:t>H</w:t>
      </w:r>
      <w:r w:rsidRPr="00C23706">
        <w:t>.</w:t>
      </w:r>
      <w:r w:rsidRPr="008B5E26">
        <w:t>C</w:t>
      </w:r>
      <w:r w:rsidRPr="00C23706">
        <w:t>.</w:t>
      </w:r>
      <w:r w:rsidRPr="008B5E26">
        <w:t>J</w:t>
      </w:r>
      <w:r w:rsidRPr="00C23706">
        <w:t xml:space="preserve">. 1/49 </w:t>
      </w:r>
      <w:r w:rsidRPr="008B5E26">
        <w:lastRenderedPageBreak/>
        <w:t>Bejerano</w:t>
      </w:r>
      <w:r w:rsidRPr="00C23706">
        <w:t xml:space="preserve"> </w:t>
      </w:r>
      <w:r w:rsidRPr="008B5E26">
        <w:t>v</w:t>
      </w:r>
      <w:r w:rsidRPr="00C23706">
        <w:t xml:space="preserve">. </w:t>
      </w:r>
      <w:r w:rsidRPr="008B5E26">
        <w:t>The</w:t>
      </w:r>
      <w:r w:rsidRPr="00C23706">
        <w:t xml:space="preserve"> </w:t>
      </w:r>
      <w:r w:rsidRPr="008B5E26">
        <w:t>Minister</w:t>
      </w:r>
      <w:r w:rsidRPr="00C23706">
        <w:t xml:space="preserve"> </w:t>
      </w:r>
      <w:r w:rsidRPr="008B5E26">
        <w:t>of</w:t>
      </w:r>
      <w:r w:rsidRPr="00C23706">
        <w:t xml:space="preserve"> </w:t>
      </w:r>
      <w:r w:rsidRPr="008B5E26">
        <w:t>Police</w:t>
      </w:r>
      <w:r w:rsidRPr="00C23706">
        <w:t xml:space="preserve"> [1949] </w:t>
      </w:r>
      <w:r w:rsidRPr="008B5E26">
        <w:t>P</w:t>
      </w:r>
      <w:r w:rsidRPr="00C23706">
        <w:t>.</w:t>
      </w:r>
      <w:r w:rsidRPr="008B5E26">
        <w:t>D</w:t>
      </w:r>
      <w:r w:rsidRPr="00C23706">
        <w:t xml:space="preserve">. 2(1), 80). </w:t>
      </w:r>
      <w:r w:rsidRPr="00D703D8">
        <w:t>Впоследствии эта норма была официально закреплена в Основном законе о свободе занятий (1994 год).</w:t>
      </w:r>
    </w:p>
    <w:p w14:paraId="6967F9E3" w14:textId="3C5F0B21" w:rsidR="005D278A" w:rsidRPr="000902A9" w:rsidRDefault="005D278A" w:rsidP="005D278A">
      <w:pPr>
        <w:pStyle w:val="SingleTxtG"/>
      </w:pPr>
      <w:r w:rsidRPr="00720A49">
        <w:t>72.</w:t>
      </w:r>
      <w:r w:rsidRPr="00720A49">
        <w:tab/>
        <w:t>Примеры постановлений Верховного суда, защищающих различные права человека и смежные вопросы, см. в первоначальном базовом документе Израиля (HRI/</w:t>
      </w:r>
      <w:r w:rsidR="001F0F04">
        <w:t xml:space="preserve"> </w:t>
      </w:r>
      <w:r w:rsidRPr="00720A49">
        <w:t xml:space="preserve">CORE/ISR/2008) и обновленном базовом документе 2014 года (HRI/CORE/ISR/2015). </w:t>
      </w:r>
      <w:r w:rsidRPr="000902A9">
        <w:t>Ряд недавних важных решений Верховного суда по этому вопросу см. в приложении к настоящему докладу (стр. 15).</w:t>
      </w:r>
    </w:p>
    <w:p w14:paraId="54EA6F67" w14:textId="77777777" w:rsidR="005D278A" w:rsidRPr="007D069E" w:rsidRDefault="005D278A" w:rsidP="005D278A">
      <w:pPr>
        <w:pStyle w:val="H23G"/>
      </w:pPr>
      <w:r w:rsidRPr="000902A9">
        <w:tab/>
      </w:r>
      <w:r w:rsidRPr="000902A9">
        <w:tab/>
      </w:r>
      <w:r w:rsidRPr="007D069E">
        <w:rPr>
          <w:bCs/>
        </w:rPr>
        <w:t>Экономические и социальные права</w:t>
      </w:r>
    </w:p>
    <w:p w14:paraId="40C09883" w14:textId="324F8EA4" w:rsidR="005D278A" w:rsidRPr="0060304D" w:rsidRDefault="005D278A" w:rsidP="005D278A">
      <w:pPr>
        <w:pStyle w:val="SingleTxtG"/>
      </w:pPr>
      <w:r w:rsidRPr="007D069E">
        <w:t>73.</w:t>
      </w:r>
      <w:r w:rsidRPr="007D069E">
        <w:tab/>
        <w:t>Касательно основных экономических и социальных прав, защищаемых</w:t>
      </w:r>
      <w:r w:rsidR="001F0F04">
        <w:br/>
      </w:r>
      <w:r w:rsidRPr="007D069E">
        <w:t>в Израиле, см. первоначальный базовый документ Израиля (</w:t>
      </w:r>
      <w:r w:rsidRPr="008B5E26">
        <w:t>HRI</w:t>
      </w:r>
      <w:r w:rsidRPr="007D069E">
        <w:t>/</w:t>
      </w:r>
      <w:r w:rsidRPr="008B5E26">
        <w:t>CORE</w:t>
      </w:r>
      <w:r w:rsidRPr="007D069E">
        <w:t>/</w:t>
      </w:r>
      <w:r w:rsidRPr="008B5E26">
        <w:t>ISR</w:t>
      </w:r>
      <w:r w:rsidRPr="007D069E">
        <w:t>/2008,</w:t>
      </w:r>
      <w:r w:rsidR="001F0F04">
        <w:br/>
        <w:t>(</w:t>
      </w:r>
      <w:r w:rsidRPr="00AA59E7">
        <w:t>стр. 57</w:t>
      </w:r>
      <w:r w:rsidRPr="007D069E">
        <w:t>)</w:t>
      </w:r>
      <w:r w:rsidR="001F0F04">
        <w:t>)</w:t>
      </w:r>
      <w:r w:rsidRPr="007D069E">
        <w:t xml:space="preserve"> </w:t>
      </w:r>
      <w:r w:rsidRPr="00FF6752">
        <w:t>и его обновление 2014 года</w:t>
      </w:r>
      <w:r w:rsidRPr="007D069E">
        <w:t xml:space="preserve"> (</w:t>
      </w:r>
      <w:r w:rsidRPr="008B5E26">
        <w:t>HRI</w:t>
      </w:r>
      <w:r w:rsidRPr="007D069E">
        <w:t>/</w:t>
      </w:r>
      <w:r w:rsidRPr="008B5E26">
        <w:t>CORE</w:t>
      </w:r>
      <w:r w:rsidRPr="007D069E">
        <w:t>/</w:t>
      </w:r>
      <w:r w:rsidRPr="008B5E26">
        <w:t>ISR</w:t>
      </w:r>
      <w:r w:rsidRPr="007D069E">
        <w:t>/2015 (</w:t>
      </w:r>
      <w:r w:rsidRPr="00C93E01">
        <w:t>стр. 20</w:t>
      </w:r>
      <w:r w:rsidRPr="007D069E">
        <w:t xml:space="preserve">)). </w:t>
      </w:r>
      <w:r w:rsidRPr="0060304D">
        <w:t xml:space="preserve">В дополнение к этому ниже следует изложение основных достижений в деле защиты экономических и социальных прав за последние годы как в законодательной, так и в судебной сферах. </w:t>
      </w:r>
    </w:p>
    <w:p w14:paraId="37A7A81E" w14:textId="7BD2E8E5" w:rsidR="005D278A" w:rsidRPr="0048531D" w:rsidRDefault="005D278A" w:rsidP="005D278A">
      <w:pPr>
        <w:pStyle w:val="SingleTxtG"/>
      </w:pPr>
      <w:r w:rsidRPr="001D1966">
        <w:t>74.</w:t>
      </w:r>
      <w:r w:rsidRPr="001D1966">
        <w:tab/>
        <w:t>Поправка № 209 к Закону</w:t>
      </w:r>
      <w:r>
        <w:t xml:space="preserve"> </w:t>
      </w:r>
      <w:r w:rsidRPr="001D1966">
        <w:t xml:space="preserve">1995-5755 о национальном страховании </w:t>
      </w:r>
      <w:r w:rsidR="001F0F04" w:rsidRPr="00B76E19">
        <w:t>‒‒</w:t>
      </w:r>
      <w:r w:rsidRPr="001D1966">
        <w:t xml:space="preserve"> эта поправка была одобрена Кнессетом 31 декабря 2018 года. </w:t>
      </w:r>
      <w:r w:rsidRPr="006F3046">
        <w:t>Согласно этой поправке, оплата услуг по уходу на дому за инвалидами перечисляется непосредственно поставщику услуг по уходу или самому человеку, если он/она проживает с другим членом семьи, который ухаживает за ним/</w:t>
      </w:r>
      <w:r>
        <w:t xml:space="preserve">за </w:t>
      </w:r>
      <w:r w:rsidRPr="006F3046">
        <w:t xml:space="preserve">ней. </w:t>
      </w:r>
      <w:r w:rsidRPr="00973D18">
        <w:t xml:space="preserve">В случаях, когда в районе проживания пациента услуги по уходу не предоставляются, оплата будет перечислена непосредственно пациенту, независимо от того, проживает ли с ним/с ней член семьи. </w:t>
      </w:r>
      <w:r w:rsidRPr="0048531D">
        <w:t>Поправка также сократила период ожидания выплаты с 60 до 30 дней.</w:t>
      </w:r>
    </w:p>
    <w:p w14:paraId="35E94829" w14:textId="77777777" w:rsidR="005D278A" w:rsidRPr="009046DF" w:rsidRDefault="005D278A" w:rsidP="005D278A">
      <w:pPr>
        <w:pStyle w:val="SingleTxtG"/>
      </w:pPr>
      <w:r w:rsidRPr="0048531D">
        <w:t>75.</w:t>
      </w:r>
      <w:r w:rsidRPr="0048531D">
        <w:tab/>
        <w:t xml:space="preserve">В декабре 2018 года Кнессет принял Закон 5768-2018 об установке камер для защиты детей младшего возраста в центрах дневного ухода. </w:t>
      </w:r>
      <w:r w:rsidRPr="009B1FE1">
        <w:t xml:space="preserve">Этот Закон направлен на обеспечение безопасности детей младшего возраста, посещающих центры дневного ухода, путем установки камер, сохраняя, насколько это возможно, достоинство и личное пространство детей, сотрудников и любых других лиц в этих учреждениях. </w:t>
      </w:r>
      <w:r w:rsidRPr="004A080B">
        <w:t xml:space="preserve">Этот Закон предусматривает, что отснятый материал будет храниться у менеджера центра дневного ухода в течение периода времени, не превышающего 30 дней, при принятии разумных мер для предотвращения несанкционированного доступа к отснятому материалу. </w:t>
      </w:r>
      <w:r w:rsidRPr="009046DF">
        <w:t>Кроме того, просмотр отснятого материала, его передача или использование разрешены только по решению суда.</w:t>
      </w:r>
    </w:p>
    <w:p w14:paraId="51822EC0" w14:textId="4D6F6B06" w:rsidR="005D278A" w:rsidRPr="00146111" w:rsidRDefault="005D278A" w:rsidP="005D278A">
      <w:pPr>
        <w:pStyle w:val="SingleTxtG"/>
      </w:pPr>
      <w:r w:rsidRPr="001D4942">
        <w:t>76.</w:t>
      </w:r>
      <w:r w:rsidRPr="001D4942">
        <w:tab/>
      </w:r>
      <w:r w:rsidRPr="001D4942">
        <w:rPr>
          <w:rFonts w:eastAsia="Calibri"/>
        </w:rPr>
        <w:t xml:space="preserve">29 октября 2018 года вступила в силу поправка 33 к Закону 1963-5723 о компенсации за прекращение трудовых отношений. </w:t>
      </w:r>
      <w:r w:rsidRPr="00060BD1">
        <w:rPr>
          <w:rFonts w:eastAsia="Calibri"/>
        </w:rPr>
        <w:t xml:space="preserve">В этой поправке признаются негативные последствия, которые могут иметь место для уязвимых групп работников, нанятых через компании по трудоустройству (КТ), когда договор между клиентом и КТ прекращается и нанимается новая КТ для предоставления тех же услуг этому клиенту. </w:t>
      </w:r>
      <w:r w:rsidRPr="00A521DE">
        <w:rPr>
          <w:rFonts w:eastAsia="Calibri"/>
        </w:rPr>
        <w:t xml:space="preserve">Цель поправки </w:t>
      </w:r>
      <w:r w:rsidR="001F0F04" w:rsidRPr="001F0F04">
        <w:rPr>
          <w:rFonts w:eastAsia="Calibri"/>
        </w:rPr>
        <w:t>‒‒</w:t>
      </w:r>
      <w:r w:rsidRPr="00A521DE">
        <w:rPr>
          <w:rFonts w:eastAsia="Calibri"/>
        </w:rPr>
        <w:t xml:space="preserve"> дать возможность работнику продолжать оказывать те же услуги клиенту, работая в новой КТ, без риска потери выходного пособия за полный срок работы в бывшей КТ и права на стаж. </w:t>
      </w:r>
      <w:r w:rsidRPr="00146111">
        <w:rPr>
          <w:rFonts w:eastAsia="Calibri"/>
        </w:rPr>
        <w:t>Согласно новой поправке, это также будет относиться к ситуациям, когда бывшая КТ предлагает работнику должность в другом месте, но работник решает продолжить работу на того же клиента в рамках договора с новой КТ.</w:t>
      </w:r>
    </w:p>
    <w:p w14:paraId="0A485E22" w14:textId="448FE668" w:rsidR="005D278A" w:rsidRPr="00C671E2" w:rsidRDefault="005D278A" w:rsidP="005D278A">
      <w:pPr>
        <w:pStyle w:val="SingleTxtG"/>
      </w:pPr>
      <w:r w:rsidRPr="00C671E2">
        <w:t>77.</w:t>
      </w:r>
      <w:r w:rsidRPr="00C671E2">
        <w:tab/>
        <w:t>С августа 2018 года (после внесения поправки № 20 в Закон 5732-1972 о правовой помощи) Национальное представительство по делам детей также оказывает правовую помощь и содействие детям и подросткам, пострадавшим от жестокого сексуального насилия, как на протяжении уголовного судопроизводства в отношении преступника, так и в ходе любого судебного или административного разбирательства, связанного с уголовным судопроизводством (например, когда речь идет об охранных судебных приказах, гражданских исках о возмещении вреда и т.</w:t>
      </w:r>
      <w:r w:rsidR="001F0F04">
        <w:t> </w:t>
      </w:r>
      <w:r w:rsidRPr="00C671E2">
        <w:t>д.).</w:t>
      </w:r>
    </w:p>
    <w:p w14:paraId="155004C9" w14:textId="77777777" w:rsidR="005D278A" w:rsidRPr="00AA0FD4" w:rsidRDefault="005D278A" w:rsidP="005D278A">
      <w:pPr>
        <w:pStyle w:val="SingleTxtG"/>
      </w:pPr>
      <w:r w:rsidRPr="00317272">
        <w:t>78.</w:t>
      </w:r>
      <w:r w:rsidRPr="00317272">
        <w:tab/>
        <w:t>29 июля 2018 года в Правила 5756-1995</w:t>
      </w:r>
      <w:r>
        <w:t xml:space="preserve"> </w:t>
      </w:r>
      <w:r w:rsidRPr="00317272">
        <w:t xml:space="preserve">трудоустройства </w:t>
      </w:r>
      <w:r>
        <w:t>подростков</w:t>
      </w:r>
      <w:r w:rsidRPr="00317272">
        <w:t xml:space="preserve">  (запрещенная и ограниченная занятость) был</w:t>
      </w:r>
      <w:r>
        <w:t>а</w:t>
      </w:r>
      <w:r w:rsidRPr="00317272">
        <w:t xml:space="preserve"> </w:t>
      </w:r>
      <w:r>
        <w:t>внесена</w:t>
      </w:r>
      <w:r w:rsidRPr="00317272">
        <w:t xml:space="preserve"> поправк</w:t>
      </w:r>
      <w:r>
        <w:t>а</w:t>
      </w:r>
      <w:r w:rsidRPr="00317272">
        <w:t xml:space="preserve">. </w:t>
      </w:r>
      <w:r w:rsidRPr="00757145">
        <w:t xml:space="preserve">В </w:t>
      </w:r>
      <w:r>
        <w:t xml:space="preserve">этих </w:t>
      </w:r>
      <w:r w:rsidRPr="00757145">
        <w:t>правилах приводится перечень видов работ, для выполнени</w:t>
      </w:r>
      <w:r>
        <w:t>я</w:t>
      </w:r>
      <w:r w:rsidRPr="00757145">
        <w:t xml:space="preserve"> которых запрещено привлекать </w:t>
      </w:r>
      <w:r>
        <w:t>подростков</w:t>
      </w:r>
      <w:r w:rsidRPr="00757145">
        <w:t xml:space="preserve">. </w:t>
      </w:r>
      <w:r w:rsidRPr="00AA0FD4">
        <w:t xml:space="preserve">Эта поправка вводит общий запрет на использование </w:t>
      </w:r>
      <w:r>
        <w:t>подростков</w:t>
      </w:r>
      <w:r w:rsidRPr="00AA0FD4">
        <w:t xml:space="preserve"> на строительных работах (включая работу на строительных площадках), за исключением </w:t>
      </w:r>
      <w:r w:rsidRPr="00AA0FD4">
        <w:lastRenderedPageBreak/>
        <w:t xml:space="preserve">случаев, когда </w:t>
      </w:r>
      <w:r>
        <w:t>подростки</w:t>
      </w:r>
      <w:r w:rsidRPr="00AA0FD4">
        <w:t xml:space="preserve"> принима</w:t>
      </w:r>
      <w:r>
        <w:t>ю</w:t>
      </w:r>
      <w:r w:rsidRPr="00AA0FD4">
        <w:t>тся на работу в рамках стажировки или профессионального обучения.</w:t>
      </w:r>
    </w:p>
    <w:p w14:paraId="39D462F8" w14:textId="77777777" w:rsidR="005D278A" w:rsidRPr="00470058" w:rsidRDefault="005D278A" w:rsidP="005D278A">
      <w:pPr>
        <w:pStyle w:val="SingleTxtG"/>
      </w:pPr>
      <w:r w:rsidRPr="00AE1E2B">
        <w:t>79.</w:t>
      </w:r>
      <w:r w:rsidRPr="00AE1E2B">
        <w:tab/>
        <w:t xml:space="preserve">В июле 2018 года в Правила </w:t>
      </w:r>
      <w:r>
        <w:t>Ведомства</w:t>
      </w:r>
      <w:r w:rsidRPr="00AE1E2B">
        <w:t xml:space="preserve"> </w:t>
      </w:r>
      <w:r>
        <w:t>н</w:t>
      </w:r>
      <w:r w:rsidRPr="00AE1E2B">
        <w:t xml:space="preserve">ационального страхования (Совет </w:t>
      </w:r>
      <w:r>
        <w:t>Ведомства</w:t>
      </w:r>
      <w:r w:rsidRPr="00AE1E2B">
        <w:t>) был</w:t>
      </w:r>
      <w:r>
        <w:t>а</w:t>
      </w:r>
      <w:r w:rsidRPr="00AE1E2B">
        <w:t xml:space="preserve"> внесен</w:t>
      </w:r>
      <w:r>
        <w:t>а</w:t>
      </w:r>
      <w:r w:rsidRPr="00AE1E2B">
        <w:t xml:space="preserve"> поправк</w:t>
      </w:r>
      <w:r>
        <w:t>а</w:t>
      </w:r>
      <w:r w:rsidRPr="00AE1E2B">
        <w:t>, направленн</w:t>
      </w:r>
      <w:r>
        <w:t>ая</w:t>
      </w:r>
      <w:r w:rsidRPr="00AE1E2B">
        <w:t xml:space="preserve"> на обеспечение адекватного представительства в Совете </w:t>
      </w:r>
      <w:r>
        <w:t>Ведомства</w:t>
      </w:r>
      <w:r w:rsidRPr="00AE1E2B">
        <w:t xml:space="preserve">. </w:t>
      </w:r>
      <w:r w:rsidRPr="00006757">
        <w:t>Представительство в соответствии с этой поправкой включает следующие группы населения: лица обоих полов; инвалид</w:t>
      </w:r>
      <w:r>
        <w:t>ы</w:t>
      </w:r>
      <w:r w:rsidRPr="00006757">
        <w:t xml:space="preserve">; представители арабского населения, включая друзов и черкесов; лица, которые родились в Эфиопии или один из родителей которых родился в Эфиопии; </w:t>
      </w:r>
      <w:r w:rsidRPr="00470058">
        <w:t>представители ультраортодоксального населения</w:t>
      </w:r>
      <w:r w:rsidRPr="00006757">
        <w:t xml:space="preserve">; </w:t>
      </w:r>
      <w:r w:rsidRPr="00470058">
        <w:t>и новые иммигранты</w:t>
      </w:r>
      <w:r w:rsidRPr="00006757">
        <w:t xml:space="preserve">. </w:t>
      </w:r>
      <w:r w:rsidRPr="00470058">
        <w:t>Эта поправка заменила положение, которое предусматривало адекватное представительство только в отношении женщин.</w:t>
      </w:r>
    </w:p>
    <w:p w14:paraId="23E596AB" w14:textId="58409FA0" w:rsidR="005D278A" w:rsidRPr="001E7DBD" w:rsidRDefault="005D278A" w:rsidP="005D278A">
      <w:pPr>
        <w:pStyle w:val="SingleTxtG"/>
      </w:pPr>
      <w:r w:rsidRPr="008A0174">
        <w:t>80.</w:t>
      </w:r>
      <w:r w:rsidRPr="008A0174">
        <w:tab/>
        <w:t xml:space="preserve">12 февраля 2018 года Кнессет утвердил поправку № 200 к Закону 1995-5755 о национальном страховании. </w:t>
      </w:r>
      <w:r w:rsidRPr="005F6A85">
        <w:t xml:space="preserve">Она предусматривает постепенное увеличение пособия по общей инвалидности к 2021 году. Это повышение будет увязано с ростом средней заработной платы. Предполагается, что все соответствующие выплаты будут расти одновременно. </w:t>
      </w:r>
      <w:r w:rsidRPr="001E7DBD">
        <w:t>План реализации поправки № 200 был подготовлен Кнессетом</w:t>
      </w:r>
      <w:r w:rsidR="001F0F04">
        <w:br/>
      </w:r>
      <w:r w:rsidRPr="001E7DBD">
        <w:t>23-го созыва в рамках обсуждения государственного бюджета, однако на момент завершения этого обновления бюджет ожидает утверждения.</w:t>
      </w:r>
    </w:p>
    <w:p w14:paraId="39D1D80B" w14:textId="77777777" w:rsidR="005D278A" w:rsidRPr="0088462A" w:rsidRDefault="005D278A" w:rsidP="005D278A">
      <w:pPr>
        <w:pStyle w:val="SingleTxtG"/>
      </w:pPr>
      <w:r w:rsidRPr="0009512D">
        <w:t>81.</w:t>
      </w:r>
      <w:r w:rsidRPr="0009512D">
        <w:tab/>
        <w:t xml:space="preserve">6 декабря 2016 года вступил в силу Закон 5776-2016 о патронатном воспитании детей. </w:t>
      </w:r>
      <w:r w:rsidRPr="00EE002A">
        <w:t xml:space="preserve">Раздел 1 данного Закона определяет его цель: установить права детей, находящихся на патронатном воспитании, и обязанность государства по наилучшему обеспечению их интересов и прав в соответствии с КПР, признавая их особую уязвимость и право на получение специальной защиты и помощи, не умаляя ответственности, обязанности и права их родителей по наилучшему обеспечению их интересов. </w:t>
      </w:r>
      <w:r w:rsidRPr="0088462A">
        <w:t>Этот Закон делает акцент на наилучшее обеспечение интересов ребенка и содержит в разделе 4 широкое и исчерпывающее определение в соответствии со статьей 3 КПР, как она толкуется в замечании общего порядка № 14 (2013) к КПР.</w:t>
      </w:r>
    </w:p>
    <w:p w14:paraId="4259E122" w14:textId="4238B0AA" w:rsidR="005D278A" w:rsidRPr="006F0FA1" w:rsidRDefault="005D278A" w:rsidP="005D278A">
      <w:pPr>
        <w:pStyle w:val="SingleTxtG"/>
      </w:pPr>
      <w:r w:rsidRPr="000B192A">
        <w:t>82.</w:t>
      </w:r>
      <w:r w:rsidRPr="000B192A">
        <w:tab/>
        <w:t xml:space="preserve">Правила 5776-2016 государственного медицинского страхования (регистрация в Фонде здравоохранения, права и обязанности лиц, получивших разрешение в соответствии с Законом 5763-2003 о гражданстве и въезде в Израиль (временное положение)), вступившие в силу 1 августа 2016 года, установили порядок медицинского страхования, аналогичный закрепленному в Законе о медицинском страховании, в отношении лиц, имеющих временное разрешение на пребывание в Израиле в соответствии с разделами 3, 3A(2) или 3A1(a)(2) Закона 5763-2003 о гражданстве и въезде в Израиль (временное положение). В августе 2020 года срок регистрации был продлен до 31 августа 2021 года. </w:t>
      </w:r>
      <w:r w:rsidRPr="00315461">
        <w:t xml:space="preserve">Согласно правилу № 2 этот порядок будет применяться до тех пор, пока действует разрешение. </w:t>
      </w:r>
      <w:r w:rsidRPr="006F0FA1">
        <w:t>Однако, если срок действия разрешения истекает, а затем продлевается, Министерство здравоохранения проинформирует соответствующий Фонд здравоохранения о продлении, и владельцу разрешения не потребуется повторная регистрация.</w:t>
      </w:r>
    </w:p>
    <w:p w14:paraId="0D1EA59A" w14:textId="1769C346" w:rsidR="005D278A" w:rsidRPr="00355AB9" w:rsidRDefault="005D278A" w:rsidP="005D278A">
      <w:pPr>
        <w:pStyle w:val="SingleTxtG"/>
      </w:pPr>
      <w:r w:rsidRPr="00EB2A5D">
        <w:t>83.</w:t>
      </w:r>
      <w:r w:rsidRPr="00EB2A5D">
        <w:tab/>
        <w:t xml:space="preserve">Применение Закона о минимальной заработной плате </w:t>
      </w:r>
      <w:r w:rsidR="001F0F04" w:rsidRPr="00B76E19">
        <w:t>‒‒</w:t>
      </w:r>
      <w:r w:rsidRPr="00EB2A5D">
        <w:t xml:space="preserve"> Закон 5747-1987</w:t>
      </w:r>
      <w:r w:rsidR="001F0F04">
        <w:br/>
      </w:r>
      <w:r w:rsidRPr="00EB2A5D">
        <w:t xml:space="preserve">о минимальной заработной плате неоднократно подвергался правке и ужесточению. </w:t>
      </w:r>
      <w:r w:rsidRPr="00F36BE8">
        <w:t>Самая недавняя поправка была одобрена Кнессетом в ноябре 2017 года путем принятия</w:t>
      </w:r>
      <w:r w:rsidRPr="00EB2A5D">
        <w:t xml:space="preserve"> </w:t>
      </w:r>
      <w:r w:rsidRPr="00F36BE8">
        <w:t>Закона 5778-2017 о минимальной заработной плате (Временное постановление об увеличении сумм минимальных заработных плат) (поправка), согласно которому минимальная заработная плата была определена в размере</w:t>
      </w:r>
      <w:r w:rsidR="001F0F04">
        <w:br/>
      </w:r>
      <w:r w:rsidRPr="00F36BE8">
        <w:t>5300 шекелей (1470 долл. США), начиная с 1 декабря 2017 года и вплоть до установления ее более высокого уровня в самом Законе о минимальной заработной плате</w:t>
      </w:r>
      <w:r w:rsidRPr="00355AB9">
        <w:t xml:space="preserve">. </w:t>
      </w:r>
    </w:p>
    <w:p w14:paraId="6BC3CD06" w14:textId="4F751FE2" w:rsidR="005D278A" w:rsidRPr="00355AB9" w:rsidRDefault="005D278A" w:rsidP="005D278A">
      <w:pPr>
        <w:pStyle w:val="SingleTxtG"/>
      </w:pPr>
      <w:r w:rsidRPr="00355AB9">
        <w:t>84.</w:t>
      </w:r>
      <w:r w:rsidRPr="00355AB9">
        <w:tab/>
        <w:t>Закон 5777-2017 о праве на работу с обеспечением сидячего места</w:t>
      </w:r>
      <w:r>
        <w:t xml:space="preserve"> для работы</w:t>
      </w:r>
      <w:r w:rsidRPr="00355AB9">
        <w:t xml:space="preserve"> был изменен в 2017 году (поправка № 3) с целью предоставления подходящих условий труда для охранников, включая наличие навеса, обеспечивающего защиту от солнца или дождя, соответствующих средств кондиционирования воздуха или обогрева, доступа к воде, электричеству и т.д. Соответствующие поправки были также внесены в Закон 5772-2011 о повышении эффективности исполнения трудового законодательства.</w:t>
      </w:r>
    </w:p>
    <w:p w14:paraId="519D5557" w14:textId="0F1B5130" w:rsidR="005D278A" w:rsidRPr="001C1F1C" w:rsidRDefault="005D278A" w:rsidP="005D278A">
      <w:pPr>
        <w:pStyle w:val="SingleTxtG"/>
      </w:pPr>
      <w:r w:rsidRPr="00135378">
        <w:lastRenderedPageBreak/>
        <w:t>85.</w:t>
      </w:r>
      <w:r w:rsidRPr="00135378">
        <w:tab/>
        <w:t>В июле 2016 года в Закон 5714-1954 о занятости женщин были дважды внесены поправки. Согласно поправке № 54, отцы смогут отсутствовать на работе</w:t>
      </w:r>
      <w:r w:rsidR="001F0F04">
        <w:br/>
      </w:r>
      <w:r w:rsidRPr="00135378">
        <w:t xml:space="preserve">до пяти (5) дней после рождения ребенка и в день родов (три (3) из них за счет дней отпуска и дополнительные два (2) дня за счет больничных). </w:t>
      </w:r>
      <w:r w:rsidRPr="00286DBD">
        <w:t>Кроме того,</w:t>
      </w:r>
      <w:r w:rsidR="001F0F04">
        <w:br/>
      </w:r>
      <w:r w:rsidRPr="00286DBD">
        <w:t xml:space="preserve">поправка № 55 изменила термин </w:t>
      </w:r>
      <w:r>
        <w:t>«</w:t>
      </w:r>
      <w:r w:rsidRPr="00286DBD">
        <w:t>отпуск по беременности и родам</w:t>
      </w:r>
      <w:r>
        <w:t>»</w:t>
      </w:r>
      <w:r w:rsidRPr="00286DBD">
        <w:t xml:space="preserve"> на </w:t>
      </w:r>
      <w:r>
        <w:t>«</w:t>
      </w:r>
      <w:r w:rsidRPr="00286DBD">
        <w:t>период материнства и отцовства</w:t>
      </w:r>
      <w:r>
        <w:t>»</w:t>
      </w:r>
      <w:r w:rsidRPr="00286DBD">
        <w:t xml:space="preserve"> и ввела возможность покидать рабочее место на один (1) час раньше, разрешив «родительский час», который может быть совместно использован обоими родителями. </w:t>
      </w:r>
      <w:r w:rsidRPr="001C1F1C">
        <w:t>Кроме того, согласно поправке № 60 от 2018 года, супругу женщины, родившей более одного (1) ребенка за одни роды, будет разрешено взять от семи (7) до 14 дней отпуска за каждого дополнительного ребенка при этих родах для ухода за своими детьми вместо супруги и с ее согласия.</w:t>
      </w:r>
    </w:p>
    <w:p w14:paraId="1BDFD5AE" w14:textId="77777777" w:rsidR="005D278A" w:rsidRPr="00404C3D" w:rsidRDefault="005D278A" w:rsidP="005D278A">
      <w:pPr>
        <w:pStyle w:val="SingleTxtG"/>
      </w:pPr>
      <w:r w:rsidRPr="006544E2">
        <w:t>86.</w:t>
      </w:r>
      <w:r w:rsidRPr="006544E2">
        <w:tab/>
        <w:t xml:space="preserve">В марте 2016 года в Закон 5755-1995 о национальном страховании (консолидированная версия) была внесена поправка (поправка № 172). </w:t>
      </w:r>
      <w:r w:rsidRPr="00404C3D">
        <w:t xml:space="preserve">В соответствии с этой поправкой </w:t>
      </w:r>
      <w:r>
        <w:t>понятие</w:t>
      </w:r>
      <w:r w:rsidRPr="00404C3D">
        <w:t xml:space="preserve"> </w:t>
      </w:r>
      <w:r>
        <w:t>«</w:t>
      </w:r>
      <w:r w:rsidRPr="00404C3D">
        <w:t>род</w:t>
      </w:r>
      <w:r>
        <w:t>ы»</w:t>
      </w:r>
      <w:r w:rsidRPr="00404C3D">
        <w:t xml:space="preserve"> было </w:t>
      </w:r>
      <w:r>
        <w:t>изменено и охватило период</w:t>
      </w:r>
      <w:r w:rsidRPr="00404C3D">
        <w:t xml:space="preserve"> </w:t>
      </w:r>
      <w:r>
        <w:t>с</w:t>
      </w:r>
      <w:r w:rsidRPr="00404C3D">
        <w:t xml:space="preserve"> 22-й недели беременности, что позволило оплачивать роды и предоставлять пособие любой женщине, родившей ребенка с 22-й недели беременности (ранее 26-я неделя).</w:t>
      </w:r>
    </w:p>
    <w:p w14:paraId="75153D57" w14:textId="77777777" w:rsidR="005D278A" w:rsidRPr="00774F49" w:rsidRDefault="005D278A" w:rsidP="005D278A">
      <w:pPr>
        <w:pStyle w:val="SingleTxtG"/>
      </w:pPr>
      <w:r w:rsidRPr="00774F49">
        <w:t>87.</w:t>
      </w:r>
      <w:r w:rsidRPr="00774F49">
        <w:tab/>
        <w:t xml:space="preserve">В феврале 2016 года в Закон 5753-1993 о выплатах по больничному листу (отсутствие на работе из-за болезни ребенка) была внесена поправка (поправка № 13). Данная поправка заменила термин </w:t>
      </w:r>
      <w:r>
        <w:t>«злокачественное заболевание»</w:t>
      </w:r>
      <w:r w:rsidRPr="00774F49">
        <w:t xml:space="preserve"> на термин </w:t>
      </w:r>
      <w:r>
        <w:t>«</w:t>
      </w:r>
      <w:r w:rsidRPr="00774F49">
        <w:t>тяжелое заболевание</w:t>
      </w:r>
      <w:r>
        <w:t>»</w:t>
      </w:r>
      <w:r w:rsidRPr="00774F49">
        <w:t>, и таким образом расширила список заболеваний, позволяющих родителям ребенка отсутствовать на работе в течение 90 дней каждый год для обеспечения медицинского обслуживания ребенка (при условии, что он/она проработал/проработала не менее одного (1) года у данного работодателя).</w:t>
      </w:r>
    </w:p>
    <w:p w14:paraId="4ADF173C" w14:textId="7E811893" w:rsidR="005D278A" w:rsidRPr="008062FC" w:rsidRDefault="005D278A" w:rsidP="005D278A">
      <w:pPr>
        <w:pStyle w:val="SingleTxtG"/>
      </w:pPr>
      <w:r w:rsidRPr="008062FC">
        <w:t>88.</w:t>
      </w:r>
      <w:r w:rsidRPr="008062FC">
        <w:tab/>
        <w:t xml:space="preserve">Ассоциация иностранных трудящихся Израиля </w:t>
      </w:r>
      <w:r w:rsidR="001F0F04" w:rsidRPr="00B76E19">
        <w:t>‒‒</w:t>
      </w:r>
      <w:r w:rsidRPr="008062FC">
        <w:t xml:space="preserve"> по этому вопросу</w:t>
      </w:r>
      <w:r w:rsidR="001F0F04">
        <w:br/>
      </w:r>
      <w:r w:rsidRPr="008062FC">
        <w:t>см. первоначальный базовый документ Израиля (HRI/CORE/ISR/2008) и его обновление 2014 года (HRI/CORE/ISR/2015).</w:t>
      </w:r>
    </w:p>
    <w:p w14:paraId="6B8B3089" w14:textId="1E5754B9" w:rsidR="005D278A" w:rsidRPr="009C554A" w:rsidRDefault="005D278A" w:rsidP="005D278A">
      <w:pPr>
        <w:pStyle w:val="SingleTxtG"/>
      </w:pPr>
      <w:r w:rsidRPr="00B51316">
        <w:t>89.</w:t>
      </w:r>
      <w:r w:rsidRPr="00B51316">
        <w:tab/>
        <w:t>Кроме того, согласно Уставу Всеобщей федерации трудящихся Израиля (</w:t>
      </w:r>
      <w:r>
        <w:t>«</w:t>
      </w:r>
      <w:r w:rsidRPr="00B51316">
        <w:t>Гистадрут</w:t>
      </w:r>
      <w:r>
        <w:t>»</w:t>
      </w:r>
      <w:r w:rsidRPr="00B51316">
        <w:t>, крупнейший представительный профсоюз трудящихся Израиля), членом Гистадрута может стать любой работник старше 18 лет, являющийся гражданским лицом, лицом, постоянно проживающим в стране, или трудящимся-мигрантом, который законно работает в Израиле, и который обязуется выполнять Устав Гистадрута, соблюдать его принципы и выполнять решения его органов.</w:t>
      </w:r>
      <w:r w:rsidR="001F0F04">
        <w:br/>
      </w:r>
      <w:r w:rsidRPr="0004025A">
        <w:t xml:space="preserve">Если палестинские рабочие легально работают в Израиле, ничто не мешает им вступить в Гистадрут. </w:t>
      </w:r>
      <w:r w:rsidRPr="00F818B2">
        <w:t>В отделении Гистадрута в объединенном муниципалитете</w:t>
      </w:r>
      <w:r w:rsidR="001F0F04">
        <w:br/>
      </w:r>
      <w:r w:rsidRPr="00F818B2">
        <w:t>Тель-Авив</w:t>
      </w:r>
      <w:r w:rsidR="001F0F04">
        <w:t>-</w:t>
      </w:r>
      <w:r w:rsidRPr="00F818B2">
        <w:t xml:space="preserve">Яффа создан департамент по делам иностранных рабочих, который служит центром помощи и профессиональной защиты для этого сообщества. </w:t>
      </w:r>
      <w:r w:rsidRPr="009C554A">
        <w:t>Палестинские трудящиеся, легально работающие в Израиле в сфере строительства, имеют право на юридическую помощь в судебных комитетах для обсуждения своих трудовых правовых претензий и на помощь в продвижении своих трудовых прав.</w:t>
      </w:r>
    </w:p>
    <w:p w14:paraId="55D1EC82" w14:textId="0D0D8414" w:rsidR="005D278A" w:rsidRPr="00A218FA" w:rsidRDefault="005D278A" w:rsidP="005D278A">
      <w:pPr>
        <w:pStyle w:val="SingleTxtG"/>
      </w:pPr>
      <w:r w:rsidRPr="00A218FA">
        <w:t>90.</w:t>
      </w:r>
      <w:r w:rsidRPr="00A218FA">
        <w:tab/>
        <w:t xml:space="preserve">Право на забастовку и коллективное увольнение по собственному желанию </w:t>
      </w:r>
      <w:r w:rsidR="001F0F04" w:rsidRPr="00B76E19">
        <w:t>‒‒</w:t>
      </w:r>
      <w:r w:rsidRPr="00A218FA">
        <w:t xml:space="preserve"> по этому вопросу см. первоначальный базовый документ Израиля (HRI/CORE/</w:t>
      </w:r>
      <w:r w:rsidR="001F0F04">
        <w:t xml:space="preserve"> </w:t>
      </w:r>
      <w:r w:rsidRPr="00A218FA">
        <w:t>ISR/2008) и его обновление 2014 года (HRI/CORE/ISR/2015).</w:t>
      </w:r>
    </w:p>
    <w:p w14:paraId="716B1110" w14:textId="77777777" w:rsidR="005D278A" w:rsidRPr="00E8300E" w:rsidRDefault="005D278A" w:rsidP="005D278A">
      <w:pPr>
        <w:pStyle w:val="SingleTxtG"/>
      </w:pPr>
      <w:r w:rsidRPr="00E8300E">
        <w:t>91.</w:t>
      </w:r>
      <w:r w:rsidRPr="00E8300E">
        <w:tab/>
      </w:r>
      <w:r>
        <w:t>Ряд</w:t>
      </w:r>
      <w:r w:rsidRPr="00E8300E">
        <w:t xml:space="preserve"> примеров поощрения прав пожилых людей см. в приложении к настоящему докладу (стр. 24).</w:t>
      </w:r>
    </w:p>
    <w:p w14:paraId="337A8AD9" w14:textId="77777777" w:rsidR="005D278A" w:rsidRPr="00C624C7" w:rsidRDefault="005D278A" w:rsidP="005D278A">
      <w:pPr>
        <w:pStyle w:val="H23G"/>
      </w:pPr>
      <w:r w:rsidRPr="00E8300E">
        <w:tab/>
      </w:r>
      <w:r w:rsidRPr="00E8300E">
        <w:tab/>
      </w:r>
      <w:r w:rsidRPr="00C624C7">
        <w:rPr>
          <w:bCs/>
        </w:rPr>
        <w:t>Омбудсмен (Уполномоченный по жалобам граждан)</w:t>
      </w:r>
    </w:p>
    <w:p w14:paraId="7F2D805E" w14:textId="77777777" w:rsidR="005D278A" w:rsidRPr="00C624C7" w:rsidRDefault="005D278A" w:rsidP="005D278A">
      <w:pPr>
        <w:pStyle w:val="SingleTxtG"/>
      </w:pPr>
      <w:r w:rsidRPr="00C624C7">
        <w:t>92.</w:t>
      </w:r>
      <w:r w:rsidRPr="00C624C7">
        <w:tab/>
        <w:t>См. первоначальный базовый документ Израиля (</w:t>
      </w:r>
      <w:r w:rsidRPr="008B5E26">
        <w:t>HRI</w:t>
      </w:r>
      <w:r w:rsidRPr="00C624C7">
        <w:t>/</w:t>
      </w:r>
      <w:r w:rsidRPr="008B5E26">
        <w:t>CORE</w:t>
      </w:r>
      <w:r w:rsidRPr="00C624C7">
        <w:t>/</w:t>
      </w:r>
      <w:r w:rsidRPr="008B5E26">
        <w:t>ISR</w:t>
      </w:r>
      <w:r w:rsidRPr="00C624C7">
        <w:t xml:space="preserve">/2008), стр. </w:t>
      </w:r>
      <w:r>
        <w:t>63</w:t>
      </w:r>
      <w:r w:rsidRPr="00C624C7">
        <w:t>.</w:t>
      </w:r>
    </w:p>
    <w:p w14:paraId="0FA298AD" w14:textId="77777777" w:rsidR="005D278A" w:rsidRPr="00C624C7" w:rsidRDefault="005D278A" w:rsidP="005D278A">
      <w:pPr>
        <w:pStyle w:val="H23G"/>
        <w:rPr>
          <w:rtl/>
        </w:rPr>
      </w:pPr>
      <w:r w:rsidRPr="00C624C7">
        <w:tab/>
      </w:r>
      <w:r w:rsidRPr="00C624C7">
        <w:tab/>
      </w:r>
      <w:r w:rsidRPr="00C624C7">
        <w:rPr>
          <w:bCs/>
        </w:rPr>
        <w:t>Комиссия по обеспечению равных возможностей в области занятости</w:t>
      </w:r>
    </w:p>
    <w:p w14:paraId="6BC7E881" w14:textId="77777777" w:rsidR="005D278A" w:rsidRPr="00C624C7" w:rsidRDefault="005D278A" w:rsidP="005D278A">
      <w:pPr>
        <w:pStyle w:val="SingleTxtG"/>
      </w:pPr>
      <w:r w:rsidRPr="00C624C7">
        <w:t>93.</w:t>
      </w:r>
      <w:r w:rsidRPr="00C624C7">
        <w:tab/>
        <w:t>См. первоначальный базовый документ Израиля (</w:t>
      </w:r>
      <w:r w:rsidRPr="008B5E26">
        <w:t>HRI</w:t>
      </w:r>
      <w:r w:rsidRPr="00C624C7">
        <w:t>/</w:t>
      </w:r>
      <w:r w:rsidRPr="008B5E26">
        <w:t>CORE</w:t>
      </w:r>
      <w:r w:rsidRPr="00C624C7">
        <w:t>/</w:t>
      </w:r>
      <w:r w:rsidRPr="008B5E26">
        <w:t>ISR</w:t>
      </w:r>
      <w:r w:rsidRPr="00C624C7">
        <w:t xml:space="preserve">/2008), стр. </w:t>
      </w:r>
      <w:r>
        <w:t>63</w:t>
      </w:r>
      <w:r w:rsidRPr="00C624C7">
        <w:t>.</w:t>
      </w:r>
    </w:p>
    <w:p w14:paraId="6F2F9DE3" w14:textId="77777777" w:rsidR="005D278A" w:rsidRPr="000C3120" w:rsidRDefault="005D278A" w:rsidP="005D278A">
      <w:pPr>
        <w:pStyle w:val="H23G"/>
      </w:pPr>
      <w:r w:rsidRPr="00C624C7">
        <w:tab/>
      </w:r>
      <w:r w:rsidRPr="00C624C7">
        <w:tab/>
      </w:r>
      <w:r w:rsidRPr="000C3120">
        <w:rPr>
          <w:bCs/>
        </w:rPr>
        <w:t>Комиссия по равноправию инвалидов</w:t>
      </w:r>
    </w:p>
    <w:p w14:paraId="10C90594" w14:textId="77777777" w:rsidR="005D278A" w:rsidRPr="00C624C7" w:rsidRDefault="005D278A" w:rsidP="005D278A">
      <w:pPr>
        <w:pStyle w:val="SingleTxtG"/>
      </w:pPr>
      <w:r w:rsidRPr="00C624C7">
        <w:t>94.</w:t>
      </w:r>
      <w:r w:rsidRPr="00C624C7">
        <w:tab/>
        <w:t>См. первоначальный базовый документ Израиля (</w:t>
      </w:r>
      <w:r w:rsidRPr="008B5E26">
        <w:t>HRI</w:t>
      </w:r>
      <w:r w:rsidRPr="00C624C7">
        <w:t>/</w:t>
      </w:r>
      <w:r w:rsidRPr="008B5E26">
        <w:t>CORE</w:t>
      </w:r>
      <w:r w:rsidRPr="00C624C7">
        <w:t>/</w:t>
      </w:r>
      <w:r w:rsidRPr="008B5E26">
        <w:t>ISR</w:t>
      </w:r>
      <w:r w:rsidRPr="00C624C7">
        <w:t xml:space="preserve">/2008), стр. </w:t>
      </w:r>
      <w:r>
        <w:t>64</w:t>
      </w:r>
      <w:r w:rsidRPr="00C624C7">
        <w:t>.</w:t>
      </w:r>
    </w:p>
    <w:p w14:paraId="0AE7B8D7" w14:textId="77777777" w:rsidR="005D278A" w:rsidRPr="000C3120" w:rsidRDefault="005D278A" w:rsidP="005D278A">
      <w:pPr>
        <w:pStyle w:val="H23G"/>
        <w:rPr>
          <w:rtl/>
        </w:rPr>
      </w:pPr>
      <w:r w:rsidRPr="00C624C7">
        <w:lastRenderedPageBreak/>
        <w:tab/>
      </w:r>
      <w:r w:rsidRPr="00C624C7">
        <w:tab/>
      </w:r>
      <w:r w:rsidRPr="000C3120">
        <w:rPr>
          <w:bCs/>
        </w:rPr>
        <w:t>Отдел по вопросам координации борьбы с расизмом</w:t>
      </w:r>
    </w:p>
    <w:p w14:paraId="76AABAD0" w14:textId="480C1788" w:rsidR="005D278A" w:rsidRPr="007556C1" w:rsidRDefault="005D278A" w:rsidP="005D278A">
      <w:pPr>
        <w:pStyle w:val="SingleTxtG"/>
        <w:rPr>
          <w:rFonts w:eastAsia="Calibri"/>
        </w:rPr>
      </w:pPr>
      <w:r w:rsidRPr="00B3298C">
        <w:rPr>
          <w:rFonts w:eastAsia="Calibri"/>
        </w:rPr>
        <w:t>95.</w:t>
      </w:r>
      <w:r w:rsidRPr="00B3298C">
        <w:rPr>
          <w:rFonts w:eastAsia="Calibri"/>
        </w:rPr>
        <w:tab/>
        <w:t xml:space="preserve">В 2016 году в соответствии с постановлением правительства № 1958 при Министерстве юстиции был создан Отдел по вопросам координации борьбы с расизмом. </w:t>
      </w:r>
      <w:r w:rsidRPr="003F1BB4">
        <w:rPr>
          <w:rFonts w:eastAsia="Calibri"/>
        </w:rPr>
        <w:t xml:space="preserve">В обязанности Отдела входит надзор за выполнением рекомендаций межведомственной группы по борьбе с расизмом, а также прием жалоб на дискриминацию и расизм от всех групп населения и передача их в соответствующие органы, обеспечение контроля за рассмотрением этих жалоб, составление ежегодного отчета об обязанностях и действиях Отдела и рассмотрение необходимых поправок к законодательству. </w:t>
      </w:r>
      <w:r w:rsidRPr="007556C1">
        <w:rPr>
          <w:rFonts w:eastAsia="Calibri"/>
        </w:rPr>
        <w:t>Информацию о полученных и рассмотренных Отделом жалоб, соответствующих постановлениях правительства, представительствах и сотрудниках по предотвращению расизма в правительственных министерствах см. в приложении к настоящему докладу (стр. 23).</w:t>
      </w:r>
    </w:p>
    <w:p w14:paraId="0ECDABEF" w14:textId="77777777" w:rsidR="005D278A" w:rsidRPr="003B700D" w:rsidRDefault="005D278A" w:rsidP="005D278A">
      <w:pPr>
        <w:pStyle w:val="H23G"/>
      </w:pPr>
      <w:r w:rsidRPr="007556C1">
        <w:tab/>
      </w:r>
      <w:r w:rsidRPr="007556C1">
        <w:tab/>
      </w:r>
      <w:r w:rsidRPr="003B700D">
        <w:rPr>
          <w:bCs/>
        </w:rPr>
        <w:t>Управление по улучшению положения женщин</w:t>
      </w:r>
    </w:p>
    <w:p w14:paraId="0349B8BC" w14:textId="77777777" w:rsidR="005D278A" w:rsidRPr="003B700D" w:rsidRDefault="005D278A" w:rsidP="005D278A">
      <w:pPr>
        <w:pStyle w:val="SingleTxtG"/>
      </w:pPr>
      <w:r w:rsidRPr="003B700D">
        <w:t>96.</w:t>
      </w:r>
      <w:r w:rsidRPr="003B700D">
        <w:tab/>
        <w:t>См. первоначальный базовый документ Израиля (</w:t>
      </w:r>
      <w:r w:rsidRPr="008B5E26">
        <w:t>HRI</w:t>
      </w:r>
      <w:r w:rsidRPr="003B700D">
        <w:t>/</w:t>
      </w:r>
      <w:r w:rsidRPr="008B5E26">
        <w:t>CORE</w:t>
      </w:r>
      <w:r w:rsidRPr="003B700D">
        <w:t>/</w:t>
      </w:r>
      <w:r w:rsidRPr="008B5E26">
        <w:t>ISR</w:t>
      </w:r>
      <w:r w:rsidRPr="003B700D">
        <w:t xml:space="preserve">/2008), стр. </w:t>
      </w:r>
      <w:r>
        <w:t>64</w:t>
      </w:r>
      <w:r w:rsidRPr="003B700D">
        <w:t>.</w:t>
      </w:r>
    </w:p>
    <w:p w14:paraId="3E40ADA8" w14:textId="77777777" w:rsidR="005D278A" w:rsidRPr="00A866CE" w:rsidRDefault="005D278A" w:rsidP="005D278A">
      <w:pPr>
        <w:pStyle w:val="SingleTxtG"/>
      </w:pPr>
      <w:r w:rsidRPr="00A866CE">
        <w:t>97.</w:t>
      </w:r>
      <w:r w:rsidRPr="00A866CE">
        <w:tab/>
        <w:t>Несколько последних ярких примеров работы этого Управления приведены в приложении к настоящему докладу (</w:t>
      </w:r>
      <w:r w:rsidRPr="003B700D">
        <w:t>стр</w:t>
      </w:r>
      <w:r w:rsidRPr="00A866CE">
        <w:t>. 24).</w:t>
      </w:r>
    </w:p>
    <w:p w14:paraId="5252EA10" w14:textId="77777777" w:rsidR="005D278A" w:rsidRPr="002B44C0" w:rsidRDefault="005D278A" w:rsidP="005D278A">
      <w:pPr>
        <w:pStyle w:val="H23G"/>
      </w:pPr>
      <w:r w:rsidRPr="00A866CE">
        <w:tab/>
      </w:r>
      <w:r w:rsidRPr="00A866CE">
        <w:tab/>
      </w:r>
      <w:r w:rsidRPr="002B44C0">
        <w:rPr>
          <w:bCs/>
        </w:rPr>
        <w:t>Омбудсмен Министерства здравоохранения</w:t>
      </w:r>
    </w:p>
    <w:p w14:paraId="51EA4519" w14:textId="77777777" w:rsidR="005D278A" w:rsidRPr="003B700D" w:rsidRDefault="005D278A" w:rsidP="005D278A">
      <w:pPr>
        <w:pStyle w:val="SingleTxtG"/>
      </w:pPr>
      <w:r w:rsidRPr="003B700D">
        <w:t>98.</w:t>
      </w:r>
      <w:r w:rsidRPr="003B700D">
        <w:tab/>
        <w:t>См. первоначальный базовый документ Израиля (</w:t>
      </w:r>
      <w:r w:rsidRPr="008B5E26">
        <w:t>HRI</w:t>
      </w:r>
      <w:r w:rsidRPr="003B700D">
        <w:t>/</w:t>
      </w:r>
      <w:r w:rsidRPr="008B5E26">
        <w:t>CORE</w:t>
      </w:r>
      <w:r w:rsidRPr="003B700D">
        <w:t>/</w:t>
      </w:r>
      <w:r w:rsidRPr="008B5E26">
        <w:t>ISR</w:t>
      </w:r>
      <w:r w:rsidRPr="003B700D">
        <w:t xml:space="preserve">/2008), стр. </w:t>
      </w:r>
      <w:r>
        <w:t>65</w:t>
      </w:r>
      <w:r w:rsidRPr="003B700D">
        <w:t>.</w:t>
      </w:r>
    </w:p>
    <w:p w14:paraId="2369AF65" w14:textId="77777777" w:rsidR="005D278A" w:rsidRPr="002B44C0" w:rsidRDefault="005D278A" w:rsidP="005D278A">
      <w:pPr>
        <w:pStyle w:val="H23G"/>
        <w:rPr>
          <w:rtl/>
        </w:rPr>
      </w:pPr>
      <w:r w:rsidRPr="003B700D">
        <w:tab/>
      </w:r>
      <w:r w:rsidRPr="003B700D">
        <w:tab/>
      </w:r>
      <w:r w:rsidRPr="002B44C0">
        <w:rPr>
          <w:bCs/>
        </w:rPr>
        <w:t>Национальный совет по защите прав ребенка</w:t>
      </w:r>
    </w:p>
    <w:p w14:paraId="287A6AF8" w14:textId="77777777" w:rsidR="005D278A" w:rsidRPr="003B700D" w:rsidRDefault="005D278A" w:rsidP="005D278A">
      <w:pPr>
        <w:pStyle w:val="SingleTxtG"/>
      </w:pPr>
      <w:r w:rsidRPr="003B700D">
        <w:t>99.</w:t>
      </w:r>
      <w:r w:rsidRPr="003B700D">
        <w:tab/>
        <w:t>См. первоначальный базовый документ Израиля (</w:t>
      </w:r>
      <w:r w:rsidRPr="008B5E26">
        <w:t>HRI</w:t>
      </w:r>
      <w:r w:rsidRPr="003B700D">
        <w:t>/</w:t>
      </w:r>
      <w:r w:rsidRPr="008B5E26">
        <w:t>CORE</w:t>
      </w:r>
      <w:r w:rsidRPr="003B700D">
        <w:t>/</w:t>
      </w:r>
      <w:r w:rsidRPr="008B5E26">
        <w:t>ISR</w:t>
      </w:r>
      <w:r w:rsidRPr="003B700D">
        <w:t xml:space="preserve">/2008), стр. </w:t>
      </w:r>
      <w:r>
        <w:t>65</w:t>
      </w:r>
      <w:r w:rsidRPr="003B700D">
        <w:t>.</w:t>
      </w:r>
    </w:p>
    <w:p w14:paraId="7B666530" w14:textId="77777777" w:rsidR="005D278A" w:rsidRPr="006D52D4" w:rsidRDefault="005D278A" w:rsidP="005D278A">
      <w:pPr>
        <w:pStyle w:val="H23G"/>
      </w:pPr>
      <w:r w:rsidRPr="003B700D">
        <w:tab/>
      </w:r>
      <w:r w:rsidRPr="003B700D">
        <w:tab/>
      </w:r>
      <w:r w:rsidRPr="006D52D4">
        <w:rPr>
          <w:bCs/>
        </w:rPr>
        <w:t>Комиссия по рассмотрению жалоб детей и подростков, помещенных на воспитание вне дома</w:t>
      </w:r>
    </w:p>
    <w:p w14:paraId="2244CC03" w14:textId="77777777" w:rsidR="005D278A" w:rsidRPr="008D7C63" w:rsidRDefault="005D278A" w:rsidP="005D278A">
      <w:pPr>
        <w:pStyle w:val="SingleTxtG"/>
      </w:pPr>
      <w:r w:rsidRPr="006D52D4">
        <w:t>100.</w:t>
      </w:r>
      <w:r w:rsidRPr="006D52D4">
        <w:tab/>
        <w:t xml:space="preserve">Эта комиссия была назначена в октябре 2017 года в соответствии со статьей 56 Закона о патронатном воспитании детей Министром труда, социального обеспечения и социальных служб (ТСОСС). Любой ребенок, помещенный в приемную семью или в структуру для проживания вне дома, может подать жалобу в Комиссию самостоятельно, не привлекая внимания и свободно, не опасаясь каких-либо последствий. </w:t>
      </w:r>
      <w:r>
        <w:t xml:space="preserve">Эта </w:t>
      </w:r>
      <w:r w:rsidRPr="006D52D4">
        <w:t xml:space="preserve">Комиссия является доступной для детей и учитывает возраст, язык и уровень зрелости ребенка, а в случае ребенка с инвалидностью также его/ее ограниченные возможности. </w:t>
      </w:r>
      <w:r w:rsidRPr="008D7C63">
        <w:t>Результаты расследования жалобы будут переданы заявителю, а копия будет передана инспектору Комиссии для принятия последующих мер в отношении необходимых средств правовой защиты.</w:t>
      </w:r>
    </w:p>
    <w:p w14:paraId="44536662" w14:textId="77777777" w:rsidR="005D278A" w:rsidRPr="00BF499B" w:rsidRDefault="005D278A" w:rsidP="005D278A">
      <w:pPr>
        <w:pStyle w:val="H23G"/>
      </w:pPr>
      <w:r w:rsidRPr="008D7C63">
        <w:tab/>
      </w:r>
      <w:r w:rsidRPr="008D7C63">
        <w:tab/>
      </w:r>
      <w:r w:rsidRPr="00BF499B">
        <w:rPr>
          <w:bCs/>
        </w:rPr>
        <w:t>Совет по делам детей младшего возраста</w:t>
      </w:r>
    </w:p>
    <w:p w14:paraId="4E8B8887" w14:textId="77777777" w:rsidR="005D278A" w:rsidRPr="004A4B25" w:rsidRDefault="005D278A" w:rsidP="005D278A">
      <w:pPr>
        <w:pStyle w:val="SingleTxtG"/>
      </w:pPr>
      <w:r w:rsidRPr="00BF499B">
        <w:t>101.</w:t>
      </w:r>
      <w:r w:rsidRPr="00BF499B">
        <w:tab/>
        <w:t xml:space="preserve">В августе 2017 года Кнессет принял Закон 5777-2017 о Совете по делам детей младшего возраста, являющийся новым законом, регулирующим создание Совета по делам детей младшего возраста. </w:t>
      </w:r>
      <w:r w:rsidRPr="004A4B25">
        <w:t>Данный Закон направлен на дальнейшую заботу о детях младшего возраста и их физическом и интеллектуальном развитии, на обеспечение их физического и психического здоровья и удовлетворение их образовательных, социальных, физических и эмоциональных потребностей, а также на создание соответствующей среды, которая позволит им пользоваться равными правами во взрослой жизни. Этот Совет был создан и действует под руководством Министерства образования.</w:t>
      </w:r>
    </w:p>
    <w:p w14:paraId="5A019575" w14:textId="77777777" w:rsidR="005D278A" w:rsidRPr="00FB5698" w:rsidRDefault="005D278A" w:rsidP="005D278A">
      <w:pPr>
        <w:pStyle w:val="H23G"/>
      </w:pPr>
      <w:r w:rsidRPr="004A4B25">
        <w:tab/>
      </w:r>
      <w:r w:rsidRPr="004A4B25">
        <w:tab/>
      </w:r>
      <w:r w:rsidRPr="00FB5698">
        <w:rPr>
          <w:bCs/>
        </w:rPr>
        <w:t>Военный омбудсмен</w:t>
      </w:r>
    </w:p>
    <w:p w14:paraId="09CF915C" w14:textId="77777777" w:rsidR="005D278A" w:rsidRPr="00FB5698" w:rsidRDefault="005D278A" w:rsidP="005D278A">
      <w:pPr>
        <w:pStyle w:val="SingleTxtG"/>
      </w:pPr>
      <w:r w:rsidRPr="00FB5698">
        <w:t>102.</w:t>
      </w:r>
      <w:r w:rsidRPr="00FB5698">
        <w:tab/>
        <w:t>См. первоначальный базовый документ Израиля (</w:t>
      </w:r>
      <w:r w:rsidRPr="008B5E26">
        <w:t>HRI</w:t>
      </w:r>
      <w:r w:rsidRPr="00FB5698">
        <w:t>/</w:t>
      </w:r>
      <w:r w:rsidRPr="008B5E26">
        <w:t>CORE</w:t>
      </w:r>
      <w:r w:rsidRPr="00FB5698">
        <w:t>/</w:t>
      </w:r>
      <w:r w:rsidRPr="008B5E26">
        <w:t>ISR</w:t>
      </w:r>
      <w:r w:rsidRPr="00FB5698">
        <w:t xml:space="preserve">/2008), стр. </w:t>
      </w:r>
      <w:r>
        <w:t>65</w:t>
      </w:r>
      <w:r w:rsidRPr="00FB5698">
        <w:t>.</w:t>
      </w:r>
    </w:p>
    <w:p w14:paraId="7B082074" w14:textId="77777777" w:rsidR="005D278A" w:rsidRPr="002D63E9" w:rsidRDefault="005D278A" w:rsidP="005D278A">
      <w:pPr>
        <w:pStyle w:val="H23G"/>
      </w:pPr>
      <w:r w:rsidRPr="00FB5698">
        <w:tab/>
      </w:r>
      <w:r w:rsidRPr="00FB5698">
        <w:tab/>
      </w:r>
      <w:r w:rsidRPr="002D63E9">
        <w:rPr>
          <w:bCs/>
        </w:rPr>
        <w:t>Отдел по расследованиям в отношении сотрудников полиции (ОРСП)</w:t>
      </w:r>
    </w:p>
    <w:p w14:paraId="01D1FE87" w14:textId="77777777" w:rsidR="005D278A" w:rsidRPr="00FB5698" w:rsidRDefault="005D278A" w:rsidP="005D278A">
      <w:pPr>
        <w:pStyle w:val="SingleTxtG"/>
      </w:pPr>
      <w:r w:rsidRPr="00FB5698">
        <w:t>103.</w:t>
      </w:r>
      <w:r w:rsidRPr="00FB5698">
        <w:tab/>
        <w:t>См. первоначальный базовый документ Израиля (</w:t>
      </w:r>
      <w:r w:rsidRPr="008B5E26">
        <w:t>HRI</w:t>
      </w:r>
      <w:r w:rsidRPr="00FB5698">
        <w:t>/</w:t>
      </w:r>
      <w:r w:rsidRPr="008B5E26">
        <w:t>CORE</w:t>
      </w:r>
      <w:r w:rsidRPr="00FB5698">
        <w:t>/</w:t>
      </w:r>
      <w:r w:rsidRPr="008B5E26">
        <w:t>ISR</w:t>
      </w:r>
      <w:r w:rsidRPr="00FB5698">
        <w:t xml:space="preserve">/2008), </w:t>
      </w:r>
      <w:r w:rsidRPr="008B790C">
        <w:t>стр. 65</w:t>
      </w:r>
      <w:r w:rsidRPr="00FB5698">
        <w:t>.</w:t>
      </w:r>
    </w:p>
    <w:p w14:paraId="701E223C" w14:textId="77777777" w:rsidR="005D278A" w:rsidRPr="000E5DE7" w:rsidRDefault="005D278A" w:rsidP="005D278A">
      <w:pPr>
        <w:pStyle w:val="H1G"/>
      </w:pPr>
      <w:bookmarkStart w:id="37" w:name="_Toc54696500"/>
      <w:r w:rsidRPr="00FB5698">
        <w:lastRenderedPageBreak/>
        <w:tab/>
      </w:r>
      <w:r w:rsidRPr="008B5E26">
        <w:t>B</w:t>
      </w:r>
      <w:r w:rsidRPr="000E5DE7">
        <w:t>.</w:t>
      </w:r>
      <w:r w:rsidRPr="000E5DE7">
        <w:tab/>
      </w:r>
      <w:bookmarkEnd w:id="37"/>
      <w:r w:rsidRPr="000E5DE7">
        <w:rPr>
          <w:bCs/>
        </w:rPr>
        <w:t>Равенство перед законом</w:t>
      </w:r>
    </w:p>
    <w:p w14:paraId="4F14438C" w14:textId="77777777" w:rsidR="005D278A" w:rsidRPr="00165F6F" w:rsidRDefault="005D278A" w:rsidP="005D278A">
      <w:pPr>
        <w:pStyle w:val="SingleTxtG"/>
      </w:pPr>
      <w:r w:rsidRPr="000E5DE7">
        <w:t>104.</w:t>
      </w:r>
      <w:r w:rsidRPr="000E5DE7">
        <w:tab/>
        <w:t xml:space="preserve">Равенство перед законом является одним из основных принципов израильской правовой системы. </w:t>
      </w:r>
      <w:r w:rsidRPr="00585A17">
        <w:t xml:space="preserve">Закон распространяется не только на частных физических и юридических лиц, но и на все государственные органы. </w:t>
      </w:r>
      <w:r w:rsidRPr="00C541F8">
        <w:t xml:space="preserve">Суды открыты и доступны для всех, кто считает, что их права были нарушены. </w:t>
      </w:r>
      <w:r w:rsidRPr="00165F6F">
        <w:t>Более того, на возбужденных против них уголовных процессах все имеют право быть представленными адвокатами.</w:t>
      </w:r>
    </w:p>
    <w:p w14:paraId="5770240E" w14:textId="23C0F6EF" w:rsidR="005D278A" w:rsidRPr="00552E48" w:rsidRDefault="005D278A" w:rsidP="005D278A">
      <w:pPr>
        <w:pStyle w:val="SingleTxtG"/>
      </w:pPr>
      <w:r w:rsidRPr="00344423">
        <w:t>105.</w:t>
      </w:r>
      <w:r w:rsidRPr="00344423">
        <w:tab/>
      </w:r>
      <w:r w:rsidRPr="005230F7">
        <w:t>В 1995 году было учреждено Управление государственного защитника (УГЗ)</w:t>
      </w:r>
      <w:r w:rsidR="0014789C">
        <w:br/>
      </w:r>
      <w:r w:rsidRPr="005230F7">
        <w:t>с целью оказания качественной профессиональной юридической помощи подозреваемым, обвиняемым, содержащимся под стражей и осужденным лицам в ходе уголовного судопроизводства</w:t>
      </w:r>
      <w:r w:rsidRPr="00344423">
        <w:t xml:space="preserve">. </w:t>
      </w:r>
      <w:r w:rsidRPr="005230F7">
        <w:t xml:space="preserve">В состязательной системе судопроизводства в Израиле УГЗ отведена важная конституционная роль по обеспечению справедливости суда и равенства всех перед законом. </w:t>
      </w:r>
      <w:r w:rsidRPr="005E1C17">
        <w:t xml:space="preserve">Право быть представленным юристами УГЗ регулируется законом и зависит, среди прочего, от тяжести преступления, от имущественного положения лица, ходатайствующего о такой услуге, и от прочих характеристик. </w:t>
      </w:r>
      <w:r w:rsidRPr="00E6259F">
        <w:t>В 2018 году в штате УГЗ числилось 125 юристов, и еще</w:t>
      </w:r>
      <w:r w:rsidR="0014789C">
        <w:br/>
      </w:r>
      <w:r w:rsidRPr="00E6259F">
        <w:t xml:space="preserve">860 независимых юристов привлекалось к работе в его шести (6) окружных отделениях по всей стране. </w:t>
      </w:r>
      <w:r w:rsidRPr="00552E48">
        <w:t>В 2018 году адвокаты УГЗ рассмотрели 454 дела в Верховном суде, 7269 дел в окружных судах, 755 дел в окружных судах по делам несовершеннолетних, 60</w:t>
      </w:r>
      <w:r w:rsidR="0014789C">
        <w:t> </w:t>
      </w:r>
      <w:r w:rsidRPr="00552E48">
        <w:t>080 дел в магистратских судах, 7010 дел в магистратских судах по делам несовершеннолетних и 33 924 дела в других судах (транспортные, административные суды, суды по трудовым спорам и т.</w:t>
      </w:r>
      <w:r w:rsidR="0014789C">
        <w:t> </w:t>
      </w:r>
      <w:r w:rsidRPr="00552E48">
        <w:t>д.).</w:t>
      </w:r>
    </w:p>
    <w:p w14:paraId="042410E5" w14:textId="77777777" w:rsidR="005D278A" w:rsidRPr="0025790A" w:rsidRDefault="005D278A" w:rsidP="005D278A">
      <w:pPr>
        <w:pStyle w:val="H1G"/>
      </w:pPr>
      <w:bookmarkStart w:id="38" w:name="_Toc54696501"/>
      <w:bookmarkStart w:id="39" w:name="_Toc165619041"/>
      <w:r w:rsidRPr="00552E48">
        <w:tab/>
      </w:r>
      <w:r w:rsidRPr="008B5E26">
        <w:t>C</w:t>
      </w:r>
      <w:r w:rsidRPr="0025790A">
        <w:t>.</w:t>
      </w:r>
      <w:r w:rsidRPr="0025790A">
        <w:tab/>
      </w:r>
      <w:bookmarkEnd w:id="38"/>
      <w:r w:rsidRPr="0025790A">
        <w:rPr>
          <w:bCs/>
        </w:rPr>
        <w:t>Повышение информированности о правах человека государственных должностных лиц и других специалистов</w:t>
      </w:r>
    </w:p>
    <w:p w14:paraId="76A8D291" w14:textId="58C48FDE" w:rsidR="005D278A" w:rsidRPr="00756834" w:rsidRDefault="005D278A" w:rsidP="005D278A">
      <w:pPr>
        <w:pStyle w:val="SingleTxtG"/>
      </w:pPr>
      <w:r w:rsidRPr="007673A8">
        <w:t>106.</w:t>
      </w:r>
      <w:r w:rsidRPr="007673A8">
        <w:tab/>
        <w:t xml:space="preserve">Институт юридической подготовки для адвокатов и юридических консультантов Министерства юстиции </w:t>
      </w:r>
      <w:r w:rsidR="0014789C" w:rsidRPr="00B76E19">
        <w:t>‒‒</w:t>
      </w:r>
      <w:r w:rsidRPr="007673A8">
        <w:t xml:space="preserve"> это юридическое учебное заведение проводит многочисленные семинары, курсы занятий и дни профессиональной подготовки с целью повышения информированности слушателей в вопросах прав человека. </w:t>
      </w:r>
      <w:r w:rsidRPr="00326BB7">
        <w:t xml:space="preserve">Эти учебные мероприятия в целом по стране ежегодно посещают сотни практикующих юристов. Неполный список семинаров, проводимых Институтом, включает: семинары по вопросам домашнего насилия (2015 и 2016 годы), сексуальных преступлений и торговли людьми (2015, 2016, 2017 и 2018 годы), лиц с психическими расстройствами (2015 и 2017 годы), прав детей (2015, 2016, 2017 и 2018 годы), женщин, занимающихся проституцией (2016 и 2017 годы), прав беженцев и просителей убежища (2015 год). </w:t>
      </w:r>
      <w:r w:rsidRPr="00756834">
        <w:t xml:space="preserve">Среди других семинаров </w:t>
      </w:r>
      <w:r w:rsidR="0014789C" w:rsidRPr="00B76E19">
        <w:t>‒‒</w:t>
      </w:r>
      <w:r w:rsidRPr="00756834">
        <w:t xml:space="preserve"> серия </w:t>
      </w:r>
      <w:r>
        <w:t>«</w:t>
      </w:r>
      <w:r w:rsidRPr="00756834">
        <w:t>Познакомьтесь с другими</w:t>
      </w:r>
      <w:r>
        <w:t>»</w:t>
      </w:r>
      <w:r w:rsidRPr="00756834">
        <w:t xml:space="preserve">, в рамках которой участники получают возможность узнать о различных группах населения в израильском обществе, включая </w:t>
      </w:r>
      <w:r>
        <w:t xml:space="preserve">представителей </w:t>
      </w:r>
      <w:r w:rsidRPr="00756834">
        <w:t>арабско</w:t>
      </w:r>
      <w:r>
        <w:t>го</w:t>
      </w:r>
      <w:r w:rsidRPr="00756834">
        <w:t>, эфиопско</w:t>
      </w:r>
      <w:r>
        <w:t>го</w:t>
      </w:r>
      <w:r w:rsidRPr="00756834">
        <w:t>, русско</w:t>
      </w:r>
      <w:r>
        <w:t>го</w:t>
      </w:r>
      <w:r w:rsidRPr="00756834">
        <w:t xml:space="preserve"> и ультраортодоксально</w:t>
      </w:r>
      <w:r>
        <w:t>го</w:t>
      </w:r>
      <w:r w:rsidRPr="00756834">
        <w:t xml:space="preserve"> населени</w:t>
      </w:r>
      <w:r>
        <w:t>я</w:t>
      </w:r>
      <w:r w:rsidRPr="00756834">
        <w:t>; семинары по запрету расизма и дискриминации и правам человека в рамках уголовного процесса.</w:t>
      </w:r>
    </w:p>
    <w:p w14:paraId="45A2F96A" w14:textId="532C62ED" w:rsidR="005D278A" w:rsidRPr="00250F2C" w:rsidRDefault="005D278A" w:rsidP="005D278A">
      <w:pPr>
        <w:pStyle w:val="SingleTxtG"/>
      </w:pPr>
      <w:r w:rsidRPr="00250F2C">
        <w:t>107.</w:t>
      </w:r>
      <w:r w:rsidRPr="00250F2C">
        <w:tab/>
        <w:t xml:space="preserve">Институт повышения квалификации сотрудников судебных органов </w:t>
      </w:r>
      <w:r w:rsidR="0014789C" w:rsidRPr="00B76E19">
        <w:t>‒‒</w:t>
      </w:r>
      <w:r w:rsidRPr="00250F2C">
        <w:t xml:space="preserve"> этот Институт также организует лекции, семинары и курсы занятий по разнообразной правозащитной тематике, особенно для судей всех инстанций. Ниже приведен ряд пример</w:t>
      </w:r>
      <w:r>
        <w:t>ов</w:t>
      </w:r>
      <w:r w:rsidRPr="00250F2C">
        <w:t xml:space="preserve"> семинаров и учебных занятий по правам человека, организованных</w:t>
      </w:r>
      <w:r w:rsidR="0014789C">
        <w:br/>
      </w:r>
      <w:r w:rsidRPr="00250F2C">
        <w:t>в 2019 году, в том числе по темам: сексуальные преступления и торговля</w:t>
      </w:r>
      <w:r w:rsidR="0014789C">
        <w:br/>
      </w:r>
      <w:r w:rsidRPr="00250F2C">
        <w:t>людьми (один (1) семинар); опекунство для судей судов по семейным</w:t>
      </w:r>
      <w:r w:rsidR="0014789C">
        <w:br/>
      </w:r>
      <w:r w:rsidRPr="00250F2C">
        <w:t xml:space="preserve">делам (одно (1) учебное занятие); семейные дела (один (1) семинар); несовершеннолетние и молодежь (один (1) семинар); учебный день для судей магистратских судов по делам несовершеннолетних и молодежи; вопросы социального обеспечения (один (1) учебный день); </w:t>
      </w:r>
      <w:r>
        <w:t>домашнее</w:t>
      </w:r>
      <w:r w:rsidR="0014789C">
        <w:br/>
      </w:r>
      <w:r w:rsidRPr="00250F2C">
        <w:t>насилие (один (1) учебный день); по одному семинару по судебным делам несовершеннолетних и по подготовке окружных судей по делам несовершеннолетних. Другие семинары касались прав беженцев и просителей убежища, расизма и дискриминации, а также прав человека в уголовном процессе.</w:t>
      </w:r>
    </w:p>
    <w:p w14:paraId="18473159" w14:textId="77777777" w:rsidR="005D278A" w:rsidRPr="00250F2C" w:rsidRDefault="005D278A" w:rsidP="005D278A">
      <w:pPr>
        <w:pStyle w:val="H23G"/>
      </w:pPr>
      <w:r w:rsidRPr="00250F2C">
        <w:lastRenderedPageBreak/>
        <w:tab/>
      </w:r>
      <w:r w:rsidRPr="00250F2C">
        <w:tab/>
      </w:r>
      <w:r w:rsidRPr="00250F2C">
        <w:rPr>
          <w:bCs/>
        </w:rPr>
        <w:t>Подготовка израильских служб безопасности</w:t>
      </w:r>
    </w:p>
    <w:p w14:paraId="7E3CF500" w14:textId="77777777" w:rsidR="005D278A" w:rsidRPr="00250F2C" w:rsidRDefault="005D278A" w:rsidP="005D278A">
      <w:pPr>
        <w:pStyle w:val="H4G"/>
      </w:pPr>
      <w:r w:rsidRPr="00250F2C">
        <w:tab/>
      </w:r>
      <w:r w:rsidRPr="00250F2C">
        <w:tab/>
      </w:r>
      <w:r w:rsidRPr="00250F2C">
        <w:rPr>
          <w:iCs/>
        </w:rPr>
        <w:t>Полиция</w:t>
      </w:r>
    </w:p>
    <w:p w14:paraId="039000C2" w14:textId="77777777" w:rsidR="005D278A" w:rsidRPr="00077E3F" w:rsidRDefault="005D278A" w:rsidP="005D278A">
      <w:pPr>
        <w:pStyle w:val="SingleTxtG"/>
      </w:pPr>
      <w:r w:rsidRPr="00250F2C">
        <w:t>108.</w:t>
      </w:r>
      <w:r w:rsidRPr="00250F2C">
        <w:tab/>
        <w:t xml:space="preserve">Секция образовательных и информационных программ Управления полиции </w:t>
      </w:r>
      <w:r>
        <w:t>реализует</w:t>
      </w:r>
      <w:r w:rsidRPr="00250F2C">
        <w:t xml:space="preserve"> учебные программы для сотрудников полиции, с тем чтобы такие важные правозащитные ценности как терпимость в многокультурном обществе, борьба с предрассудками и осведомленность о ценностях, заложенных в соответствующих конвенциях по правам человека, становились неотъемлемой частью их повседневной работы. </w:t>
      </w:r>
      <w:r w:rsidRPr="00077E3F">
        <w:t>Особое внимание уделяется подготовке полицейских командиров в свете их прямого влияния на своих подчиненных.</w:t>
      </w:r>
    </w:p>
    <w:p w14:paraId="4679BA6A" w14:textId="77777777" w:rsidR="005D278A" w:rsidRPr="00605AA1" w:rsidRDefault="005D278A" w:rsidP="005D278A">
      <w:pPr>
        <w:pStyle w:val="SingleTxtG"/>
      </w:pPr>
      <w:r w:rsidRPr="00605AA1">
        <w:t>109.</w:t>
      </w:r>
      <w:r w:rsidRPr="00605AA1">
        <w:tab/>
        <w:t xml:space="preserve">Полицейская школа следственно-розыскной работы включает в программу подготовки основные положения соответствующих конвенций по правам человека и гуманитарного права, касающиеся процедур и следственной этики, а также </w:t>
      </w:r>
      <w:r>
        <w:t>«</w:t>
      </w:r>
      <w:r w:rsidRPr="00605AA1">
        <w:t>надлежащего и ненадлежащего поведения</w:t>
      </w:r>
      <w:r>
        <w:t>»</w:t>
      </w:r>
      <w:r w:rsidRPr="00605AA1">
        <w:t>.</w:t>
      </w:r>
    </w:p>
    <w:p w14:paraId="46F1473B" w14:textId="77777777" w:rsidR="005D278A" w:rsidRPr="00C67F91" w:rsidRDefault="005D278A" w:rsidP="005D278A">
      <w:pPr>
        <w:pStyle w:val="SingleTxtG"/>
      </w:pPr>
      <w:r w:rsidRPr="00381B54">
        <w:t>110.</w:t>
      </w:r>
      <w:r w:rsidRPr="00381B54">
        <w:tab/>
        <w:t xml:space="preserve">Представители полиции принимают также участие в различных проводимых за рубежом международных семинарах и конференциях по различным вопросам прав человека, таким как проблема торговли людьми, с тем чтобы способствовать углублению международного и регионального сотрудничества в поиске решения подобных </w:t>
      </w:r>
      <w:r>
        <w:t xml:space="preserve">проблемных </w:t>
      </w:r>
      <w:r w:rsidRPr="00381B54">
        <w:t xml:space="preserve">вопросов. </w:t>
      </w:r>
      <w:r w:rsidRPr="00C67F91">
        <w:t>У израильской полиции есть представительства за границей, которые поддерживают контакты и регулярное сотрудничество с коллегами по всему миру, в том числе в рамках Интерпола.</w:t>
      </w:r>
    </w:p>
    <w:p w14:paraId="31466A4B" w14:textId="5D35FC28" w:rsidR="005D278A" w:rsidRPr="006D62DA" w:rsidRDefault="005D278A" w:rsidP="005D278A">
      <w:pPr>
        <w:pStyle w:val="SingleTxtG"/>
      </w:pPr>
      <w:r w:rsidRPr="006D62DA">
        <w:t>111.</w:t>
      </w:r>
      <w:r w:rsidRPr="006D62DA">
        <w:tab/>
        <w:t>6 мая 2018 года Канцелярия заместителя Генерального прокурора</w:t>
      </w:r>
      <w:r w:rsidR="0014789C">
        <w:br/>
      </w:r>
      <w:r w:rsidRPr="006D62DA">
        <w:t xml:space="preserve">(по международному праву) в сотрудничестве с НПО </w:t>
      </w:r>
      <w:r>
        <w:t>«</w:t>
      </w:r>
      <w:r w:rsidRPr="006D62DA">
        <w:t>Общественный комитет против пыток в Израиле</w:t>
      </w:r>
      <w:r>
        <w:t>»</w:t>
      </w:r>
      <w:r w:rsidRPr="006D62DA">
        <w:t xml:space="preserve"> провел</w:t>
      </w:r>
      <w:r>
        <w:t>а</w:t>
      </w:r>
      <w:r w:rsidRPr="006D62DA">
        <w:t xml:space="preserve"> однодневный учебный семинар для Отдела расследований по делам тюремных надзирателей Управления полиции Израиля и </w:t>
      </w:r>
      <w:r>
        <w:t>И</w:t>
      </w:r>
      <w:r w:rsidRPr="006D62DA">
        <w:t>нспектора Минюста по положениям Конвенции против пыток и других жестоких, бесчеловечных или унижающих достоинство видов обращения и наказания, а также Руководства по эффективному расследованию и документированию пыток и других жестоких, бесчеловечных или унижающих достоинство видов обращения и наказания (</w:t>
      </w:r>
      <w:r>
        <w:t>«</w:t>
      </w:r>
      <w:r w:rsidRPr="006D62DA">
        <w:t>Стамбульский протокол</w:t>
      </w:r>
      <w:r>
        <w:t>»</w:t>
      </w:r>
      <w:r w:rsidRPr="006D62DA">
        <w:t>).</w:t>
      </w:r>
    </w:p>
    <w:p w14:paraId="75687A23" w14:textId="7B1764BE" w:rsidR="005D278A" w:rsidRPr="00591083" w:rsidRDefault="005D278A" w:rsidP="005D278A">
      <w:pPr>
        <w:pStyle w:val="H4G"/>
      </w:pPr>
      <w:bookmarkStart w:id="40" w:name="_Toc47863787"/>
      <w:bookmarkStart w:id="41" w:name="_Toc54696502"/>
      <w:r w:rsidRPr="006D62DA">
        <w:rPr>
          <w:rFonts w:eastAsia="Calibri"/>
        </w:rPr>
        <w:tab/>
      </w:r>
      <w:r w:rsidRPr="006D62DA">
        <w:rPr>
          <w:rFonts w:eastAsia="Calibri"/>
        </w:rPr>
        <w:tab/>
      </w:r>
      <w:bookmarkEnd w:id="40"/>
      <w:bookmarkEnd w:id="41"/>
      <w:r w:rsidRPr="00591083">
        <w:rPr>
          <w:rFonts w:eastAsia="Calibri"/>
          <w:iCs/>
        </w:rPr>
        <w:t xml:space="preserve">Полицейские программы, направленные на поощрение прав человека и </w:t>
      </w:r>
      <w:r>
        <w:rPr>
          <w:rFonts w:eastAsia="Calibri"/>
          <w:iCs/>
        </w:rPr>
        <w:t>мног</w:t>
      </w:r>
      <w:r w:rsidRPr="00591083">
        <w:rPr>
          <w:rFonts w:eastAsia="Calibri"/>
          <w:iCs/>
        </w:rPr>
        <w:t>ообразия</w:t>
      </w:r>
    </w:p>
    <w:p w14:paraId="44228813" w14:textId="4B80C189" w:rsidR="005D278A" w:rsidRPr="006478AC" w:rsidRDefault="005D278A" w:rsidP="005D278A">
      <w:pPr>
        <w:pStyle w:val="SingleTxtG"/>
      </w:pPr>
      <w:r w:rsidRPr="006478AC">
        <w:t>112.</w:t>
      </w:r>
      <w:r w:rsidRPr="006478AC">
        <w:tab/>
        <w:t>Деятельность полиции Израиля направлена на обеспечение соблюдения закона, предотвращение правонарушений, сохранение и защиту жизни, имущества и общественного порядка при соблюдении прав человека и предоставлении равных услуг всем лицам и группам населения без дискриминации.</w:t>
      </w:r>
    </w:p>
    <w:p w14:paraId="7BCB2860" w14:textId="30954865" w:rsidR="005D278A" w:rsidRPr="00D006AC" w:rsidRDefault="005D278A" w:rsidP="005D278A">
      <w:pPr>
        <w:pStyle w:val="SingleTxtG"/>
      </w:pPr>
      <w:r w:rsidRPr="00DC3D7C">
        <w:t>113.</w:t>
      </w:r>
      <w:r w:rsidRPr="00DC3D7C">
        <w:tab/>
        <w:t xml:space="preserve">Отдел по вопросам гендерного равенства и культурного </w:t>
      </w:r>
      <w:r>
        <w:t>мног</w:t>
      </w:r>
      <w:r w:rsidRPr="00DC3D7C">
        <w:t xml:space="preserve">ообразия </w:t>
      </w:r>
      <w:r w:rsidR="0014789C" w:rsidRPr="00B76E19">
        <w:t>‒‒</w:t>
      </w:r>
      <w:r w:rsidR="0014789C">
        <w:br/>
      </w:r>
      <w:r w:rsidRPr="00DC3D7C">
        <w:t xml:space="preserve">это новое и важное подразделение было создано в октябре 2019 года с целью координации всех аспектов гендерного равенства и культурного </w:t>
      </w:r>
      <w:r>
        <w:t>мног</w:t>
      </w:r>
      <w:r w:rsidRPr="00DC3D7C">
        <w:t xml:space="preserve">ообразия в полиции. </w:t>
      </w:r>
      <w:r w:rsidRPr="00D006AC">
        <w:t>Кроме того, в каждом округе была добавлена должность специального сотрудника полиции, отвечающего за выполнение задач этого подразделения.</w:t>
      </w:r>
    </w:p>
    <w:p w14:paraId="3BD8E529" w14:textId="52602682" w:rsidR="005D278A" w:rsidRPr="001A01AC" w:rsidRDefault="005D278A" w:rsidP="005D278A">
      <w:pPr>
        <w:pStyle w:val="SingleTxtG"/>
      </w:pPr>
      <w:r w:rsidRPr="001A01AC">
        <w:t>114.</w:t>
      </w:r>
      <w:r w:rsidRPr="001A01AC">
        <w:tab/>
        <w:t xml:space="preserve">В обязанности этого Отдела входит, в частности, консультирование комиссара полиции по вопросам, касающимся гендерного равенства и культурного многообразия, как в обычное время, так и во время чрезвычайных ситуаций. Отдел отвечает за сбор информации и формирование политики повышения осведомленности по вопросам, находящихся в его ведении, за выявление препятствий, с которыми сталкивается его персонал из всех групп населения, и за действия по устранению таких препятствий. Отдел также отвечает за обеспечение представительства всех групп населения Израиля в полиции во всех рангах и на всех должностях, за организацию обучения и условий службы, подходящих для представителей всех групп </w:t>
      </w:r>
      <w:r w:rsidRPr="00A82817">
        <w:t>населения</w:t>
      </w:r>
      <w:r w:rsidRPr="001A01AC">
        <w:t>.</w:t>
      </w:r>
      <w:r w:rsidR="0014789C">
        <w:br/>
      </w:r>
      <w:r w:rsidRPr="001A01AC">
        <w:t xml:space="preserve">В обязанности Отдела входит совершенствование профессиональных знаний и проведение исследований. Кроме того, Отдел работает над предотвращением сексуальных домогательств и дискриминационного поведения с помощью различных средств, включая предоставление информации и обеспечение ее доступности для всех, подготовку и/или обновление соответствующих процедур, назначение лиц, ответственных за рассмотрение жалоб на сексуальные домогательства, </w:t>
      </w:r>
      <w:r w:rsidRPr="001A01AC">
        <w:lastRenderedPageBreak/>
        <w:t>предоставление организационной помощи любому лицу, жалующемуся на сексуальные домогательства, дискриминационное поведение и многое другое.</w:t>
      </w:r>
    </w:p>
    <w:p w14:paraId="0ADC1A28" w14:textId="53C43247" w:rsidR="005D278A" w:rsidRPr="002B4C8A" w:rsidRDefault="005D278A" w:rsidP="005D278A">
      <w:pPr>
        <w:pStyle w:val="SingleTxtG"/>
      </w:pPr>
      <w:r w:rsidRPr="00D74DE3">
        <w:t>115.</w:t>
      </w:r>
      <w:r w:rsidRPr="00D74DE3">
        <w:tab/>
        <w:t xml:space="preserve">Набор персонала </w:t>
      </w:r>
      <w:r w:rsidR="0014789C" w:rsidRPr="00B76E19">
        <w:t>‒‒</w:t>
      </w:r>
      <w:r w:rsidRPr="00D74DE3">
        <w:t xml:space="preserve"> полиция придает большое значение многообразию и проводит работу по набору профессиональных кадров из всех слоев израильского общества и групп населения. В целях поиска подходящих сотрудников были установлены рабочие отношения с представителями различных групп населения, чтобы поощрять тех, кто желает поступить на службу в полицию, и оказывать им помощь. </w:t>
      </w:r>
      <w:r w:rsidRPr="002B4C8A">
        <w:t>Для этого также были предприняты особы</w:t>
      </w:r>
      <w:r>
        <w:t>е</w:t>
      </w:r>
      <w:r w:rsidRPr="002B4C8A">
        <w:t xml:space="preserve"> меры. Одним из примеров подобных мер является то, что вступительный экзамен может проводиться на родном языке кандидата, а экзаменационный персонал проходит подготовку по теме культурного многообразия.</w:t>
      </w:r>
    </w:p>
    <w:p w14:paraId="38E43637" w14:textId="7884F240" w:rsidR="005D278A" w:rsidRPr="006758DA" w:rsidRDefault="005D278A" w:rsidP="005D278A">
      <w:pPr>
        <w:pStyle w:val="SingleTxtG"/>
      </w:pPr>
      <w:r w:rsidRPr="006758DA">
        <w:t>116.</w:t>
      </w:r>
      <w:r w:rsidRPr="006758DA">
        <w:tab/>
        <w:t xml:space="preserve">Арабское сообщество </w:t>
      </w:r>
      <w:r w:rsidR="0014789C" w:rsidRPr="00B76E19">
        <w:t>‒‒</w:t>
      </w:r>
      <w:r w:rsidRPr="006758DA">
        <w:t xml:space="preserve"> полиция установила минимальный уровень набора в 7</w:t>
      </w:r>
      <w:r w:rsidR="0014789C">
        <w:t> </w:t>
      </w:r>
      <w:r w:rsidRPr="006758DA">
        <w:t>% для арабского населения и предоставляет рекомендации и помощь при сдаче вступительных экзаменов, а затем и на учебных курсах.</w:t>
      </w:r>
    </w:p>
    <w:p w14:paraId="2600B2F9" w14:textId="77777777" w:rsidR="005D278A" w:rsidRPr="00347D41" w:rsidRDefault="005D278A" w:rsidP="005D278A">
      <w:pPr>
        <w:pStyle w:val="SingleTxtG"/>
      </w:pPr>
      <w:r w:rsidRPr="00347D41">
        <w:t>117.</w:t>
      </w:r>
      <w:r w:rsidRPr="00347D41">
        <w:tab/>
        <w:t>В 2019 году полиция начала пилотную программу, направленную на привлечение кандидатов из числа бедуинов. В рамках этой программы 50 кандидатов, желающих поступить на службу в полицию, проходят специальный курс подготовки и приобретают навыки, которые помогут им пройти вступительные экзамены, а затем и обучение на курсах.</w:t>
      </w:r>
    </w:p>
    <w:p w14:paraId="03DECFE1" w14:textId="727E2676" w:rsidR="005D278A" w:rsidRPr="00AE664C" w:rsidRDefault="005D278A" w:rsidP="005D278A">
      <w:pPr>
        <w:pStyle w:val="SingleTxtG"/>
      </w:pPr>
      <w:r w:rsidRPr="00AE664C">
        <w:t>118.</w:t>
      </w:r>
      <w:r w:rsidRPr="00AE664C">
        <w:tab/>
        <w:t xml:space="preserve">Прием на работу лиц эфиопского происхождения </w:t>
      </w:r>
      <w:r w:rsidR="0014789C" w:rsidRPr="00B76E19">
        <w:t>‒‒</w:t>
      </w:r>
      <w:r w:rsidRPr="00AE664C">
        <w:t xml:space="preserve"> полиция прилагает большие усилия для сотрудничества с представителями израильского населения эфиопского происхождения в Израиле с целью поиска подходящих кандидатов, предоставления рекомендаций и помощи на вступительных экзаменах, а затем на учебных курсах.</w:t>
      </w:r>
    </w:p>
    <w:p w14:paraId="15D9A0EA" w14:textId="1DDFA749" w:rsidR="005D278A" w:rsidRPr="009370E9" w:rsidRDefault="005D278A" w:rsidP="005D278A">
      <w:pPr>
        <w:pStyle w:val="SingleTxtG"/>
      </w:pPr>
      <w:r w:rsidRPr="009370E9">
        <w:t>119.</w:t>
      </w:r>
      <w:r w:rsidRPr="009370E9">
        <w:tab/>
        <w:t xml:space="preserve">Женщины </w:t>
      </w:r>
      <w:r w:rsidR="0014789C" w:rsidRPr="00B76E19">
        <w:t>‒‒</w:t>
      </w:r>
      <w:r w:rsidRPr="009370E9">
        <w:t xml:space="preserve"> была сформирована специальная группа для изучения препятствий, связанных с гендерными аспектами при приеме на работу, и поощрения женщин к поступлению на службу в полицию </w:t>
      </w:r>
      <w:r w:rsidR="0014789C" w:rsidRPr="00B76E19">
        <w:t>‒‒</w:t>
      </w:r>
      <w:r w:rsidRPr="009370E9">
        <w:t xml:space="preserve"> все это при содействии нового Отдела по вопросам гендерного равенства и культурного многообразия.</w:t>
      </w:r>
    </w:p>
    <w:p w14:paraId="58FEF0FF" w14:textId="49F5C67A" w:rsidR="005D278A" w:rsidRPr="007F4599" w:rsidRDefault="005D278A" w:rsidP="005D278A">
      <w:pPr>
        <w:pStyle w:val="SingleTxtG"/>
      </w:pPr>
      <w:r w:rsidRPr="007F4599">
        <w:t>120.</w:t>
      </w:r>
      <w:r w:rsidRPr="007F4599">
        <w:tab/>
        <w:t xml:space="preserve">Сообщество ЛГБТКИ </w:t>
      </w:r>
      <w:r w:rsidR="0014789C" w:rsidRPr="00B76E19">
        <w:t>‒‒</w:t>
      </w:r>
      <w:r w:rsidRPr="007F4599">
        <w:t xml:space="preserve"> полиция внесла ряд изменений в свои анкеты и экзамены, чтобы они лучше подходили для этой группы населения, что привело к найму первого полицейского-трансгендера в 2020 году.</w:t>
      </w:r>
    </w:p>
    <w:p w14:paraId="4770451F" w14:textId="77777777" w:rsidR="005D278A" w:rsidRPr="007F4599" w:rsidRDefault="005D278A" w:rsidP="005D278A">
      <w:pPr>
        <w:pStyle w:val="SingleTxtG"/>
      </w:pPr>
      <w:r w:rsidRPr="007F4599">
        <w:t>121.</w:t>
      </w:r>
      <w:r w:rsidRPr="007F4599">
        <w:tab/>
        <w:t>Соответствующую статистическую информацию см. в приложении к настоящему докладу (стр. 26).</w:t>
      </w:r>
    </w:p>
    <w:p w14:paraId="391891FA" w14:textId="1415E7AE" w:rsidR="005D278A" w:rsidRPr="00CD1C25" w:rsidRDefault="005D278A" w:rsidP="005D278A">
      <w:pPr>
        <w:pStyle w:val="H23G"/>
      </w:pPr>
      <w:r w:rsidRPr="007F4599">
        <w:tab/>
      </w:r>
      <w:r w:rsidRPr="007F4599">
        <w:tab/>
      </w:r>
      <w:r w:rsidRPr="00CD1C25">
        <w:rPr>
          <w:bCs/>
        </w:rPr>
        <w:t xml:space="preserve">ШАБАК </w:t>
      </w:r>
      <w:r w:rsidR="0014789C" w:rsidRPr="0014789C">
        <w:rPr>
          <w:bCs/>
        </w:rPr>
        <w:t>‒‒</w:t>
      </w:r>
      <w:r w:rsidRPr="00CD1C25">
        <w:rPr>
          <w:bCs/>
        </w:rPr>
        <w:t xml:space="preserve"> Агентство безопасности Израиля</w:t>
      </w:r>
    </w:p>
    <w:p w14:paraId="7EA4E3E1" w14:textId="7161D483" w:rsidR="005D278A" w:rsidRPr="00931355" w:rsidRDefault="0014789C" w:rsidP="005D278A">
      <w:pPr>
        <w:pStyle w:val="SingleTxtG"/>
      </w:pPr>
      <w:r>
        <w:t>122.</w:t>
      </w:r>
      <w:r>
        <w:tab/>
      </w:r>
      <w:r w:rsidR="005D278A" w:rsidRPr="00CD1C25">
        <w:t>Юридический департамент ШАБАКа и оперативные сотрудники ШАБАКа про</w:t>
      </w:r>
      <w:r w:rsidR="005D278A">
        <w:t>ходят</w:t>
      </w:r>
      <w:r w:rsidR="005D278A" w:rsidRPr="00CD1C25">
        <w:t xml:space="preserve"> подробную специальную подготовку по международному праву, включая право прав человека, основные конвенции по правам человека (</w:t>
      </w:r>
      <w:r w:rsidR="005D278A" w:rsidRPr="00293C99">
        <w:t>включая прямой эффект от их применения в уникальном израильском контексте</w:t>
      </w:r>
      <w:r w:rsidR="005D278A" w:rsidRPr="00CD1C25">
        <w:t xml:space="preserve">) и работу договорных органов по правам человека. </w:t>
      </w:r>
      <w:r w:rsidR="005D278A" w:rsidRPr="00931355">
        <w:t>Эти занятия проводятся в рамках специальных семинаров, организуемых как для новичков, так и для кадровых сотрудников ШАБАКа, с тем чтобы они усваивали важность соблюдения принципов человеческого достоинства и основных прав человека при охране правопорядка и принятии мер, предписываемых судами.</w:t>
      </w:r>
    </w:p>
    <w:p w14:paraId="16C73A8F" w14:textId="43CA449A" w:rsidR="005D278A" w:rsidRPr="0076684A" w:rsidRDefault="005D278A" w:rsidP="005D278A">
      <w:pPr>
        <w:pStyle w:val="H23G"/>
      </w:pPr>
      <w:r w:rsidRPr="00931355">
        <w:tab/>
      </w:r>
      <w:r w:rsidRPr="00931355">
        <w:tab/>
      </w:r>
      <w:r w:rsidRPr="0076684A">
        <w:rPr>
          <w:bCs/>
        </w:rPr>
        <w:t xml:space="preserve">ЦАХАЛ </w:t>
      </w:r>
      <w:r w:rsidR="00C16299" w:rsidRPr="00C16299">
        <w:rPr>
          <w:bCs/>
        </w:rPr>
        <w:t>‒‒</w:t>
      </w:r>
      <w:r w:rsidRPr="0076684A">
        <w:rPr>
          <w:bCs/>
        </w:rPr>
        <w:t xml:space="preserve"> Армия обороны Израиля</w:t>
      </w:r>
    </w:p>
    <w:p w14:paraId="741E3153" w14:textId="77777777" w:rsidR="005D278A" w:rsidRPr="002544A9" w:rsidRDefault="005D278A" w:rsidP="005D278A">
      <w:pPr>
        <w:pStyle w:val="SingleTxtG"/>
      </w:pPr>
      <w:r w:rsidRPr="0076684A">
        <w:t>123.</w:t>
      </w:r>
      <w:r w:rsidRPr="0076684A">
        <w:tab/>
        <w:t xml:space="preserve">Школа военного права проводит различные учебные мероприятия для военнослужащих ЦАХАЛа, посвященные правам человека и гуманитарному праву. </w:t>
      </w:r>
      <w:r w:rsidRPr="008812A0">
        <w:t xml:space="preserve">Эти мероприятия включают упражнения, лекции, использование специализированных компьютерных обучающих программ и организацию академических курсов, которые объясняют порядок как практического, так и теоретического применения международного права. </w:t>
      </w:r>
      <w:r w:rsidRPr="00753E74">
        <w:t xml:space="preserve">Участники анализируют реальные и постановочные оперативные ситуации, подобранные конкретно с учетом их должности и военной специальности. </w:t>
      </w:r>
      <w:r w:rsidRPr="002544A9">
        <w:t xml:space="preserve">Кроме того, командиры и Департамент международного права ЦАХАЛа принимают участие в оперативных учениях, чтобы обеспечить войска </w:t>
      </w:r>
      <w:r w:rsidRPr="002544A9">
        <w:lastRenderedPageBreak/>
        <w:t>профессиональными средствами, которые позволят им решать стоящие перед ними задачи в соответствии с международным правом.</w:t>
      </w:r>
    </w:p>
    <w:p w14:paraId="455731E4" w14:textId="443B28B4" w:rsidR="005D278A" w:rsidRPr="000D3DE9" w:rsidRDefault="005D278A" w:rsidP="005D278A">
      <w:pPr>
        <w:pStyle w:val="SingleTxtG"/>
      </w:pPr>
      <w:r w:rsidRPr="005A0E07">
        <w:t>124.</w:t>
      </w:r>
      <w:r w:rsidRPr="005A0E07">
        <w:tab/>
        <w:t>Ежегодно сотни лекций читаются солдатам и командирам ЦАХАЛа,</w:t>
      </w:r>
      <w:r w:rsidR="00C16299">
        <w:br/>
      </w:r>
      <w:r w:rsidRPr="005A0E07">
        <w:t xml:space="preserve">как находящимся на действительной службе, так и резервистам (включая боевые подразделения, курсантов офицерских курсов, следователей военной полиции, аналитиков службы безопасности и медицинский персонал в местах лишения свободы). </w:t>
      </w:r>
      <w:r w:rsidRPr="000D3DE9">
        <w:t>В процессе подготовки основное внимание уделяется таким вопросам, как методы ареста и заключения под стражу, юридическая ответственность солдат и их командиров, права задержанных, международное гуманитарное право и правила поведения во время вооруженного конфликта.</w:t>
      </w:r>
    </w:p>
    <w:p w14:paraId="3D21D1AB" w14:textId="4A973E29" w:rsidR="005D278A" w:rsidRPr="009D4E22" w:rsidRDefault="005D278A" w:rsidP="005D278A">
      <w:pPr>
        <w:pStyle w:val="H23G"/>
      </w:pPr>
      <w:r w:rsidRPr="000D3DE9">
        <w:tab/>
      </w:r>
      <w:r w:rsidRPr="000D3DE9">
        <w:tab/>
      </w:r>
      <w:r w:rsidRPr="009D4E22">
        <w:rPr>
          <w:bCs/>
        </w:rPr>
        <w:t xml:space="preserve">УТИ </w:t>
      </w:r>
      <w:r w:rsidR="00C16299" w:rsidRPr="00C16299">
        <w:rPr>
          <w:bCs/>
        </w:rPr>
        <w:t>‒‒</w:t>
      </w:r>
      <w:r w:rsidRPr="009D4E22">
        <w:rPr>
          <w:bCs/>
        </w:rPr>
        <w:t xml:space="preserve"> Управление тюрем Израиля</w:t>
      </w:r>
    </w:p>
    <w:p w14:paraId="55755ECB" w14:textId="2D00399F" w:rsidR="005D278A" w:rsidRPr="007D26E5" w:rsidRDefault="005D278A" w:rsidP="005D278A">
      <w:pPr>
        <w:pStyle w:val="SingleTxtG"/>
      </w:pPr>
      <w:r w:rsidRPr="009D4E22">
        <w:t>125.</w:t>
      </w:r>
      <w:r w:rsidRPr="009D4E22">
        <w:tab/>
        <w:t xml:space="preserve">Персонал УТИ регулярно проходит подготовку на курсах, проводимых в Школе для сотрудников и надзирателей УТИ, а также непосредственно в подразделениях по месту службы. </w:t>
      </w:r>
      <w:r w:rsidRPr="00905A3F">
        <w:t xml:space="preserve">Изучение положений соответствующих конвенций по правам человека составляет неотъемлемую часть общей программы подготовки сотрудников УТИ всех рангов, при этом сотрудники и надзиратели также проходят учебные курсы, разработанные специально для них. </w:t>
      </w:r>
      <w:r w:rsidRPr="00C2642E">
        <w:t>Эта подготовка включает такие темы, как предотвращение применения силы, этические нормы надзирателя, ценности человеческого достоинства и свободы, а также права и свободы заключенного.</w:t>
      </w:r>
      <w:r w:rsidR="00C16299">
        <w:br/>
      </w:r>
      <w:r w:rsidRPr="007D26E5">
        <w:t>Эти вопросы также в обычном порядке изучаются и на занятиях и инструктажах для остального персонала тюрем</w:t>
      </w:r>
      <w:r w:rsidRPr="00C2642E">
        <w:t xml:space="preserve">. </w:t>
      </w:r>
      <w:r w:rsidRPr="009B22F3">
        <w:t>Помимо этого, проводятся специальные занятия по вопросам этических норм и ценностей для старшего командного состава тюремных администраций</w:t>
      </w:r>
      <w:r w:rsidRPr="007D26E5">
        <w:t>.</w:t>
      </w:r>
    </w:p>
    <w:p w14:paraId="12C26B23" w14:textId="77777777" w:rsidR="005D278A" w:rsidRPr="00381EBB" w:rsidRDefault="005D278A" w:rsidP="005D278A">
      <w:pPr>
        <w:pStyle w:val="SingleTxtG"/>
      </w:pPr>
      <w:r w:rsidRPr="00381EBB">
        <w:t>126.</w:t>
      </w:r>
      <w:r w:rsidRPr="00381EBB">
        <w:tab/>
        <w:t>Кроме того, сотрудники УТИ также посещают семинары по выявлению жертв торговли людьми и проявлению к ним необходимой деликатности.</w:t>
      </w:r>
    </w:p>
    <w:p w14:paraId="4794EBF1" w14:textId="6B616DEA" w:rsidR="005D278A" w:rsidRPr="00F31481" w:rsidRDefault="005D278A" w:rsidP="005D278A">
      <w:pPr>
        <w:pStyle w:val="HChG"/>
      </w:pPr>
      <w:bookmarkStart w:id="42" w:name="_Toc54696503"/>
      <w:r w:rsidRPr="00381EBB">
        <w:tab/>
      </w:r>
      <w:r w:rsidRPr="008B5E26">
        <w:t>V</w:t>
      </w:r>
      <w:r w:rsidRPr="00F31481">
        <w:t>.</w:t>
      </w:r>
      <w:r w:rsidRPr="00F31481">
        <w:tab/>
      </w:r>
      <w:bookmarkEnd w:id="39"/>
      <w:bookmarkEnd w:id="42"/>
      <w:r w:rsidRPr="00F31481">
        <w:rPr>
          <w:bCs/>
        </w:rPr>
        <w:t>Информация и публикации по правам человека</w:t>
      </w:r>
      <w:r w:rsidR="00C16299">
        <w:rPr>
          <w:bCs/>
        </w:rPr>
        <w:br/>
      </w:r>
      <w:r w:rsidRPr="00F31481">
        <w:rPr>
          <w:bCs/>
        </w:rPr>
        <w:t>и вопросы поощрения прав человека</w:t>
      </w:r>
    </w:p>
    <w:p w14:paraId="372C484E" w14:textId="77777777" w:rsidR="005D278A" w:rsidRPr="0049623E" w:rsidRDefault="005D278A" w:rsidP="005D278A">
      <w:pPr>
        <w:pStyle w:val="H1G"/>
      </w:pPr>
      <w:bookmarkStart w:id="43" w:name="_Toc54696504"/>
      <w:r w:rsidRPr="00F31481">
        <w:tab/>
      </w:r>
      <w:r w:rsidRPr="008B5E26">
        <w:t>A</w:t>
      </w:r>
      <w:r w:rsidRPr="0049623E">
        <w:t>.</w:t>
      </w:r>
      <w:r w:rsidRPr="0049623E">
        <w:tab/>
      </w:r>
      <w:bookmarkEnd w:id="43"/>
      <w:r w:rsidRPr="0049623E">
        <w:rPr>
          <w:bCs/>
        </w:rPr>
        <w:t>Содействие повышению осведомленности о правах человека через средства массовой информации</w:t>
      </w:r>
    </w:p>
    <w:p w14:paraId="38DEA450" w14:textId="13C294EF" w:rsidR="005D278A" w:rsidRPr="00863014" w:rsidRDefault="005D278A" w:rsidP="005D278A">
      <w:pPr>
        <w:pStyle w:val="SingleTxtG"/>
      </w:pPr>
      <w:r w:rsidRPr="00E47819">
        <w:t>127.</w:t>
      </w:r>
      <w:r w:rsidRPr="00E47819">
        <w:tab/>
        <w:t>По этому вопросу см. первоначальный базовый документ Израиля (HRI/CORE/</w:t>
      </w:r>
      <w:r w:rsidR="00C16299">
        <w:t xml:space="preserve"> </w:t>
      </w:r>
      <w:r w:rsidRPr="00E47819">
        <w:t xml:space="preserve">ISR/2008) и его обновление 2014 года (HRI/CORE/ISR/2015). </w:t>
      </w:r>
      <w:r w:rsidRPr="00863014">
        <w:t>Кроме того, здесь представлены некоторые соответствующие поправки и обновления в законодательстве.</w:t>
      </w:r>
    </w:p>
    <w:p w14:paraId="505271F2" w14:textId="77777777" w:rsidR="005D278A" w:rsidRPr="006801D4" w:rsidRDefault="005D278A" w:rsidP="005D278A">
      <w:pPr>
        <w:pStyle w:val="SingleTxtG"/>
      </w:pPr>
      <w:r w:rsidRPr="00EF5B46">
        <w:t>128.</w:t>
      </w:r>
      <w:r w:rsidRPr="00EF5B46">
        <w:tab/>
        <w:t xml:space="preserve">В апреле 2020 года </w:t>
      </w:r>
      <w:r>
        <w:t>П</w:t>
      </w:r>
      <w:r w:rsidRPr="00EF5B46">
        <w:t xml:space="preserve">редседатель Верховного суда объявила, что слушание петиции, поданной в Высокий суд против чрезвычайных положений, позволяющих полиции и ШАБАКу следить за передвижениями пациентов в рамках пандемии COVID-19, будет транслироваться в прямом эфире на пробной основе, и что другие слушания будут транслироваться в будущем. </w:t>
      </w:r>
      <w:r w:rsidRPr="00785D93">
        <w:t xml:space="preserve">Слушания транслировались через основные новостные агентства и в полном объеме через Интернет. </w:t>
      </w:r>
      <w:r w:rsidRPr="00003B68">
        <w:t xml:space="preserve">Председатель, в частности, отметила, что «судебная система всегда стремится выполнять принцип, согласно которому судебные слушания должны быть доступны для общественности». </w:t>
      </w:r>
      <w:r w:rsidRPr="006801D4">
        <w:t xml:space="preserve">Следует отметить, что с тех пор публично транслировались слушания Высоким судом еще нескольких дел. </w:t>
      </w:r>
    </w:p>
    <w:p w14:paraId="05EA2570" w14:textId="47857632" w:rsidR="005D278A" w:rsidRPr="007B36B9" w:rsidRDefault="005D278A" w:rsidP="005D278A">
      <w:pPr>
        <w:pStyle w:val="H1G"/>
      </w:pPr>
      <w:bookmarkStart w:id="44" w:name="_Toc54696505"/>
      <w:r w:rsidRPr="006801D4">
        <w:tab/>
      </w:r>
      <w:r w:rsidRPr="008B5E26">
        <w:t>B</w:t>
      </w:r>
      <w:r w:rsidRPr="007B36B9">
        <w:t>.</w:t>
      </w:r>
      <w:r w:rsidRPr="007B36B9">
        <w:tab/>
      </w:r>
      <w:bookmarkEnd w:id="44"/>
      <w:r w:rsidRPr="007B36B9">
        <w:rPr>
          <w:bCs/>
        </w:rPr>
        <w:t>Содействие повышению осведомленности о правах человека</w:t>
      </w:r>
      <w:r w:rsidR="00C16299">
        <w:rPr>
          <w:bCs/>
        </w:rPr>
        <w:br/>
      </w:r>
      <w:r w:rsidRPr="007B36B9">
        <w:rPr>
          <w:bCs/>
        </w:rPr>
        <w:t>в рамках образовательных программ</w:t>
      </w:r>
    </w:p>
    <w:p w14:paraId="02AAE8F9" w14:textId="66D8CC6A" w:rsidR="005D278A" w:rsidRPr="000162B4" w:rsidRDefault="005D278A" w:rsidP="005D278A">
      <w:pPr>
        <w:pStyle w:val="SingleTxtG"/>
      </w:pPr>
      <w:r w:rsidRPr="003462B3">
        <w:t>129.</w:t>
      </w:r>
      <w:r w:rsidRPr="003462B3">
        <w:tab/>
        <w:t>В этой связи</w:t>
      </w:r>
      <w:r>
        <w:t xml:space="preserve"> </w:t>
      </w:r>
      <w:r w:rsidRPr="003462B3">
        <w:t>см. первоначальный базовый документ Израиля (HRI/CORE/</w:t>
      </w:r>
      <w:r w:rsidR="00C16299">
        <w:t xml:space="preserve"> </w:t>
      </w:r>
      <w:r w:rsidRPr="003462B3">
        <w:t>ISR/2008), его обновление 2014 года (HRI/CORE/ISR/2015) и приложение I к третьему периодическому докладу Израиля Комитету КПР ((CRC/C/ISR/5</w:t>
      </w:r>
      <w:r w:rsidR="00C16299" w:rsidRPr="00B76E19">
        <w:t>‒</w:t>
      </w:r>
      <w:r w:rsidRPr="003462B3">
        <w:t>6)</w:t>
      </w:r>
      <w:r w:rsidR="00C16299">
        <w:br/>
      </w:r>
      <w:r w:rsidRPr="003462B3">
        <w:lastRenderedPageBreak/>
        <w:t xml:space="preserve">от октября 2019 года, стр. 37). </w:t>
      </w:r>
      <w:r w:rsidRPr="000162B4">
        <w:t>Кроме того, здесь представлен ряд соответствующих обновлений.</w:t>
      </w:r>
    </w:p>
    <w:p w14:paraId="71B83D2B" w14:textId="58775649" w:rsidR="005D278A" w:rsidRPr="00B90F05" w:rsidRDefault="005D278A" w:rsidP="005D278A">
      <w:pPr>
        <w:pStyle w:val="SingleTxtG"/>
      </w:pPr>
      <w:r w:rsidRPr="000162B4">
        <w:t>130.</w:t>
      </w:r>
      <w:r w:rsidRPr="000162B4">
        <w:tab/>
        <w:t xml:space="preserve">Образование в области прав человека </w:t>
      </w:r>
      <w:r w:rsidR="0014789C" w:rsidRPr="00B76E19">
        <w:t>‒‒</w:t>
      </w:r>
      <w:r w:rsidRPr="000162B4">
        <w:t xml:space="preserve"> школьные образовательные программы по вопросам прав человека регулярно выполняются по всей стране.</w:t>
      </w:r>
      <w:r w:rsidR="00C16299">
        <w:br/>
      </w:r>
      <w:r w:rsidRPr="000162B4">
        <w:t xml:space="preserve">В Израиле разработан специальный курс, прохождение которого приурочено к ежегодному </w:t>
      </w:r>
      <w:r w:rsidRPr="00756C24">
        <w:t>международному</w:t>
      </w:r>
      <w:r w:rsidRPr="000162B4">
        <w:t xml:space="preserve"> Дню прав человека. </w:t>
      </w:r>
      <w:r w:rsidRPr="00756C24">
        <w:t xml:space="preserve">Каждый год на арабском языке и иврите разрабатываются соответствующие учебные программы и учебные материалы, в которых основное внимание уделяется конкретной теме прав человека, выбранной для учебной программы этого года. </w:t>
      </w:r>
      <w:r w:rsidRPr="00E27656">
        <w:t xml:space="preserve">Кроме того, проводятся различные мероприятия в соответствии с возрастом учеников. </w:t>
      </w:r>
      <w:r w:rsidRPr="00B90F05">
        <w:t xml:space="preserve">Например, в 2018 году соответствующая учебная программа была посвящена таким правам человека, как равенство, достоинство, неприкосновенность частной жизни, права детей, права, связанные с гражданством, и социальные права, такие как жилищные права и права работников. </w:t>
      </w:r>
    </w:p>
    <w:p w14:paraId="440F9AFA" w14:textId="5BAB8242" w:rsidR="005D278A" w:rsidRPr="004957BF" w:rsidRDefault="005D278A" w:rsidP="005D278A">
      <w:pPr>
        <w:pStyle w:val="SingleTxtG"/>
      </w:pPr>
      <w:r w:rsidRPr="00370BC6">
        <w:t>131.</w:t>
      </w:r>
      <w:r w:rsidRPr="00370BC6">
        <w:tab/>
        <w:t xml:space="preserve">Кроме того, ученики второго (2) </w:t>
      </w:r>
      <w:r w:rsidR="0014789C" w:rsidRPr="00B76E19">
        <w:t>‒‒</w:t>
      </w:r>
      <w:r w:rsidRPr="00370BC6">
        <w:t xml:space="preserve"> четвертого (4) классов получают буклет «Права ученика», в котором разъясняются их права и их обязанности по отношению к другим. </w:t>
      </w:r>
      <w:r w:rsidRPr="00D43C62">
        <w:t>В 3 и 4 классах учащиеся смотрят анимационный фильм о Всеобщей декларации прав человека и обсуждают ее значение в связи с аспектами равенства.</w:t>
      </w:r>
      <w:r w:rsidR="00C16299">
        <w:br/>
      </w:r>
      <w:r w:rsidRPr="004957BF">
        <w:t>В пятых (5) и шестых (6) классах учащиеся получают знания о КПР, о правах человека в обществе и т.</w:t>
      </w:r>
      <w:r w:rsidR="00C16299">
        <w:t> </w:t>
      </w:r>
      <w:r w:rsidRPr="004957BF">
        <w:t>д. Детей и молодежь также обучают демократическим ценностям и правам человека, правам человека перед лицом международного терроризма, праву на достоинство и уважение к другим и многому другому.</w:t>
      </w:r>
    </w:p>
    <w:p w14:paraId="25B93912" w14:textId="3EB5A750" w:rsidR="005D278A" w:rsidRPr="00F2313B" w:rsidRDefault="005D278A" w:rsidP="005D278A">
      <w:pPr>
        <w:pStyle w:val="SingleTxtG"/>
      </w:pPr>
      <w:r w:rsidRPr="0018685F">
        <w:t>132.</w:t>
      </w:r>
      <w:r w:rsidRPr="0018685F">
        <w:tab/>
        <w:t xml:space="preserve">Домашнее насилие </w:t>
      </w:r>
      <w:r w:rsidR="0014789C" w:rsidRPr="00B76E19">
        <w:t>‒‒</w:t>
      </w:r>
      <w:r w:rsidRPr="0018685F">
        <w:t xml:space="preserve"> каждый год в декабре проводится </w:t>
      </w:r>
      <w:r>
        <w:t>«</w:t>
      </w:r>
      <w:r w:rsidRPr="0018685F">
        <w:t>Неделя борьбы с домашним насилием</w:t>
      </w:r>
      <w:r>
        <w:t>»</w:t>
      </w:r>
      <w:r w:rsidRPr="0018685F">
        <w:t xml:space="preserve">, и Министерство образования (МО) публикует на соответствующем веб-сайте материалы для учителей и работников образования. </w:t>
      </w:r>
      <w:r w:rsidRPr="00F2313B">
        <w:t xml:space="preserve">Этот вопрос обсуждается во время недели борьбы с домашним насилием и в течение всего года в рамках </w:t>
      </w:r>
      <w:r>
        <w:t>«</w:t>
      </w:r>
      <w:r w:rsidRPr="00F2313B">
        <w:t>Программы жизненных навыков</w:t>
      </w:r>
      <w:r>
        <w:t>»</w:t>
      </w:r>
      <w:r w:rsidRPr="00F2313B">
        <w:t>, предлагаемой учащимся в системе образования. В 2015 году для работников образования из числа арабского и бедуинского населения была опубликована переведенная на арабский язык брошюра под названием «Дружба и интимные отношения без насилия» в рамках программы, рекомендованной для 10</w:t>
      </w:r>
      <w:r>
        <w:t>‒</w:t>
      </w:r>
      <w:r w:rsidRPr="00F2313B">
        <w:t>11 классов.</w:t>
      </w:r>
    </w:p>
    <w:p w14:paraId="4DCF2F9F" w14:textId="6D8F93F7" w:rsidR="005D278A" w:rsidRPr="008B5E26" w:rsidRDefault="005D278A" w:rsidP="005D278A">
      <w:pPr>
        <w:pStyle w:val="SingleTxtG"/>
        <w:rPr>
          <w:rtl/>
        </w:rPr>
      </w:pPr>
      <w:r w:rsidRPr="002F36DD">
        <w:t>133.</w:t>
      </w:r>
      <w:r w:rsidRPr="002F36DD">
        <w:tab/>
        <w:t xml:space="preserve">Медико-санитарное просвещение </w:t>
      </w:r>
      <w:r w:rsidR="0014789C" w:rsidRPr="00B76E19">
        <w:t>‒‒</w:t>
      </w:r>
      <w:r w:rsidRPr="002F36DD">
        <w:t xml:space="preserve"> Министерство образования работает совместно с Министерством здравоохранения в рамках национальной программы «Возможно</w:t>
      </w:r>
      <w:r>
        <w:t>с</w:t>
      </w:r>
      <w:r w:rsidRPr="002F36DD">
        <w:t xml:space="preserve">ть здорового образа жизни», поставив совместную цель: к 2020 году все образовательные учреждения, школы и детские сады, будут выступать в роли пропагандистов здоровья. </w:t>
      </w:r>
      <w:r w:rsidRPr="00D90F67">
        <w:t xml:space="preserve">Также в 2018 году в школьную программу были включены программы по профилактике употребления наркотиков, алкоголя, табака и опасных веществ. </w:t>
      </w:r>
      <w:r w:rsidRPr="004376A1">
        <w:t>На уровне средней школы программа включает лекции для родителей, учеников и педагогов.</w:t>
      </w:r>
    </w:p>
    <w:p w14:paraId="2062B690" w14:textId="5DB1121D" w:rsidR="005D278A" w:rsidRPr="000E6E75" w:rsidRDefault="005D278A" w:rsidP="005D278A">
      <w:pPr>
        <w:pStyle w:val="SingleTxtG"/>
      </w:pPr>
      <w:r w:rsidRPr="000E6E75">
        <w:t>134.</w:t>
      </w:r>
      <w:r w:rsidRPr="000E6E75">
        <w:tab/>
        <w:t>Министерство образования организует курсы повышения квалификации по вопросам демократии, гражданского воспитания и борьбы с расизмом для руководителей, директоров, учителей школ и воспитателей детских садов, продолжительность которых составляет около 2300 часов в год.</w:t>
      </w:r>
    </w:p>
    <w:p w14:paraId="060276F3" w14:textId="77777777" w:rsidR="005D278A" w:rsidRPr="002D4AE2" w:rsidRDefault="005D278A" w:rsidP="005D278A">
      <w:pPr>
        <w:pStyle w:val="SingleTxtG"/>
      </w:pPr>
      <w:r w:rsidRPr="002D4AE2">
        <w:t>135.</w:t>
      </w:r>
      <w:r w:rsidRPr="002D4AE2">
        <w:tab/>
        <w:t xml:space="preserve">Другие образовательные программы по поощрению прав детей, включая права детей с инвалидностью; программы, касающиеся встреч детей и </w:t>
      </w:r>
      <w:r>
        <w:t>подростков</w:t>
      </w:r>
      <w:r w:rsidRPr="002D4AE2">
        <w:t xml:space="preserve"> из различных слоев израильских общин и арабов; программы по вопросам сообщества ЛГБТКИ; и многое другое см. в третьем периодическом докладе Израиля об осуществлении КПР и дополнительных протоколов к ней (</w:t>
      </w:r>
      <w:r w:rsidRPr="00983597">
        <w:t>CRC</w:t>
      </w:r>
      <w:r w:rsidRPr="002D4AE2">
        <w:t>/</w:t>
      </w:r>
      <w:r w:rsidRPr="00983597">
        <w:t>C</w:t>
      </w:r>
      <w:r w:rsidRPr="002D4AE2">
        <w:t>/</w:t>
      </w:r>
      <w:r w:rsidRPr="00983597">
        <w:t>ISR</w:t>
      </w:r>
      <w:r w:rsidRPr="002D4AE2">
        <w:t>/5-6).</w:t>
      </w:r>
    </w:p>
    <w:p w14:paraId="279A0A71" w14:textId="39369C98" w:rsidR="005D278A" w:rsidRPr="002D4AE2" w:rsidRDefault="005D278A" w:rsidP="005D278A">
      <w:pPr>
        <w:pStyle w:val="H1G"/>
      </w:pPr>
      <w:bookmarkStart w:id="45" w:name="_Toc54696506"/>
      <w:r w:rsidRPr="002D4AE2">
        <w:tab/>
      </w:r>
      <w:r w:rsidRPr="008B5E26">
        <w:t>C</w:t>
      </w:r>
      <w:r w:rsidRPr="002D4AE2">
        <w:t>.</w:t>
      </w:r>
      <w:r w:rsidRPr="002D4AE2">
        <w:tab/>
      </w:r>
      <w:bookmarkEnd w:id="45"/>
      <w:r w:rsidRPr="002D4AE2">
        <w:rPr>
          <w:bCs/>
        </w:rPr>
        <w:t>Содействие повышению осведомленности о правах человека</w:t>
      </w:r>
      <w:r w:rsidR="00C16299">
        <w:rPr>
          <w:bCs/>
        </w:rPr>
        <w:br/>
      </w:r>
      <w:r w:rsidRPr="002D4AE2">
        <w:rPr>
          <w:bCs/>
        </w:rPr>
        <w:t>через предназначенные для широкой общественности материалы</w:t>
      </w:r>
    </w:p>
    <w:p w14:paraId="5B8F5370" w14:textId="62AB01D8" w:rsidR="005D278A" w:rsidRPr="002D4AE2" w:rsidRDefault="005D278A" w:rsidP="005D278A">
      <w:pPr>
        <w:pStyle w:val="SingleTxtG"/>
      </w:pPr>
      <w:r w:rsidRPr="002D4AE2">
        <w:t>136.</w:t>
      </w:r>
      <w:r w:rsidRPr="002D4AE2">
        <w:tab/>
        <w:t>См. первоначальный базовый документ Израиля (</w:t>
      </w:r>
      <w:r w:rsidRPr="00A219CF">
        <w:t>HRI</w:t>
      </w:r>
      <w:r w:rsidRPr="002D4AE2">
        <w:t>/</w:t>
      </w:r>
      <w:r w:rsidRPr="00A219CF">
        <w:t>CORE</w:t>
      </w:r>
      <w:r w:rsidRPr="002D4AE2">
        <w:t>/</w:t>
      </w:r>
      <w:r w:rsidRPr="00A219CF">
        <w:t>ISR</w:t>
      </w:r>
      <w:r w:rsidRPr="002D4AE2">
        <w:t>/2008,</w:t>
      </w:r>
      <w:r w:rsidR="00C16299">
        <w:br/>
      </w:r>
      <w:r w:rsidRPr="002D4AE2">
        <w:t>(стр. 76)) и его обновление 2014 года (</w:t>
      </w:r>
      <w:r w:rsidRPr="00A219CF">
        <w:t>HRI</w:t>
      </w:r>
      <w:r w:rsidRPr="002D4AE2">
        <w:t>/</w:t>
      </w:r>
      <w:r w:rsidRPr="00A219CF">
        <w:t>CORE</w:t>
      </w:r>
      <w:r w:rsidRPr="002D4AE2">
        <w:t>/</w:t>
      </w:r>
      <w:r w:rsidRPr="00A219CF">
        <w:t>ISR</w:t>
      </w:r>
      <w:r w:rsidRPr="002D4AE2">
        <w:t>/2015).</w:t>
      </w:r>
    </w:p>
    <w:p w14:paraId="2480C6FB" w14:textId="77777777" w:rsidR="005D278A" w:rsidRPr="002D4AE2" w:rsidRDefault="005D278A" w:rsidP="005D278A">
      <w:pPr>
        <w:pStyle w:val="HChG"/>
      </w:pPr>
      <w:bookmarkStart w:id="46" w:name="_Toc54696507"/>
      <w:r w:rsidRPr="002D4AE2">
        <w:lastRenderedPageBreak/>
        <w:tab/>
      </w:r>
      <w:r w:rsidRPr="008B5E26">
        <w:t>VI</w:t>
      </w:r>
      <w:r w:rsidRPr="002D4AE2">
        <w:t>.</w:t>
      </w:r>
      <w:r w:rsidRPr="002D4AE2">
        <w:tab/>
      </w:r>
      <w:bookmarkEnd w:id="46"/>
      <w:r w:rsidRPr="002D4AE2">
        <w:rPr>
          <w:bCs/>
        </w:rPr>
        <w:t>Процесс подготовки докладов на национальном уровне</w:t>
      </w:r>
    </w:p>
    <w:p w14:paraId="7B5E561C" w14:textId="77777777" w:rsidR="005D278A" w:rsidRPr="002D4AE2" w:rsidRDefault="005D278A" w:rsidP="005D278A">
      <w:pPr>
        <w:pStyle w:val="H1G"/>
      </w:pPr>
      <w:bookmarkStart w:id="47" w:name="_Toc54696508"/>
      <w:r w:rsidRPr="002D4AE2">
        <w:tab/>
      </w:r>
      <w:r w:rsidRPr="008B5E26">
        <w:t>A</w:t>
      </w:r>
      <w:r w:rsidRPr="002D4AE2">
        <w:t>.</w:t>
      </w:r>
      <w:r w:rsidRPr="002D4AE2">
        <w:tab/>
      </w:r>
      <w:bookmarkEnd w:id="47"/>
      <w:r w:rsidRPr="002D4AE2">
        <w:rPr>
          <w:bCs/>
        </w:rPr>
        <w:t>Подготовка периодических докладов по конкретным договорам</w:t>
      </w:r>
    </w:p>
    <w:p w14:paraId="6D1A6296" w14:textId="557299CD" w:rsidR="005D278A" w:rsidRPr="002D4AE2" w:rsidRDefault="005D278A" w:rsidP="005D278A">
      <w:pPr>
        <w:pStyle w:val="SingleTxtG"/>
      </w:pPr>
      <w:r w:rsidRPr="002D4AE2">
        <w:t>137.</w:t>
      </w:r>
      <w:r w:rsidRPr="002D4AE2">
        <w:tab/>
        <w:t>См. первоначальный базовый документ Израиля (HRI/CORE/ISR/2008), стр. 76.</w:t>
      </w:r>
    </w:p>
    <w:p w14:paraId="2844FC6B" w14:textId="77777777" w:rsidR="005D278A" w:rsidRPr="003801C4" w:rsidRDefault="005D278A" w:rsidP="005D278A">
      <w:pPr>
        <w:pStyle w:val="H23G"/>
      </w:pPr>
      <w:r w:rsidRPr="002D4AE2">
        <w:tab/>
      </w:r>
      <w:r w:rsidRPr="002D4AE2">
        <w:tab/>
      </w:r>
      <w:r w:rsidRPr="003801C4">
        <w:rPr>
          <w:bCs/>
        </w:rPr>
        <w:t>Сотрудничество с гражданским обществом при подготовке периодических докладов</w:t>
      </w:r>
    </w:p>
    <w:p w14:paraId="79946C4F" w14:textId="2883419D" w:rsidR="005D278A" w:rsidRPr="003C67DB" w:rsidRDefault="005D278A" w:rsidP="005D278A">
      <w:pPr>
        <w:pStyle w:val="SingleTxtG"/>
      </w:pPr>
      <w:r w:rsidRPr="003C67DB">
        <w:t>138.</w:t>
      </w:r>
      <w:r w:rsidRPr="003C67DB">
        <w:tab/>
        <w:t>В отношении подготовки периодических докладов для всех правозащитных комитетов и усилий по вовлечению гражданского общества в процесс составления этих периодических докладов см. первоначальный базовый документ Израиля (HRI/</w:t>
      </w:r>
      <w:r w:rsidR="00C16299">
        <w:t xml:space="preserve"> </w:t>
      </w:r>
      <w:r w:rsidRPr="003C67DB">
        <w:t>CORE/ISR/2008) и его обновление 2014 года (HRI/CORE/ISR/2015).</w:t>
      </w:r>
    </w:p>
    <w:p w14:paraId="4E0C11ED" w14:textId="77777777" w:rsidR="005D278A" w:rsidRPr="00F6229B" w:rsidRDefault="005D278A" w:rsidP="005D278A">
      <w:pPr>
        <w:pStyle w:val="SingleTxtG"/>
      </w:pPr>
      <w:r w:rsidRPr="006C157D">
        <w:t>139.</w:t>
      </w:r>
      <w:r w:rsidRPr="006C157D">
        <w:tab/>
        <w:t xml:space="preserve">Необходимо отметить, что в рамках текущего проекта с Центром по правам человека </w:t>
      </w:r>
      <w:r>
        <w:t>«</w:t>
      </w:r>
      <w:r w:rsidRPr="006C157D">
        <w:t>Минерва</w:t>
      </w:r>
      <w:r>
        <w:t>»</w:t>
      </w:r>
      <w:r w:rsidRPr="006C157D">
        <w:t xml:space="preserve"> при юридическом факультете Еврейского университета в Иерусалиме, направленного на улучшение сотрудничества между государственными органами и организациями гражданского общества в отношении процесса представления докладов договорным органам Организации Объединенных Наций по правам человека, за нынешний отчетный период было проведено несколько встреч по этому вопросу. </w:t>
      </w:r>
      <w:r w:rsidRPr="00F6229B">
        <w:t>В числе таких встреч можно упомянуть, в частности, круглый стол с различными НПО 10 сентября 2019 года перед представлением третьего периодического доклада Комитету по правам ребенка (КПР) и круглый стол с соответствующими НПО 9 сентября 2019 года перед представлением пятого периодического доклада Комитету по правам человека (МПГПП).</w:t>
      </w:r>
    </w:p>
    <w:p w14:paraId="40189B6C" w14:textId="257DDF22" w:rsidR="005D278A" w:rsidRPr="008F5207" w:rsidRDefault="005D278A" w:rsidP="005D278A">
      <w:pPr>
        <w:pStyle w:val="SingleTxtG"/>
      </w:pPr>
      <w:r w:rsidRPr="008500FC">
        <w:t>140.</w:t>
      </w:r>
      <w:r w:rsidRPr="008500FC">
        <w:tab/>
        <w:t xml:space="preserve">В 2017 году министерства юстиции и иностранных дел инициировали проект «Круглые столы». Этот проект включал в себя проведение шести (6) заседаний, которые прошли в различных академических институтах Израиля </w:t>
      </w:r>
      <w:r w:rsidR="0014789C" w:rsidRPr="00B76E19">
        <w:t>‒‒</w:t>
      </w:r>
      <w:r w:rsidRPr="008500FC">
        <w:t xml:space="preserve"> на юге, в центре и на севере страны. </w:t>
      </w:r>
      <w:r w:rsidRPr="008F5207">
        <w:t>Эти заседания стали уникальной платформой, способствовавшей дискуссии и дальнейшему сотрудничеству между членами НПО, учеными и представителями правительства по основным вопросам прав человека: права ЛГБТКИ, израильтян эфиопского происхождения, бедуинского населения, права женщин, права инвалидов и социально-экономические права населения периферии страны.</w:t>
      </w:r>
    </w:p>
    <w:p w14:paraId="0B0F4E69" w14:textId="77777777" w:rsidR="005D278A" w:rsidRPr="00160218" w:rsidRDefault="005D278A" w:rsidP="005D278A">
      <w:pPr>
        <w:pStyle w:val="H1G"/>
      </w:pPr>
      <w:bookmarkStart w:id="48" w:name="_Toc54696509"/>
      <w:r w:rsidRPr="008F5207">
        <w:tab/>
      </w:r>
      <w:r w:rsidRPr="008B5E26">
        <w:t>B</w:t>
      </w:r>
      <w:r w:rsidRPr="00160218">
        <w:t>.</w:t>
      </w:r>
      <w:r w:rsidRPr="00160218">
        <w:tab/>
      </w:r>
      <w:r w:rsidRPr="00160218">
        <w:rPr>
          <w:bCs/>
        </w:rPr>
        <w:t>Межведомственная группа по выполнению заключительных замечаний</w:t>
      </w:r>
    </w:p>
    <w:p w14:paraId="653FD341" w14:textId="100FAA50" w:rsidR="005D278A" w:rsidRPr="002E08CB" w:rsidRDefault="005D278A" w:rsidP="005D278A">
      <w:pPr>
        <w:pStyle w:val="SingleTxtG"/>
      </w:pPr>
      <w:r w:rsidRPr="003B038B">
        <w:t>141.</w:t>
      </w:r>
      <w:r w:rsidRPr="003B038B">
        <w:tab/>
        <w:t>Серьезность, которую Государство Израиль придает вопросам прав человека, может быть продемонстрирована созданием в 2011 году совместной межведомственной группы, возглавляемой заместителем Министра</w:t>
      </w:r>
      <w:r w:rsidR="00C16299">
        <w:br/>
      </w:r>
      <w:r w:rsidRPr="003B038B">
        <w:t xml:space="preserve">юстиции (по вопросам международного права), для проведения анализа и осуществления заключительных замечаний различных комитетов по правам человека. </w:t>
      </w:r>
      <w:r w:rsidRPr="002E08CB">
        <w:t>Эта межведомственная группа собирается для рассмотрения заключительных замечаний, вынесенных правозащитными комитетами Организации Объединенных Наций, и по итогам работы с момента своего создания уже внесла предложения по нескольким важным поправкам во внутреннее законодательство в области прав человека.</w:t>
      </w:r>
    </w:p>
    <w:p w14:paraId="5C985EE5" w14:textId="77777777" w:rsidR="005D278A" w:rsidRPr="00AC2A5C" w:rsidRDefault="005D278A" w:rsidP="005D278A">
      <w:pPr>
        <w:pStyle w:val="H1G"/>
      </w:pPr>
      <w:r w:rsidRPr="002E08CB">
        <w:tab/>
      </w:r>
      <w:r w:rsidRPr="008B5E26">
        <w:t>C</w:t>
      </w:r>
      <w:r w:rsidRPr="00AC2A5C">
        <w:t>.</w:t>
      </w:r>
      <w:r w:rsidRPr="00AC2A5C">
        <w:tab/>
      </w:r>
      <w:bookmarkEnd w:id="48"/>
      <w:r w:rsidRPr="00AC2A5C">
        <w:rPr>
          <w:bCs/>
        </w:rPr>
        <w:t>Прочая информация, касающаяся содействия повышению осведомленности о правах человека</w:t>
      </w:r>
    </w:p>
    <w:p w14:paraId="5C7D61D0" w14:textId="77777777" w:rsidR="005D278A" w:rsidRPr="00475A31" w:rsidRDefault="005D278A" w:rsidP="005D278A">
      <w:pPr>
        <w:pStyle w:val="SingleTxtG"/>
      </w:pPr>
      <w:r w:rsidRPr="00443511">
        <w:t>142.</w:t>
      </w:r>
      <w:r w:rsidRPr="00443511">
        <w:tab/>
        <w:t xml:space="preserve">НПО являются важным фактором повышения осведомленности в вопросах прав человека. Для привлечения внимания к ряду важных социальных вопросов, таких как гражданские свободы, социальная справедливость, права меньшинств, культурное просвещение, равноправие инвалидов и борьба с торговлей людьми, между государством и сотнями различных НПО ведется непрерывный, регулярный диалог. </w:t>
      </w:r>
      <w:r w:rsidRPr="00475A31">
        <w:t xml:space="preserve">Ряд израильских НПО разработали учебные программы, помогающие вести </w:t>
      </w:r>
      <w:r w:rsidRPr="00475A31">
        <w:lastRenderedPageBreak/>
        <w:t>просветительскую работу по этим социальным вопросам среди израильских граждан (включая государственных должностных лиц) и общин.</w:t>
      </w:r>
    </w:p>
    <w:p w14:paraId="511E549C" w14:textId="51C7F7C3" w:rsidR="005D278A" w:rsidRPr="00475A31" w:rsidRDefault="005D278A" w:rsidP="005D278A">
      <w:pPr>
        <w:pStyle w:val="SingleTxtG"/>
      </w:pPr>
      <w:r w:rsidRPr="00475A31">
        <w:t>143.</w:t>
      </w:r>
      <w:r w:rsidRPr="00475A31">
        <w:tab/>
        <w:t>Информация и подробные сведения о 23 ведущих НПО, включая их цели</w:t>
      </w:r>
      <w:r w:rsidR="004C3FA5">
        <w:br/>
      </w:r>
      <w:r w:rsidRPr="00475A31">
        <w:t>и основные виды деятельности, основанные на информации, полученной</w:t>
      </w:r>
      <w:r w:rsidR="00202D50">
        <w:br/>
      </w:r>
      <w:r w:rsidRPr="00475A31">
        <w:t>с их веб-сайтов, приводятся в приложении к настоящему докладу (стр. 26).</w:t>
      </w:r>
    </w:p>
    <w:p w14:paraId="13A0BBAB" w14:textId="77777777" w:rsidR="005D278A" w:rsidRPr="00475A31" w:rsidRDefault="005D278A" w:rsidP="005D278A">
      <w:pPr>
        <w:jc w:val="center"/>
        <w:rPr>
          <w:u w:val="single"/>
        </w:rPr>
      </w:pPr>
      <w:r w:rsidRPr="00475A31">
        <w:rPr>
          <w:u w:val="single"/>
        </w:rPr>
        <w:tab/>
      </w:r>
      <w:r w:rsidRPr="00475A31">
        <w:rPr>
          <w:u w:val="single"/>
        </w:rPr>
        <w:tab/>
      </w:r>
      <w:r w:rsidRPr="00475A31">
        <w:rPr>
          <w:u w:val="single"/>
        </w:rPr>
        <w:tab/>
      </w:r>
    </w:p>
    <w:sectPr w:rsidR="005D278A" w:rsidRPr="00475A31" w:rsidSect="005D278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5DB3F" w14:textId="77777777" w:rsidR="0014789C" w:rsidRPr="00A312BC" w:rsidRDefault="0014789C" w:rsidP="00A312BC"/>
  </w:endnote>
  <w:endnote w:type="continuationSeparator" w:id="0">
    <w:p w14:paraId="6694A25D" w14:textId="77777777" w:rsidR="0014789C" w:rsidRPr="00A312BC" w:rsidRDefault="0014789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7F22" w14:textId="449288E2" w:rsidR="0014789C" w:rsidRPr="005D278A" w:rsidRDefault="0014789C">
    <w:pPr>
      <w:pStyle w:val="a9"/>
    </w:pPr>
    <w:r w:rsidRPr="005D278A">
      <w:rPr>
        <w:b/>
        <w:sz w:val="18"/>
      </w:rPr>
      <w:fldChar w:fldCharType="begin"/>
    </w:r>
    <w:r w:rsidRPr="005D278A">
      <w:rPr>
        <w:b/>
        <w:sz w:val="18"/>
      </w:rPr>
      <w:instrText xml:space="preserve"> PAGE  \* MERGEFORMAT </w:instrText>
    </w:r>
    <w:r w:rsidRPr="005D278A">
      <w:rPr>
        <w:b/>
        <w:sz w:val="18"/>
      </w:rPr>
      <w:fldChar w:fldCharType="separate"/>
    </w:r>
    <w:r w:rsidRPr="005D278A">
      <w:rPr>
        <w:b/>
        <w:noProof/>
        <w:sz w:val="18"/>
      </w:rPr>
      <w:t>2</w:t>
    </w:r>
    <w:r w:rsidRPr="005D278A">
      <w:rPr>
        <w:b/>
        <w:sz w:val="18"/>
      </w:rPr>
      <w:fldChar w:fldCharType="end"/>
    </w:r>
    <w:r>
      <w:rPr>
        <w:b/>
        <w:sz w:val="18"/>
      </w:rPr>
      <w:tab/>
    </w:r>
    <w:r>
      <w:t>GE.21-10177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7DF4" w14:textId="2B00B226" w:rsidR="0014789C" w:rsidRPr="005D278A" w:rsidRDefault="0014789C" w:rsidP="005D278A">
    <w:pPr>
      <w:pStyle w:val="a9"/>
      <w:tabs>
        <w:tab w:val="clear" w:pos="9639"/>
        <w:tab w:val="right" w:pos="9638"/>
      </w:tabs>
      <w:rPr>
        <w:b/>
        <w:sz w:val="18"/>
      </w:rPr>
    </w:pPr>
    <w:r>
      <w:t>GE.21-10177</w:t>
    </w:r>
    <w:r>
      <w:tab/>
    </w:r>
    <w:r w:rsidRPr="005D278A">
      <w:rPr>
        <w:b/>
        <w:sz w:val="18"/>
      </w:rPr>
      <w:fldChar w:fldCharType="begin"/>
    </w:r>
    <w:r w:rsidRPr="005D278A">
      <w:rPr>
        <w:b/>
        <w:sz w:val="18"/>
      </w:rPr>
      <w:instrText xml:space="preserve"> PAGE  \* MERGEFORMAT </w:instrText>
    </w:r>
    <w:r w:rsidRPr="005D278A">
      <w:rPr>
        <w:b/>
        <w:sz w:val="18"/>
      </w:rPr>
      <w:fldChar w:fldCharType="separate"/>
    </w:r>
    <w:r w:rsidRPr="005D278A">
      <w:rPr>
        <w:b/>
        <w:noProof/>
        <w:sz w:val="18"/>
      </w:rPr>
      <w:t>3</w:t>
    </w:r>
    <w:r w:rsidRPr="005D27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64E7F" w14:textId="1057EDD0" w:rsidR="0014789C" w:rsidRPr="005D278A" w:rsidRDefault="0014789C" w:rsidP="005D278A">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45CEC325" wp14:editId="656994F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21-10177  (R)</w:t>
    </w:r>
    <w:r>
      <w:rPr>
        <w:noProof/>
      </w:rPr>
      <w:drawing>
        <wp:anchor distT="0" distB="0" distL="114300" distR="114300" simplePos="0" relativeHeight="251659264" behindDoc="0" locked="0" layoutInCell="1" allowOverlap="1" wp14:anchorId="14734E59" wp14:editId="0442EB37">
          <wp:simplePos x="0" y="0"/>
          <wp:positionH relativeFrom="margin">
            <wp:posOffset>5489575</wp:posOffset>
          </wp:positionH>
          <wp:positionV relativeFrom="margin">
            <wp:posOffset>8855710</wp:posOffset>
          </wp:positionV>
          <wp:extent cx="561975" cy="561975"/>
          <wp:effectExtent l="0" t="0" r="952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011021  </w:t>
    </w:r>
    <w:r w:rsidR="00AC47B1">
      <w:rPr>
        <w:lang w:val="fr-CH"/>
      </w:rPr>
      <w:t>14</w:t>
    </w:r>
    <w:r>
      <w:rPr>
        <w:lang w:val="en-US"/>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8401F" w14:textId="77777777" w:rsidR="0014789C" w:rsidRPr="001075E9" w:rsidRDefault="0014789C" w:rsidP="001075E9">
      <w:pPr>
        <w:tabs>
          <w:tab w:val="right" w:pos="2155"/>
        </w:tabs>
        <w:spacing w:after="80" w:line="240" w:lineRule="auto"/>
        <w:ind w:left="680"/>
        <w:rPr>
          <w:u w:val="single"/>
        </w:rPr>
      </w:pPr>
      <w:r>
        <w:rPr>
          <w:u w:val="single"/>
        </w:rPr>
        <w:tab/>
      </w:r>
    </w:p>
  </w:footnote>
  <w:footnote w:type="continuationSeparator" w:id="0">
    <w:p w14:paraId="4F22566D" w14:textId="77777777" w:rsidR="0014789C" w:rsidRDefault="0014789C" w:rsidP="00407B78">
      <w:pPr>
        <w:tabs>
          <w:tab w:val="right" w:pos="2155"/>
        </w:tabs>
        <w:spacing w:after="80"/>
        <w:ind w:left="680"/>
        <w:rPr>
          <w:u w:val="single"/>
        </w:rPr>
      </w:pPr>
      <w:r>
        <w:rPr>
          <w:u w:val="single"/>
        </w:rPr>
        <w:tab/>
      </w:r>
    </w:p>
  </w:footnote>
  <w:footnote w:id="1">
    <w:p w14:paraId="184C3E2E" w14:textId="77777777" w:rsidR="0014789C" w:rsidRPr="005D278A" w:rsidRDefault="0014789C" w:rsidP="005D278A">
      <w:pPr>
        <w:pStyle w:val="ae"/>
        <w:rPr>
          <w:szCs w:val="18"/>
        </w:rPr>
      </w:pPr>
      <w:r w:rsidRPr="005D278A">
        <w:rPr>
          <w:rStyle w:val="ab"/>
          <w:szCs w:val="18"/>
          <w:vertAlign w:val="baseline"/>
        </w:rPr>
        <w:tab/>
        <w:t>*</w:t>
      </w:r>
      <w:r w:rsidRPr="005D278A">
        <w:rPr>
          <w:rStyle w:val="ab"/>
          <w:szCs w:val="18"/>
          <w:vertAlign w:val="baseline"/>
        </w:rPr>
        <w:tab/>
      </w:r>
      <w:r w:rsidRPr="005D278A">
        <w:rPr>
          <w:szCs w:val="18"/>
        </w:rPr>
        <w:t>Настоящий документ выпускается без официального редактирования.</w:t>
      </w:r>
    </w:p>
  </w:footnote>
  <w:footnote w:id="2">
    <w:p w14:paraId="3FFA20E2" w14:textId="77777777" w:rsidR="0014789C" w:rsidRPr="005D278A" w:rsidRDefault="0014789C" w:rsidP="005D278A">
      <w:pPr>
        <w:pStyle w:val="ae"/>
        <w:spacing w:after="240"/>
        <w:rPr>
          <w:szCs w:val="18"/>
        </w:rPr>
      </w:pPr>
      <w:r w:rsidRPr="005D278A">
        <w:rPr>
          <w:rStyle w:val="ab"/>
          <w:szCs w:val="18"/>
          <w:vertAlign w:val="baseline"/>
        </w:rPr>
        <w:tab/>
        <w:t>**</w:t>
      </w:r>
      <w:r w:rsidRPr="005D278A">
        <w:rPr>
          <w:rStyle w:val="ab"/>
          <w:szCs w:val="18"/>
          <w:vertAlign w:val="baseline"/>
        </w:rPr>
        <w:tab/>
      </w:r>
      <w:r w:rsidRPr="005D278A">
        <w:rPr>
          <w:szCs w:val="18"/>
        </w:rPr>
        <w:t>С приложением к настоящему документу можно ознакомиться на веб-сайте Управления Верховного комиссара Организации Объединенных Наций по правам человека.</w:t>
      </w:r>
    </w:p>
  </w:footnote>
  <w:footnote w:id="3">
    <w:p w14:paraId="79CC6473" w14:textId="2AA71CDD" w:rsidR="0014789C" w:rsidRPr="00ED717C" w:rsidRDefault="0014789C" w:rsidP="005D278A">
      <w:pPr>
        <w:pStyle w:val="ae"/>
        <w:rPr>
          <w:rStyle w:val="ab"/>
          <w:szCs w:val="18"/>
          <w:vertAlign w:val="baseline"/>
          <w:rtl/>
        </w:rPr>
      </w:pPr>
      <w:r w:rsidRPr="006C124B">
        <w:rPr>
          <w:szCs w:val="18"/>
        </w:rPr>
        <w:tab/>
      </w:r>
      <w:r w:rsidRPr="00EF64B8">
        <w:rPr>
          <w:rStyle w:val="ab"/>
        </w:rPr>
        <w:footnoteRef/>
      </w:r>
      <w:r w:rsidRPr="00F34CA7">
        <w:rPr>
          <w:szCs w:val="18"/>
          <w:lang w:val="en-US"/>
        </w:rPr>
        <w:tab/>
      </w:r>
      <w:r w:rsidRPr="009222C1">
        <w:t>См</w:t>
      </w:r>
      <w:r w:rsidRPr="00F34CA7">
        <w:rPr>
          <w:lang w:val="en-US"/>
        </w:rPr>
        <w:t>.</w:t>
      </w:r>
      <w:r w:rsidRPr="00F34CA7">
        <w:rPr>
          <w:rStyle w:val="ab"/>
          <w:vertAlign w:val="baseline"/>
          <w:lang w:val="en-US"/>
        </w:rPr>
        <w:t xml:space="preserve"> </w:t>
      </w:r>
      <w:r w:rsidR="00F34CA7">
        <w:rPr>
          <w:lang w:val="en-US"/>
        </w:rPr>
        <w:t>URL</w:t>
      </w:r>
      <w:r w:rsidR="00F34CA7" w:rsidRPr="00F34CA7">
        <w:rPr>
          <w:lang w:val="en-US"/>
        </w:rPr>
        <w:t xml:space="preserve">: </w:t>
      </w:r>
      <w:hyperlink r:id="rId1" w:history="1">
        <w:r w:rsidR="00EF5FD0" w:rsidRPr="008F0CE1">
          <w:rPr>
            <w:rStyle w:val="af2"/>
            <w:lang w:val="en-US"/>
          </w:rPr>
          <w:t>https://tbinternet.ohchr.org/_layouts/15/treatybodyexternal/Download.aspx?symbolno=HRI%2FCORE%2FISR%2F2008&amp;Lang=en</w:t>
        </w:r>
      </w:hyperlink>
      <w:r w:rsidRPr="00F34CA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B8644" w14:textId="0A036483" w:rsidR="0014789C" w:rsidRPr="005D278A" w:rsidRDefault="00EF5FD0">
    <w:pPr>
      <w:pStyle w:val="a6"/>
    </w:pPr>
    <w:r>
      <w:fldChar w:fldCharType="begin"/>
    </w:r>
    <w:r>
      <w:instrText xml:space="preserve"> TITLE  \* MERGEFORMAT </w:instrText>
    </w:r>
    <w:r>
      <w:fldChar w:fldCharType="separate"/>
    </w:r>
    <w:r>
      <w:t>HRI/CORE/ISR/2021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CFDB" w14:textId="3EF1DFEE" w:rsidR="0014789C" w:rsidRPr="005D278A" w:rsidRDefault="00EF5FD0" w:rsidP="005D278A">
    <w:pPr>
      <w:pStyle w:val="a6"/>
      <w:jc w:val="right"/>
    </w:pPr>
    <w:r>
      <w:fldChar w:fldCharType="begin"/>
    </w:r>
    <w:r>
      <w:instrText xml:space="preserve"> TITLE  \* MERGEFORMAT </w:instrText>
    </w:r>
    <w:r>
      <w:fldChar w:fldCharType="separate"/>
    </w:r>
    <w:r>
      <w:t>HRI/CORE/ISR/2021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CE72D2"/>
    <w:multiLevelType w:val="singleLevel"/>
    <w:tmpl w:val="0409000F"/>
    <w:lvl w:ilvl="0">
      <w:start w:val="1"/>
      <w:numFmt w:val="decimal"/>
      <w:pStyle w:val="9"/>
      <w:lvlText w:val="%1."/>
      <w:lvlJc w:val="left"/>
      <w:pPr>
        <w:tabs>
          <w:tab w:val="num" w:pos="360"/>
        </w:tabs>
        <w:ind w:left="360" w:hanging="36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3"/>
  </w:num>
  <w:num w:numId="6">
    <w:abstractNumId w:val="6"/>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8A"/>
    <w:rsid w:val="00033EE1"/>
    <w:rsid w:val="000340C2"/>
    <w:rsid w:val="00042B72"/>
    <w:rsid w:val="0005105F"/>
    <w:rsid w:val="000558BD"/>
    <w:rsid w:val="00081D9E"/>
    <w:rsid w:val="000B57E7"/>
    <w:rsid w:val="000B6373"/>
    <w:rsid w:val="000F09DF"/>
    <w:rsid w:val="000F61B2"/>
    <w:rsid w:val="001075E9"/>
    <w:rsid w:val="0014789C"/>
    <w:rsid w:val="00180183"/>
    <w:rsid w:val="0018024D"/>
    <w:rsid w:val="00181061"/>
    <w:rsid w:val="0018649F"/>
    <w:rsid w:val="00192032"/>
    <w:rsid w:val="00196389"/>
    <w:rsid w:val="001B3EF6"/>
    <w:rsid w:val="001C7A89"/>
    <w:rsid w:val="001F0F04"/>
    <w:rsid w:val="0020092A"/>
    <w:rsid w:val="00202D50"/>
    <w:rsid w:val="00205D9D"/>
    <w:rsid w:val="002115B8"/>
    <w:rsid w:val="00231B15"/>
    <w:rsid w:val="00291476"/>
    <w:rsid w:val="002A2EFC"/>
    <w:rsid w:val="002B1258"/>
    <w:rsid w:val="002C0E18"/>
    <w:rsid w:val="002C6A31"/>
    <w:rsid w:val="002D5AAC"/>
    <w:rsid w:val="002E5067"/>
    <w:rsid w:val="002F405F"/>
    <w:rsid w:val="002F7EEC"/>
    <w:rsid w:val="00301299"/>
    <w:rsid w:val="00307FB6"/>
    <w:rsid w:val="00317339"/>
    <w:rsid w:val="00322004"/>
    <w:rsid w:val="003402C2"/>
    <w:rsid w:val="00373BCE"/>
    <w:rsid w:val="00381C24"/>
    <w:rsid w:val="003958D0"/>
    <w:rsid w:val="003A3D90"/>
    <w:rsid w:val="003B00E5"/>
    <w:rsid w:val="003E5EA5"/>
    <w:rsid w:val="00407B78"/>
    <w:rsid w:val="00424203"/>
    <w:rsid w:val="00452493"/>
    <w:rsid w:val="00454E07"/>
    <w:rsid w:val="00471B10"/>
    <w:rsid w:val="00472C5C"/>
    <w:rsid w:val="004C3FA5"/>
    <w:rsid w:val="004D541E"/>
    <w:rsid w:val="0050108D"/>
    <w:rsid w:val="00513081"/>
    <w:rsid w:val="00517901"/>
    <w:rsid w:val="00526683"/>
    <w:rsid w:val="00565172"/>
    <w:rsid w:val="005709E0"/>
    <w:rsid w:val="00571988"/>
    <w:rsid w:val="00572E19"/>
    <w:rsid w:val="005961C8"/>
    <w:rsid w:val="005A481D"/>
    <w:rsid w:val="005D278A"/>
    <w:rsid w:val="005D7914"/>
    <w:rsid w:val="005E2B41"/>
    <w:rsid w:val="005E59AB"/>
    <w:rsid w:val="005F0B42"/>
    <w:rsid w:val="00616E24"/>
    <w:rsid w:val="00647E5B"/>
    <w:rsid w:val="00666CCB"/>
    <w:rsid w:val="00681A10"/>
    <w:rsid w:val="006A1ED8"/>
    <w:rsid w:val="006C2031"/>
    <w:rsid w:val="006D461A"/>
    <w:rsid w:val="006F1590"/>
    <w:rsid w:val="006F35EE"/>
    <w:rsid w:val="007021FF"/>
    <w:rsid w:val="00712895"/>
    <w:rsid w:val="0071707D"/>
    <w:rsid w:val="00757357"/>
    <w:rsid w:val="007B5263"/>
    <w:rsid w:val="0081130F"/>
    <w:rsid w:val="00825F8D"/>
    <w:rsid w:val="00830E31"/>
    <w:rsid w:val="00834B71"/>
    <w:rsid w:val="0086445C"/>
    <w:rsid w:val="008711FF"/>
    <w:rsid w:val="00894693"/>
    <w:rsid w:val="008A08D7"/>
    <w:rsid w:val="008A3676"/>
    <w:rsid w:val="008B6909"/>
    <w:rsid w:val="008F2860"/>
    <w:rsid w:val="00906890"/>
    <w:rsid w:val="00911BE4"/>
    <w:rsid w:val="00943923"/>
    <w:rsid w:val="00946182"/>
    <w:rsid w:val="00951972"/>
    <w:rsid w:val="009608F3"/>
    <w:rsid w:val="009729BC"/>
    <w:rsid w:val="009A24AC"/>
    <w:rsid w:val="00A312BC"/>
    <w:rsid w:val="00A60851"/>
    <w:rsid w:val="00A658A6"/>
    <w:rsid w:val="00A84021"/>
    <w:rsid w:val="00A84D35"/>
    <w:rsid w:val="00A917B3"/>
    <w:rsid w:val="00AB4B51"/>
    <w:rsid w:val="00AC47B1"/>
    <w:rsid w:val="00AD5305"/>
    <w:rsid w:val="00B10CC7"/>
    <w:rsid w:val="00B539E7"/>
    <w:rsid w:val="00B62458"/>
    <w:rsid w:val="00B66684"/>
    <w:rsid w:val="00BC18B2"/>
    <w:rsid w:val="00BD33EE"/>
    <w:rsid w:val="00C02344"/>
    <w:rsid w:val="00C106D6"/>
    <w:rsid w:val="00C16299"/>
    <w:rsid w:val="00C60F0C"/>
    <w:rsid w:val="00C77D3E"/>
    <w:rsid w:val="00C805C9"/>
    <w:rsid w:val="00C92939"/>
    <w:rsid w:val="00CA1679"/>
    <w:rsid w:val="00CB151C"/>
    <w:rsid w:val="00CE1BD8"/>
    <w:rsid w:val="00CE5A1A"/>
    <w:rsid w:val="00CE6069"/>
    <w:rsid w:val="00CF55F6"/>
    <w:rsid w:val="00D33D63"/>
    <w:rsid w:val="00D77E8A"/>
    <w:rsid w:val="00D90028"/>
    <w:rsid w:val="00D90138"/>
    <w:rsid w:val="00DC7155"/>
    <w:rsid w:val="00DF71B9"/>
    <w:rsid w:val="00E73F76"/>
    <w:rsid w:val="00E82D70"/>
    <w:rsid w:val="00EA2C9F"/>
    <w:rsid w:val="00ED0BDA"/>
    <w:rsid w:val="00ED4505"/>
    <w:rsid w:val="00ED717C"/>
    <w:rsid w:val="00EF1360"/>
    <w:rsid w:val="00EF305C"/>
    <w:rsid w:val="00EF3220"/>
    <w:rsid w:val="00EF5FD0"/>
    <w:rsid w:val="00F34CA7"/>
    <w:rsid w:val="00F8178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88495D"/>
  <w15:docId w15:val="{03149419-EDA3-4EE8-8980-6A004FB3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946182"/>
    <w:pPr>
      <w:keepNext/>
      <w:tabs>
        <w:tab w:val="num" w:pos="360"/>
        <w:tab w:val="left" w:pos="567"/>
      </w:tabs>
      <w:ind w:left="360" w:hanging="360"/>
      <w:jc w:val="both"/>
      <w:outlineLvl w:val="0"/>
    </w:pPr>
    <w:rPr>
      <w:rFonts w:eastAsia="Times New Roman" w:cs="Arial"/>
      <w:b/>
      <w:bCs/>
      <w:szCs w:val="32"/>
      <w:lang w:eastAsia="ru-RU"/>
    </w:rPr>
  </w:style>
  <w:style w:type="paragraph" w:styleId="2">
    <w:name w:val="heading 2"/>
    <w:basedOn w:val="a0"/>
    <w:next w:val="a0"/>
    <w:qFormat/>
    <w:rsid w:val="00CE6069"/>
    <w:pPr>
      <w:keepNext/>
      <w:numPr>
        <w:ilvl w:val="1"/>
        <w:numId w:val="4"/>
      </w:numPr>
      <w:outlineLvl w:val="1"/>
    </w:pPr>
    <w:rPr>
      <w:rFonts w:cs="Arial"/>
      <w:bCs/>
      <w:iCs/>
      <w:szCs w:val="28"/>
    </w:rPr>
  </w:style>
  <w:style w:type="paragraph" w:styleId="3">
    <w:name w:val="heading 3"/>
    <w:basedOn w:val="a0"/>
    <w:next w:val="a0"/>
    <w:qFormat/>
    <w:rsid w:val="00CE6069"/>
    <w:pPr>
      <w:keepNext/>
      <w:numPr>
        <w:ilvl w:val="2"/>
        <w:numId w:val="4"/>
      </w:numPr>
      <w:spacing w:before="240" w:after="60"/>
      <w:outlineLvl w:val="2"/>
    </w:pPr>
    <w:rPr>
      <w:rFonts w:ascii="Arial" w:hAnsi="Arial" w:cs="Arial"/>
      <w:b/>
      <w:bCs/>
      <w:sz w:val="26"/>
      <w:szCs w:val="26"/>
    </w:rPr>
  </w:style>
  <w:style w:type="paragraph" w:styleId="4">
    <w:name w:val="heading 4"/>
    <w:basedOn w:val="a0"/>
    <w:next w:val="a0"/>
    <w:qFormat/>
    <w:rsid w:val="00CE6069"/>
    <w:pPr>
      <w:keepNext/>
      <w:numPr>
        <w:ilvl w:val="3"/>
        <w:numId w:val="4"/>
      </w:numPr>
      <w:spacing w:before="240" w:after="60"/>
      <w:outlineLvl w:val="3"/>
    </w:pPr>
    <w:rPr>
      <w:b/>
      <w:bCs/>
      <w:sz w:val="28"/>
      <w:szCs w:val="28"/>
    </w:rPr>
  </w:style>
  <w:style w:type="paragraph" w:styleId="5">
    <w:name w:val="heading 5"/>
    <w:basedOn w:val="a0"/>
    <w:next w:val="a0"/>
    <w:qFormat/>
    <w:rsid w:val="00CE6069"/>
    <w:pPr>
      <w:numPr>
        <w:ilvl w:val="4"/>
        <w:numId w:val="4"/>
      </w:numPr>
      <w:spacing w:before="240" w:after="60"/>
      <w:outlineLvl w:val="4"/>
    </w:pPr>
    <w:rPr>
      <w:b/>
      <w:bCs/>
      <w:i/>
      <w:iCs/>
      <w:sz w:val="26"/>
      <w:szCs w:val="26"/>
    </w:rPr>
  </w:style>
  <w:style w:type="paragraph" w:styleId="6">
    <w:name w:val="heading 6"/>
    <w:basedOn w:val="a0"/>
    <w:next w:val="a0"/>
    <w:qFormat/>
    <w:rsid w:val="00CE6069"/>
    <w:pPr>
      <w:numPr>
        <w:ilvl w:val="5"/>
        <w:numId w:val="4"/>
      </w:numPr>
      <w:spacing w:before="240" w:after="60"/>
      <w:outlineLvl w:val="5"/>
    </w:pPr>
    <w:rPr>
      <w:b/>
      <w:bCs/>
      <w:sz w:val="22"/>
    </w:rPr>
  </w:style>
  <w:style w:type="paragraph" w:styleId="7">
    <w:name w:val="heading 7"/>
    <w:basedOn w:val="a0"/>
    <w:next w:val="a0"/>
    <w:qFormat/>
    <w:rsid w:val="00CE6069"/>
    <w:pPr>
      <w:numPr>
        <w:ilvl w:val="6"/>
        <w:numId w:val="4"/>
      </w:numPr>
      <w:spacing w:before="240" w:after="60"/>
      <w:outlineLvl w:val="6"/>
    </w:pPr>
    <w:rPr>
      <w:sz w:val="24"/>
      <w:szCs w:val="24"/>
    </w:rPr>
  </w:style>
  <w:style w:type="paragraph" w:styleId="8">
    <w:name w:val="heading 8"/>
    <w:basedOn w:val="a0"/>
    <w:next w:val="a0"/>
    <w:qFormat/>
    <w:rsid w:val="00CE6069"/>
    <w:pPr>
      <w:numPr>
        <w:ilvl w:val="7"/>
        <w:numId w:val="4"/>
      </w:numPr>
      <w:spacing w:before="240" w:after="60"/>
      <w:outlineLvl w:val="7"/>
    </w:pPr>
    <w:rPr>
      <w:i/>
      <w:iCs/>
      <w:sz w:val="24"/>
      <w:szCs w:val="24"/>
    </w:rPr>
  </w:style>
  <w:style w:type="paragraph" w:styleId="9">
    <w:name w:val="heading 9"/>
    <w:basedOn w:val="a0"/>
    <w:next w:val="a0"/>
    <w:qFormat/>
    <w:rsid w:val="00CE6069"/>
    <w:pPr>
      <w:numPr>
        <w:ilvl w:val="8"/>
        <w:numId w:val="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CE6069"/>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565172"/>
    <w:rPr>
      <w:rFonts w:ascii="Tahoma" w:eastAsiaTheme="minorHAnsi" w:hAnsi="Tahoma" w:cs="Tahoma"/>
      <w:sz w:val="16"/>
      <w:szCs w:val="16"/>
      <w:lang w:val="ru-RU" w:eastAsia="en-US"/>
    </w:rPr>
  </w:style>
  <w:style w:type="paragraph" w:customStyle="1" w:styleId="HMG">
    <w:name w:val="_ H __M_G"/>
    <w:basedOn w:val="a0"/>
    <w:next w:val="a0"/>
    <w:qFormat/>
    <w:rsid w:val="00946182"/>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qFormat/>
    <w:rsid w:val="00946182"/>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qFormat/>
    <w:rsid w:val="00946182"/>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946182"/>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946182"/>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946182"/>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uiPriority w:val="99"/>
    <w:qFormat/>
    <w:rsid w:val="002B1258"/>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946182"/>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946182"/>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2B1258"/>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946182"/>
    <w:rPr>
      <w:b/>
      <w:sz w:val="18"/>
      <w:lang w:val="en-GB" w:eastAsia="ru-RU"/>
    </w:rPr>
  </w:style>
  <w:style w:type="character" w:styleId="a8">
    <w:name w:val="page number"/>
    <w:aliases w:val="7_G"/>
    <w:basedOn w:val="a1"/>
    <w:qFormat/>
    <w:rsid w:val="00946182"/>
    <w:rPr>
      <w:rFonts w:ascii="Times New Roman" w:hAnsi="Times New Roman"/>
      <w:b/>
      <w:sz w:val="18"/>
    </w:rPr>
  </w:style>
  <w:style w:type="paragraph" w:styleId="a9">
    <w:name w:val="footer"/>
    <w:aliases w:val="3_G"/>
    <w:basedOn w:val="a0"/>
    <w:link w:val="aa"/>
    <w:qFormat/>
    <w:rsid w:val="00946182"/>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946182"/>
    <w:rPr>
      <w:sz w:val="16"/>
      <w:lang w:val="en-GB" w:eastAsia="ru-RU"/>
    </w:rPr>
  </w:style>
  <w:style w:type="character" w:styleId="ab">
    <w:name w:val="footnote reference"/>
    <w:aliases w:val="4_G"/>
    <w:basedOn w:val="a1"/>
    <w:uiPriority w:val="99"/>
    <w:qFormat/>
    <w:rsid w:val="00946182"/>
    <w:rPr>
      <w:rFonts w:ascii="Times New Roman" w:hAnsi="Times New Roman"/>
      <w:dstrike w:val="0"/>
      <w:sz w:val="18"/>
      <w:vertAlign w:val="superscript"/>
    </w:rPr>
  </w:style>
  <w:style w:type="character" w:styleId="ac">
    <w:name w:val="endnote reference"/>
    <w:aliases w:val="1_G"/>
    <w:basedOn w:val="ab"/>
    <w:qFormat/>
    <w:rsid w:val="00946182"/>
    <w:rPr>
      <w:rFonts w:ascii="Times New Roman" w:hAnsi="Times New Roman"/>
      <w:dstrike w:val="0"/>
      <w:sz w:val="18"/>
      <w:vertAlign w:val="superscript"/>
    </w:rPr>
  </w:style>
  <w:style w:type="table" w:styleId="ad">
    <w:name w:val="Table Grid"/>
    <w:basedOn w:val="a2"/>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Alaviitteen teksti Char Char,Alaviitteen teksti Char Char Char,Alaviitteen teksti Char Char Char Char Char"/>
    <w:basedOn w:val="a0"/>
    <w:link w:val="af"/>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Alaviitteen teksti Char Char Знак,Alaviitteen teksti Char Char Char Знак,Alaviitteen teksti Char Char Char Char Char Знак"/>
    <w:basedOn w:val="a1"/>
    <w:link w:val="ae"/>
    <w:rsid w:val="00946182"/>
    <w:rPr>
      <w:sz w:val="18"/>
      <w:lang w:val="ru-RU" w:eastAsia="ru-RU"/>
    </w:rPr>
  </w:style>
  <w:style w:type="paragraph" w:styleId="af0">
    <w:name w:val="endnote text"/>
    <w:aliases w:val="2_G"/>
    <w:basedOn w:val="ae"/>
    <w:link w:val="af1"/>
    <w:qFormat/>
    <w:rsid w:val="00946182"/>
  </w:style>
  <w:style w:type="character" w:customStyle="1" w:styleId="af1">
    <w:name w:val="Текст концевой сноски Знак"/>
    <w:aliases w:val="2_G Знак"/>
    <w:basedOn w:val="a1"/>
    <w:link w:val="af0"/>
    <w:rsid w:val="00946182"/>
    <w:rPr>
      <w:sz w:val="18"/>
      <w:lang w:val="ru-RU" w:eastAsia="ru-RU"/>
    </w:rPr>
  </w:style>
  <w:style w:type="character" w:customStyle="1" w:styleId="10">
    <w:name w:val="Заголовок 1 Знак"/>
    <w:aliases w:val="Table_G Знак"/>
    <w:basedOn w:val="a1"/>
    <w:link w:val="1"/>
    <w:rsid w:val="00946182"/>
    <w:rPr>
      <w:rFonts w:cs="Arial"/>
      <w:b/>
      <w:bCs/>
      <w:szCs w:val="32"/>
      <w:lang w:val="ru-RU" w:eastAsia="ru-RU"/>
    </w:rPr>
  </w:style>
  <w:style w:type="character" w:styleId="af2">
    <w:name w:val="Hyperlink"/>
    <w:basedOn w:val="a1"/>
    <w:rsid w:val="00946182"/>
    <w:rPr>
      <w:color w:val="0000FF" w:themeColor="hyperlink"/>
      <w:u w:val="none"/>
    </w:rPr>
  </w:style>
  <w:style w:type="character" w:styleId="af3">
    <w:name w:val="FollowedHyperlink"/>
    <w:basedOn w:val="a1"/>
    <w:rsid w:val="00946182"/>
    <w:rPr>
      <w:color w:val="800080" w:themeColor="followedHyperlink"/>
      <w:u w:val="none"/>
    </w:rPr>
  </w:style>
  <w:style w:type="character" w:customStyle="1" w:styleId="SingleTxtGChar">
    <w:name w:val="_ Single Txt_G Char"/>
    <w:link w:val="SingleTxtG"/>
    <w:uiPriority w:val="99"/>
    <w:locked/>
    <w:rsid w:val="005D278A"/>
    <w:rPr>
      <w:lang w:val="ru-RU" w:eastAsia="en-US"/>
    </w:rPr>
  </w:style>
  <w:style w:type="paragraph" w:styleId="af4">
    <w:name w:val="Plain Text"/>
    <w:basedOn w:val="a0"/>
    <w:link w:val="af5"/>
    <w:semiHidden/>
    <w:rsid w:val="005D278A"/>
    <w:rPr>
      <w:rFonts w:eastAsia="Times New Roman" w:cs="Courier New"/>
      <w:szCs w:val="20"/>
      <w:lang w:val="en-GB"/>
    </w:rPr>
  </w:style>
  <w:style w:type="character" w:customStyle="1" w:styleId="af5">
    <w:name w:val="Текст Знак"/>
    <w:basedOn w:val="a1"/>
    <w:link w:val="af4"/>
    <w:semiHidden/>
    <w:rsid w:val="005D278A"/>
    <w:rPr>
      <w:rFonts w:cs="Courier New"/>
      <w:lang w:val="en-GB" w:eastAsia="en-US"/>
    </w:rPr>
  </w:style>
  <w:style w:type="paragraph" w:styleId="af6">
    <w:name w:val="Body Text"/>
    <w:basedOn w:val="a0"/>
    <w:next w:val="a0"/>
    <w:link w:val="af7"/>
    <w:semiHidden/>
    <w:rsid w:val="005D278A"/>
    <w:rPr>
      <w:rFonts w:eastAsia="Times New Roman" w:cs="Times New Roman"/>
      <w:szCs w:val="20"/>
      <w:lang w:val="en-GB"/>
    </w:rPr>
  </w:style>
  <w:style w:type="character" w:customStyle="1" w:styleId="af7">
    <w:name w:val="Основной текст Знак"/>
    <w:basedOn w:val="a1"/>
    <w:link w:val="af6"/>
    <w:semiHidden/>
    <w:rsid w:val="005D278A"/>
    <w:rPr>
      <w:lang w:val="en-GB" w:eastAsia="en-US"/>
    </w:rPr>
  </w:style>
  <w:style w:type="paragraph" w:styleId="af8">
    <w:name w:val="Body Text Indent"/>
    <w:basedOn w:val="a0"/>
    <w:link w:val="af9"/>
    <w:semiHidden/>
    <w:rsid w:val="005D278A"/>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semiHidden/>
    <w:rsid w:val="005D278A"/>
    <w:rPr>
      <w:lang w:val="en-GB" w:eastAsia="en-US"/>
    </w:rPr>
  </w:style>
  <w:style w:type="paragraph" w:styleId="afa">
    <w:name w:val="Block Text"/>
    <w:basedOn w:val="a0"/>
    <w:semiHidden/>
    <w:rsid w:val="005D278A"/>
    <w:pPr>
      <w:ind w:left="1440" w:right="1440"/>
    </w:pPr>
    <w:rPr>
      <w:rFonts w:eastAsia="Times New Roman" w:cs="Times New Roman"/>
      <w:szCs w:val="20"/>
      <w:lang w:val="en-GB"/>
    </w:rPr>
  </w:style>
  <w:style w:type="character" w:styleId="afb">
    <w:name w:val="annotation reference"/>
    <w:basedOn w:val="a1"/>
    <w:semiHidden/>
    <w:rsid w:val="005D278A"/>
    <w:rPr>
      <w:sz w:val="6"/>
    </w:rPr>
  </w:style>
  <w:style w:type="paragraph" w:styleId="afc">
    <w:name w:val="annotation text"/>
    <w:basedOn w:val="a0"/>
    <w:link w:val="afd"/>
    <w:semiHidden/>
    <w:rsid w:val="005D278A"/>
    <w:rPr>
      <w:rFonts w:eastAsia="Times New Roman" w:cs="Times New Roman"/>
      <w:szCs w:val="20"/>
      <w:lang w:val="en-GB"/>
    </w:rPr>
  </w:style>
  <w:style w:type="character" w:customStyle="1" w:styleId="afd">
    <w:name w:val="Текст примечания Знак"/>
    <w:basedOn w:val="a1"/>
    <w:link w:val="afc"/>
    <w:semiHidden/>
    <w:rsid w:val="005D278A"/>
    <w:rPr>
      <w:lang w:val="en-GB" w:eastAsia="en-US"/>
    </w:rPr>
  </w:style>
  <w:style w:type="character" w:styleId="afe">
    <w:name w:val="line number"/>
    <w:basedOn w:val="a1"/>
    <w:semiHidden/>
    <w:rsid w:val="005D278A"/>
    <w:rPr>
      <w:sz w:val="14"/>
    </w:rPr>
  </w:style>
  <w:style w:type="numbering" w:styleId="111111">
    <w:name w:val="Outline List 2"/>
    <w:basedOn w:val="a3"/>
    <w:semiHidden/>
    <w:rsid w:val="005D278A"/>
    <w:pPr>
      <w:numPr>
        <w:numId w:val="6"/>
      </w:numPr>
    </w:pPr>
  </w:style>
  <w:style w:type="numbering" w:styleId="1ai">
    <w:name w:val="Outline List 1"/>
    <w:basedOn w:val="a3"/>
    <w:semiHidden/>
    <w:rsid w:val="005D278A"/>
    <w:pPr>
      <w:numPr>
        <w:numId w:val="7"/>
      </w:numPr>
    </w:pPr>
  </w:style>
  <w:style w:type="numbering" w:styleId="a">
    <w:name w:val="Outline List 3"/>
    <w:basedOn w:val="a3"/>
    <w:semiHidden/>
    <w:rsid w:val="005D278A"/>
    <w:pPr>
      <w:numPr>
        <w:numId w:val="8"/>
      </w:numPr>
    </w:pPr>
  </w:style>
  <w:style w:type="paragraph" w:styleId="20">
    <w:name w:val="Body Text 2"/>
    <w:basedOn w:val="a0"/>
    <w:link w:val="21"/>
    <w:semiHidden/>
    <w:rsid w:val="005D278A"/>
    <w:pPr>
      <w:spacing w:after="120" w:line="480" w:lineRule="auto"/>
    </w:pPr>
    <w:rPr>
      <w:rFonts w:eastAsia="Times New Roman" w:cs="Times New Roman"/>
      <w:szCs w:val="20"/>
      <w:lang w:val="en-GB"/>
    </w:rPr>
  </w:style>
  <w:style w:type="character" w:customStyle="1" w:styleId="21">
    <w:name w:val="Основной текст 2 Знак"/>
    <w:basedOn w:val="a1"/>
    <w:link w:val="20"/>
    <w:semiHidden/>
    <w:rsid w:val="005D278A"/>
    <w:rPr>
      <w:lang w:val="en-GB" w:eastAsia="en-US"/>
    </w:rPr>
  </w:style>
  <w:style w:type="paragraph" w:styleId="30">
    <w:name w:val="Body Text 3"/>
    <w:basedOn w:val="a0"/>
    <w:link w:val="31"/>
    <w:semiHidden/>
    <w:rsid w:val="005D278A"/>
    <w:pPr>
      <w:spacing w:after="120"/>
    </w:pPr>
    <w:rPr>
      <w:rFonts w:eastAsia="Times New Roman" w:cs="Times New Roman"/>
      <w:sz w:val="16"/>
      <w:szCs w:val="16"/>
      <w:lang w:val="en-GB"/>
    </w:rPr>
  </w:style>
  <w:style w:type="character" w:customStyle="1" w:styleId="31">
    <w:name w:val="Основной текст 3 Знак"/>
    <w:basedOn w:val="a1"/>
    <w:link w:val="30"/>
    <w:semiHidden/>
    <w:rsid w:val="005D278A"/>
    <w:rPr>
      <w:sz w:val="16"/>
      <w:szCs w:val="16"/>
      <w:lang w:val="en-GB" w:eastAsia="en-US"/>
    </w:rPr>
  </w:style>
  <w:style w:type="paragraph" w:styleId="aff">
    <w:name w:val="Body Text First Indent"/>
    <w:basedOn w:val="af6"/>
    <w:link w:val="aff0"/>
    <w:semiHidden/>
    <w:rsid w:val="005D278A"/>
    <w:pPr>
      <w:spacing w:after="120"/>
      <w:ind w:firstLine="210"/>
    </w:pPr>
  </w:style>
  <w:style w:type="character" w:customStyle="1" w:styleId="aff0">
    <w:name w:val="Красная строка Знак"/>
    <w:basedOn w:val="af7"/>
    <w:link w:val="aff"/>
    <w:semiHidden/>
    <w:rsid w:val="005D278A"/>
    <w:rPr>
      <w:lang w:val="en-GB" w:eastAsia="en-US"/>
    </w:rPr>
  </w:style>
  <w:style w:type="paragraph" w:styleId="22">
    <w:name w:val="Body Text First Indent 2"/>
    <w:basedOn w:val="af8"/>
    <w:link w:val="23"/>
    <w:semiHidden/>
    <w:rsid w:val="005D278A"/>
    <w:pPr>
      <w:ind w:firstLine="210"/>
    </w:pPr>
  </w:style>
  <w:style w:type="character" w:customStyle="1" w:styleId="23">
    <w:name w:val="Красная строка 2 Знак"/>
    <w:basedOn w:val="af9"/>
    <w:link w:val="22"/>
    <w:semiHidden/>
    <w:rsid w:val="005D278A"/>
    <w:rPr>
      <w:lang w:val="en-GB" w:eastAsia="en-US"/>
    </w:rPr>
  </w:style>
  <w:style w:type="paragraph" w:styleId="24">
    <w:name w:val="Body Text Indent 2"/>
    <w:basedOn w:val="a0"/>
    <w:link w:val="25"/>
    <w:semiHidden/>
    <w:rsid w:val="005D278A"/>
    <w:pPr>
      <w:spacing w:after="120" w:line="480" w:lineRule="auto"/>
      <w:ind w:left="283"/>
    </w:pPr>
    <w:rPr>
      <w:rFonts w:eastAsia="Times New Roman" w:cs="Times New Roman"/>
      <w:szCs w:val="20"/>
      <w:lang w:val="en-GB"/>
    </w:rPr>
  </w:style>
  <w:style w:type="character" w:customStyle="1" w:styleId="25">
    <w:name w:val="Основной текст с отступом 2 Знак"/>
    <w:basedOn w:val="a1"/>
    <w:link w:val="24"/>
    <w:semiHidden/>
    <w:rsid w:val="005D278A"/>
    <w:rPr>
      <w:lang w:val="en-GB" w:eastAsia="en-US"/>
    </w:rPr>
  </w:style>
  <w:style w:type="paragraph" w:styleId="32">
    <w:name w:val="Body Text Indent 3"/>
    <w:basedOn w:val="a0"/>
    <w:link w:val="33"/>
    <w:semiHidden/>
    <w:rsid w:val="005D278A"/>
    <w:pPr>
      <w:spacing w:after="120"/>
      <w:ind w:left="283"/>
    </w:pPr>
    <w:rPr>
      <w:rFonts w:eastAsia="Times New Roman" w:cs="Times New Roman"/>
      <w:sz w:val="16"/>
      <w:szCs w:val="16"/>
      <w:lang w:val="en-GB"/>
    </w:rPr>
  </w:style>
  <w:style w:type="character" w:customStyle="1" w:styleId="33">
    <w:name w:val="Основной текст с отступом 3 Знак"/>
    <w:basedOn w:val="a1"/>
    <w:link w:val="32"/>
    <w:semiHidden/>
    <w:rsid w:val="005D278A"/>
    <w:rPr>
      <w:sz w:val="16"/>
      <w:szCs w:val="16"/>
      <w:lang w:val="en-GB" w:eastAsia="en-US"/>
    </w:rPr>
  </w:style>
  <w:style w:type="paragraph" w:styleId="aff1">
    <w:name w:val="Closing"/>
    <w:basedOn w:val="a0"/>
    <w:link w:val="aff2"/>
    <w:semiHidden/>
    <w:rsid w:val="005D278A"/>
    <w:pPr>
      <w:ind w:left="4252"/>
    </w:pPr>
    <w:rPr>
      <w:rFonts w:eastAsia="Times New Roman" w:cs="Times New Roman"/>
      <w:szCs w:val="20"/>
      <w:lang w:val="en-GB"/>
    </w:rPr>
  </w:style>
  <w:style w:type="character" w:customStyle="1" w:styleId="aff2">
    <w:name w:val="Прощание Знак"/>
    <w:basedOn w:val="a1"/>
    <w:link w:val="aff1"/>
    <w:semiHidden/>
    <w:rsid w:val="005D278A"/>
    <w:rPr>
      <w:lang w:val="en-GB" w:eastAsia="en-US"/>
    </w:rPr>
  </w:style>
  <w:style w:type="paragraph" w:styleId="aff3">
    <w:name w:val="Date"/>
    <w:basedOn w:val="a0"/>
    <w:next w:val="a0"/>
    <w:link w:val="aff4"/>
    <w:semiHidden/>
    <w:rsid w:val="005D278A"/>
    <w:rPr>
      <w:rFonts w:eastAsia="Times New Roman" w:cs="Times New Roman"/>
      <w:szCs w:val="20"/>
      <w:lang w:val="en-GB"/>
    </w:rPr>
  </w:style>
  <w:style w:type="character" w:customStyle="1" w:styleId="aff4">
    <w:name w:val="Дата Знак"/>
    <w:basedOn w:val="a1"/>
    <w:link w:val="aff3"/>
    <w:semiHidden/>
    <w:rsid w:val="005D278A"/>
    <w:rPr>
      <w:lang w:val="en-GB" w:eastAsia="en-US"/>
    </w:rPr>
  </w:style>
  <w:style w:type="paragraph" w:styleId="aff5">
    <w:name w:val="E-mail Signature"/>
    <w:basedOn w:val="a0"/>
    <w:link w:val="aff6"/>
    <w:semiHidden/>
    <w:rsid w:val="005D278A"/>
    <w:rPr>
      <w:rFonts w:eastAsia="Times New Roman" w:cs="Times New Roman"/>
      <w:szCs w:val="20"/>
      <w:lang w:val="en-GB"/>
    </w:rPr>
  </w:style>
  <w:style w:type="character" w:customStyle="1" w:styleId="aff6">
    <w:name w:val="Электронная подпись Знак"/>
    <w:basedOn w:val="a1"/>
    <w:link w:val="aff5"/>
    <w:semiHidden/>
    <w:rsid w:val="005D278A"/>
    <w:rPr>
      <w:lang w:val="en-GB" w:eastAsia="en-US"/>
    </w:rPr>
  </w:style>
  <w:style w:type="paragraph" w:styleId="26">
    <w:name w:val="envelope return"/>
    <w:basedOn w:val="a0"/>
    <w:semiHidden/>
    <w:rsid w:val="005D278A"/>
    <w:rPr>
      <w:rFonts w:ascii="Arial" w:eastAsia="Times New Roman" w:hAnsi="Arial" w:cs="Arial"/>
      <w:szCs w:val="20"/>
      <w:lang w:val="en-GB"/>
    </w:rPr>
  </w:style>
  <w:style w:type="character" w:styleId="HTML">
    <w:name w:val="HTML Acronym"/>
    <w:basedOn w:val="a1"/>
    <w:semiHidden/>
    <w:rsid w:val="005D278A"/>
  </w:style>
  <w:style w:type="paragraph" w:styleId="HTML0">
    <w:name w:val="HTML Address"/>
    <w:basedOn w:val="a0"/>
    <w:link w:val="HTML1"/>
    <w:semiHidden/>
    <w:rsid w:val="005D278A"/>
    <w:rPr>
      <w:rFonts w:eastAsia="Times New Roman" w:cs="Times New Roman"/>
      <w:i/>
      <w:iCs/>
      <w:szCs w:val="20"/>
      <w:lang w:val="en-GB"/>
    </w:rPr>
  </w:style>
  <w:style w:type="character" w:customStyle="1" w:styleId="HTML1">
    <w:name w:val="Адрес HTML Знак"/>
    <w:basedOn w:val="a1"/>
    <w:link w:val="HTML0"/>
    <w:semiHidden/>
    <w:rsid w:val="005D278A"/>
    <w:rPr>
      <w:i/>
      <w:iCs/>
      <w:lang w:val="en-GB" w:eastAsia="en-US"/>
    </w:rPr>
  </w:style>
  <w:style w:type="character" w:styleId="HTML2">
    <w:name w:val="HTML Cite"/>
    <w:basedOn w:val="a1"/>
    <w:semiHidden/>
    <w:rsid w:val="005D278A"/>
    <w:rPr>
      <w:i/>
      <w:iCs/>
    </w:rPr>
  </w:style>
  <w:style w:type="character" w:styleId="HTML3">
    <w:name w:val="HTML Code"/>
    <w:basedOn w:val="a1"/>
    <w:semiHidden/>
    <w:rsid w:val="005D278A"/>
    <w:rPr>
      <w:rFonts w:ascii="Courier New" w:hAnsi="Courier New" w:cs="Courier New"/>
      <w:sz w:val="20"/>
      <w:szCs w:val="20"/>
    </w:rPr>
  </w:style>
  <w:style w:type="character" w:styleId="HTML4">
    <w:name w:val="HTML Definition"/>
    <w:basedOn w:val="a1"/>
    <w:semiHidden/>
    <w:rsid w:val="005D278A"/>
    <w:rPr>
      <w:i/>
      <w:iCs/>
    </w:rPr>
  </w:style>
  <w:style w:type="character" w:styleId="HTML5">
    <w:name w:val="HTML Keyboard"/>
    <w:basedOn w:val="a1"/>
    <w:semiHidden/>
    <w:rsid w:val="005D278A"/>
    <w:rPr>
      <w:rFonts w:ascii="Courier New" w:hAnsi="Courier New" w:cs="Courier New"/>
      <w:sz w:val="20"/>
      <w:szCs w:val="20"/>
    </w:rPr>
  </w:style>
  <w:style w:type="paragraph" w:styleId="HTML6">
    <w:name w:val="HTML Preformatted"/>
    <w:basedOn w:val="a0"/>
    <w:link w:val="HTML7"/>
    <w:semiHidden/>
    <w:rsid w:val="005D278A"/>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5D278A"/>
    <w:rPr>
      <w:rFonts w:ascii="Courier New" w:hAnsi="Courier New" w:cs="Courier New"/>
      <w:lang w:val="en-GB" w:eastAsia="en-US"/>
    </w:rPr>
  </w:style>
  <w:style w:type="character" w:styleId="HTML8">
    <w:name w:val="HTML Sample"/>
    <w:basedOn w:val="a1"/>
    <w:semiHidden/>
    <w:rsid w:val="005D278A"/>
    <w:rPr>
      <w:rFonts w:ascii="Courier New" w:hAnsi="Courier New" w:cs="Courier New"/>
    </w:rPr>
  </w:style>
  <w:style w:type="character" w:styleId="HTML9">
    <w:name w:val="HTML Typewriter"/>
    <w:basedOn w:val="a1"/>
    <w:semiHidden/>
    <w:rsid w:val="005D278A"/>
    <w:rPr>
      <w:rFonts w:ascii="Courier New" w:hAnsi="Courier New" w:cs="Courier New"/>
      <w:sz w:val="20"/>
      <w:szCs w:val="20"/>
    </w:rPr>
  </w:style>
  <w:style w:type="character" w:styleId="HTMLa">
    <w:name w:val="HTML Variable"/>
    <w:basedOn w:val="a1"/>
    <w:semiHidden/>
    <w:rsid w:val="005D278A"/>
    <w:rPr>
      <w:i/>
      <w:iCs/>
    </w:rPr>
  </w:style>
  <w:style w:type="paragraph" w:styleId="aff7">
    <w:name w:val="List"/>
    <w:basedOn w:val="a0"/>
    <w:semiHidden/>
    <w:rsid w:val="005D278A"/>
    <w:pPr>
      <w:ind w:left="283" w:hanging="283"/>
    </w:pPr>
    <w:rPr>
      <w:rFonts w:eastAsia="Times New Roman" w:cs="Times New Roman"/>
      <w:szCs w:val="20"/>
      <w:lang w:val="en-GB"/>
    </w:rPr>
  </w:style>
  <w:style w:type="paragraph" w:styleId="27">
    <w:name w:val="List 2"/>
    <w:basedOn w:val="a0"/>
    <w:semiHidden/>
    <w:rsid w:val="005D278A"/>
    <w:pPr>
      <w:ind w:left="566" w:hanging="283"/>
    </w:pPr>
    <w:rPr>
      <w:rFonts w:eastAsia="Times New Roman" w:cs="Times New Roman"/>
      <w:szCs w:val="20"/>
      <w:lang w:val="en-GB"/>
    </w:rPr>
  </w:style>
  <w:style w:type="paragraph" w:styleId="34">
    <w:name w:val="List 3"/>
    <w:basedOn w:val="a0"/>
    <w:semiHidden/>
    <w:rsid w:val="005D278A"/>
    <w:pPr>
      <w:ind w:left="849" w:hanging="283"/>
    </w:pPr>
    <w:rPr>
      <w:rFonts w:eastAsia="Times New Roman" w:cs="Times New Roman"/>
      <w:szCs w:val="20"/>
      <w:lang w:val="en-GB"/>
    </w:rPr>
  </w:style>
  <w:style w:type="paragraph" w:styleId="40">
    <w:name w:val="List 4"/>
    <w:basedOn w:val="a0"/>
    <w:semiHidden/>
    <w:rsid w:val="005D278A"/>
    <w:pPr>
      <w:ind w:left="1132" w:hanging="283"/>
    </w:pPr>
    <w:rPr>
      <w:rFonts w:eastAsia="Times New Roman" w:cs="Times New Roman"/>
      <w:szCs w:val="20"/>
      <w:lang w:val="en-GB"/>
    </w:rPr>
  </w:style>
  <w:style w:type="paragraph" w:styleId="50">
    <w:name w:val="List 5"/>
    <w:basedOn w:val="a0"/>
    <w:semiHidden/>
    <w:rsid w:val="005D278A"/>
    <w:pPr>
      <w:ind w:left="1415" w:hanging="283"/>
    </w:pPr>
    <w:rPr>
      <w:rFonts w:eastAsia="Times New Roman" w:cs="Times New Roman"/>
      <w:szCs w:val="20"/>
      <w:lang w:val="en-GB"/>
    </w:rPr>
  </w:style>
  <w:style w:type="paragraph" w:styleId="aff8">
    <w:name w:val="List Bullet"/>
    <w:basedOn w:val="a0"/>
    <w:semiHidden/>
    <w:rsid w:val="005D278A"/>
    <w:pPr>
      <w:tabs>
        <w:tab w:val="num" w:pos="360"/>
      </w:tabs>
      <w:ind w:left="360" w:hanging="360"/>
    </w:pPr>
    <w:rPr>
      <w:rFonts w:eastAsia="Times New Roman" w:cs="Times New Roman"/>
      <w:szCs w:val="20"/>
      <w:lang w:val="en-GB"/>
    </w:rPr>
  </w:style>
  <w:style w:type="paragraph" w:styleId="28">
    <w:name w:val="List Bullet 2"/>
    <w:basedOn w:val="a0"/>
    <w:semiHidden/>
    <w:rsid w:val="005D278A"/>
    <w:pPr>
      <w:tabs>
        <w:tab w:val="num" w:pos="643"/>
      </w:tabs>
      <w:ind w:left="643" w:hanging="360"/>
    </w:pPr>
    <w:rPr>
      <w:rFonts w:eastAsia="Times New Roman" w:cs="Times New Roman"/>
      <w:szCs w:val="20"/>
      <w:lang w:val="en-GB"/>
    </w:rPr>
  </w:style>
  <w:style w:type="paragraph" w:styleId="35">
    <w:name w:val="List Bullet 3"/>
    <w:basedOn w:val="a0"/>
    <w:semiHidden/>
    <w:rsid w:val="005D278A"/>
    <w:pPr>
      <w:tabs>
        <w:tab w:val="num" w:pos="926"/>
      </w:tabs>
      <w:ind w:left="926" w:hanging="360"/>
    </w:pPr>
    <w:rPr>
      <w:rFonts w:eastAsia="Times New Roman" w:cs="Times New Roman"/>
      <w:szCs w:val="20"/>
      <w:lang w:val="en-GB"/>
    </w:rPr>
  </w:style>
  <w:style w:type="paragraph" w:styleId="41">
    <w:name w:val="List Bullet 4"/>
    <w:basedOn w:val="a0"/>
    <w:semiHidden/>
    <w:rsid w:val="005D278A"/>
    <w:pPr>
      <w:tabs>
        <w:tab w:val="num" w:pos="1209"/>
      </w:tabs>
      <w:ind w:left="1209" w:hanging="360"/>
    </w:pPr>
    <w:rPr>
      <w:rFonts w:eastAsia="Times New Roman" w:cs="Times New Roman"/>
      <w:szCs w:val="20"/>
      <w:lang w:val="en-GB"/>
    </w:rPr>
  </w:style>
  <w:style w:type="paragraph" w:styleId="51">
    <w:name w:val="List Bullet 5"/>
    <w:basedOn w:val="a0"/>
    <w:semiHidden/>
    <w:rsid w:val="005D278A"/>
    <w:pPr>
      <w:tabs>
        <w:tab w:val="num" w:pos="1492"/>
      </w:tabs>
      <w:ind w:left="1492" w:hanging="360"/>
    </w:pPr>
    <w:rPr>
      <w:rFonts w:eastAsia="Times New Roman" w:cs="Times New Roman"/>
      <w:szCs w:val="20"/>
      <w:lang w:val="en-GB"/>
    </w:rPr>
  </w:style>
  <w:style w:type="paragraph" w:styleId="aff9">
    <w:name w:val="List Continue"/>
    <w:basedOn w:val="a0"/>
    <w:semiHidden/>
    <w:rsid w:val="005D278A"/>
    <w:pPr>
      <w:spacing w:after="120"/>
      <w:ind w:left="283"/>
    </w:pPr>
    <w:rPr>
      <w:rFonts w:eastAsia="Times New Roman" w:cs="Times New Roman"/>
      <w:szCs w:val="20"/>
      <w:lang w:val="en-GB"/>
    </w:rPr>
  </w:style>
  <w:style w:type="paragraph" w:styleId="29">
    <w:name w:val="List Continue 2"/>
    <w:basedOn w:val="a0"/>
    <w:semiHidden/>
    <w:rsid w:val="005D278A"/>
    <w:pPr>
      <w:spacing w:after="120"/>
      <w:ind w:left="566"/>
    </w:pPr>
    <w:rPr>
      <w:rFonts w:eastAsia="Times New Roman" w:cs="Times New Roman"/>
      <w:szCs w:val="20"/>
      <w:lang w:val="en-GB"/>
    </w:rPr>
  </w:style>
  <w:style w:type="paragraph" w:styleId="36">
    <w:name w:val="List Continue 3"/>
    <w:basedOn w:val="a0"/>
    <w:semiHidden/>
    <w:rsid w:val="005D278A"/>
    <w:pPr>
      <w:spacing w:after="120"/>
      <w:ind w:left="849"/>
    </w:pPr>
    <w:rPr>
      <w:rFonts w:eastAsia="Times New Roman" w:cs="Times New Roman"/>
      <w:szCs w:val="20"/>
      <w:lang w:val="en-GB"/>
    </w:rPr>
  </w:style>
  <w:style w:type="paragraph" w:styleId="42">
    <w:name w:val="List Continue 4"/>
    <w:basedOn w:val="a0"/>
    <w:semiHidden/>
    <w:rsid w:val="005D278A"/>
    <w:pPr>
      <w:spacing w:after="120"/>
      <w:ind w:left="1132"/>
    </w:pPr>
    <w:rPr>
      <w:rFonts w:eastAsia="Times New Roman" w:cs="Times New Roman"/>
      <w:szCs w:val="20"/>
      <w:lang w:val="en-GB"/>
    </w:rPr>
  </w:style>
  <w:style w:type="paragraph" w:styleId="52">
    <w:name w:val="List Continue 5"/>
    <w:basedOn w:val="a0"/>
    <w:semiHidden/>
    <w:rsid w:val="005D278A"/>
    <w:pPr>
      <w:spacing w:after="120"/>
      <w:ind w:left="1415"/>
    </w:pPr>
    <w:rPr>
      <w:rFonts w:eastAsia="Times New Roman" w:cs="Times New Roman"/>
      <w:szCs w:val="20"/>
      <w:lang w:val="en-GB"/>
    </w:rPr>
  </w:style>
  <w:style w:type="paragraph" w:styleId="affa">
    <w:name w:val="List Number"/>
    <w:basedOn w:val="a0"/>
    <w:semiHidden/>
    <w:rsid w:val="005D278A"/>
    <w:pPr>
      <w:tabs>
        <w:tab w:val="num" w:pos="360"/>
      </w:tabs>
      <w:ind w:left="360" w:hanging="360"/>
    </w:pPr>
    <w:rPr>
      <w:rFonts w:eastAsia="Times New Roman" w:cs="Times New Roman"/>
      <w:szCs w:val="20"/>
      <w:lang w:val="en-GB"/>
    </w:rPr>
  </w:style>
  <w:style w:type="paragraph" w:styleId="2a">
    <w:name w:val="List Number 2"/>
    <w:basedOn w:val="a0"/>
    <w:semiHidden/>
    <w:rsid w:val="005D278A"/>
    <w:pPr>
      <w:tabs>
        <w:tab w:val="num" w:pos="643"/>
      </w:tabs>
      <w:ind w:left="643" w:hanging="360"/>
    </w:pPr>
    <w:rPr>
      <w:rFonts w:eastAsia="Times New Roman" w:cs="Times New Roman"/>
      <w:szCs w:val="20"/>
      <w:lang w:val="en-GB"/>
    </w:rPr>
  </w:style>
  <w:style w:type="paragraph" w:styleId="37">
    <w:name w:val="List Number 3"/>
    <w:basedOn w:val="a0"/>
    <w:semiHidden/>
    <w:rsid w:val="005D278A"/>
    <w:pPr>
      <w:tabs>
        <w:tab w:val="num" w:pos="926"/>
      </w:tabs>
      <w:ind w:left="926" w:hanging="360"/>
    </w:pPr>
    <w:rPr>
      <w:rFonts w:eastAsia="Times New Roman" w:cs="Times New Roman"/>
      <w:szCs w:val="20"/>
      <w:lang w:val="en-GB"/>
    </w:rPr>
  </w:style>
  <w:style w:type="paragraph" w:styleId="43">
    <w:name w:val="List Number 4"/>
    <w:basedOn w:val="a0"/>
    <w:semiHidden/>
    <w:rsid w:val="005D278A"/>
    <w:pPr>
      <w:tabs>
        <w:tab w:val="num" w:pos="1209"/>
      </w:tabs>
      <w:ind w:left="1209" w:hanging="360"/>
    </w:pPr>
    <w:rPr>
      <w:rFonts w:eastAsia="Times New Roman" w:cs="Times New Roman"/>
      <w:szCs w:val="20"/>
      <w:lang w:val="en-GB"/>
    </w:rPr>
  </w:style>
  <w:style w:type="paragraph" w:styleId="53">
    <w:name w:val="List Number 5"/>
    <w:basedOn w:val="a0"/>
    <w:semiHidden/>
    <w:rsid w:val="005D278A"/>
    <w:pPr>
      <w:tabs>
        <w:tab w:val="num" w:pos="1492"/>
      </w:tabs>
      <w:ind w:left="1492" w:hanging="360"/>
    </w:pPr>
    <w:rPr>
      <w:rFonts w:eastAsia="Times New Roman" w:cs="Times New Roman"/>
      <w:szCs w:val="20"/>
      <w:lang w:val="en-GB"/>
    </w:rPr>
  </w:style>
  <w:style w:type="paragraph" w:styleId="affb">
    <w:name w:val="Message Header"/>
    <w:basedOn w:val="a0"/>
    <w:link w:val="affc"/>
    <w:semiHidden/>
    <w:rsid w:val="005D27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c">
    <w:name w:val="Шапка Знак"/>
    <w:basedOn w:val="a1"/>
    <w:link w:val="affb"/>
    <w:semiHidden/>
    <w:rsid w:val="005D278A"/>
    <w:rPr>
      <w:rFonts w:ascii="Arial" w:hAnsi="Arial" w:cs="Arial"/>
      <w:sz w:val="24"/>
      <w:szCs w:val="24"/>
      <w:shd w:val="pct20" w:color="auto" w:fill="auto"/>
      <w:lang w:val="en-GB" w:eastAsia="en-US"/>
    </w:rPr>
  </w:style>
  <w:style w:type="paragraph" w:styleId="affd">
    <w:name w:val="Normal (Web)"/>
    <w:basedOn w:val="a0"/>
    <w:semiHidden/>
    <w:rsid w:val="005D278A"/>
    <w:rPr>
      <w:rFonts w:eastAsia="Times New Roman" w:cs="Times New Roman"/>
      <w:sz w:val="24"/>
      <w:szCs w:val="24"/>
      <w:lang w:val="en-GB"/>
    </w:rPr>
  </w:style>
  <w:style w:type="paragraph" w:styleId="affe">
    <w:name w:val="Normal Indent"/>
    <w:basedOn w:val="a0"/>
    <w:semiHidden/>
    <w:rsid w:val="005D278A"/>
    <w:pPr>
      <w:ind w:left="567"/>
    </w:pPr>
    <w:rPr>
      <w:rFonts w:eastAsia="Times New Roman" w:cs="Times New Roman"/>
      <w:szCs w:val="20"/>
      <w:lang w:val="en-GB"/>
    </w:rPr>
  </w:style>
  <w:style w:type="paragraph" w:styleId="afff">
    <w:name w:val="Note Heading"/>
    <w:basedOn w:val="a0"/>
    <w:next w:val="a0"/>
    <w:link w:val="afff0"/>
    <w:semiHidden/>
    <w:rsid w:val="005D278A"/>
    <w:rPr>
      <w:rFonts w:eastAsia="Times New Roman" w:cs="Times New Roman"/>
      <w:szCs w:val="20"/>
      <w:lang w:val="en-GB"/>
    </w:rPr>
  </w:style>
  <w:style w:type="character" w:customStyle="1" w:styleId="afff0">
    <w:name w:val="Заголовок записки Знак"/>
    <w:basedOn w:val="a1"/>
    <w:link w:val="afff"/>
    <w:semiHidden/>
    <w:rsid w:val="005D278A"/>
    <w:rPr>
      <w:lang w:val="en-GB" w:eastAsia="en-US"/>
    </w:rPr>
  </w:style>
  <w:style w:type="paragraph" w:styleId="afff1">
    <w:name w:val="Salutation"/>
    <w:basedOn w:val="a0"/>
    <w:next w:val="a0"/>
    <w:link w:val="afff2"/>
    <w:semiHidden/>
    <w:rsid w:val="005D278A"/>
    <w:rPr>
      <w:rFonts w:eastAsia="Times New Roman" w:cs="Times New Roman"/>
      <w:szCs w:val="20"/>
      <w:lang w:val="en-GB"/>
    </w:rPr>
  </w:style>
  <w:style w:type="character" w:customStyle="1" w:styleId="afff2">
    <w:name w:val="Приветствие Знак"/>
    <w:basedOn w:val="a1"/>
    <w:link w:val="afff1"/>
    <w:semiHidden/>
    <w:rsid w:val="005D278A"/>
    <w:rPr>
      <w:lang w:val="en-GB" w:eastAsia="en-US"/>
    </w:rPr>
  </w:style>
  <w:style w:type="paragraph" w:styleId="afff3">
    <w:name w:val="Signature"/>
    <w:basedOn w:val="a0"/>
    <w:link w:val="afff4"/>
    <w:semiHidden/>
    <w:rsid w:val="005D278A"/>
    <w:pPr>
      <w:ind w:left="4252"/>
    </w:pPr>
    <w:rPr>
      <w:rFonts w:eastAsia="Times New Roman" w:cs="Times New Roman"/>
      <w:szCs w:val="20"/>
      <w:lang w:val="en-GB"/>
    </w:rPr>
  </w:style>
  <w:style w:type="character" w:customStyle="1" w:styleId="afff4">
    <w:name w:val="Подпись Знак"/>
    <w:basedOn w:val="a1"/>
    <w:link w:val="afff3"/>
    <w:semiHidden/>
    <w:rsid w:val="005D278A"/>
    <w:rPr>
      <w:lang w:val="en-GB" w:eastAsia="en-US"/>
    </w:rPr>
  </w:style>
  <w:style w:type="table" w:styleId="11">
    <w:name w:val="Table 3D effects 1"/>
    <w:basedOn w:val="a2"/>
    <w:semiHidden/>
    <w:rsid w:val="005D278A"/>
    <w:pPr>
      <w:suppressAutoHyphens/>
      <w:spacing w:line="240" w:lineRule="atLeast"/>
    </w:pPr>
    <w:rPr>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5D278A"/>
    <w:pPr>
      <w:suppressAutoHyphens/>
      <w:spacing w:line="240" w:lineRule="atLeast"/>
    </w:pPr>
    <w:rPr>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5D278A"/>
    <w:pPr>
      <w:suppressAutoHyphens/>
      <w:spacing w:line="240" w:lineRule="atLeast"/>
    </w:pPr>
    <w:rPr>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5D278A"/>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5D278A"/>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5D278A"/>
    <w:pPr>
      <w:suppressAutoHyphens/>
      <w:spacing w:line="240" w:lineRule="atLeast"/>
    </w:pPr>
    <w:rPr>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5D278A"/>
    <w:pPr>
      <w:suppressAutoHyphens/>
      <w:spacing w:line="240" w:lineRule="atLeast"/>
    </w:pPr>
    <w:rPr>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5D278A"/>
    <w:pPr>
      <w:suppressAutoHyphens/>
      <w:spacing w:line="240" w:lineRule="atLeast"/>
    </w:pPr>
    <w:rPr>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5D278A"/>
    <w:pPr>
      <w:suppressAutoHyphens/>
      <w:spacing w:line="240" w:lineRule="atLeast"/>
    </w:pPr>
    <w:rPr>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5D278A"/>
    <w:pPr>
      <w:suppressAutoHyphens/>
      <w:spacing w:line="240" w:lineRule="atLeast"/>
    </w:pPr>
    <w:rPr>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5D278A"/>
    <w:pPr>
      <w:suppressAutoHyphens/>
      <w:spacing w:line="240" w:lineRule="atLeast"/>
    </w:pPr>
    <w:rPr>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5D278A"/>
    <w:pPr>
      <w:suppressAutoHyphens/>
      <w:spacing w:line="240" w:lineRule="atLeast"/>
    </w:pPr>
    <w:rPr>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5D278A"/>
    <w:pPr>
      <w:suppressAutoHyphens/>
      <w:spacing w:line="240" w:lineRule="atLeast"/>
    </w:pPr>
    <w:rPr>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5D278A"/>
    <w:pPr>
      <w:suppressAutoHyphens/>
      <w:spacing w:line="240" w:lineRule="atLeast"/>
    </w:pPr>
    <w:rPr>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5D278A"/>
    <w:pPr>
      <w:suppressAutoHyphens/>
      <w:spacing w:line="240" w:lineRule="atLeast"/>
    </w:pPr>
    <w:rPr>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5">
    <w:name w:val="Table Contemporary"/>
    <w:basedOn w:val="a2"/>
    <w:semiHidden/>
    <w:rsid w:val="005D278A"/>
    <w:pPr>
      <w:suppressAutoHyphens/>
      <w:spacing w:line="240" w:lineRule="atLeast"/>
    </w:pPr>
    <w:rPr>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6">
    <w:name w:val="Table Elegant"/>
    <w:basedOn w:val="a2"/>
    <w:semiHidden/>
    <w:rsid w:val="005D278A"/>
    <w:pPr>
      <w:suppressAutoHyphens/>
      <w:spacing w:line="240" w:lineRule="atLeast"/>
    </w:pPr>
    <w:rPr>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5D278A"/>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5D278A"/>
    <w:pPr>
      <w:suppressAutoHyphens/>
      <w:spacing w:line="240" w:lineRule="atLeast"/>
    </w:pPr>
    <w:rPr>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5D278A"/>
    <w:pPr>
      <w:suppressAutoHyphens/>
      <w:spacing w:line="240" w:lineRule="atLeast"/>
    </w:pPr>
    <w:rPr>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5D278A"/>
    <w:pPr>
      <w:suppressAutoHyphens/>
      <w:spacing w:line="240" w:lineRule="atLeast"/>
    </w:pPr>
    <w:rPr>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5D278A"/>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5D278A"/>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5D278A"/>
    <w:pPr>
      <w:suppressAutoHyphens/>
      <w:spacing w:line="240" w:lineRule="atLeast"/>
    </w:pPr>
    <w:rPr>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5D278A"/>
    <w:pPr>
      <w:suppressAutoHyphens/>
      <w:spacing w:line="240" w:lineRule="atLeast"/>
    </w:pPr>
    <w:rPr>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5D278A"/>
    <w:pPr>
      <w:suppressAutoHyphens/>
      <w:spacing w:line="240" w:lineRule="atLeast"/>
    </w:pPr>
    <w:rPr>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5D278A"/>
    <w:pPr>
      <w:suppressAutoHyphens/>
      <w:spacing w:line="240" w:lineRule="atLeast"/>
    </w:pPr>
    <w:rPr>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5D278A"/>
    <w:pPr>
      <w:suppressAutoHyphens/>
      <w:spacing w:line="240" w:lineRule="atLeast"/>
    </w:pPr>
    <w:rPr>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5D278A"/>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5D278A"/>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5D278A"/>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5D278A"/>
    <w:pPr>
      <w:suppressAutoHyphens/>
      <w:spacing w:line="240" w:lineRule="atLeast"/>
    </w:pPr>
    <w:rPr>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5D278A"/>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Professional"/>
    <w:basedOn w:val="a2"/>
    <w:semiHidden/>
    <w:rsid w:val="005D278A"/>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5D278A"/>
    <w:pPr>
      <w:suppressAutoHyphens/>
      <w:spacing w:line="240" w:lineRule="atLeast"/>
    </w:pPr>
    <w:rPr>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5D278A"/>
    <w:pPr>
      <w:suppressAutoHyphens/>
      <w:spacing w:line="240" w:lineRule="atLeast"/>
    </w:pPr>
    <w:rPr>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5D278A"/>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5D278A"/>
    <w:pPr>
      <w:suppressAutoHyphens/>
      <w:spacing w:line="240" w:lineRule="atLeast"/>
    </w:pPr>
    <w:rPr>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5D278A"/>
    <w:pPr>
      <w:suppressAutoHyphens/>
      <w:spacing w:line="240" w:lineRule="atLeast"/>
    </w:pPr>
    <w:rPr>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8">
    <w:name w:val="Table Theme"/>
    <w:basedOn w:val="a2"/>
    <w:semiHidden/>
    <w:rsid w:val="005D278A"/>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5D278A"/>
    <w:pPr>
      <w:suppressAutoHyphens/>
      <w:spacing w:line="240" w:lineRule="atLeast"/>
    </w:pPr>
    <w:rPr>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5D278A"/>
    <w:pPr>
      <w:suppressAutoHyphens/>
      <w:spacing w:line="240" w:lineRule="atLeast"/>
    </w:pPr>
    <w:rPr>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5D278A"/>
    <w:pPr>
      <w:suppressAutoHyphens/>
      <w:spacing w:line="240" w:lineRule="atLeast"/>
    </w:pPr>
    <w:rPr>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9">
    <w:name w:val="envelope address"/>
    <w:basedOn w:val="a0"/>
    <w:semiHidden/>
    <w:rsid w:val="005D278A"/>
    <w:pPr>
      <w:framePr w:w="7920" w:h="1980" w:hRule="exact" w:hSpace="180" w:wrap="auto" w:hAnchor="page" w:xAlign="center" w:yAlign="bottom"/>
      <w:ind w:left="2880"/>
    </w:pPr>
    <w:rPr>
      <w:rFonts w:ascii="Arial" w:eastAsia="Times New Roman" w:hAnsi="Arial" w:cs="Arial"/>
      <w:sz w:val="24"/>
      <w:szCs w:val="24"/>
      <w:lang w:val="en-GB"/>
    </w:rPr>
  </w:style>
  <w:style w:type="character" w:styleId="afffa">
    <w:name w:val="Unresolved Mention"/>
    <w:basedOn w:val="a1"/>
    <w:uiPriority w:val="99"/>
    <w:semiHidden/>
    <w:unhideWhenUsed/>
    <w:rsid w:val="00ED7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HRI%2FCORE%2FISR%2F2008&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22</Pages>
  <Words>9136</Words>
  <Characters>60366</Characters>
  <Application>Microsoft Office Word</Application>
  <DocSecurity>0</DocSecurity>
  <Lines>503</Lines>
  <Paragraphs>138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HRI/CORE/ISR/2021</vt:lpstr>
      <vt:lpstr>A/</vt:lpstr>
      <vt:lpstr>A/</vt:lpstr>
    </vt:vector>
  </TitlesOfParts>
  <Company>DCM</Company>
  <LinksUpToDate>false</LinksUpToDate>
  <CharactersWithSpaces>69364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HRI/CORE/ISR/2021</dc:title>
  <dc:subject/>
  <dc:creator>Anna KISSELEVA</dc:creator>
  <cp:keywords/>
  <cp:lastModifiedBy>Anna Kisseleva</cp:lastModifiedBy>
  <cp:revision>3</cp:revision>
  <cp:lastPrinted>2021-10-14T14:23:00Z</cp:lastPrinted>
  <dcterms:created xsi:type="dcterms:W3CDTF">2021-10-14T14:23:00Z</dcterms:created>
  <dcterms:modified xsi:type="dcterms:W3CDTF">2021-10-14T14:23:00Z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