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A4" w:rsidRDefault="008A55A4" w:rsidP="008A55A4">
      <w:pPr>
        <w:spacing w:line="60" w:lineRule="exact"/>
        <w:rPr>
          <w:sz w:val="6"/>
        </w:rPr>
        <w:sectPr w:rsidR="008A55A4" w:rsidSect="008A55A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bookmarkStart w:id="1" w:name="TmpSave"/>
      <w:bookmarkEnd w:id="1"/>
    </w:p>
    <w:p w:rsidR="00EA31C3" w:rsidRDefault="00EA31C3" w:rsidP="008A55A4">
      <w:pPr>
        <w:spacing w:line="60" w:lineRule="exact"/>
        <w:rPr>
          <w:sz w:val="6"/>
        </w:rPr>
      </w:pPr>
    </w:p>
    <w:p w:rsidR="00F11AFF" w:rsidRPr="008D69F5" w:rsidRDefault="00F11AFF" w:rsidP="001B69B8">
      <w:pPr>
        <w:pStyle w:val="HCh"/>
        <w:rPr>
          <w:rFonts w:hint="eastAsia"/>
        </w:rPr>
      </w:pPr>
      <w:r w:rsidRPr="008D69F5">
        <w:rPr>
          <w:rFonts w:hint="eastAsia"/>
        </w:rPr>
        <w:t>作为缔约国报告一部分的</w:t>
      </w:r>
      <w:r w:rsidR="004C173A">
        <w:br/>
      </w:r>
      <w:r w:rsidRPr="008D69F5">
        <w:rPr>
          <w:rFonts w:hint="eastAsia"/>
        </w:rPr>
        <w:t>共同核心文件</w:t>
      </w:r>
    </w:p>
    <w:p w:rsidR="00F11AFF" w:rsidRPr="00F11AFF" w:rsidRDefault="00F11AFF" w:rsidP="00F11AFF">
      <w:pPr>
        <w:pStyle w:val="SingleTxt"/>
        <w:spacing w:after="0" w:line="120" w:lineRule="exact"/>
        <w:ind w:right="0"/>
        <w:rPr>
          <w:rFonts w:hint="eastAsia"/>
          <w:sz w:val="10"/>
        </w:rPr>
      </w:pPr>
    </w:p>
    <w:p w:rsidR="00F11AFF" w:rsidRPr="00F11AFF" w:rsidRDefault="00F11AFF" w:rsidP="00F11AFF">
      <w:pPr>
        <w:pStyle w:val="SingleTxt"/>
        <w:spacing w:after="0" w:line="120" w:lineRule="exact"/>
        <w:ind w:right="0"/>
        <w:rPr>
          <w:rFonts w:hint="eastAsia"/>
          <w:sz w:val="10"/>
        </w:rPr>
      </w:pPr>
    </w:p>
    <w:p w:rsidR="004C173A" w:rsidRPr="004C173A" w:rsidRDefault="004C173A" w:rsidP="004C17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C173A" w:rsidRPr="004C173A" w:rsidRDefault="004C173A" w:rsidP="004C17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11AFF" w:rsidRDefault="00F11AFF" w:rsidP="00F11AF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利比里亚</w:t>
      </w:r>
      <w:r w:rsidR="00FF7597" w:rsidRPr="00FF7597">
        <w:rPr>
          <w:rStyle w:val="FootnoteReference"/>
          <w:sz w:val="21"/>
        </w:rPr>
        <w:footnoteReference w:customMarkFollows="1" w:id="1"/>
        <w:t>*</w:t>
      </w:r>
    </w:p>
    <w:p w:rsidR="00F11AFF" w:rsidRPr="00F11AFF" w:rsidRDefault="00F11AFF" w:rsidP="00F11AFF">
      <w:pPr>
        <w:pStyle w:val="SingleTxt"/>
        <w:spacing w:after="0" w:line="120" w:lineRule="exact"/>
        <w:ind w:right="0"/>
        <w:rPr>
          <w:rFonts w:hint="eastAsia"/>
          <w:sz w:val="10"/>
        </w:rPr>
      </w:pPr>
    </w:p>
    <w:p w:rsidR="004C173A" w:rsidRPr="004C173A" w:rsidRDefault="004C173A" w:rsidP="004C173A">
      <w:pPr>
        <w:pStyle w:val="SingleTxt"/>
        <w:spacing w:after="0" w:line="120" w:lineRule="exact"/>
        <w:jc w:val="right"/>
        <w:rPr>
          <w:rFonts w:hint="eastAsia"/>
          <w:sz w:val="10"/>
        </w:rPr>
      </w:pPr>
    </w:p>
    <w:p w:rsidR="004C173A" w:rsidRPr="004C173A" w:rsidRDefault="004C173A" w:rsidP="004C173A">
      <w:pPr>
        <w:pStyle w:val="SingleTxt"/>
        <w:spacing w:after="0" w:line="120" w:lineRule="exact"/>
        <w:jc w:val="right"/>
        <w:rPr>
          <w:rFonts w:hint="eastAsia"/>
          <w:sz w:val="10"/>
        </w:rPr>
      </w:pPr>
    </w:p>
    <w:p w:rsidR="00064AA0" w:rsidRDefault="00F11AFF" w:rsidP="00064AA0">
      <w:pPr>
        <w:pStyle w:val="SingleTxt"/>
        <w:jc w:val="right"/>
      </w:pPr>
      <w:r w:rsidRPr="008D69F5">
        <w:rPr>
          <w:rFonts w:hint="eastAsia"/>
        </w:rPr>
        <w:t>[</w:t>
      </w:r>
      <w:r w:rsidRPr="008D69F5">
        <w:rPr>
          <w:rFonts w:hint="eastAsia"/>
        </w:rPr>
        <w:t>收到日期：</w:t>
      </w:r>
      <w:r w:rsidRPr="008D69F5">
        <w:rPr>
          <w:rFonts w:hint="eastAsia"/>
        </w:rPr>
        <w:t>2014</w:t>
      </w:r>
      <w:r w:rsidRPr="008D69F5">
        <w:rPr>
          <w:rFonts w:hint="eastAsia"/>
        </w:rPr>
        <w:t>年</w:t>
      </w:r>
      <w:r w:rsidRPr="008D69F5">
        <w:rPr>
          <w:rFonts w:hint="eastAsia"/>
        </w:rPr>
        <w:t>3</w:t>
      </w:r>
      <w:r w:rsidRPr="008D69F5">
        <w:rPr>
          <w:rFonts w:hint="eastAsia"/>
        </w:rPr>
        <w:t>月</w:t>
      </w:r>
      <w:r w:rsidRPr="008D69F5">
        <w:rPr>
          <w:rFonts w:hint="eastAsia"/>
        </w:rPr>
        <w:t>17</w:t>
      </w:r>
      <w:r w:rsidRPr="008D69F5">
        <w:rPr>
          <w:rFonts w:hint="eastAsia"/>
        </w:rPr>
        <w:t>日</w:t>
      </w:r>
      <w:r w:rsidRPr="008D69F5">
        <w:rPr>
          <w:rFonts w:hint="eastAsia"/>
        </w:rPr>
        <w:t>]</w:t>
      </w:r>
    </w:p>
    <w:p w:rsidR="00F11AFF" w:rsidRPr="008D69F5" w:rsidRDefault="00064AA0" w:rsidP="00064AA0">
      <w:pPr>
        <w:pStyle w:val="SingleTxt"/>
        <w:spacing w:line="140" w:lineRule="exact"/>
        <w:jc w:val="right"/>
        <w:rPr>
          <w:rFonts w:hint="eastAsia"/>
        </w:rPr>
      </w:pPr>
      <w:r>
        <w:br w:type="page"/>
      </w:r>
    </w:p>
    <w:p w:rsidR="00F11AFF" w:rsidRDefault="00F11AFF" w:rsidP="001B69B8">
      <w:pPr>
        <w:pStyle w:val="HCh6"/>
      </w:pPr>
      <w:bookmarkStart w:id="2" w:name="_GoBack"/>
      <w:bookmarkEnd w:id="2"/>
      <w:r>
        <w:rPr>
          <w:rFonts w:hint="eastAsia"/>
        </w:rPr>
        <w:t>目录</w:t>
      </w:r>
    </w:p>
    <w:tbl>
      <w:tblPr>
        <w:tblW w:w="9841" w:type="dxa"/>
        <w:tblLayout w:type="fixed"/>
        <w:tblCellMar>
          <w:left w:w="0" w:type="dxa"/>
          <w:right w:w="0" w:type="dxa"/>
        </w:tblCellMar>
        <w:tblLook w:val="0000"/>
      </w:tblPr>
      <w:tblGrid>
        <w:gridCol w:w="1060"/>
        <w:gridCol w:w="8291"/>
        <w:gridCol w:w="490"/>
      </w:tblGrid>
      <w:tr w:rsidR="00F11AFF" w:rsidRPr="00E53517" w:rsidTr="007768ED">
        <w:tc>
          <w:tcPr>
            <w:tcW w:w="1060" w:type="dxa"/>
          </w:tcPr>
          <w:p w:rsidR="00F11AFF" w:rsidRPr="00E53517" w:rsidRDefault="00F11AFF" w:rsidP="007768ED">
            <w:pPr>
              <w:pStyle w:val="GB23126"/>
            </w:pPr>
          </w:p>
        </w:tc>
        <w:tc>
          <w:tcPr>
            <w:tcW w:w="8291" w:type="dxa"/>
          </w:tcPr>
          <w:p w:rsidR="00F11AFF" w:rsidRPr="00E53517" w:rsidRDefault="00F11AFF">
            <w:pPr>
              <w:spacing w:after="120" w:line="240" w:lineRule="auto"/>
              <w:rPr>
                <w:rFonts w:eastAsia="KaiTi_GB2312"/>
                <w:color w:val="0000FF"/>
                <w:sz w:val="15"/>
                <w:szCs w:val="15"/>
              </w:rPr>
            </w:pPr>
          </w:p>
        </w:tc>
        <w:tc>
          <w:tcPr>
            <w:tcW w:w="490" w:type="dxa"/>
          </w:tcPr>
          <w:p w:rsidR="00F11AFF" w:rsidRPr="00E53517" w:rsidRDefault="00F11AFF" w:rsidP="007768ED">
            <w:pPr>
              <w:pStyle w:val="GB23126"/>
            </w:pPr>
            <w:r w:rsidRPr="00E53517">
              <w:rPr>
                <w:rFonts w:hint="eastAsia"/>
              </w:rPr>
              <w:t>页次</w:t>
            </w:r>
          </w:p>
        </w:tc>
      </w:tr>
      <w:tr w:rsidR="00F11AFF" w:rsidTr="007768ED">
        <w:trPr>
          <w:cantSplit/>
        </w:trPr>
        <w:tc>
          <w:tcPr>
            <w:tcW w:w="9351" w:type="dxa"/>
            <w:gridSpan w:val="2"/>
          </w:tcPr>
          <w:p w:rsidR="00F11AFF" w:rsidRDefault="00F11AFF" w:rsidP="007768ED">
            <w:pPr>
              <w:numPr>
                <w:ilvl w:val="0"/>
                <w:numId w:val="3"/>
              </w:numPr>
              <w:tabs>
                <w:tab w:val="right" w:pos="1080"/>
                <w:tab w:val="right" w:leader="dot" w:pos="9337"/>
              </w:tabs>
              <w:spacing w:after="140"/>
            </w:pPr>
            <w:r>
              <w:tab/>
            </w:r>
            <w:r>
              <w:rPr>
                <w:rFonts w:hint="eastAsia"/>
              </w:rPr>
              <w:t>利比里亚背景资料</w:t>
            </w:r>
            <w:r>
              <w:tab/>
            </w:r>
          </w:p>
        </w:tc>
        <w:tc>
          <w:tcPr>
            <w:tcW w:w="490" w:type="dxa"/>
            <w:vAlign w:val="bottom"/>
          </w:tcPr>
          <w:p w:rsidR="00F11AFF" w:rsidRDefault="00306DF9">
            <w:pPr>
              <w:spacing w:after="140"/>
              <w:ind w:right="28"/>
              <w:jc w:val="right"/>
            </w:pPr>
            <w:r>
              <w:t>3</w:t>
            </w:r>
          </w:p>
        </w:tc>
      </w:tr>
      <w:tr w:rsidR="00F11AFF" w:rsidTr="007768ED">
        <w:trPr>
          <w:cantSplit/>
        </w:trPr>
        <w:tc>
          <w:tcPr>
            <w:tcW w:w="9351" w:type="dxa"/>
            <w:gridSpan w:val="2"/>
          </w:tcPr>
          <w:p w:rsidR="00F11AFF" w:rsidRDefault="00F11AFF" w:rsidP="007768ED">
            <w:pPr>
              <w:numPr>
                <w:ilvl w:val="1"/>
                <w:numId w:val="3"/>
              </w:numPr>
              <w:tabs>
                <w:tab w:val="right" w:pos="1080"/>
                <w:tab w:val="right" w:leader="dot" w:pos="9337"/>
              </w:tabs>
              <w:spacing w:after="140"/>
            </w:pPr>
            <w:r>
              <w:rPr>
                <w:rFonts w:hint="eastAsia"/>
              </w:rPr>
              <w:t>地理</w:t>
            </w:r>
            <w:r>
              <w:rPr>
                <w:rFonts w:hint="eastAsia"/>
              </w:rPr>
              <w:tab/>
            </w:r>
          </w:p>
        </w:tc>
        <w:tc>
          <w:tcPr>
            <w:tcW w:w="490" w:type="dxa"/>
            <w:vAlign w:val="bottom"/>
          </w:tcPr>
          <w:p w:rsidR="00F11AFF" w:rsidRDefault="00306DF9">
            <w:pPr>
              <w:spacing w:after="140"/>
              <w:ind w:right="28"/>
              <w:jc w:val="right"/>
            </w:pPr>
            <w:r>
              <w:t>3</w:t>
            </w:r>
          </w:p>
        </w:tc>
      </w:tr>
      <w:tr w:rsidR="00F11AFF" w:rsidTr="007768ED">
        <w:trPr>
          <w:cantSplit/>
        </w:trPr>
        <w:tc>
          <w:tcPr>
            <w:tcW w:w="9351" w:type="dxa"/>
            <w:gridSpan w:val="2"/>
          </w:tcPr>
          <w:p w:rsidR="00F11AFF" w:rsidRDefault="00F11AFF" w:rsidP="007768ED">
            <w:pPr>
              <w:numPr>
                <w:ilvl w:val="1"/>
                <w:numId w:val="3"/>
              </w:numPr>
              <w:tabs>
                <w:tab w:val="right" w:pos="1080"/>
                <w:tab w:val="right" w:leader="dot" w:pos="9337"/>
              </w:tabs>
              <w:spacing w:after="140"/>
              <w:rPr>
                <w:rFonts w:hint="eastAsia"/>
              </w:rPr>
            </w:pPr>
            <w:r>
              <w:rPr>
                <w:rFonts w:hint="eastAsia"/>
              </w:rPr>
              <w:t>气候</w:t>
            </w:r>
            <w:r>
              <w:tab/>
            </w:r>
          </w:p>
        </w:tc>
        <w:tc>
          <w:tcPr>
            <w:tcW w:w="490" w:type="dxa"/>
            <w:vAlign w:val="bottom"/>
          </w:tcPr>
          <w:p w:rsidR="00F11AFF" w:rsidRDefault="00306DF9">
            <w:pPr>
              <w:spacing w:after="140"/>
              <w:ind w:right="28"/>
              <w:jc w:val="right"/>
            </w:pPr>
            <w:r>
              <w:t>3</w:t>
            </w:r>
          </w:p>
        </w:tc>
      </w:tr>
      <w:tr w:rsidR="00F11AFF" w:rsidTr="007768ED">
        <w:trPr>
          <w:cantSplit/>
        </w:trPr>
        <w:tc>
          <w:tcPr>
            <w:tcW w:w="9351" w:type="dxa"/>
            <w:gridSpan w:val="2"/>
          </w:tcPr>
          <w:p w:rsidR="00F11AFF" w:rsidRDefault="00F11AFF" w:rsidP="007768ED">
            <w:pPr>
              <w:numPr>
                <w:ilvl w:val="1"/>
                <w:numId w:val="3"/>
              </w:numPr>
              <w:tabs>
                <w:tab w:val="right" w:pos="1080"/>
                <w:tab w:val="right" w:leader="dot" w:pos="9337"/>
              </w:tabs>
              <w:spacing w:after="140"/>
              <w:rPr>
                <w:rFonts w:hint="eastAsia"/>
              </w:rPr>
            </w:pPr>
            <w:r>
              <w:rPr>
                <w:rFonts w:hint="eastAsia"/>
              </w:rPr>
              <w:t>族裔和语言群体</w:t>
            </w:r>
            <w:r>
              <w:tab/>
            </w:r>
          </w:p>
        </w:tc>
        <w:tc>
          <w:tcPr>
            <w:tcW w:w="490" w:type="dxa"/>
            <w:vAlign w:val="bottom"/>
          </w:tcPr>
          <w:p w:rsidR="00F11AFF" w:rsidRDefault="00306DF9">
            <w:pPr>
              <w:spacing w:after="140"/>
              <w:ind w:right="28"/>
              <w:jc w:val="right"/>
            </w:pPr>
            <w:r>
              <w:t>3</w:t>
            </w:r>
          </w:p>
        </w:tc>
      </w:tr>
      <w:tr w:rsidR="00F11AFF" w:rsidTr="007768ED">
        <w:trPr>
          <w:cantSplit/>
        </w:trPr>
        <w:tc>
          <w:tcPr>
            <w:tcW w:w="9351" w:type="dxa"/>
            <w:gridSpan w:val="2"/>
          </w:tcPr>
          <w:p w:rsidR="00F11AFF" w:rsidRDefault="00F11AFF" w:rsidP="007768ED">
            <w:pPr>
              <w:numPr>
                <w:ilvl w:val="0"/>
                <w:numId w:val="3"/>
              </w:numPr>
              <w:tabs>
                <w:tab w:val="right" w:pos="1080"/>
                <w:tab w:val="right" w:leader="dot" w:pos="9337"/>
              </w:tabs>
              <w:spacing w:after="140"/>
              <w:rPr>
                <w:rFonts w:hint="eastAsia"/>
              </w:rPr>
            </w:pPr>
            <w:r>
              <w:tab/>
            </w:r>
            <w:r>
              <w:rPr>
                <w:rFonts w:hint="eastAsia"/>
              </w:rPr>
              <w:t>人口特征</w:t>
            </w:r>
            <w:r>
              <w:tab/>
            </w:r>
          </w:p>
        </w:tc>
        <w:tc>
          <w:tcPr>
            <w:tcW w:w="490" w:type="dxa"/>
            <w:vAlign w:val="bottom"/>
          </w:tcPr>
          <w:p w:rsidR="00F11AFF" w:rsidRDefault="00306DF9">
            <w:pPr>
              <w:spacing w:after="140"/>
              <w:ind w:right="28"/>
              <w:jc w:val="right"/>
            </w:pPr>
            <w:r>
              <w:t>3</w:t>
            </w:r>
          </w:p>
        </w:tc>
      </w:tr>
      <w:tr w:rsidR="00F11AFF" w:rsidTr="007768ED">
        <w:trPr>
          <w:cantSplit/>
        </w:trPr>
        <w:tc>
          <w:tcPr>
            <w:tcW w:w="9351" w:type="dxa"/>
            <w:gridSpan w:val="2"/>
          </w:tcPr>
          <w:p w:rsidR="00F11AFF" w:rsidRDefault="00F11AFF" w:rsidP="007768ED">
            <w:pPr>
              <w:numPr>
                <w:ilvl w:val="1"/>
                <w:numId w:val="3"/>
              </w:numPr>
              <w:tabs>
                <w:tab w:val="right" w:pos="1080"/>
                <w:tab w:val="right" w:leader="dot" w:pos="9337"/>
              </w:tabs>
              <w:spacing w:after="140"/>
            </w:pPr>
            <w:r>
              <w:rPr>
                <w:rFonts w:hint="eastAsia"/>
              </w:rPr>
              <w:t>按部门分列的性别情况简介</w:t>
            </w:r>
            <w:r>
              <w:tab/>
            </w:r>
          </w:p>
        </w:tc>
        <w:tc>
          <w:tcPr>
            <w:tcW w:w="490" w:type="dxa"/>
            <w:vAlign w:val="bottom"/>
          </w:tcPr>
          <w:p w:rsidR="00F11AFF" w:rsidRDefault="00306DF9">
            <w:pPr>
              <w:spacing w:after="140"/>
              <w:ind w:right="28"/>
              <w:jc w:val="right"/>
            </w:pPr>
            <w:r>
              <w:t>4</w:t>
            </w:r>
          </w:p>
        </w:tc>
      </w:tr>
      <w:tr w:rsidR="00F11AFF" w:rsidTr="007768ED">
        <w:trPr>
          <w:cantSplit/>
        </w:trPr>
        <w:tc>
          <w:tcPr>
            <w:tcW w:w="9351" w:type="dxa"/>
            <w:gridSpan w:val="2"/>
          </w:tcPr>
          <w:p w:rsidR="00F11AFF" w:rsidRDefault="00F11AFF" w:rsidP="007768ED">
            <w:pPr>
              <w:numPr>
                <w:ilvl w:val="1"/>
                <w:numId w:val="3"/>
              </w:numPr>
              <w:tabs>
                <w:tab w:val="right" w:pos="1080"/>
                <w:tab w:val="right" w:leader="dot" w:pos="9337"/>
              </w:tabs>
              <w:spacing w:after="140"/>
              <w:rPr>
                <w:rFonts w:hint="eastAsia"/>
              </w:rPr>
            </w:pPr>
            <w:r>
              <w:rPr>
                <w:rFonts w:hint="eastAsia"/>
              </w:rPr>
              <w:t>性别情况简介图</w:t>
            </w:r>
            <w:r>
              <w:tab/>
            </w:r>
          </w:p>
        </w:tc>
        <w:tc>
          <w:tcPr>
            <w:tcW w:w="490" w:type="dxa"/>
            <w:vAlign w:val="bottom"/>
          </w:tcPr>
          <w:p w:rsidR="00F11AFF" w:rsidRDefault="00306DF9">
            <w:pPr>
              <w:spacing w:after="140"/>
              <w:ind w:right="28"/>
              <w:jc w:val="right"/>
            </w:pPr>
            <w:r>
              <w:t>4</w:t>
            </w:r>
          </w:p>
        </w:tc>
      </w:tr>
      <w:tr w:rsidR="00F11AFF" w:rsidTr="007768ED">
        <w:trPr>
          <w:cantSplit/>
        </w:trPr>
        <w:tc>
          <w:tcPr>
            <w:tcW w:w="9351" w:type="dxa"/>
            <w:gridSpan w:val="2"/>
          </w:tcPr>
          <w:p w:rsidR="00F11AFF" w:rsidRDefault="00F11AFF" w:rsidP="007768ED">
            <w:pPr>
              <w:numPr>
                <w:ilvl w:val="1"/>
                <w:numId w:val="3"/>
              </w:numPr>
              <w:tabs>
                <w:tab w:val="right" w:pos="1080"/>
                <w:tab w:val="right" w:leader="dot" w:pos="9337"/>
              </w:tabs>
              <w:spacing w:after="140"/>
              <w:rPr>
                <w:rFonts w:hint="eastAsia"/>
              </w:rPr>
            </w:pPr>
            <w:r>
              <w:rPr>
                <w:rFonts w:hint="eastAsia"/>
              </w:rPr>
              <w:t>年龄结构</w:t>
            </w:r>
            <w:r>
              <w:tab/>
            </w:r>
          </w:p>
        </w:tc>
        <w:tc>
          <w:tcPr>
            <w:tcW w:w="490" w:type="dxa"/>
            <w:vAlign w:val="bottom"/>
          </w:tcPr>
          <w:p w:rsidR="00F11AFF" w:rsidRDefault="00306DF9">
            <w:pPr>
              <w:spacing w:after="140"/>
              <w:ind w:right="28"/>
              <w:jc w:val="right"/>
            </w:pPr>
            <w:r>
              <w:t>4</w:t>
            </w:r>
          </w:p>
        </w:tc>
      </w:tr>
      <w:tr w:rsidR="00F11AFF" w:rsidTr="007768ED">
        <w:trPr>
          <w:cantSplit/>
        </w:trPr>
        <w:tc>
          <w:tcPr>
            <w:tcW w:w="9351" w:type="dxa"/>
            <w:gridSpan w:val="2"/>
          </w:tcPr>
          <w:p w:rsidR="00F11AFF" w:rsidRDefault="00F11AFF" w:rsidP="007768ED">
            <w:pPr>
              <w:numPr>
                <w:ilvl w:val="1"/>
                <w:numId w:val="3"/>
              </w:numPr>
              <w:tabs>
                <w:tab w:val="right" w:pos="1080"/>
                <w:tab w:val="right" w:leader="dot" w:pos="9337"/>
              </w:tabs>
              <w:spacing w:after="140"/>
              <w:rPr>
                <w:rFonts w:hint="eastAsia"/>
              </w:rPr>
            </w:pPr>
            <w:r>
              <w:rPr>
                <w:rFonts w:hint="eastAsia"/>
              </w:rPr>
              <w:t>人口增长与分布</w:t>
            </w:r>
            <w:r>
              <w:tab/>
            </w:r>
          </w:p>
        </w:tc>
        <w:tc>
          <w:tcPr>
            <w:tcW w:w="490" w:type="dxa"/>
            <w:vAlign w:val="bottom"/>
          </w:tcPr>
          <w:p w:rsidR="00F11AFF" w:rsidRDefault="00306DF9">
            <w:pPr>
              <w:spacing w:after="140"/>
              <w:ind w:right="28"/>
              <w:jc w:val="right"/>
            </w:pPr>
            <w:r>
              <w:t>5</w:t>
            </w:r>
          </w:p>
        </w:tc>
      </w:tr>
      <w:tr w:rsidR="00306DF9" w:rsidTr="00257592">
        <w:trPr>
          <w:cantSplit/>
        </w:trPr>
        <w:tc>
          <w:tcPr>
            <w:tcW w:w="9351" w:type="dxa"/>
            <w:gridSpan w:val="2"/>
          </w:tcPr>
          <w:p w:rsidR="00306DF9" w:rsidRDefault="00306DF9" w:rsidP="00257592">
            <w:pPr>
              <w:numPr>
                <w:ilvl w:val="1"/>
                <w:numId w:val="3"/>
              </w:numPr>
              <w:tabs>
                <w:tab w:val="right" w:pos="1080"/>
                <w:tab w:val="right" w:leader="dot" w:pos="9337"/>
              </w:tabs>
              <w:spacing w:after="140"/>
              <w:rPr>
                <w:rFonts w:hint="eastAsia"/>
              </w:rPr>
            </w:pPr>
            <w:r>
              <w:rPr>
                <w:rFonts w:hint="eastAsia"/>
              </w:rPr>
              <w:t>人口从农村向城市移徙</w:t>
            </w:r>
            <w:r>
              <w:tab/>
            </w:r>
          </w:p>
        </w:tc>
        <w:tc>
          <w:tcPr>
            <w:tcW w:w="490" w:type="dxa"/>
            <w:vAlign w:val="bottom"/>
          </w:tcPr>
          <w:p w:rsidR="00306DF9" w:rsidRDefault="00306DF9" w:rsidP="00257592">
            <w:pPr>
              <w:spacing w:after="140"/>
              <w:ind w:right="28"/>
              <w:jc w:val="right"/>
            </w:pPr>
            <w:r>
              <w:t>5</w:t>
            </w:r>
          </w:p>
        </w:tc>
      </w:tr>
      <w:tr w:rsidR="00306DF9" w:rsidTr="00257592">
        <w:trPr>
          <w:cantSplit/>
        </w:trPr>
        <w:tc>
          <w:tcPr>
            <w:tcW w:w="9351" w:type="dxa"/>
            <w:gridSpan w:val="2"/>
          </w:tcPr>
          <w:p w:rsidR="00306DF9" w:rsidRDefault="00306DF9" w:rsidP="00306DF9">
            <w:pPr>
              <w:numPr>
                <w:ilvl w:val="0"/>
                <w:numId w:val="3"/>
              </w:numPr>
              <w:tabs>
                <w:tab w:val="right" w:pos="1080"/>
                <w:tab w:val="right" w:leader="dot" w:pos="9337"/>
              </w:tabs>
              <w:spacing w:after="140"/>
              <w:rPr>
                <w:rFonts w:hint="eastAsia"/>
              </w:rPr>
            </w:pPr>
            <w:r>
              <w:tab/>
            </w:r>
            <w:r>
              <w:rPr>
                <w:rFonts w:hint="eastAsia"/>
              </w:rPr>
              <w:t>政治和法律制度</w:t>
            </w:r>
            <w:r>
              <w:tab/>
            </w:r>
          </w:p>
        </w:tc>
        <w:tc>
          <w:tcPr>
            <w:tcW w:w="490" w:type="dxa"/>
            <w:vAlign w:val="bottom"/>
          </w:tcPr>
          <w:p w:rsidR="00306DF9" w:rsidRDefault="00306DF9" w:rsidP="00257592">
            <w:pPr>
              <w:spacing w:after="140"/>
              <w:ind w:right="28"/>
              <w:jc w:val="right"/>
            </w:pPr>
            <w:r>
              <w:t>5</w:t>
            </w:r>
          </w:p>
        </w:tc>
      </w:tr>
      <w:tr w:rsidR="00306DF9" w:rsidTr="00257592">
        <w:trPr>
          <w:cantSplit/>
        </w:trPr>
        <w:tc>
          <w:tcPr>
            <w:tcW w:w="9351" w:type="dxa"/>
            <w:gridSpan w:val="2"/>
          </w:tcPr>
          <w:p w:rsidR="00306DF9" w:rsidRDefault="00306DF9" w:rsidP="00257592">
            <w:pPr>
              <w:numPr>
                <w:ilvl w:val="1"/>
                <w:numId w:val="3"/>
              </w:numPr>
              <w:tabs>
                <w:tab w:val="right" w:pos="1080"/>
                <w:tab w:val="right" w:leader="dot" w:pos="9337"/>
              </w:tabs>
              <w:spacing w:after="140"/>
              <w:rPr>
                <w:rFonts w:hint="eastAsia"/>
              </w:rPr>
            </w:pPr>
            <w:r>
              <w:rPr>
                <w:rFonts w:hint="eastAsia"/>
              </w:rPr>
              <w:t>政府制度</w:t>
            </w:r>
            <w:r>
              <w:tab/>
            </w:r>
          </w:p>
        </w:tc>
        <w:tc>
          <w:tcPr>
            <w:tcW w:w="490" w:type="dxa"/>
            <w:vAlign w:val="bottom"/>
          </w:tcPr>
          <w:p w:rsidR="00306DF9" w:rsidRDefault="00306DF9" w:rsidP="00257592">
            <w:pPr>
              <w:spacing w:after="140"/>
              <w:ind w:right="28"/>
              <w:jc w:val="right"/>
            </w:pPr>
            <w:r>
              <w:t>5</w:t>
            </w:r>
          </w:p>
        </w:tc>
      </w:tr>
      <w:tr w:rsidR="00306DF9" w:rsidTr="00257592">
        <w:trPr>
          <w:cantSplit/>
        </w:trPr>
        <w:tc>
          <w:tcPr>
            <w:tcW w:w="9351" w:type="dxa"/>
            <w:gridSpan w:val="2"/>
          </w:tcPr>
          <w:p w:rsidR="00306DF9" w:rsidRDefault="00306DF9" w:rsidP="00257592">
            <w:pPr>
              <w:numPr>
                <w:ilvl w:val="1"/>
                <w:numId w:val="3"/>
              </w:numPr>
              <w:tabs>
                <w:tab w:val="right" w:pos="1080"/>
                <w:tab w:val="right" w:leader="dot" w:pos="9337"/>
              </w:tabs>
              <w:spacing w:after="140"/>
              <w:rPr>
                <w:rFonts w:hint="eastAsia"/>
              </w:rPr>
            </w:pPr>
            <w:r>
              <w:rPr>
                <w:rFonts w:hint="eastAsia"/>
              </w:rPr>
              <w:t>政府职能</w:t>
            </w:r>
            <w:r>
              <w:tab/>
            </w:r>
          </w:p>
        </w:tc>
        <w:tc>
          <w:tcPr>
            <w:tcW w:w="490" w:type="dxa"/>
            <w:vAlign w:val="bottom"/>
          </w:tcPr>
          <w:p w:rsidR="00306DF9" w:rsidRDefault="00306DF9" w:rsidP="00257592">
            <w:pPr>
              <w:spacing w:after="140"/>
              <w:ind w:right="28"/>
              <w:jc w:val="right"/>
            </w:pPr>
            <w:r>
              <w:t>6</w:t>
            </w:r>
          </w:p>
        </w:tc>
      </w:tr>
      <w:tr w:rsidR="00306DF9" w:rsidTr="00257592">
        <w:trPr>
          <w:cantSplit/>
        </w:trPr>
        <w:tc>
          <w:tcPr>
            <w:tcW w:w="9351" w:type="dxa"/>
            <w:gridSpan w:val="2"/>
          </w:tcPr>
          <w:p w:rsidR="00306DF9" w:rsidRDefault="00306DF9" w:rsidP="00257592">
            <w:pPr>
              <w:numPr>
                <w:ilvl w:val="1"/>
                <w:numId w:val="3"/>
              </w:numPr>
              <w:tabs>
                <w:tab w:val="right" w:pos="1080"/>
                <w:tab w:val="right" w:leader="dot" w:pos="9337"/>
              </w:tabs>
              <w:spacing w:after="140"/>
              <w:rPr>
                <w:rFonts w:hint="eastAsia"/>
              </w:rPr>
            </w:pPr>
            <w:r>
              <w:rPr>
                <w:rFonts w:hint="eastAsia"/>
              </w:rPr>
              <w:t>一般法律框架</w:t>
            </w:r>
            <w:r>
              <w:tab/>
            </w:r>
          </w:p>
        </w:tc>
        <w:tc>
          <w:tcPr>
            <w:tcW w:w="490" w:type="dxa"/>
            <w:vAlign w:val="bottom"/>
          </w:tcPr>
          <w:p w:rsidR="00306DF9" w:rsidRDefault="00306DF9" w:rsidP="00257592">
            <w:pPr>
              <w:spacing w:after="140"/>
              <w:ind w:right="28"/>
              <w:jc w:val="right"/>
            </w:pPr>
            <w:r>
              <w:t>6</w:t>
            </w:r>
          </w:p>
        </w:tc>
      </w:tr>
      <w:tr w:rsidR="00306DF9" w:rsidTr="00257592">
        <w:trPr>
          <w:cantSplit/>
        </w:trPr>
        <w:tc>
          <w:tcPr>
            <w:tcW w:w="9351" w:type="dxa"/>
            <w:gridSpan w:val="2"/>
          </w:tcPr>
          <w:p w:rsidR="00306DF9" w:rsidRDefault="00306DF9" w:rsidP="00257592">
            <w:pPr>
              <w:numPr>
                <w:ilvl w:val="1"/>
                <w:numId w:val="3"/>
              </w:numPr>
              <w:tabs>
                <w:tab w:val="right" w:pos="1080"/>
                <w:tab w:val="right" w:leader="dot" w:pos="9337"/>
              </w:tabs>
              <w:spacing w:after="140"/>
              <w:rPr>
                <w:rFonts w:hint="eastAsia"/>
              </w:rPr>
            </w:pPr>
            <w:r>
              <w:rPr>
                <w:rFonts w:hint="eastAsia"/>
              </w:rPr>
              <w:t>独立人权委员会</w:t>
            </w:r>
            <w:r>
              <w:tab/>
            </w:r>
          </w:p>
        </w:tc>
        <w:tc>
          <w:tcPr>
            <w:tcW w:w="490" w:type="dxa"/>
            <w:vAlign w:val="bottom"/>
          </w:tcPr>
          <w:p w:rsidR="00306DF9" w:rsidRDefault="00306DF9" w:rsidP="00257592">
            <w:pPr>
              <w:spacing w:after="140"/>
              <w:ind w:right="28"/>
              <w:jc w:val="right"/>
            </w:pPr>
            <w:r>
              <w:t>6</w:t>
            </w:r>
          </w:p>
        </w:tc>
      </w:tr>
      <w:tr w:rsidR="00306DF9" w:rsidTr="00257592">
        <w:trPr>
          <w:cantSplit/>
        </w:trPr>
        <w:tc>
          <w:tcPr>
            <w:tcW w:w="9351" w:type="dxa"/>
            <w:gridSpan w:val="2"/>
          </w:tcPr>
          <w:p w:rsidR="00306DF9" w:rsidRDefault="00306DF9" w:rsidP="00257592">
            <w:pPr>
              <w:numPr>
                <w:ilvl w:val="1"/>
                <w:numId w:val="3"/>
              </w:numPr>
              <w:tabs>
                <w:tab w:val="right" w:pos="1080"/>
                <w:tab w:val="right" w:leader="dot" w:pos="9337"/>
              </w:tabs>
              <w:spacing w:after="140"/>
              <w:rPr>
                <w:rFonts w:hint="eastAsia"/>
              </w:rPr>
            </w:pPr>
            <w:r>
              <w:rPr>
                <w:rFonts w:hint="eastAsia"/>
              </w:rPr>
              <w:t>保护人权</w:t>
            </w:r>
            <w:r>
              <w:tab/>
            </w:r>
          </w:p>
        </w:tc>
        <w:tc>
          <w:tcPr>
            <w:tcW w:w="490" w:type="dxa"/>
            <w:vAlign w:val="bottom"/>
          </w:tcPr>
          <w:p w:rsidR="00306DF9" w:rsidRDefault="00306DF9" w:rsidP="00257592">
            <w:pPr>
              <w:spacing w:after="140"/>
              <w:ind w:right="28"/>
              <w:jc w:val="right"/>
            </w:pPr>
            <w:r>
              <w:t>6</w:t>
            </w:r>
          </w:p>
        </w:tc>
      </w:tr>
      <w:tr w:rsidR="00306DF9" w:rsidTr="00257592">
        <w:trPr>
          <w:cantSplit/>
        </w:trPr>
        <w:tc>
          <w:tcPr>
            <w:tcW w:w="9351" w:type="dxa"/>
            <w:gridSpan w:val="2"/>
          </w:tcPr>
          <w:p w:rsidR="00306DF9" w:rsidRDefault="00306DF9" w:rsidP="00257592">
            <w:pPr>
              <w:numPr>
                <w:ilvl w:val="1"/>
                <w:numId w:val="3"/>
              </w:numPr>
              <w:tabs>
                <w:tab w:val="right" w:pos="1080"/>
                <w:tab w:val="right" w:leader="dot" w:pos="9337"/>
              </w:tabs>
              <w:spacing w:after="140"/>
              <w:rPr>
                <w:rFonts w:hint="eastAsia"/>
              </w:rPr>
            </w:pPr>
            <w:r>
              <w:rPr>
                <w:rFonts w:hint="eastAsia"/>
              </w:rPr>
              <w:t>联合国安全理事会第</w:t>
            </w:r>
            <w:r>
              <w:rPr>
                <w:rFonts w:hint="eastAsia"/>
              </w:rPr>
              <w:t>1325</w:t>
            </w:r>
            <w:r>
              <w:rPr>
                <w:rFonts w:hint="eastAsia"/>
              </w:rPr>
              <w:t>号决议</w:t>
            </w:r>
            <w:r>
              <w:tab/>
            </w:r>
          </w:p>
        </w:tc>
        <w:tc>
          <w:tcPr>
            <w:tcW w:w="490" w:type="dxa"/>
            <w:vAlign w:val="bottom"/>
          </w:tcPr>
          <w:p w:rsidR="00306DF9" w:rsidRDefault="00797A11" w:rsidP="00257592">
            <w:pPr>
              <w:spacing w:after="140"/>
              <w:ind w:right="28"/>
              <w:jc w:val="right"/>
            </w:pPr>
            <w:r>
              <w:t>7</w:t>
            </w:r>
          </w:p>
        </w:tc>
      </w:tr>
      <w:tr w:rsidR="00306DF9" w:rsidTr="00257592">
        <w:trPr>
          <w:cantSplit/>
        </w:trPr>
        <w:tc>
          <w:tcPr>
            <w:tcW w:w="9351" w:type="dxa"/>
            <w:gridSpan w:val="2"/>
          </w:tcPr>
          <w:p w:rsidR="00306DF9" w:rsidRDefault="00306DF9" w:rsidP="00257592">
            <w:pPr>
              <w:numPr>
                <w:ilvl w:val="1"/>
                <w:numId w:val="3"/>
              </w:numPr>
              <w:tabs>
                <w:tab w:val="right" w:pos="1080"/>
                <w:tab w:val="right" w:leader="dot" w:pos="9337"/>
              </w:tabs>
              <w:spacing w:after="140"/>
              <w:rPr>
                <w:rFonts w:hint="eastAsia"/>
              </w:rPr>
            </w:pPr>
            <w:r>
              <w:rPr>
                <w:rFonts w:hint="eastAsia"/>
              </w:rPr>
              <w:t>儿童权利的促进和保护</w:t>
            </w:r>
            <w:r>
              <w:tab/>
            </w:r>
          </w:p>
        </w:tc>
        <w:tc>
          <w:tcPr>
            <w:tcW w:w="490" w:type="dxa"/>
            <w:vAlign w:val="bottom"/>
          </w:tcPr>
          <w:p w:rsidR="00306DF9" w:rsidRDefault="00797A11" w:rsidP="00257592">
            <w:pPr>
              <w:spacing w:after="140"/>
              <w:ind w:right="28"/>
              <w:jc w:val="right"/>
            </w:pPr>
            <w:r>
              <w:t>7</w:t>
            </w:r>
          </w:p>
        </w:tc>
      </w:tr>
      <w:tr w:rsidR="004C173A" w:rsidTr="00257592">
        <w:trPr>
          <w:cantSplit/>
        </w:trPr>
        <w:tc>
          <w:tcPr>
            <w:tcW w:w="9351" w:type="dxa"/>
            <w:gridSpan w:val="2"/>
          </w:tcPr>
          <w:p w:rsidR="004C173A" w:rsidRDefault="004C173A" w:rsidP="004C173A">
            <w:pPr>
              <w:numPr>
                <w:ilvl w:val="0"/>
                <w:numId w:val="3"/>
              </w:numPr>
              <w:tabs>
                <w:tab w:val="right" w:pos="1080"/>
                <w:tab w:val="right" w:leader="dot" w:pos="9337"/>
              </w:tabs>
              <w:spacing w:after="140"/>
              <w:rPr>
                <w:rFonts w:hint="eastAsia"/>
              </w:rPr>
            </w:pPr>
            <w:r>
              <w:tab/>
            </w:r>
            <w:r>
              <w:rPr>
                <w:rFonts w:hint="eastAsia"/>
              </w:rPr>
              <w:t>经济状况</w:t>
            </w:r>
            <w:r>
              <w:tab/>
            </w:r>
          </w:p>
        </w:tc>
        <w:tc>
          <w:tcPr>
            <w:tcW w:w="490" w:type="dxa"/>
            <w:vAlign w:val="bottom"/>
          </w:tcPr>
          <w:p w:rsidR="004C173A" w:rsidRDefault="004C173A" w:rsidP="00257592">
            <w:pPr>
              <w:spacing w:after="140"/>
              <w:ind w:right="28"/>
              <w:jc w:val="right"/>
            </w:pPr>
            <w:r>
              <w:t>7</w:t>
            </w:r>
          </w:p>
        </w:tc>
      </w:tr>
      <w:tr w:rsidR="00F11AFF" w:rsidTr="007768ED">
        <w:trPr>
          <w:cantSplit/>
        </w:trPr>
        <w:tc>
          <w:tcPr>
            <w:tcW w:w="9351" w:type="dxa"/>
            <w:gridSpan w:val="2"/>
          </w:tcPr>
          <w:p w:rsidR="00F11AFF" w:rsidRDefault="00FF7597" w:rsidP="00FF7597">
            <w:pPr>
              <w:tabs>
                <w:tab w:val="right" w:pos="1080"/>
                <w:tab w:val="right" w:leader="dot" w:pos="9337"/>
              </w:tabs>
              <w:spacing w:after="140"/>
              <w:ind w:left="1296"/>
              <w:rPr>
                <w:rFonts w:hint="eastAsia"/>
              </w:rPr>
            </w:pPr>
            <w:r>
              <w:rPr>
                <w:rFonts w:hint="eastAsia"/>
              </w:rPr>
              <w:t>性别平等与发展部</w:t>
            </w:r>
            <w:r w:rsidR="00F11AFF">
              <w:tab/>
            </w:r>
          </w:p>
        </w:tc>
        <w:tc>
          <w:tcPr>
            <w:tcW w:w="490" w:type="dxa"/>
            <w:vAlign w:val="bottom"/>
          </w:tcPr>
          <w:p w:rsidR="00F11AFF" w:rsidRDefault="00FF7597">
            <w:pPr>
              <w:spacing w:after="140"/>
              <w:ind w:right="28"/>
              <w:jc w:val="right"/>
            </w:pPr>
            <w:r>
              <w:rPr>
                <w:rFonts w:hint="eastAsia"/>
              </w:rPr>
              <w:t>8</w:t>
            </w:r>
          </w:p>
        </w:tc>
      </w:tr>
    </w:tbl>
    <w:p w:rsidR="00F11AFF" w:rsidRDefault="00F11AFF"/>
    <w:p w:rsidR="00F11AFF" w:rsidRDefault="00F11AFF" w:rsidP="001B69B8">
      <w:pPr>
        <w:pStyle w:val="HCh"/>
        <w:rPr>
          <w:rFonts w:hint="eastAsia"/>
        </w:rPr>
      </w:pPr>
      <w:r>
        <w:br w:type="page"/>
      </w:r>
      <w:r>
        <w:rPr>
          <w:rFonts w:hint="eastAsia"/>
        </w:rPr>
        <w:tab/>
        <w:t>一.</w:t>
      </w:r>
      <w:r>
        <w:rPr>
          <w:rFonts w:hint="eastAsia"/>
        </w:rPr>
        <w:tab/>
        <w:t>利比里亚背景资料</w:t>
      </w:r>
    </w:p>
    <w:p w:rsidR="00F11AFF" w:rsidRPr="008D69F5"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11AFF" w:rsidRPr="008D69F5"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11AFF"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地理</w:t>
      </w:r>
    </w:p>
    <w:p w:rsidR="00F11AFF" w:rsidRPr="008D69F5" w:rsidRDefault="00F11AFF" w:rsidP="007768ED">
      <w:pPr>
        <w:pStyle w:val="SingleTxt"/>
        <w:spacing w:after="0" w:line="120" w:lineRule="exact"/>
        <w:rPr>
          <w:rFonts w:hint="eastAsia"/>
          <w:sz w:val="10"/>
        </w:rPr>
      </w:pPr>
    </w:p>
    <w:p w:rsidR="00F11AFF" w:rsidRDefault="00F11AFF" w:rsidP="00F11AFF">
      <w:pPr>
        <w:pStyle w:val="SingleTxt"/>
        <w:spacing w:line="340" w:lineRule="exact"/>
        <w:rPr>
          <w:rFonts w:hint="eastAsia"/>
        </w:rPr>
      </w:pPr>
      <w:r>
        <w:rPr>
          <w:rFonts w:hint="eastAsia"/>
        </w:rPr>
        <w:t>1.</w:t>
      </w:r>
      <w:r>
        <w:rPr>
          <w:rFonts w:hint="eastAsia"/>
        </w:rPr>
        <w:tab/>
      </w:r>
      <w:r>
        <w:rPr>
          <w:rFonts w:hint="eastAsia"/>
        </w:rPr>
        <w:t>利比里亚位于赤道以北的非洲西海岸，北临几内亚，西接塞拉利昂，东邻科特迪瓦，南濒大西洋。其面积为</w:t>
      </w:r>
      <w:r>
        <w:rPr>
          <w:rFonts w:hint="eastAsia"/>
        </w:rPr>
        <w:t>111 379</w:t>
      </w:r>
      <w:r>
        <w:rPr>
          <w:rFonts w:hint="eastAsia"/>
        </w:rPr>
        <w:t>平方公里，陆地面积</w:t>
      </w:r>
      <w:r>
        <w:rPr>
          <w:rFonts w:hint="eastAsia"/>
        </w:rPr>
        <w:t>96 370</w:t>
      </w:r>
      <w:r>
        <w:rPr>
          <w:rFonts w:hint="eastAsia"/>
        </w:rPr>
        <w:t>平方公里，水域面积</w:t>
      </w:r>
      <w:r>
        <w:rPr>
          <w:rFonts w:hint="eastAsia"/>
        </w:rPr>
        <w:t>15 050</w:t>
      </w:r>
      <w:r>
        <w:rPr>
          <w:rFonts w:hint="eastAsia"/>
        </w:rPr>
        <w:t>平方公里。利比里亚海线长</w:t>
      </w:r>
      <w:r>
        <w:rPr>
          <w:rFonts w:hint="eastAsia"/>
        </w:rPr>
        <w:t>579</w:t>
      </w:r>
      <w:r>
        <w:rPr>
          <w:rFonts w:hint="eastAsia"/>
        </w:rPr>
        <w:t>公里。其大西洋海岸线的特点为环礁、红树林沼泽、河流沉积沙洲和内陆草地高原，支撑着有限的农业。地形主要是从平坦到起伏，最低点为大西洋海拔</w:t>
      </w:r>
      <w:r>
        <w:rPr>
          <w:rFonts w:hint="eastAsia"/>
        </w:rPr>
        <w:t>0</w:t>
      </w:r>
      <w:r>
        <w:rPr>
          <w:rFonts w:hint="eastAsia"/>
        </w:rPr>
        <w:t>米，最高点为洛法州海拔</w:t>
      </w:r>
      <w:r>
        <w:rPr>
          <w:rFonts w:hint="eastAsia"/>
        </w:rPr>
        <w:t>1 380</w:t>
      </w:r>
      <w:r>
        <w:rPr>
          <w:rFonts w:hint="eastAsia"/>
        </w:rPr>
        <w:t>米的</w:t>
      </w:r>
      <w:proofErr w:type="spellStart"/>
      <w:r>
        <w:rPr>
          <w:rFonts w:hint="eastAsia"/>
        </w:rPr>
        <w:t>Wuteve</w:t>
      </w:r>
      <w:proofErr w:type="spellEnd"/>
      <w:r>
        <w:rPr>
          <w:rFonts w:hint="eastAsia"/>
        </w:rPr>
        <w:t>山。利比里亚境内有几座山脉。</w:t>
      </w:r>
    </w:p>
    <w:p w:rsidR="00AE1311" w:rsidRPr="00AE1311" w:rsidRDefault="00AE1311" w:rsidP="00AE1311">
      <w:pPr>
        <w:pStyle w:val="SingleTxt"/>
        <w:spacing w:after="0" w:line="120" w:lineRule="exact"/>
        <w:rPr>
          <w:rFonts w:hint="eastAsia"/>
          <w:sz w:val="10"/>
        </w:rPr>
      </w:pPr>
    </w:p>
    <w:p w:rsidR="00F11AFF" w:rsidRDefault="00F11AFF" w:rsidP="00F11AFF">
      <w:pPr>
        <w:pStyle w:val="SingleTxt"/>
        <w:spacing w:line="340" w:lineRule="exact"/>
        <w:rPr>
          <w:rFonts w:hint="eastAsia"/>
        </w:rPr>
      </w:pPr>
      <w:r>
        <w:rPr>
          <w:rFonts w:hint="eastAsia"/>
        </w:rPr>
        <w:t>2.</w:t>
      </w:r>
      <w:r>
        <w:rPr>
          <w:rFonts w:hint="eastAsia"/>
        </w:rPr>
        <w:tab/>
      </w:r>
      <w:r>
        <w:rPr>
          <w:rFonts w:hint="eastAsia"/>
        </w:rPr>
        <w:t>利比里亚热带雨林植被的代表树种主要有豆科树木和少量的用材树木。其中包括非洲银叶树、</w:t>
      </w:r>
      <w:r>
        <w:rPr>
          <w:rFonts w:hint="eastAsia"/>
        </w:rPr>
        <w:t>Tetra</w:t>
      </w:r>
      <w:r>
        <w:rPr>
          <w:rFonts w:hint="eastAsia"/>
        </w:rPr>
        <w:t>、毛帽柱木、铁木、</w:t>
      </w:r>
      <w:proofErr w:type="spellStart"/>
      <w:r>
        <w:rPr>
          <w:rFonts w:hint="eastAsia"/>
        </w:rPr>
        <w:t>Framire</w:t>
      </w:r>
      <w:proofErr w:type="spellEnd"/>
      <w:r>
        <w:rPr>
          <w:rFonts w:hint="eastAsia"/>
        </w:rPr>
        <w:t>、大绿柄桑木、艳丽榄仁木、</w:t>
      </w:r>
      <w:proofErr w:type="spellStart"/>
      <w:r>
        <w:rPr>
          <w:rFonts w:hint="eastAsia"/>
        </w:rPr>
        <w:t>Kusia</w:t>
      </w:r>
      <w:proofErr w:type="spellEnd"/>
      <w:r>
        <w:rPr>
          <w:rFonts w:hint="eastAsia"/>
        </w:rPr>
        <w:t>等商业物种，为收入的主要来源。利比里亚目前拥有</w:t>
      </w:r>
      <w:r>
        <w:rPr>
          <w:rFonts w:hint="eastAsia"/>
        </w:rPr>
        <w:t>40%</w:t>
      </w:r>
      <w:r>
        <w:rPr>
          <w:rFonts w:hint="eastAsia"/>
        </w:rPr>
        <w:t>的西非热带森林。该国的主要资源为铁矿石、木材、钻石和黄金。由于该国依赖自给农作，农业占其出口的一小部分。粮食安全无保障是其主要问题。目前，利比里亚的粮食</w:t>
      </w:r>
      <w:r>
        <w:rPr>
          <w:rFonts w:hint="eastAsia"/>
        </w:rPr>
        <w:t>60%</w:t>
      </w:r>
      <w:r>
        <w:rPr>
          <w:rFonts w:hint="eastAsia"/>
        </w:rPr>
        <w:t>为进口。</w:t>
      </w:r>
    </w:p>
    <w:p w:rsidR="00F11AFF"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气候</w:t>
      </w:r>
    </w:p>
    <w:p w:rsidR="00F11AFF" w:rsidRPr="008D69F5" w:rsidRDefault="00F11AFF" w:rsidP="007768ED">
      <w:pPr>
        <w:pStyle w:val="SingleTxt"/>
        <w:spacing w:after="0" w:line="120" w:lineRule="exact"/>
        <w:rPr>
          <w:rFonts w:hint="eastAsia"/>
          <w:sz w:val="10"/>
        </w:rPr>
      </w:pPr>
    </w:p>
    <w:p w:rsidR="00AE1311" w:rsidRPr="00AE1311" w:rsidRDefault="00AE1311" w:rsidP="00AE1311">
      <w:pPr>
        <w:pStyle w:val="SingleTxt"/>
        <w:spacing w:after="0" w:line="120" w:lineRule="exact"/>
        <w:rPr>
          <w:rFonts w:hint="eastAsia"/>
          <w:sz w:val="10"/>
        </w:rPr>
      </w:pPr>
    </w:p>
    <w:p w:rsidR="00F11AFF" w:rsidRDefault="00F11AFF" w:rsidP="007768ED">
      <w:pPr>
        <w:pStyle w:val="SingleTxt"/>
        <w:rPr>
          <w:rFonts w:hint="eastAsia"/>
        </w:rPr>
      </w:pPr>
      <w:r>
        <w:rPr>
          <w:rFonts w:hint="eastAsia"/>
        </w:rPr>
        <w:t>3.</w:t>
      </w:r>
      <w:r>
        <w:rPr>
          <w:rFonts w:hint="eastAsia"/>
        </w:rPr>
        <w:tab/>
      </w:r>
      <w:r>
        <w:rPr>
          <w:rFonts w:hint="eastAsia"/>
        </w:rPr>
        <w:t>利比里亚有两个季节，即雨季和旱季。雨季通常从</w:t>
      </w:r>
      <w:r>
        <w:rPr>
          <w:rFonts w:hint="eastAsia"/>
        </w:rPr>
        <w:t>5</w:t>
      </w:r>
      <w:r>
        <w:rPr>
          <w:rFonts w:hint="eastAsia"/>
        </w:rPr>
        <w:t>月到</w:t>
      </w:r>
      <w:r>
        <w:rPr>
          <w:rFonts w:hint="eastAsia"/>
        </w:rPr>
        <w:t>10</w:t>
      </w:r>
      <w:r>
        <w:rPr>
          <w:rFonts w:hint="eastAsia"/>
        </w:rPr>
        <w:t>月，旱季从</w:t>
      </w:r>
      <w:r>
        <w:rPr>
          <w:rFonts w:hint="eastAsia"/>
        </w:rPr>
        <w:t>11</w:t>
      </w:r>
      <w:r>
        <w:rPr>
          <w:rFonts w:hint="eastAsia"/>
        </w:rPr>
        <w:t>月到次年</w:t>
      </w:r>
      <w:r>
        <w:rPr>
          <w:rFonts w:hint="eastAsia"/>
        </w:rPr>
        <w:t>4</w:t>
      </w:r>
      <w:r>
        <w:rPr>
          <w:rFonts w:hint="eastAsia"/>
        </w:rPr>
        <w:t>月，间或出现轻度雨水或中度干旱时期。气温基本属热带、潮湿和干旱性质，白天热而夜晚清凉到寒冷。最近，由于气候变化的影响，季节时有变化。这些变化影响了农业活动，农民耕种的季节开始比通常晚，原因是利比里亚一些地区干旱期更长。</w:t>
      </w:r>
    </w:p>
    <w:p w:rsidR="00F11AFF"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族裔和语言群体</w:t>
      </w:r>
    </w:p>
    <w:p w:rsidR="00F11AFF" w:rsidRPr="008D69F5" w:rsidRDefault="00F11AFF" w:rsidP="007768ED">
      <w:pPr>
        <w:pStyle w:val="SingleTxt"/>
        <w:spacing w:after="0" w:line="120" w:lineRule="exact"/>
        <w:rPr>
          <w:rFonts w:hint="eastAsia"/>
          <w:sz w:val="10"/>
        </w:rPr>
      </w:pPr>
    </w:p>
    <w:p w:rsidR="00AE1311" w:rsidRPr="00AE1311" w:rsidRDefault="00AE1311" w:rsidP="00AE1311">
      <w:pPr>
        <w:pStyle w:val="SingleTxt"/>
        <w:spacing w:after="0" w:line="120" w:lineRule="exact"/>
        <w:rPr>
          <w:rFonts w:hint="eastAsia"/>
          <w:sz w:val="10"/>
        </w:rPr>
      </w:pPr>
    </w:p>
    <w:p w:rsidR="00F11AFF" w:rsidRDefault="00F11AFF" w:rsidP="007768ED">
      <w:pPr>
        <w:pStyle w:val="SingleTxt"/>
        <w:rPr>
          <w:rFonts w:hint="eastAsia"/>
        </w:rPr>
      </w:pPr>
      <w:r>
        <w:rPr>
          <w:rFonts w:hint="eastAsia"/>
        </w:rPr>
        <w:t>4.</w:t>
      </w:r>
      <w:r>
        <w:rPr>
          <w:rFonts w:hint="eastAsia"/>
        </w:rPr>
        <w:tab/>
      </w:r>
      <w:r>
        <w:rPr>
          <w:rFonts w:hint="eastAsia"/>
        </w:rPr>
        <w:t>利比里亚的官方语言为英语。另外还有以下</w:t>
      </w:r>
      <w:r>
        <w:rPr>
          <w:rFonts w:hint="eastAsia"/>
        </w:rPr>
        <w:t>16</w:t>
      </w:r>
      <w:r>
        <w:rPr>
          <w:rFonts w:hint="eastAsia"/>
        </w:rPr>
        <w:t>个主要语言音</w:t>
      </w:r>
      <w:r>
        <w:rPr>
          <w:rFonts w:hint="eastAsia"/>
        </w:rPr>
        <w:t>/</w:t>
      </w:r>
      <w:r>
        <w:rPr>
          <w:rFonts w:hint="eastAsia"/>
        </w:rPr>
        <w:t>族裔群体：巴萨人、贝勒人、达恩人</w:t>
      </w:r>
      <w:r>
        <w:rPr>
          <w:rFonts w:hint="eastAsia"/>
        </w:rPr>
        <w:t>(</w:t>
      </w:r>
      <w:r>
        <w:rPr>
          <w:rFonts w:hint="eastAsia"/>
        </w:rPr>
        <w:t>吉奥人）、德伊人、格班迪人、戈拉人、格雷博人、基西人、克佩勒人、克兰人、克老人</w:t>
      </w:r>
      <w:r>
        <w:rPr>
          <w:rFonts w:hint="eastAsia"/>
        </w:rPr>
        <w:t>(</w:t>
      </w:r>
      <w:r>
        <w:rPr>
          <w:rFonts w:hint="eastAsia"/>
        </w:rPr>
        <w:t>克鲁人）、洛马人、曼西戈人、马恩人</w:t>
      </w:r>
      <w:r>
        <w:rPr>
          <w:rFonts w:hint="eastAsia"/>
        </w:rPr>
        <w:t>(</w:t>
      </w:r>
      <w:r>
        <w:rPr>
          <w:rFonts w:hint="eastAsia"/>
        </w:rPr>
        <w:t>马诺人）、门德人和瓦伊人。大多数利比里亚人讲这些语言中的一种或数种或某种形式的利比里亚语</w:t>
      </w:r>
      <w:r>
        <w:rPr>
          <w:rFonts w:hint="eastAsia"/>
        </w:rPr>
        <w:t>/</w:t>
      </w:r>
      <w:r>
        <w:rPr>
          <w:rFonts w:hint="eastAsia"/>
        </w:rPr>
        <w:t>英语混杂语。</w:t>
      </w:r>
    </w:p>
    <w:p w:rsidR="00F11AFF" w:rsidRDefault="00F11AFF" w:rsidP="001B69B8">
      <w:pPr>
        <w:pStyle w:val="HCh"/>
        <w:rPr>
          <w:rFonts w:hint="eastAsia"/>
        </w:rPr>
      </w:pPr>
      <w:r>
        <w:rPr>
          <w:rFonts w:hint="eastAsia"/>
        </w:rPr>
        <w:tab/>
        <w:t>二.</w:t>
      </w:r>
      <w:r>
        <w:rPr>
          <w:rFonts w:hint="eastAsia"/>
        </w:rPr>
        <w:tab/>
        <w:t>人口特征</w:t>
      </w:r>
    </w:p>
    <w:p w:rsidR="00F11AFF" w:rsidRPr="008D69F5" w:rsidRDefault="00F11AFF" w:rsidP="007768ED">
      <w:pPr>
        <w:pStyle w:val="SingleTxt"/>
        <w:spacing w:after="0" w:line="120" w:lineRule="exact"/>
        <w:rPr>
          <w:rFonts w:hint="eastAsia"/>
          <w:sz w:val="10"/>
        </w:rPr>
      </w:pPr>
    </w:p>
    <w:p w:rsidR="00F11AFF" w:rsidRPr="008D69F5" w:rsidRDefault="00F11AFF" w:rsidP="007768ED">
      <w:pPr>
        <w:pStyle w:val="SingleTxt"/>
        <w:spacing w:after="0" w:line="120" w:lineRule="exact"/>
        <w:rPr>
          <w:rFonts w:hint="eastAsia"/>
          <w:sz w:val="10"/>
        </w:rPr>
      </w:pPr>
    </w:p>
    <w:p w:rsidR="00F11AFF" w:rsidRDefault="00F11AFF" w:rsidP="007768ED">
      <w:pPr>
        <w:pStyle w:val="SingleTxt"/>
        <w:rPr>
          <w:rFonts w:hint="eastAsia"/>
        </w:rPr>
      </w:pPr>
      <w:r>
        <w:rPr>
          <w:rFonts w:hint="eastAsia"/>
        </w:rPr>
        <w:t>5.</w:t>
      </w:r>
      <w:r>
        <w:rPr>
          <w:rFonts w:hint="eastAsia"/>
        </w:rPr>
        <w:tab/>
      </w:r>
      <w:r>
        <w:rPr>
          <w:rFonts w:hint="eastAsia"/>
        </w:rPr>
        <w:t>利比里亚目前人口为</w:t>
      </w:r>
      <w:r>
        <w:rPr>
          <w:rFonts w:hint="eastAsia"/>
        </w:rPr>
        <w:t>350</w:t>
      </w:r>
      <w:r>
        <w:rPr>
          <w:rFonts w:hint="eastAsia"/>
        </w:rPr>
        <w:t>万，年增长率为</w:t>
      </w:r>
      <w:r>
        <w:rPr>
          <w:rFonts w:hint="eastAsia"/>
        </w:rPr>
        <w:t>2.1%(2008</w:t>
      </w:r>
      <w:r>
        <w:rPr>
          <w:rFonts w:hint="eastAsia"/>
        </w:rPr>
        <w:t>年人口和住房普查）。妇女占人口的</w:t>
      </w:r>
      <w:r>
        <w:rPr>
          <w:rFonts w:hint="eastAsia"/>
        </w:rPr>
        <w:t>49.4%</w:t>
      </w:r>
      <w:r>
        <w:rPr>
          <w:rFonts w:hint="eastAsia"/>
        </w:rPr>
        <w:t>，接近一半。男女比例为</w:t>
      </w:r>
      <w:r>
        <w:rPr>
          <w:rFonts w:hint="eastAsia"/>
        </w:rPr>
        <w:t>102.3</w:t>
      </w:r>
      <w:r>
        <w:rPr>
          <w:rFonts w:hint="eastAsia"/>
        </w:rPr>
        <w:t>。</w:t>
      </w:r>
    </w:p>
    <w:p w:rsidR="00F11AFF"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Pr>
          <w:rFonts w:hint="eastAsia"/>
        </w:rPr>
        <w:tab/>
        <w:t>A.</w:t>
      </w:r>
      <w:r>
        <w:rPr>
          <w:rFonts w:hint="eastAsia"/>
        </w:rPr>
        <w:tab/>
        <w:t>按部门分列的性别情况简介</w:t>
      </w:r>
    </w:p>
    <w:p w:rsidR="00F11AFF" w:rsidRPr="008D69F5" w:rsidRDefault="00F11AFF" w:rsidP="007768ED">
      <w:pPr>
        <w:pStyle w:val="SingleTxt"/>
        <w:spacing w:after="0" w:line="120" w:lineRule="exact"/>
        <w:rPr>
          <w:rFonts w:hint="eastAsia"/>
          <w:sz w:val="10"/>
        </w:rPr>
      </w:pPr>
    </w:p>
    <w:p w:rsidR="00F11AFF" w:rsidRDefault="00F11AFF" w:rsidP="007768ED">
      <w:pPr>
        <w:pStyle w:val="SingleTxt"/>
        <w:rPr>
          <w:rFonts w:hint="eastAsia"/>
        </w:rPr>
      </w:pPr>
      <w:r>
        <w:rPr>
          <w:rFonts w:hint="eastAsia"/>
        </w:rPr>
        <w:t>6.</w:t>
      </w:r>
      <w:r>
        <w:rPr>
          <w:rFonts w:hint="eastAsia"/>
        </w:rPr>
        <w:tab/>
      </w:r>
      <w:r>
        <w:rPr>
          <w:rFonts w:hint="eastAsia"/>
        </w:rPr>
        <w:t>利比里亚目前按部门分列的性别情况简介显示，总体情况有所改善，但在大多数部门妇女人数仍然较低。妇女在非正规行业人数最高，为</w:t>
      </w:r>
      <w:r>
        <w:rPr>
          <w:rFonts w:hint="eastAsia"/>
        </w:rPr>
        <w:t>80%</w:t>
      </w:r>
      <w:r>
        <w:rPr>
          <w:rFonts w:hint="eastAsia"/>
        </w:rPr>
        <w:t>，农业为</w:t>
      </w:r>
      <w:r>
        <w:rPr>
          <w:rFonts w:hint="eastAsia"/>
        </w:rPr>
        <w:t>60%</w:t>
      </w:r>
      <w:r>
        <w:rPr>
          <w:rFonts w:hint="eastAsia"/>
        </w:rPr>
        <w:t>。在领薪地方法官中人数最低，其次是利比里亚武装部队，分别为</w:t>
      </w:r>
      <w:r>
        <w:rPr>
          <w:rFonts w:hint="eastAsia"/>
        </w:rPr>
        <w:t>0.7%</w:t>
      </w:r>
      <w:r>
        <w:rPr>
          <w:rFonts w:hint="eastAsia"/>
        </w:rPr>
        <w:t>和</w:t>
      </w:r>
      <w:r>
        <w:rPr>
          <w:rFonts w:hint="eastAsia"/>
        </w:rPr>
        <w:t>3.8%</w:t>
      </w:r>
      <w:r>
        <w:rPr>
          <w:rFonts w:hint="eastAsia"/>
        </w:rPr>
        <w:t>。</w:t>
      </w:r>
    </w:p>
    <w:p w:rsidR="00F11AFF"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性别情况简介图表</w:t>
      </w:r>
    </w:p>
    <w:p w:rsidR="00F11AFF" w:rsidRPr="008D69F5" w:rsidRDefault="00F11AFF" w:rsidP="007768ED">
      <w:pPr>
        <w:pStyle w:val="SingleTxt"/>
        <w:spacing w:after="0" w:line="120" w:lineRule="exact"/>
        <w:rPr>
          <w:rFonts w:hint="eastAsia"/>
          <w:sz w:val="10"/>
        </w:rPr>
      </w:pPr>
    </w:p>
    <w:p w:rsidR="00F11AFF" w:rsidRDefault="00F11AFF" w:rsidP="007768ED">
      <w:pPr>
        <w:pStyle w:val="SingleTxt"/>
        <w:rPr>
          <w:rFonts w:hint="eastAsia"/>
        </w:rPr>
      </w:pPr>
      <w:r>
        <w:rPr>
          <w:rFonts w:hint="eastAsia"/>
        </w:rPr>
        <w:t>7.</w:t>
      </w:r>
      <w:r>
        <w:tab/>
      </w:r>
      <w:r>
        <w:rPr>
          <w:rFonts w:hint="eastAsia"/>
        </w:rPr>
        <w:t>下表说明截至本报告编写时妇女在关键部门按性别分列的参与情况。</w:t>
      </w:r>
    </w:p>
    <w:p w:rsidR="00F11AFF" w:rsidRDefault="00F11AFF" w:rsidP="007768E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按部门分列的利比里亚性别情况简介</w:t>
      </w:r>
    </w:p>
    <w:tbl>
      <w:tblPr>
        <w:tblW w:w="0" w:type="auto"/>
        <w:tblInd w:w="1260" w:type="dxa"/>
        <w:tblLayout w:type="fixed"/>
        <w:tblCellMar>
          <w:left w:w="0" w:type="dxa"/>
          <w:right w:w="0" w:type="dxa"/>
        </w:tblCellMar>
        <w:tblLook w:val="0000"/>
      </w:tblPr>
      <w:tblGrid>
        <w:gridCol w:w="2440"/>
        <w:gridCol w:w="2440"/>
        <w:gridCol w:w="2440"/>
      </w:tblGrid>
      <w:tr w:rsidR="00F11AFF" w:rsidRPr="008D69F5" w:rsidTr="007768ED">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F11AFF" w:rsidRPr="008D69F5" w:rsidRDefault="00F11AFF" w:rsidP="007768ED">
            <w:pPr>
              <w:suppressAutoHyphens/>
              <w:spacing w:before="60" w:after="60" w:line="200" w:lineRule="exact"/>
              <w:ind w:right="57"/>
              <w:rPr>
                <w:rFonts w:eastAsia="楷体"/>
                <w:sz w:val="15"/>
                <w:szCs w:val="24"/>
                <w:lang w:val="zh-CN"/>
              </w:rPr>
            </w:pPr>
            <w:r w:rsidRPr="008D69F5">
              <w:rPr>
                <w:rFonts w:eastAsia="楷体"/>
                <w:sz w:val="15"/>
                <w:szCs w:val="24"/>
                <w:lang w:val="zh-CN"/>
              </w:rPr>
              <w:t>经济</w:t>
            </w:r>
          </w:p>
        </w:tc>
        <w:tc>
          <w:tcPr>
            <w:tcW w:w="2440" w:type="dxa"/>
            <w:tcBorders>
              <w:top w:val="single" w:sz="4" w:space="0" w:color="auto"/>
              <w:bottom w:val="single" w:sz="12" w:space="0" w:color="auto"/>
            </w:tcBorders>
            <w:shd w:val="clear" w:color="auto" w:fill="auto"/>
            <w:vAlign w:val="bottom"/>
          </w:tcPr>
          <w:p w:rsidR="00F11AFF" w:rsidRPr="008D69F5" w:rsidRDefault="00F11AFF" w:rsidP="007768ED">
            <w:pPr>
              <w:suppressAutoHyphens/>
              <w:spacing w:before="60" w:after="60" w:line="200" w:lineRule="exact"/>
              <w:ind w:right="57"/>
              <w:jc w:val="right"/>
              <w:rPr>
                <w:rFonts w:eastAsia="楷体"/>
                <w:sz w:val="15"/>
                <w:szCs w:val="24"/>
                <w:lang w:val="zh-CN"/>
              </w:rPr>
            </w:pPr>
            <w:r w:rsidRPr="008D69F5">
              <w:rPr>
                <w:rFonts w:eastAsia="楷体" w:hint="eastAsia"/>
                <w:sz w:val="15"/>
                <w:szCs w:val="24"/>
                <w:lang w:val="zh-CN"/>
              </w:rPr>
              <w:t>妇女</w:t>
            </w:r>
          </w:p>
        </w:tc>
        <w:tc>
          <w:tcPr>
            <w:tcW w:w="2440" w:type="dxa"/>
            <w:tcBorders>
              <w:top w:val="single" w:sz="4" w:space="0" w:color="auto"/>
              <w:bottom w:val="single" w:sz="12" w:space="0" w:color="auto"/>
            </w:tcBorders>
            <w:shd w:val="clear" w:color="auto" w:fill="auto"/>
            <w:vAlign w:val="bottom"/>
          </w:tcPr>
          <w:p w:rsidR="00F11AFF" w:rsidRPr="008D69F5" w:rsidRDefault="00F11AFF" w:rsidP="007768ED">
            <w:pPr>
              <w:suppressAutoHyphens/>
              <w:spacing w:before="60" w:after="60" w:line="200" w:lineRule="exact"/>
              <w:ind w:right="57"/>
              <w:jc w:val="right"/>
              <w:rPr>
                <w:rFonts w:eastAsia="楷体"/>
                <w:sz w:val="15"/>
                <w:szCs w:val="24"/>
                <w:lang w:val="zh-CN"/>
              </w:rPr>
            </w:pPr>
            <w:r w:rsidRPr="008D69F5">
              <w:rPr>
                <w:rFonts w:eastAsia="楷体"/>
                <w:sz w:val="15"/>
                <w:szCs w:val="24"/>
                <w:lang w:val="zh-CN"/>
              </w:rPr>
              <w:t>男子</w:t>
            </w:r>
          </w:p>
        </w:tc>
      </w:tr>
      <w:tr w:rsidR="00F11AFF" w:rsidRPr="008D69F5" w:rsidTr="007768ED">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F11AFF" w:rsidRPr="008D69F5" w:rsidRDefault="00F11AFF" w:rsidP="007768ED">
            <w:pPr>
              <w:suppressAutoHyphens/>
              <w:spacing w:after="60" w:line="280" w:lineRule="exact"/>
              <w:ind w:right="57"/>
              <w:rPr>
                <w:sz w:val="17"/>
                <w:szCs w:val="24"/>
                <w:lang w:val="zh-CN"/>
              </w:rPr>
            </w:pPr>
          </w:p>
        </w:tc>
        <w:tc>
          <w:tcPr>
            <w:tcW w:w="2440" w:type="dxa"/>
            <w:tcBorders>
              <w:top w:val="single" w:sz="12" w:space="0" w:color="auto"/>
            </w:tcBorders>
            <w:shd w:val="clear" w:color="auto" w:fill="auto"/>
            <w:vAlign w:val="bottom"/>
          </w:tcPr>
          <w:p w:rsidR="00F11AFF" w:rsidRPr="008D69F5" w:rsidRDefault="00F11AFF" w:rsidP="007768ED">
            <w:pPr>
              <w:suppressAutoHyphens/>
              <w:spacing w:after="60" w:line="280" w:lineRule="exact"/>
              <w:ind w:right="57"/>
              <w:jc w:val="right"/>
              <w:rPr>
                <w:sz w:val="17"/>
                <w:szCs w:val="24"/>
                <w:lang w:val="zh-CN"/>
              </w:rPr>
            </w:pPr>
          </w:p>
        </w:tc>
        <w:tc>
          <w:tcPr>
            <w:tcW w:w="2440" w:type="dxa"/>
            <w:tcBorders>
              <w:top w:val="single" w:sz="12" w:space="0" w:color="auto"/>
            </w:tcBorders>
            <w:shd w:val="clear" w:color="auto" w:fill="auto"/>
            <w:vAlign w:val="bottom"/>
          </w:tcPr>
          <w:p w:rsidR="00F11AFF" w:rsidRPr="008D69F5" w:rsidRDefault="00F11AFF" w:rsidP="007768ED">
            <w:pPr>
              <w:suppressAutoHyphens/>
              <w:spacing w:after="60" w:line="280" w:lineRule="exact"/>
              <w:ind w:right="57"/>
              <w:jc w:val="right"/>
              <w:rPr>
                <w:sz w:val="17"/>
                <w:szCs w:val="24"/>
                <w:lang w:val="zh-CN"/>
              </w:rPr>
            </w:pPr>
          </w:p>
        </w:tc>
      </w:tr>
      <w:tr w:rsidR="00F11AFF" w:rsidRPr="008D69F5" w:rsidTr="007768ED">
        <w:tblPrEx>
          <w:tblCellMar>
            <w:top w:w="0" w:type="dxa"/>
            <w:bottom w:w="0" w:type="dxa"/>
          </w:tblCellMar>
        </w:tblPrEx>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农业</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60%</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40%</w:t>
            </w:r>
          </w:p>
        </w:tc>
      </w:tr>
      <w:tr w:rsidR="00F11AFF" w:rsidRPr="008D69F5" w:rsidTr="007768ED">
        <w:tblPrEx>
          <w:tblCellMar>
            <w:top w:w="0" w:type="dxa"/>
            <w:bottom w:w="0" w:type="dxa"/>
          </w:tblCellMar>
        </w:tblPrEx>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rFonts w:ascii="SimSun" w:hAnsi="SimSun" w:cs="SimSun" w:hint="eastAsia"/>
                <w:sz w:val="17"/>
                <w:szCs w:val="24"/>
                <w:lang w:val="zh-CN"/>
              </w:rPr>
              <w:t>非农业部门的就业</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36%</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64%</w:t>
            </w:r>
          </w:p>
        </w:tc>
      </w:tr>
      <w:tr w:rsidR="00F11AFF" w:rsidRPr="008D69F5" w:rsidTr="007768ED">
        <w:tblPrEx>
          <w:tblCellMar>
            <w:top w:w="0" w:type="dxa"/>
            <w:bottom w:w="0" w:type="dxa"/>
          </w:tblCellMar>
        </w:tblPrEx>
        <w:tc>
          <w:tcPr>
            <w:tcW w:w="2440" w:type="dxa"/>
            <w:tcBorders>
              <w:bottom w:val="single" w:sz="12" w:space="0" w:color="auto"/>
            </w:tcBorders>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正规</w:t>
            </w:r>
          </w:p>
        </w:tc>
        <w:tc>
          <w:tcPr>
            <w:tcW w:w="2440" w:type="dxa"/>
            <w:tcBorders>
              <w:bottom w:val="single" w:sz="12" w:space="0" w:color="auto"/>
            </w:tcBorders>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24%</w:t>
            </w:r>
          </w:p>
        </w:tc>
        <w:tc>
          <w:tcPr>
            <w:tcW w:w="2440" w:type="dxa"/>
            <w:tcBorders>
              <w:bottom w:val="single" w:sz="12" w:space="0" w:color="auto"/>
            </w:tcBorders>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86%</w:t>
            </w:r>
          </w:p>
        </w:tc>
      </w:tr>
    </w:tbl>
    <w:p w:rsidR="00F11AFF" w:rsidRPr="008D69F5" w:rsidRDefault="00F11AFF" w:rsidP="007768ED">
      <w:pPr>
        <w:pStyle w:val="SingleTxt"/>
        <w:spacing w:after="0" w:line="120" w:lineRule="exact"/>
        <w:rPr>
          <w:rFonts w:hint="eastAsia"/>
          <w:sz w:val="10"/>
        </w:rPr>
      </w:pPr>
    </w:p>
    <w:p w:rsidR="00F11AFF" w:rsidRDefault="00F11AFF" w:rsidP="007768E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法律和司法机构</w:t>
      </w:r>
    </w:p>
    <w:tbl>
      <w:tblPr>
        <w:tblW w:w="0" w:type="auto"/>
        <w:tblInd w:w="1260" w:type="dxa"/>
        <w:tblLayout w:type="fixed"/>
        <w:tblCellMar>
          <w:left w:w="0" w:type="dxa"/>
          <w:right w:w="0" w:type="dxa"/>
        </w:tblCellMar>
        <w:tblLook w:val="0000"/>
      </w:tblPr>
      <w:tblGrid>
        <w:gridCol w:w="2440"/>
        <w:gridCol w:w="2440"/>
        <w:gridCol w:w="2440"/>
      </w:tblGrid>
      <w:tr w:rsidR="00F11AFF" w:rsidRPr="008D69F5" w:rsidTr="007768ED">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F11AFF" w:rsidRPr="008D69F5" w:rsidRDefault="00F11AFF" w:rsidP="007768ED">
            <w:pPr>
              <w:suppressAutoHyphens/>
              <w:spacing w:before="60" w:after="60" w:line="200" w:lineRule="exact"/>
              <w:ind w:right="57"/>
              <w:rPr>
                <w:rFonts w:eastAsia="楷体"/>
                <w:sz w:val="15"/>
                <w:szCs w:val="24"/>
                <w:lang w:val="zh-CN"/>
              </w:rPr>
            </w:pPr>
            <w:r w:rsidRPr="008D69F5">
              <w:rPr>
                <w:rFonts w:eastAsia="楷体"/>
                <w:sz w:val="15"/>
                <w:szCs w:val="24"/>
                <w:lang w:val="zh-CN"/>
              </w:rPr>
              <w:t>法律和司法机构</w:t>
            </w:r>
          </w:p>
        </w:tc>
        <w:tc>
          <w:tcPr>
            <w:tcW w:w="2440" w:type="dxa"/>
            <w:tcBorders>
              <w:top w:val="single" w:sz="4" w:space="0" w:color="auto"/>
              <w:bottom w:val="single" w:sz="12" w:space="0" w:color="auto"/>
            </w:tcBorders>
            <w:shd w:val="clear" w:color="auto" w:fill="auto"/>
            <w:vAlign w:val="bottom"/>
          </w:tcPr>
          <w:p w:rsidR="00F11AFF" w:rsidRPr="008D69F5" w:rsidRDefault="00F11AFF" w:rsidP="007768ED">
            <w:pPr>
              <w:suppressAutoHyphens/>
              <w:spacing w:before="60" w:after="60" w:line="200" w:lineRule="exact"/>
              <w:ind w:right="57"/>
              <w:jc w:val="right"/>
              <w:rPr>
                <w:rFonts w:eastAsia="楷体"/>
                <w:sz w:val="15"/>
                <w:szCs w:val="24"/>
                <w:lang w:val="zh-CN"/>
              </w:rPr>
            </w:pPr>
            <w:r w:rsidRPr="008D69F5">
              <w:rPr>
                <w:rFonts w:eastAsia="楷体" w:hAnsi="SimSun" w:cs="SimSun" w:hint="eastAsia"/>
                <w:sz w:val="15"/>
                <w:szCs w:val="24"/>
                <w:lang w:val="zh-CN"/>
              </w:rPr>
              <w:t>妇女</w:t>
            </w:r>
          </w:p>
        </w:tc>
        <w:tc>
          <w:tcPr>
            <w:tcW w:w="2440" w:type="dxa"/>
            <w:tcBorders>
              <w:top w:val="single" w:sz="4" w:space="0" w:color="auto"/>
              <w:bottom w:val="single" w:sz="12" w:space="0" w:color="auto"/>
            </w:tcBorders>
            <w:shd w:val="clear" w:color="auto" w:fill="auto"/>
            <w:vAlign w:val="bottom"/>
          </w:tcPr>
          <w:p w:rsidR="00F11AFF" w:rsidRPr="008D69F5" w:rsidRDefault="00F11AFF" w:rsidP="007768ED">
            <w:pPr>
              <w:suppressAutoHyphens/>
              <w:spacing w:before="60" w:after="60" w:line="200" w:lineRule="exact"/>
              <w:ind w:right="57"/>
              <w:jc w:val="right"/>
              <w:rPr>
                <w:rFonts w:eastAsia="楷体"/>
                <w:sz w:val="15"/>
                <w:szCs w:val="24"/>
                <w:lang w:val="zh-CN"/>
              </w:rPr>
            </w:pPr>
            <w:r w:rsidRPr="008D69F5">
              <w:rPr>
                <w:rFonts w:eastAsia="楷体"/>
                <w:sz w:val="15"/>
                <w:szCs w:val="24"/>
                <w:lang w:val="zh-CN"/>
              </w:rPr>
              <w:t>男子</w:t>
            </w:r>
          </w:p>
        </w:tc>
      </w:tr>
      <w:tr w:rsidR="00F11AFF" w:rsidRPr="008D69F5" w:rsidTr="007768ED">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F11AFF" w:rsidRPr="008D69F5" w:rsidRDefault="00F11AFF" w:rsidP="007768ED">
            <w:pPr>
              <w:suppressAutoHyphens/>
              <w:spacing w:after="60" w:line="280" w:lineRule="exact"/>
              <w:ind w:right="57"/>
              <w:rPr>
                <w:sz w:val="17"/>
                <w:szCs w:val="24"/>
                <w:lang w:val="zh-CN"/>
              </w:rPr>
            </w:pPr>
          </w:p>
        </w:tc>
        <w:tc>
          <w:tcPr>
            <w:tcW w:w="2440" w:type="dxa"/>
            <w:tcBorders>
              <w:top w:val="single" w:sz="12" w:space="0" w:color="auto"/>
            </w:tcBorders>
            <w:shd w:val="clear" w:color="auto" w:fill="auto"/>
            <w:vAlign w:val="bottom"/>
          </w:tcPr>
          <w:p w:rsidR="00F11AFF" w:rsidRPr="008D69F5" w:rsidRDefault="00F11AFF" w:rsidP="007768ED">
            <w:pPr>
              <w:suppressAutoHyphens/>
              <w:spacing w:after="60" w:line="280" w:lineRule="exact"/>
              <w:ind w:right="57"/>
              <w:jc w:val="right"/>
              <w:rPr>
                <w:sz w:val="17"/>
                <w:szCs w:val="24"/>
                <w:lang w:val="zh-CN"/>
              </w:rPr>
            </w:pPr>
          </w:p>
        </w:tc>
        <w:tc>
          <w:tcPr>
            <w:tcW w:w="2440" w:type="dxa"/>
            <w:tcBorders>
              <w:top w:val="single" w:sz="12" w:space="0" w:color="auto"/>
            </w:tcBorders>
            <w:shd w:val="clear" w:color="auto" w:fill="auto"/>
            <w:vAlign w:val="bottom"/>
          </w:tcPr>
          <w:p w:rsidR="00F11AFF" w:rsidRPr="008D69F5" w:rsidRDefault="00F11AFF" w:rsidP="007768ED">
            <w:pPr>
              <w:suppressAutoHyphens/>
              <w:spacing w:after="60" w:line="280" w:lineRule="exact"/>
              <w:ind w:right="57"/>
              <w:jc w:val="right"/>
              <w:rPr>
                <w:sz w:val="17"/>
                <w:szCs w:val="24"/>
                <w:lang w:val="zh-CN"/>
              </w:rPr>
            </w:pPr>
          </w:p>
        </w:tc>
      </w:tr>
      <w:tr w:rsidR="00F11AFF" w:rsidRPr="008D69F5" w:rsidTr="007768ED">
        <w:tblPrEx>
          <w:tblCellMar>
            <w:top w:w="0" w:type="dxa"/>
            <w:bottom w:w="0" w:type="dxa"/>
          </w:tblCellMar>
        </w:tblPrEx>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最高法院</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40%</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60%</w:t>
            </w:r>
          </w:p>
        </w:tc>
      </w:tr>
      <w:tr w:rsidR="00F11AFF" w:rsidRPr="008D69F5" w:rsidTr="007768ED">
        <w:tblPrEx>
          <w:tblCellMar>
            <w:top w:w="0" w:type="dxa"/>
            <w:bottom w:w="0" w:type="dxa"/>
          </w:tblCellMar>
        </w:tblPrEx>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巡回法院法官</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15%</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85%</w:t>
            </w:r>
          </w:p>
        </w:tc>
      </w:tr>
      <w:tr w:rsidR="00F11AFF" w:rsidRPr="008D69F5" w:rsidTr="007768ED">
        <w:tblPrEx>
          <w:tblCellMar>
            <w:top w:w="0" w:type="dxa"/>
            <w:bottom w:w="0" w:type="dxa"/>
          </w:tblCellMar>
        </w:tblPrEx>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领薪</w:t>
            </w:r>
            <w:r w:rsidRPr="008D69F5">
              <w:rPr>
                <w:sz w:val="17"/>
                <w:szCs w:val="24"/>
                <w:lang w:val="zh-CN"/>
              </w:rPr>
              <w:t>/</w:t>
            </w:r>
            <w:r w:rsidRPr="008D69F5">
              <w:rPr>
                <w:sz w:val="17"/>
                <w:szCs w:val="24"/>
                <w:lang w:val="zh-CN"/>
              </w:rPr>
              <w:t>准治安法官</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0.7%</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99.3%</w:t>
            </w:r>
          </w:p>
        </w:tc>
      </w:tr>
      <w:tr w:rsidR="00F11AFF" w:rsidRPr="008D69F5" w:rsidTr="007768ED">
        <w:tblPrEx>
          <w:tblCellMar>
            <w:top w:w="0" w:type="dxa"/>
            <w:bottom w:w="0" w:type="dxa"/>
          </w:tblCellMar>
        </w:tblPrEx>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利比里亚国家警察</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17.5%</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82.5%</w:t>
            </w:r>
          </w:p>
        </w:tc>
      </w:tr>
      <w:tr w:rsidR="00F11AFF" w:rsidRPr="008D69F5" w:rsidTr="007768ED">
        <w:tblPrEx>
          <w:tblCellMar>
            <w:top w:w="0" w:type="dxa"/>
            <w:bottom w:w="0" w:type="dxa"/>
          </w:tblCellMar>
        </w:tblPrEx>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利比里亚武装部队</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3.8%</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96.2%</w:t>
            </w:r>
          </w:p>
        </w:tc>
      </w:tr>
      <w:tr w:rsidR="00F11AFF" w:rsidRPr="008D69F5" w:rsidTr="007768ED">
        <w:tblPrEx>
          <w:tblCellMar>
            <w:top w:w="0" w:type="dxa"/>
            <w:bottom w:w="0" w:type="dxa"/>
          </w:tblCellMar>
        </w:tblPrEx>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移民归化局</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30%</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70%</w:t>
            </w:r>
          </w:p>
        </w:tc>
      </w:tr>
      <w:tr w:rsidR="00F11AFF" w:rsidRPr="008D69F5" w:rsidTr="007768ED">
        <w:tblPrEx>
          <w:tblCellMar>
            <w:top w:w="0" w:type="dxa"/>
            <w:bottom w:w="0" w:type="dxa"/>
          </w:tblCellMar>
        </w:tblPrEx>
        <w:tc>
          <w:tcPr>
            <w:tcW w:w="2440" w:type="dxa"/>
            <w:tcBorders>
              <w:bottom w:val="single" w:sz="12" w:space="0" w:color="auto"/>
            </w:tcBorders>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惩戒教养局</w:t>
            </w:r>
          </w:p>
        </w:tc>
        <w:tc>
          <w:tcPr>
            <w:tcW w:w="2440" w:type="dxa"/>
            <w:tcBorders>
              <w:bottom w:val="single" w:sz="12" w:space="0" w:color="auto"/>
            </w:tcBorders>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14.6%</w:t>
            </w:r>
          </w:p>
        </w:tc>
        <w:tc>
          <w:tcPr>
            <w:tcW w:w="2440" w:type="dxa"/>
            <w:tcBorders>
              <w:bottom w:val="single" w:sz="12" w:space="0" w:color="auto"/>
            </w:tcBorders>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85.4%</w:t>
            </w:r>
          </w:p>
        </w:tc>
      </w:tr>
    </w:tbl>
    <w:p w:rsidR="00F11AFF" w:rsidRPr="008D69F5" w:rsidRDefault="00F11AFF" w:rsidP="007768ED">
      <w:pPr>
        <w:pStyle w:val="SingleTxt"/>
        <w:spacing w:after="0" w:line="120" w:lineRule="exact"/>
        <w:rPr>
          <w:sz w:val="10"/>
        </w:rPr>
      </w:pPr>
    </w:p>
    <w:p w:rsidR="00F11AFF" w:rsidRPr="008D69F5" w:rsidRDefault="00F11AFF" w:rsidP="007768ED">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440"/>
        <w:gridCol w:w="2440"/>
        <w:gridCol w:w="2440"/>
      </w:tblGrid>
      <w:tr w:rsidR="00F11AFF" w:rsidRPr="008D69F5" w:rsidTr="007768ED">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F11AFF" w:rsidRPr="008D69F5" w:rsidRDefault="00F11AFF" w:rsidP="007768ED">
            <w:pPr>
              <w:suppressAutoHyphens/>
              <w:spacing w:before="60" w:after="60" w:line="200" w:lineRule="exact"/>
              <w:ind w:right="57"/>
              <w:rPr>
                <w:rFonts w:eastAsia="楷体"/>
                <w:sz w:val="15"/>
                <w:szCs w:val="24"/>
                <w:lang w:val="zh-CN"/>
              </w:rPr>
            </w:pPr>
            <w:r w:rsidRPr="008D69F5">
              <w:rPr>
                <w:rFonts w:eastAsia="楷体"/>
                <w:sz w:val="15"/>
                <w:szCs w:val="24"/>
                <w:lang w:val="zh-CN"/>
              </w:rPr>
              <w:t>政治参与</w:t>
            </w:r>
          </w:p>
        </w:tc>
        <w:tc>
          <w:tcPr>
            <w:tcW w:w="2440" w:type="dxa"/>
            <w:tcBorders>
              <w:top w:val="single" w:sz="4" w:space="0" w:color="auto"/>
              <w:bottom w:val="single" w:sz="12" w:space="0" w:color="auto"/>
            </w:tcBorders>
            <w:shd w:val="clear" w:color="auto" w:fill="auto"/>
            <w:vAlign w:val="bottom"/>
          </w:tcPr>
          <w:p w:rsidR="00F11AFF" w:rsidRPr="008D69F5" w:rsidRDefault="00F11AFF" w:rsidP="007768ED">
            <w:pPr>
              <w:suppressAutoHyphens/>
              <w:spacing w:before="60" w:after="60" w:line="200" w:lineRule="exact"/>
              <w:ind w:right="57"/>
              <w:jc w:val="right"/>
              <w:rPr>
                <w:rFonts w:eastAsia="楷体"/>
                <w:sz w:val="15"/>
                <w:szCs w:val="24"/>
                <w:lang w:val="zh-CN"/>
              </w:rPr>
            </w:pPr>
            <w:r w:rsidRPr="008D69F5">
              <w:rPr>
                <w:rFonts w:eastAsia="楷体" w:hAnsi="SimSun" w:cs="SimSun" w:hint="eastAsia"/>
                <w:sz w:val="15"/>
                <w:szCs w:val="24"/>
                <w:lang w:val="zh-CN"/>
              </w:rPr>
              <w:t>妇女</w:t>
            </w:r>
          </w:p>
        </w:tc>
        <w:tc>
          <w:tcPr>
            <w:tcW w:w="2440" w:type="dxa"/>
            <w:tcBorders>
              <w:top w:val="single" w:sz="4" w:space="0" w:color="auto"/>
              <w:bottom w:val="single" w:sz="12" w:space="0" w:color="auto"/>
            </w:tcBorders>
            <w:shd w:val="clear" w:color="auto" w:fill="auto"/>
            <w:vAlign w:val="bottom"/>
          </w:tcPr>
          <w:p w:rsidR="00F11AFF" w:rsidRPr="008D69F5" w:rsidRDefault="00F11AFF" w:rsidP="007768ED">
            <w:pPr>
              <w:suppressAutoHyphens/>
              <w:spacing w:before="60" w:after="60" w:line="200" w:lineRule="exact"/>
              <w:ind w:right="57"/>
              <w:jc w:val="right"/>
              <w:rPr>
                <w:rFonts w:eastAsia="楷体"/>
                <w:sz w:val="15"/>
                <w:szCs w:val="24"/>
                <w:lang w:val="zh-CN"/>
              </w:rPr>
            </w:pPr>
            <w:r w:rsidRPr="008D69F5">
              <w:rPr>
                <w:rFonts w:eastAsia="楷体"/>
                <w:sz w:val="15"/>
                <w:szCs w:val="24"/>
                <w:lang w:val="zh-CN"/>
              </w:rPr>
              <w:t>男子</w:t>
            </w:r>
          </w:p>
        </w:tc>
      </w:tr>
      <w:tr w:rsidR="00F11AFF" w:rsidRPr="008D69F5" w:rsidTr="007768ED">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F11AFF" w:rsidRPr="008D69F5" w:rsidRDefault="00F11AFF" w:rsidP="007768ED">
            <w:pPr>
              <w:suppressAutoHyphens/>
              <w:spacing w:after="60" w:line="280" w:lineRule="exact"/>
              <w:ind w:right="57"/>
              <w:rPr>
                <w:sz w:val="17"/>
                <w:szCs w:val="24"/>
                <w:lang w:val="zh-CN"/>
              </w:rPr>
            </w:pPr>
          </w:p>
        </w:tc>
        <w:tc>
          <w:tcPr>
            <w:tcW w:w="2440" w:type="dxa"/>
            <w:tcBorders>
              <w:top w:val="single" w:sz="12" w:space="0" w:color="auto"/>
            </w:tcBorders>
            <w:shd w:val="clear" w:color="auto" w:fill="auto"/>
            <w:vAlign w:val="bottom"/>
          </w:tcPr>
          <w:p w:rsidR="00F11AFF" w:rsidRPr="008D69F5" w:rsidRDefault="00F11AFF" w:rsidP="007768ED">
            <w:pPr>
              <w:suppressAutoHyphens/>
              <w:spacing w:after="60" w:line="280" w:lineRule="exact"/>
              <w:ind w:right="57"/>
              <w:jc w:val="right"/>
              <w:rPr>
                <w:sz w:val="17"/>
                <w:szCs w:val="24"/>
                <w:lang w:val="zh-CN"/>
              </w:rPr>
            </w:pPr>
          </w:p>
        </w:tc>
        <w:tc>
          <w:tcPr>
            <w:tcW w:w="2440" w:type="dxa"/>
            <w:tcBorders>
              <w:top w:val="single" w:sz="12" w:space="0" w:color="auto"/>
            </w:tcBorders>
            <w:shd w:val="clear" w:color="auto" w:fill="auto"/>
            <w:vAlign w:val="bottom"/>
          </w:tcPr>
          <w:p w:rsidR="00F11AFF" w:rsidRPr="008D69F5" w:rsidRDefault="00F11AFF" w:rsidP="007768ED">
            <w:pPr>
              <w:suppressAutoHyphens/>
              <w:spacing w:after="60" w:line="280" w:lineRule="exact"/>
              <w:ind w:right="57"/>
              <w:jc w:val="right"/>
              <w:rPr>
                <w:sz w:val="17"/>
                <w:szCs w:val="24"/>
                <w:lang w:val="zh-CN"/>
              </w:rPr>
            </w:pPr>
          </w:p>
        </w:tc>
      </w:tr>
      <w:tr w:rsidR="00F11AFF" w:rsidRPr="008D69F5" w:rsidTr="007768ED">
        <w:tblPrEx>
          <w:tblCellMar>
            <w:top w:w="0" w:type="dxa"/>
            <w:bottom w:w="0" w:type="dxa"/>
          </w:tblCellMar>
        </w:tblPrEx>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立法机构：</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12.7%</w:t>
            </w:r>
          </w:p>
        </w:tc>
        <w:tc>
          <w:tcPr>
            <w:tcW w:w="2440" w:type="dxa"/>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87.3%</w:t>
            </w:r>
          </w:p>
        </w:tc>
      </w:tr>
      <w:tr w:rsidR="00F11AFF" w:rsidRPr="008D69F5" w:rsidTr="007768ED">
        <w:tblPrEx>
          <w:tblCellMar>
            <w:top w:w="0" w:type="dxa"/>
            <w:bottom w:w="0" w:type="dxa"/>
          </w:tblCellMar>
        </w:tblPrEx>
        <w:tc>
          <w:tcPr>
            <w:tcW w:w="2440" w:type="dxa"/>
            <w:tcBorders>
              <w:bottom w:val="single" w:sz="12" w:space="0" w:color="auto"/>
            </w:tcBorders>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rPr>
                <w:sz w:val="17"/>
                <w:szCs w:val="24"/>
                <w:lang w:val="zh-CN"/>
              </w:rPr>
            </w:pPr>
            <w:r w:rsidRPr="008D69F5">
              <w:rPr>
                <w:sz w:val="17"/>
                <w:szCs w:val="24"/>
                <w:lang w:val="zh-CN"/>
              </w:rPr>
              <w:t>行政部门</w:t>
            </w:r>
            <w:r>
              <w:rPr>
                <w:sz w:val="17"/>
                <w:szCs w:val="24"/>
                <w:lang w:val="zh-CN"/>
              </w:rPr>
              <w:t>(</w:t>
            </w:r>
            <w:r w:rsidRPr="008D69F5">
              <w:rPr>
                <w:sz w:val="17"/>
                <w:szCs w:val="24"/>
                <w:lang w:val="zh-CN"/>
              </w:rPr>
              <w:t>内阁部长）</w:t>
            </w:r>
          </w:p>
        </w:tc>
        <w:tc>
          <w:tcPr>
            <w:tcW w:w="2440" w:type="dxa"/>
            <w:tcBorders>
              <w:bottom w:val="single" w:sz="12" w:space="0" w:color="auto"/>
            </w:tcBorders>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30%</w:t>
            </w:r>
          </w:p>
        </w:tc>
        <w:tc>
          <w:tcPr>
            <w:tcW w:w="2440" w:type="dxa"/>
            <w:tcBorders>
              <w:bottom w:val="single" w:sz="12" w:space="0" w:color="auto"/>
            </w:tcBorders>
            <w:shd w:val="clear" w:color="auto" w:fill="auto"/>
            <w:vAlign w:val="bottom"/>
          </w:tcPr>
          <w:p w:rsidR="00F11AFF" w:rsidRPr="008D69F5" w:rsidRDefault="00F11AFF" w:rsidP="007768ED">
            <w:pPr>
              <w:tabs>
                <w:tab w:val="left" w:pos="334"/>
                <w:tab w:val="left" w:pos="669"/>
                <w:tab w:val="left" w:pos="1003"/>
                <w:tab w:val="left" w:pos="1338"/>
              </w:tabs>
              <w:suppressAutoHyphens/>
              <w:spacing w:after="60" w:line="280" w:lineRule="exact"/>
              <w:ind w:right="57"/>
              <w:jc w:val="right"/>
              <w:rPr>
                <w:sz w:val="17"/>
                <w:szCs w:val="24"/>
                <w:lang w:val="zh-CN"/>
              </w:rPr>
            </w:pPr>
            <w:r w:rsidRPr="008D69F5">
              <w:rPr>
                <w:sz w:val="17"/>
                <w:szCs w:val="24"/>
                <w:lang w:val="zh-CN"/>
              </w:rPr>
              <w:t>70%</w:t>
            </w:r>
          </w:p>
        </w:tc>
      </w:tr>
    </w:tbl>
    <w:p w:rsidR="00F11AFF" w:rsidRPr="008D69F5"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11AFF" w:rsidRPr="008D69F5"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11AFF"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年龄结构</w:t>
      </w:r>
    </w:p>
    <w:p w:rsidR="00F11AFF" w:rsidRPr="008D69F5" w:rsidRDefault="00F11AFF" w:rsidP="007768ED">
      <w:pPr>
        <w:pStyle w:val="SingleTxt"/>
        <w:spacing w:after="0" w:line="120" w:lineRule="exact"/>
        <w:rPr>
          <w:rFonts w:hint="eastAsia"/>
          <w:sz w:val="10"/>
        </w:rPr>
      </w:pPr>
    </w:p>
    <w:p w:rsidR="00F11AFF" w:rsidRDefault="00F11AFF" w:rsidP="007768ED">
      <w:pPr>
        <w:pStyle w:val="SingleTxt"/>
        <w:rPr>
          <w:rFonts w:hint="eastAsia"/>
        </w:rPr>
      </w:pPr>
      <w:r>
        <w:rPr>
          <w:rFonts w:hint="eastAsia"/>
        </w:rPr>
        <w:t>8.</w:t>
      </w:r>
      <w:r>
        <w:rPr>
          <w:rFonts w:hint="eastAsia"/>
        </w:rPr>
        <w:tab/>
      </w:r>
      <w:r>
        <w:rPr>
          <w:rFonts w:hint="eastAsia"/>
        </w:rPr>
        <w:t>利比里亚人口年轻，一半以上</w:t>
      </w:r>
      <w:r>
        <w:rPr>
          <w:rFonts w:hint="eastAsia"/>
        </w:rPr>
        <w:t>(55.6%</w:t>
      </w:r>
      <w:r>
        <w:rPr>
          <w:rFonts w:hint="eastAsia"/>
        </w:rPr>
        <w:t>）年龄在</w:t>
      </w:r>
      <w:r>
        <w:rPr>
          <w:rFonts w:hint="eastAsia"/>
        </w:rPr>
        <w:t>20</w:t>
      </w:r>
      <w:r>
        <w:rPr>
          <w:rFonts w:hint="eastAsia"/>
        </w:rPr>
        <w:t>岁以下。其中</w:t>
      </w:r>
      <w:r>
        <w:rPr>
          <w:rFonts w:hint="eastAsia"/>
        </w:rPr>
        <w:t>46.8%</w:t>
      </w:r>
      <w:r>
        <w:rPr>
          <w:rFonts w:hint="eastAsia"/>
        </w:rPr>
        <w:t>为</w:t>
      </w:r>
      <w:r>
        <w:rPr>
          <w:rFonts w:hint="eastAsia"/>
        </w:rPr>
        <w:t>15</w:t>
      </w:r>
      <w:r>
        <w:rPr>
          <w:rFonts w:hint="eastAsia"/>
        </w:rPr>
        <w:t>岁以下的儿童，</w:t>
      </w:r>
      <w:r>
        <w:rPr>
          <w:rFonts w:hint="eastAsia"/>
        </w:rPr>
        <w:t>14.4%</w:t>
      </w:r>
      <w:r>
        <w:rPr>
          <w:rFonts w:hint="eastAsia"/>
        </w:rPr>
        <w:t>为</w:t>
      </w:r>
      <w:r>
        <w:rPr>
          <w:rFonts w:hint="eastAsia"/>
        </w:rPr>
        <w:t>5</w:t>
      </w:r>
      <w:r>
        <w:rPr>
          <w:rFonts w:hint="eastAsia"/>
        </w:rPr>
        <w:t>岁以下的儿童。年龄在</w:t>
      </w:r>
      <w:r>
        <w:rPr>
          <w:rFonts w:hint="eastAsia"/>
        </w:rPr>
        <w:t>0</w:t>
      </w:r>
      <w:r>
        <w:rPr>
          <w:rFonts w:hint="eastAsia"/>
        </w:rPr>
        <w:t>至</w:t>
      </w:r>
      <w:r>
        <w:rPr>
          <w:rFonts w:hint="eastAsia"/>
        </w:rPr>
        <w:t>9</w:t>
      </w:r>
      <w:r>
        <w:rPr>
          <w:rFonts w:hint="eastAsia"/>
        </w:rPr>
        <w:t>岁的儿童估计占儿童人口总数的</w:t>
      </w:r>
      <w:r>
        <w:rPr>
          <w:rFonts w:hint="eastAsia"/>
        </w:rPr>
        <w:t>66.5%</w:t>
      </w:r>
      <w:r>
        <w:rPr>
          <w:rFonts w:hint="eastAsia"/>
        </w:rPr>
        <w:t>。儿童受抚养人口为</w:t>
      </w:r>
      <w:r>
        <w:rPr>
          <w:rFonts w:hint="eastAsia"/>
        </w:rPr>
        <w:t>94%</w:t>
      </w:r>
      <w:r>
        <w:rPr>
          <w:rFonts w:hint="eastAsia"/>
        </w:rPr>
        <w:t>，老年受扶养人口为</w:t>
      </w:r>
      <w:r>
        <w:rPr>
          <w:rFonts w:hint="eastAsia"/>
        </w:rPr>
        <w:t>6.9%</w:t>
      </w:r>
      <w:r>
        <w:rPr>
          <w:rFonts w:hint="eastAsia"/>
        </w:rPr>
        <w:t>，总扶养人口为</w:t>
      </w:r>
      <w:r>
        <w:rPr>
          <w:rFonts w:hint="eastAsia"/>
        </w:rPr>
        <w:t>100.9%</w:t>
      </w:r>
      <w:r>
        <w:rPr>
          <w:rFonts w:hint="eastAsia"/>
        </w:rPr>
        <w:t>。这意味着，每</w:t>
      </w:r>
      <w:r>
        <w:rPr>
          <w:rFonts w:hint="eastAsia"/>
        </w:rPr>
        <w:t>100</w:t>
      </w:r>
      <w:r>
        <w:rPr>
          <w:rFonts w:hint="eastAsia"/>
        </w:rPr>
        <w:t>个劳动适龄成年人大约要为</w:t>
      </w:r>
      <w:r>
        <w:rPr>
          <w:rFonts w:hint="eastAsia"/>
        </w:rPr>
        <w:t>100.9</w:t>
      </w:r>
      <w:r>
        <w:rPr>
          <w:rFonts w:hint="eastAsia"/>
        </w:rPr>
        <w:t>人提供经济和社会资源。</w:t>
      </w:r>
    </w:p>
    <w:p w:rsidR="00F11AFF" w:rsidRDefault="00F11AFF" w:rsidP="007768ED">
      <w:pPr>
        <w:pStyle w:val="SingleTxt"/>
        <w:rPr>
          <w:rFonts w:hint="eastAsia"/>
        </w:rPr>
      </w:pPr>
      <w:r>
        <w:rPr>
          <w:rFonts w:hint="eastAsia"/>
        </w:rPr>
        <w:t>9.</w:t>
      </w:r>
      <w:r>
        <w:tab/>
      </w:r>
      <w:r>
        <w:rPr>
          <w:rFonts w:hint="eastAsia"/>
        </w:rPr>
        <w:t>为了降低高增长率，政府出台了若干干预措施。在全国均可容易地获得计划生育服务，政府建立了免费小学教育并提供奖学金，以降低人口增长率和增加受教育的机会。政府还提供农业援助，如向农民提供种子和工具以提高农业产量，并已通过建立农业和采矿租让地而开始执行一项强有力的创造就业计划。</w:t>
      </w:r>
    </w:p>
    <w:p w:rsidR="00F11AFF"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D.</w:t>
      </w:r>
      <w:r>
        <w:rPr>
          <w:rFonts w:hint="eastAsia"/>
        </w:rPr>
        <w:tab/>
        <w:t>人口增长与分布</w:t>
      </w:r>
    </w:p>
    <w:p w:rsidR="00F11AFF" w:rsidRPr="008D69F5" w:rsidRDefault="00F11AFF" w:rsidP="007768ED">
      <w:pPr>
        <w:pStyle w:val="SingleTxt"/>
        <w:spacing w:after="0" w:line="120" w:lineRule="exact"/>
        <w:rPr>
          <w:rFonts w:hint="eastAsia"/>
          <w:sz w:val="10"/>
        </w:rPr>
      </w:pPr>
    </w:p>
    <w:p w:rsidR="00F11AFF" w:rsidRDefault="00F11AFF" w:rsidP="007768ED">
      <w:pPr>
        <w:pStyle w:val="SingleTxt"/>
        <w:rPr>
          <w:rFonts w:hint="eastAsia"/>
        </w:rPr>
      </w:pPr>
      <w:r>
        <w:rPr>
          <w:rFonts w:hint="eastAsia"/>
        </w:rPr>
        <w:t>10.</w:t>
      </w:r>
      <w:r>
        <w:tab/>
      </w:r>
      <w:r>
        <w:rPr>
          <w:rFonts w:hint="eastAsia"/>
        </w:rPr>
        <w:t>自上次报告所述期间以来，人口动态的资料没有变化。全国人口普查每十年举行一次，下一次预计在</w:t>
      </w:r>
      <w:r>
        <w:rPr>
          <w:rFonts w:hint="eastAsia"/>
        </w:rPr>
        <w:t>2016</w:t>
      </w:r>
      <w:r>
        <w:rPr>
          <w:rFonts w:hint="eastAsia"/>
        </w:rPr>
        <w:t>年举行。然而，引起增长率上升的因素是全国</w:t>
      </w:r>
      <w:r>
        <w:rPr>
          <w:rFonts w:hint="eastAsia"/>
        </w:rPr>
        <w:t>5.2%</w:t>
      </w:r>
      <w:r>
        <w:rPr>
          <w:rFonts w:hint="eastAsia"/>
        </w:rPr>
        <w:t>的高生育率、育龄妇女人口庞大、避孕药具使用率低以及存在一夫多妻制的做法。家庭平均人数为</w:t>
      </w:r>
      <w:r>
        <w:rPr>
          <w:rFonts w:hint="eastAsia"/>
        </w:rPr>
        <w:t>5.2</w:t>
      </w:r>
      <w:r>
        <w:rPr>
          <w:rFonts w:hint="eastAsia"/>
        </w:rPr>
        <w:t>。</w:t>
      </w:r>
    </w:p>
    <w:p w:rsidR="00F11AFF" w:rsidRDefault="00F11AFF" w:rsidP="007768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E.</w:t>
      </w:r>
      <w:r>
        <w:rPr>
          <w:rFonts w:hint="eastAsia"/>
        </w:rPr>
        <w:tab/>
        <w:t>人口从农村向城市移徙</w:t>
      </w:r>
    </w:p>
    <w:p w:rsidR="00F11AFF" w:rsidRPr="008D69F5" w:rsidRDefault="00F11AFF" w:rsidP="007768ED">
      <w:pPr>
        <w:pStyle w:val="SingleTxt"/>
        <w:spacing w:after="0" w:line="120" w:lineRule="exact"/>
        <w:rPr>
          <w:rFonts w:hint="eastAsia"/>
          <w:sz w:val="10"/>
        </w:rPr>
      </w:pPr>
    </w:p>
    <w:p w:rsidR="00F11AFF" w:rsidRPr="008D69F5" w:rsidRDefault="00F11AFF" w:rsidP="007768ED">
      <w:pPr>
        <w:pStyle w:val="SingleTxt"/>
        <w:spacing w:after="0" w:line="120" w:lineRule="exact"/>
        <w:rPr>
          <w:rFonts w:hint="eastAsia"/>
          <w:sz w:val="10"/>
        </w:rPr>
      </w:pPr>
    </w:p>
    <w:p w:rsidR="00F11AFF" w:rsidRDefault="00F11AFF" w:rsidP="007768ED">
      <w:pPr>
        <w:pStyle w:val="SingleTxt"/>
        <w:rPr>
          <w:rFonts w:hint="eastAsia"/>
        </w:rPr>
      </w:pPr>
      <w:r>
        <w:rPr>
          <w:rFonts w:hint="eastAsia"/>
        </w:rPr>
        <w:t>11.</w:t>
      </w:r>
      <w:r>
        <w:rPr>
          <w:rFonts w:hint="eastAsia"/>
        </w:rPr>
        <w:tab/>
      </w:r>
      <w:r>
        <w:rPr>
          <w:rFonts w:hint="eastAsia"/>
        </w:rPr>
        <w:t>在过去十年中，由于农村地区的生计机会不佳以及在城市寻找工作和更好的机会，人口从农村向城市移徙的情况继续增加。这一城市地区的高人口增长率，加剧了贫穷、犯罪活动、贫民窟和腐败。它还损害了农业生产力和粮食保障。</w:t>
      </w:r>
    </w:p>
    <w:p w:rsidR="00F11AFF" w:rsidRDefault="00F11AFF" w:rsidP="007768ED">
      <w:pPr>
        <w:pStyle w:val="SingleTxt"/>
        <w:rPr>
          <w:rFonts w:hint="eastAsia"/>
        </w:rPr>
      </w:pPr>
      <w:r>
        <w:rPr>
          <w:rFonts w:hint="eastAsia"/>
        </w:rPr>
        <w:t>12.</w:t>
      </w:r>
      <w:r>
        <w:rPr>
          <w:rFonts w:hint="eastAsia"/>
        </w:rPr>
        <w:tab/>
      </w:r>
      <w:r>
        <w:rPr>
          <w:rFonts w:hint="eastAsia"/>
        </w:rPr>
        <w:t>伴随而来的是城市的高失业率，造成了安全威胁。最近为了尝试扭转这一趋势，在农村地区通过租让地而创造就业机会，但没有取得积极的成果，因为出现了土地使用和社区权利的新问题。</w:t>
      </w:r>
    </w:p>
    <w:p w:rsidR="00F11AFF" w:rsidRDefault="00F11AFF" w:rsidP="001B69B8">
      <w:pPr>
        <w:pStyle w:val="HCh"/>
        <w:rPr>
          <w:rFonts w:hint="eastAsia"/>
        </w:rPr>
      </w:pPr>
      <w:r>
        <w:rPr>
          <w:rFonts w:hint="eastAsia"/>
        </w:rPr>
        <w:tab/>
        <w:t>三.</w:t>
      </w:r>
      <w:r>
        <w:rPr>
          <w:rFonts w:hint="eastAsia"/>
        </w:rPr>
        <w:tab/>
        <w:t>政治和法律制度</w:t>
      </w:r>
    </w:p>
    <w:p w:rsidR="00F11AFF" w:rsidRPr="00F11AFF" w:rsidRDefault="00F11AFF" w:rsidP="00F11AFF">
      <w:pPr>
        <w:pStyle w:val="SingleTxt"/>
        <w:spacing w:after="0" w:line="120" w:lineRule="exact"/>
        <w:ind w:right="0"/>
        <w:rPr>
          <w:rFonts w:hint="eastAsia"/>
          <w:sz w:val="10"/>
        </w:rPr>
      </w:pPr>
    </w:p>
    <w:p w:rsidR="00F11AFF" w:rsidRPr="00F11AFF" w:rsidRDefault="00F11AFF" w:rsidP="00F11AFF">
      <w:pPr>
        <w:pStyle w:val="SingleTxt"/>
        <w:spacing w:after="0" w:line="120" w:lineRule="exact"/>
        <w:ind w:right="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13.</w:t>
      </w:r>
      <w:r>
        <w:rPr>
          <w:rFonts w:hint="eastAsia"/>
        </w:rPr>
        <w:tab/>
      </w:r>
      <w:r>
        <w:rPr>
          <w:rFonts w:hint="eastAsia"/>
        </w:rPr>
        <w:t>有记载的利比里亚政治历史可追溯到</w:t>
      </w:r>
      <w:r>
        <w:rPr>
          <w:rFonts w:hint="eastAsia"/>
        </w:rPr>
        <w:t>1822</w:t>
      </w:r>
      <w:r>
        <w:rPr>
          <w:rFonts w:hint="eastAsia"/>
        </w:rPr>
        <w:t>年，当时一群由美国殖民协会供资的获得解放的美国黑人奴隶抵达利比里亚海岸，寻求避难地和居留地。</w:t>
      </w:r>
      <w:r>
        <w:rPr>
          <w:rFonts w:hint="eastAsia"/>
        </w:rPr>
        <w:t>1847</w:t>
      </w:r>
      <w:r>
        <w:rPr>
          <w:rFonts w:hint="eastAsia"/>
        </w:rPr>
        <w:t>年，利比里亚宣布独立，制定了新宪法和国家标志。</w:t>
      </w:r>
      <w:r>
        <w:rPr>
          <w:rFonts w:hint="eastAsia"/>
        </w:rPr>
        <w:t>1848</w:t>
      </w:r>
      <w:r>
        <w:rPr>
          <w:rFonts w:hint="eastAsia"/>
        </w:rPr>
        <w:t>年，《利比里亚宪法》获得批准，并在新共和国举行了首次选举。</w:t>
      </w:r>
    </w:p>
    <w:p w:rsidR="00F11AFF" w:rsidRDefault="00F11AFF" w:rsidP="00F11AF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政府制度</w:t>
      </w:r>
    </w:p>
    <w:p w:rsidR="00F11AFF" w:rsidRPr="00F11AFF" w:rsidRDefault="00F11AFF" w:rsidP="00F11AFF">
      <w:pPr>
        <w:pStyle w:val="SingleTxt"/>
        <w:spacing w:after="0" w:line="120" w:lineRule="exact"/>
        <w:ind w:right="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hint="eastAsia"/>
        </w:rPr>
      </w:pPr>
      <w:r>
        <w:rPr>
          <w:rFonts w:hint="eastAsia"/>
        </w:rPr>
        <w:t>14.</w:t>
      </w:r>
      <w:r>
        <w:rPr>
          <w:rFonts w:hint="eastAsia"/>
        </w:rPr>
        <w:tab/>
      </w:r>
      <w:r>
        <w:rPr>
          <w:rFonts w:hint="eastAsia"/>
        </w:rPr>
        <w:t>利比里亚政府实行共和制，有三个独立的分支机构：立法、行政和司法。利比里亚是一个多党制的统一国家。《利比里亚宪法》规定，“所有权力是人民所固有的，并且所有政府为促进人民的利益而存在”</w:t>
      </w:r>
      <w:r>
        <w:rPr>
          <w:rFonts w:hint="eastAsia"/>
        </w:rPr>
        <w:t>(</w:t>
      </w:r>
      <w:r>
        <w:rPr>
          <w:rFonts w:hint="eastAsia"/>
        </w:rPr>
        <w:t>利比里亚宪法第一条</w:t>
      </w:r>
      <w:r>
        <w:rPr>
          <w:rFonts w:hint="eastAsia"/>
        </w:rPr>
        <w:t>)</w:t>
      </w:r>
      <w:r>
        <w:rPr>
          <w:rFonts w:hint="eastAsia"/>
        </w:rPr>
        <w:t>。总统是国家元首，行使行政权力。立法权力属于议会两院，即众议院和参议院。司法权力属于司法机构。政府三个部门相互平等，但相互独立和各有不同。</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15.</w:t>
      </w:r>
      <w:r>
        <w:rPr>
          <w:rFonts w:hint="eastAsia"/>
        </w:rPr>
        <w:tab/>
      </w:r>
      <w:r>
        <w:rPr>
          <w:rFonts w:hint="eastAsia"/>
        </w:rPr>
        <w:t>该国在行政上分为</w:t>
      </w:r>
      <w:r>
        <w:rPr>
          <w:rFonts w:hint="eastAsia"/>
        </w:rPr>
        <w:t>15</w:t>
      </w:r>
      <w:r>
        <w:rPr>
          <w:rFonts w:hint="eastAsia"/>
        </w:rPr>
        <w:t>个被称为州的政治分区。各州由作为总统直接代表的州长领导。这些州又分为多个行政区，由协助州长的地区专员领导。地区专员、最高领导、镇和部族首领的权力逐级下降。城市由市长领导，而城镇由城镇专员领导。结构为地方自治。</w:t>
      </w:r>
    </w:p>
    <w:p w:rsidR="00F11AFF" w:rsidRDefault="00F11AFF" w:rsidP="00F11AF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Pr>
          <w:rFonts w:hint="eastAsia"/>
        </w:rPr>
        <w:tab/>
        <w:t>B.</w:t>
      </w:r>
      <w:r>
        <w:rPr>
          <w:rFonts w:hint="eastAsia"/>
        </w:rPr>
        <w:tab/>
        <w:t>政府职能</w:t>
      </w:r>
    </w:p>
    <w:p w:rsidR="00F11AFF" w:rsidRPr="00F11AFF" w:rsidRDefault="00F11AFF" w:rsidP="00F11AFF">
      <w:pPr>
        <w:pStyle w:val="SingleTxt"/>
        <w:spacing w:after="0" w:line="120" w:lineRule="exact"/>
        <w:ind w:right="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hint="eastAsia"/>
        </w:rPr>
      </w:pPr>
      <w:r>
        <w:rPr>
          <w:rFonts w:hint="eastAsia"/>
        </w:rPr>
        <w:t>16.</w:t>
      </w:r>
      <w:r>
        <w:rPr>
          <w:rFonts w:hint="eastAsia"/>
        </w:rPr>
        <w:tab/>
      </w:r>
      <w:r>
        <w:rPr>
          <w:rFonts w:hint="eastAsia"/>
        </w:rPr>
        <w:t>立法机构制定法律，司法机构解释法律，而行政机构执行法律。政府的立法部门是两院制，分众议院和参议院。众议院由议长领导，负责主管其职能，参议院由身兼参议院议长的副总统领导。副总统不在时，参议院由临时议长主持。参议员由选举产生，任期</w:t>
      </w:r>
      <w:r>
        <w:rPr>
          <w:rFonts w:hint="eastAsia"/>
        </w:rPr>
        <w:t>9</w:t>
      </w:r>
      <w:r>
        <w:rPr>
          <w:rFonts w:hint="eastAsia"/>
        </w:rPr>
        <w:t>年，众议院议员由选举产生，任期</w:t>
      </w:r>
      <w:r>
        <w:rPr>
          <w:rFonts w:hint="eastAsia"/>
        </w:rPr>
        <w:t>6</w:t>
      </w:r>
      <w:r>
        <w:rPr>
          <w:rFonts w:hint="eastAsia"/>
        </w:rPr>
        <w:t>年。若获选区连选，他们有资格连任。这些选区的基础为按人口和政治权宜指定的选区。利比里亚选举法规定，每个州将有两名参议员，居民不到</w:t>
      </w:r>
      <w:r>
        <w:rPr>
          <w:rFonts w:hint="eastAsia"/>
        </w:rPr>
        <w:t>10 000</w:t>
      </w:r>
      <w:r>
        <w:rPr>
          <w:rFonts w:hint="eastAsia"/>
        </w:rPr>
        <w:t>人的州将至少有两名众议院。</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hint="eastAsia"/>
        </w:rPr>
      </w:pPr>
      <w:r>
        <w:rPr>
          <w:rFonts w:hint="eastAsia"/>
        </w:rPr>
        <w:t>17.</w:t>
      </w:r>
      <w:r>
        <w:rPr>
          <w:rFonts w:hint="eastAsia"/>
        </w:rPr>
        <w:tab/>
      </w:r>
      <w:r>
        <w:rPr>
          <w:rFonts w:hint="eastAsia"/>
        </w:rPr>
        <w:t>政府的行政部门由总统领导。总统和副总统的任期为</w:t>
      </w:r>
      <w:r>
        <w:rPr>
          <w:rFonts w:hint="eastAsia"/>
        </w:rPr>
        <w:t>6</w:t>
      </w:r>
      <w:r>
        <w:rPr>
          <w:rFonts w:hint="eastAsia"/>
        </w:rPr>
        <w:t>年，并仅有资格连任一次。行政部门在国家一级细分为政府各部委和机构。这些部委和机构由部长领导，协助总统和副总统管理国家事务。</w:t>
      </w:r>
    </w:p>
    <w:p w:rsidR="00F11AFF" w:rsidRDefault="00F11AFF" w:rsidP="00F11AF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一般法律框架</w:t>
      </w:r>
    </w:p>
    <w:p w:rsidR="00F11AFF" w:rsidRPr="00F11AFF" w:rsidRDefault="00F11AFF" w:rsidP="00F11AFF">
      <w:pPr>
        <w:pStyle w:val="SingleTxt"/>
        <w:spacing w:after="0" w:line="120" w:lineRule="exact"/>
        <w:ind w:right="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18.</w:t>
      </w:r>
      <w:r>
        <w:rPr>
          <w:rFonts w:hint="eastAsia"/>
        </w:rPr>
        <w:tab/>
      </w:r>
      <w:r>
        <w:rPr>
          <w:rFonts w:hint="eastAsia"/>
        </w:rPr>
        <w:t>利比里亚的司法部门由一名首席法官和陪审法官领导，主管该国最高级别法院即最高法院。司法部门包括其他诸如巡回法院、刑事法院、地方行政法院、青少年法院、治安法院等下级法院。司法机构裁决所有案件。</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19.</w:t>
      </w:r>
      <w:r>
        <w:rPr>
          <w:rFonts w:hint="eastAsia"/>
        </w:rPr>
        <w:tab/>
      </w:r>
      <w:r>
        <w:rPr>
          <w:rFonts w:hint="eastAsia"/>
        </w:rPr>
        <w:t>在行政方面，司法系统由一名司法部长领导，他同时兼总检察长和联合安全主席。联合安全包括该国所有安全机构，如国防部、国家安全部、国家安全局和全国人权委员会。联合安全部门确保法律规定的公平、平等和透明的待遇。</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20.</w:t>
      </w:r>
      <w:r>
        <w:rPr>
          <w:rFonts w:hint="eastAsia"/>
        </w:rPr>
        <w:tab/>
      </w:r>
      <w:r>
        <w:rPr>
          <w:rFonts w:hint="eastAsia"/>
        </w:rPr>
        <w:t>司法部负责就所有涉及政府的案件提出起诉。司法部长监督利比里亚国家警察、移民和归化局、国家消防局和惩教系统</w:t>
      </w:r>
      <w:r>
        <w:rPr>
          <w:rFonts w:hint="eastAsia"/>
        </w:rPr>
        <w:t>(</w:t>
      </w:r>
      <w:r>
        <w:rPr>
          <w:rFonts w:hint="eastAsia"/>
        </w:rPr>
        <w:t>包括囚犯的改造方案</w:t>
      </w:r>
      <w:r>
        <w:rPr>
          <w:rFonts w:hint="eastAsia"/>
        </w:rPr>
        <w:t>)</w:t>
      </w:r>
      <w:r>
        <w:rPr>
          <w:rFonts w:hint="eastAsia"/>
        </w:rPr>
        <w:t>的活动。该部及其附属机构在利比里亚领土范围内执行法律，保护生命和财产，保护人民的人权和公民权利。</w:t>
      </w:r>
    </w:p>
    <w:p w:rsidR="00F11AFF" w:rsidRDefault="00F11AFF" w:rsidP="00F11AF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D.</w:t>
      </w:r>
      <w:r>
        <w:rPr>
          <w:rFonts w:hint="eastAsia"/>
        </w:rPr>
        <w:tab/>
        <w:t>独立人权委员会</w:t>
      </w:r>
    </w:p>
    <w:p w:rsidR="00F11AFF" w:rsidRPr="00F11AFF" w:rsidRDefault="00F11AFF" w:rsidP="00F11AFF">
      <w:pPr>
        <w:pStyle w:val="SingleTxt"/>
        <w:spacing w:after="0" w:line="120" w:lineRule="exact"/>
        <w:ind w:right="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21.</w:t>
      </w:r>
      <w:r>
        <w:rPr>
          <w:rFonts w:hint="eastAsia"/>
        </w:rPr>
        <w:tab/>
        <w:t>2005</w:t>
      </w:r>
      <w:r>
        <w:rPr>
          <w:rFonts w:hint="eastAsia"/>
        </w:rPr>
        <w:t>年通过一项法案，成立了独立人权委员会。它是一个负责确保利比里亚的公民及其境内的外国人的人权得到保护的独立实体。它使用人身保护令、训令状和禁止令等补救措施。它还确保执行利比里亚批准的所有国际人权文书，包括《消除对妇女一切形式歧视公约》、《儿童权利公约》以及《非洲人权和人民权利宪章关于非洲妇女权利的议定书》。在本报告所述期间，该国批准了关于最恶劣形式的童工的第</w:t>
      </w:r>
      <w:r>
        <w:rPr>
          <w:rFonts w:hint="eastAsia"/>
        </w:rPr>
        <w:t xml:space="preserve">187 </w:t>
      </w:r>
      <w:r>
        <w:rPr>
          <w:rFonts w:hint="eastAsia"/>
        </w:rPr>
        <w:t>号劳工组织公约。</w:t>
      </w:r>
    </w:p>
    <w:p w:rsidR="00F11AFF" w:rsidRDefault="00F11AFF" w:rsidP="00F11AF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E.</w:t>
      </w:r>
      <w:r>
        <w:rPr>
          <w:rFonts w:hint="eastAsia"/>
        </w:rPr>
        <w:tab/>
        <w:t>保护人权</w:t>
      </w:r>
    </w:p>
    <w:p w:rsidR="00F11AFF" w:rsidRPr="00F11AFF" w:rsidRDefault="00F11AFF" w:rsidP="00F11AFF">
      <w:pPr>
        <w:pStyle w:val="SingleTxt"/>
        <w:spacing w:after="0" w:line="120" w:lineRule="exact"/>
        <w:ind w:right="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22.</w:t>
      </w:r>
      <w:r>
        <w:rPr>
          <w:rFonts w:hint="eastAsia"/>
        </w:rPr>
        <w:tab/>
      </w:r>
      <w:r>
        <w:rPr>
          <w:rFonts w:hint="eastAsia"/>
        </w:rPr>
        <w:t>为确保加强促进和保护妇女权利，政府在司法部及性别平等与发展部内设立了人权单位。司法部人权单位的作用是调查侵犯人权的申诉，采取适当措施和</w:t>
      </w:r>
      <w:r>
        <w:rPr>
          <w:rFonts w:hint="eastAsia"/>
        </w:rPr>
        <w:t>/</w:t>
      </w:r>
      <w:r>
        <w:rPr>
          <w:rFonts w:hint="eastAsia"/>
        </w:rPr>
        <w:t>或建议就案件提起诉讼，与司法机构合作和通过刑事司法系统监测案件的进展情况。该单位还报告涉及人权的国际人权条约和公约的执行情况。性别平等与发展部的人权司负责确保促进以及保护妇女和儿童的权利。</w:t>
      </w:r>
      <w:r>
        <w:rPr>
          <w:rFonts w:hint="eastAsia"/>
        </w:rPr>
        <w:t xml:space="preserve"> </w:t>
      </w:r>
    </w:p>
    <w:p w:rsidR="00F11AFF" w:rsidRDefault="00F11AFF" w:rsidP="00F11AF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sidR="00797A11">
        <w:t>F</w:t>
      </w:r>
      <w:r>
        <w:rPr>
          <w:rFonts w:hint="eastAsia"/>
        </w:rPr>
        <w:t>.</w:t>
      </w:r>
      <w:r>
        <w:rPr>
          <w:rFonts w:hint="eastAsia"/>
        </w:rPr>
        <w:tab/>
        <w:t>联合国安全理事会第1325号决议</w:t>
      </w:r>
    </w:p>
    <w:p w:rsidR="00F11AFF" w:rsidRPr="00F11AFF" w:rsidRDefault="00F11AFF" w:rsidP="00F11AFF">
      <w:pPr>
        <w:pStyle w:val="SingleTxt"/>
        <w:spacing w:after="0" w:line="120" w:lineRule="exact"/>
        <w:ind w:right="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23.</w:t>
      </w:r>
      <w:r>
        <w:rPr>
          <w:rFonts w:hint="eastAsia"/>
        </w:rPr>
        <w:tab/>
      </w:r>
      <w:r>
        <w:rPr>
          <w:rFonts w:hint="eastAsia"/>
        </w:rPr>
        <w:t>利比里亚妇女积极参与了利比里亚内战的解决。自那以来，各方认识到妇女在维持和平与安全问题方面的积极贡献。利比里亚正在发展妇女在安全部门任职的潜力。</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24.</w:t>
      </w:r>
      <w:r>
        <w:rPr>
          <w:rFonts w:hint="eastAsia"/>
        </w:rPr>
        <w:tab/>
      </w:r>
      <w:r>
        <w:rPr>
          <w:rFonts w:hint="eastAsia"/>
        </w:rPr>
        <w:t>利比里亚</w:t>
      </w:r>
      <w:r>
        <w:rPr>
          <w:rFonts w:hint="eastAsia"/>
        </w:rPr>
        <w:t>2009-2013</w:t>
      </w:r>
      <w:r>
        <w:rPr>
          <w:rFonts w:hint="eastAsia"/>
        </w:rPr>
        <w:t>年执行联合国安理会第</w:t>
      </w:r>
      <w:r>
        <w:rPr>
          <w:rFonts w:hint="eastAsia"/>
        </w:rPr>
        <w:t>1325</w:t>
      </w:r>
      <w:r>
        <w:rPr>
          <w:rFonts w:hint="eastAsia"/>
        </w:rPr>
        <w:t>号决议的《国家行动计划》提供了一个加强和制定保护、应对和预防政策、机制、方案和程序的框架，用以个别和在国家一级保证妇女和女孩的安全和促进她们的人权。它还规定制定经济、社会和安全政策，以增强妇女和女童权能，使其在各级充分、有效地参加利比里亚的和平建设、重建、复原和发展进程，包括决策过程。</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25.</w:t>
      </w:r>
      <w:r>
        <w:rPr>
          <w:rFonts w:hint="eastAsia"/>
        </w:rPr>
        <w:tab/>
      </w:r>
      <w:r>
        <w:rPr>
          <w:rFonts w:hint="eastAsia"/>
        </w:rPr>
        <w:t>《行动计划》还旨在加强利比里亚关于妇女和平与安全的性别观点主流化活动的协调和一致性。具体行动领域为保护、预防、参与、增强权能和促进工作。</w:t>
      </w:r>
    </w:p>
    <w:p w:rsidR="00F11AFF" w:rsidRDefault="00F11AFF" w:rsidP="00F11AF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sidR="00797A11">
        <w:t>G</w:t>
      </w:r>
      <w:r>
        <w:rPr>
          <w:rFonts w:hint="eastAsia"/>
        </w:rPr>
        <w:t>.</w:t>
      </w:r>
      <w:r>
        <w:rPr>
          <w:rFonts w:hint="eastAsia"/>
        </w:rPr>
        <w:tab/>
        <w:t>儿童权利的促进和保护</w:t>
      </w:r>
    </w:p>
    <w:p w:rsidR="00F11AFF" w:rsidRPr="00F11AFF" w:rsidRDefault="00F11AFF" w:rsidP="00F11AFF">
      <w:pPr>
        <w:pStyle w:val="SingleTxt"/>
        <w:spacing w:after="0" w:line="120" w:lineRule="exact"/>
        <w:ind w:right="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26.</w:t>
      </w:r>
      <w:r>
        <w:rPr>
          <w:rFonts w:hint="eastAsia"/>
        </w:rPr>
        <w:tab/>
        <w:t>2010</w:t>
      </w:r>
      <w:r>
        <w:rPr>
          <w:rFonts w:hint="eastAsia"/>
        </w:rPr>
        <w:t>年，在</w:t>
      </w:r>
      <w:r>
        <w:rPr>
          <w:rFonts w:hint="eastAsia"/>
        </w:rPr>
        <w:t>7</w:t>
      </w:r>
      <w:r>
        <w:rPr>
          <w:rFonts w:hint="eastAsia"/>
        </w:rPr>
        <w:t>个州设立了</w:t>
      </w:r>
      <w:r>
        <w:rPr>
          <w:rFonts w:hint="eastAsia"/>
        </w:rPr>
        <w:t>68</w:t>
      </w:r>
      <w:r>
        <w:rPr>
          <w:rFonts w:hint="eastAsia"/>
        </w:rPr>
        <w:t>个儿童福利委员会，包括</w:t>
      </w:r>
      <w:r>
        <w:rPr>
          <w:rFonts w:hint="eastAsia"/>
        </w:rPr>
        <w:t>613</w:t>
      </w:r>
      <w:r>
        <w:rPr>
          <w:rFonts w:hint="eastAsia"/>
        </w:rPr>
        <w:t>名成员。这些委员会帮助监测、调查和报告社区一级侵犯儿童权利的行为。儿童福利委员会的</w:t>
      </w:r>
      <w:r>
        <w:rPr>
          <w:rFonts w:hint="eastAsia"/>
        </w:rPr>
        <w:t>25</w:t>
      </w:r>
      <w:r>
        <w:rPr>
          <w:rFonts w:hint="eastAsia"/>
        </w:rPr>
        <w:t>名主管人员和社会工作者接受了关于儿童保护问题的培训。这些社会工作者和儿童福利委员会将继续对</w:t>
      </w:r>
      <w:r>
        <w:rPr>
          <w:rFonts w:hint="eastAsia"/>
        </w:rPr>
        <w:t>7</w:t>
      </w:r>
      <w:r>
        <w:rPr>
          <w:rFonts w:hint="eastAsia"/>
        </w:rPr>
        <w:t>个州的儿童福利委员会进行培训。利比里亚政府继续使所有利益攸关方参与保护儿童。儿童自己的参与得到了全国各儿童大会的支持。全国各地的这些机构有助于倡导保护儿童权利。</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27.</w:t>
      </w:r>
      <w:r>
        <w:rPr>
          <w:rFonts w:hint="eastAsia"/>
        </w:rPr>
        <w:tab/>
      </w:r>
      <w:r>
        <w:rPr>
          <w:rFonts w:hint="eastAsia"/>
        </w:rPr>
        <w:t>性别平等与发展部还提供辅导和调解服务，以处理非持久性支助的情况。这些服务解决向父亲忽视其家长责任的儿童提供的支助不足的问题。</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28.</w:t>
      </w:r>
      <w:r>
        <w:rPr>
          <w:rFonts w:hint="eastAsia"/>
        </w:rPr>
        <w:tab/>
        <w:t>2011</w:t>
      </w:r>
      <w:r>
        <w:rPr>
          <w:rFonts w:hint="eastAsia"/>
        </w:rPr>
        <w:t>年</w:t>
      </w:r>
      <w:r>
        <w:rPr>
          <w:rFonts w:hint="eastAsia"/>
        </w:rPr>
        <w:t>9</w:t>
      </w:r>
      <w:r>
        <w:rPr>
          <w:rFonts w:hint="eastAsia"/>
        </w:rPr>
        <w:t>月国民议会通过了《儿童法》，赋予儿童享有最大限度地促进、参与和保护其权利的权利。该法的根本要素是，儿童的利益至高无上。它涵盖儿童的以下权利：获得教育、保健、充足的食物和水、住房、衣服、言论自由，获取信息，免于从事有害工作、受到虐待和剥削并免于卷入武装冲突。它还规定了父母对子女的职责和权利。</w:t>
      </w:r>
    </w:p>
    <w:p w:rsidR="00F11AFF" w:rsidRPr="00F11AFF" w:rsidRDefault="00F11AFF" w:rsidP="00F11AFF">
      <w:pPr>
        <w:pStyle w:val="SingleTxt"/>
        <w:spacing w:after="0" w:line="120" w:lineRule="exact"/>
        <w:ind w:right="0"/>
        <w:rPr>
          <w:rFonts w:hint="eastAsia"/>
          <w:sz w:val="10"/>
        </w:rPr>
      </w:pPr>
    </w:p>
    <w:p w:rsidR="00F11AFF" w:rsidRDefault="00F11AFF" w:rsidP="001B69B8">
      <w:pPr>
        <w:pStyle w:val="HCh"/>
        <w:rPr>
          <w:rFonts w:hint="eastAsia"/>
        </w:rPr>
      </w:pPr>
      <w:r>
        <w:rPr>
          <w:rFonts w:hint="eastAsia"/>
        </w:rPr>
        <w:tab/>
        <w:t>四.</w:t>
      </w:r>
      <w:r>
        <w:rPr>
          <w:rFonts w:hint="eastAsia"/>
        </w:rPr>
        <w:tab/>
        <w:t>经济状况</w:t>
      </w:r>
    </w:p>
    <w:p w:rsidR="00F11AFF" w:rsidRPr="00F11AFF" w:rsidRDefault="00F11AFF" w:rsidP="00F11AFF">
      <w:pPr>
        <w:pStyle w:val="SingleTxt"/>
        <w:spacing w:after="0" w:line="120" w:lineRule="exact"/>
        <w:ind w:right="0"/>
        <w:rPr>
          <w:rFonts w:hint="eastAsia"/>
          <w:sz w:val="10"/>
        </w:rPr>
      </w:pPr>
    </w:p>
    <w:p w:rsidR="00F11AFF" w:rsidRPr="00F11AFF" w:rsidRDefault="00F11AFF" w:rsidP="00F11AFF">
      <w:pPr>
        <w:pStyle w:val="SingleTxt"/>
        <w:spacing w:after="0" w:line="120" w:lineRule="exact"/>
        <w:ind w:right="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29.</w:t>
      </w:r>
      <w:r>
        <w:rPr>
          <w:rFonts w:hint="eastAsia"/>
        </w:rPr>
        <w:tab/>
      </w:r>
      <w:r>
        <w:rPr>
          <w:rFonts w:hint="eastAsia"/>
        </w:rPr>
        <w:t>利比里亚战后的经济增长在</w:t>
      </w:r>
      <w:r>
        <w:rPr>
          <w:rFonts w:hint="eastAsia"/>
        </w:rPr>
        <w:t>2012</w:t>
      </w:r>
      <w:r>
        <w:rPr>
          <w:rFonts w:hint="eastAsia"/>
        </w:rPr>
        <w:t>年得以持续，估计实际国内生产总值</w:t>
      </w:r>
      <w:r>
        <w:rPr>
          <w:rFonts w:hint="eastAsia"/>
        </w:rPr>
        <w:t>(</w:t>
      </w:r>
      <w:r>
        <w:rPr>
          <w:rFonts w:hint="eastAsia"/>
        </w:rPr>
        <w:t>国内总产值</w:t>
      </w:r>
      <w:r>
        <w:rPr>
          <w:rFonts w:hint="eastAsia"/>
        </w:rPr>
        <w:t>)</w:t>
      </w:r>
      <w:r>
        <w:rPr>
          <w:rFonts w:hint="eastAsia"/>
        </w:rPr>
        <w:t>增长率为</w:t>
      </w:r>
      <w:r>
        <w:rPr>
          <w:rFonts w:hint="eastAsia"/>
        </w:rPr>
        <w:t>8.9%</w:t>
      </w:r>
      <w:r>
        <w:rPr>
          <w:rFonts w:hint="eastAsia"/>
        </w:rPr>
        <w:t>，</w:t>
      </w:r>
      <w:r>
        <w:rPr>
          <w:rFonts w:hint="eastAsia"/>
        </w:rPr>
        <w:t xml:space="preserve">2012 </w:t>
      </w:r>
      <w:r>
        <w:rPr>
          <w:rFonts w:hint="eastAsia"/>
        </w:rPr>
        <w:t>年铁矿石首次出口，建造业有所增加，服务业表现强劲。在铁矿石业进一步扩大和与特许权相关的外国直接投资的促进下，国内总产值预计在</w:t>
      </w:r>
      <w:r>
        <w:rPr>
          <w:rFonts w:hint="eastAsia"/>
        </w:rPr>
        <w:t>2013</w:t>
      </w:r>
      <w:r>
        <w:rPr>
          <w:rFonts w:hint="eastAsia"/>
        </w:rPr>
        <w:t>年增长</w:t>
      </w:r>
      <w:r>
        <w:rPr>
          <w:rFonts w:hint="eastAsia"/>
        </w:rPr>
        <w:t>7.7%</w:t>
      </w:r>
      <w:r>
        <w:rPr>
          <w:rFonts w:hint="eastAsia"/>
        </w:rPr>
        <w:t>，在</w:t>
      </w:r>
      <w:r>
        <w:rPr>
          <w:rFonts w:hint="eastAsia"/>
        </w:rPr>
        <w:t xml:space="preserve"> 2014 </w:t>
      </w:r>
      <w:r>
        <w:rPr>
          <w:rFonts w:hint="eastAsia"/>
        </w:rPr>
        <w:t>年增长</w:t>
      </w:r>
      <w:r>
        <w:rPr>
          <w:rFonts w:hint="eastAsia"/>
        </w:rPr>
        <w:t>5.4%</w:t>
      </w:r>
      <w:r>
        <w:rPr>
          <w:rFonts w:hint="eastAsia"/>
        </w:rPr>
        <w:t>。利比里亚的经济前景仍然易受商品价格，特别是其主要出口商品橡胶和铁矿石价格波动的影响。外国直接投资和海外发展援助的潜力下降以及受项目影响的居民可能产生的冲突，也可能影响到经济运行情况。消费者价格通货膨胀率在</w:t>
      </w:r>
      <w:r>
        <w:rPr>
          <w:rFonts w:hint="eastAsia"/>
        </w:rPr>
        <w:t>2012</w:t>
      </w:r>
      <w:r>
        <w:rPr>
          <w:rFonts w:hint="eastAsia"/>
        </w:rPr>
        <w:t>年放缓至</w:t>
      </w:r>
      <w:r>
        <w:rPr>
          <w:rFonts w:hint="eastAsia"/>
        </w:rPr>
        <w:t>6.9%</w:t>
      </w:r>
      <w:r>
        <w:rPr>
          <w:rFonts w:hint="eastAsia"/>
        </w:rPr>
        <w:t>，原因是国际粮食和燃料价格较低。</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30.</w:t>
      </w:r>
      <w:r>
        <w:rPr>
          <w:rFonts w:hint="eastAsia"/>
        </w:rPr>
        <w:tab/>
        <w:t>2012</w:t>
      </w:r>
      <w:r>
        <w:rPr>
          <w:rFonts w:hint="eastAsia"/>
        </w:rPr>
        <w:t>年</w:t>
      </w:r>
      <w:r>
        <w:rPr>
          <w:rFonts w:hint="eastAsia"/>
        </w:rPr>
        <w:t>12</w:t>
      </w:r>
      <w:r>
        <w:rPr>
          <w:rFonts w:hint="eastAsia"/>
        </w:rPr>
        <w:t>月，利比里亚启动了《转变议程》，即其第二个减贫战略。《转变议程》旨在消除能源、道路、港口方面的主要基础设施制约因素，并支持青年和能力建设。政府为修复咖啡山水电站获得了资金，该水电站可在</w:t>
      </w:r>
      <w:r>
        <w:rPr>
          <w:rFonts w:hint="eastAsia"/>
        </w:rPr>
        <w:t>2015</w:t>
      </w:r>
      <w:r>
        <w:rPr>
          <w:rFonts w:hint="eastAsia"/>
        </w:rPr>
        <w:t>年底投入运行，以解决该国巨大的能源短缺。《转变议程》还旨在到</w:t>
      </w:r>
      <w:r>
        <w:rPr>
          <w:rFonts w:hint="eastAsia"/>
        </w:rPr>
        <w:t>2030</w:t>
      </w:r>
      <w:r>
        <w:rPr>
          <w:rFonts w:hint="eastAsia"/>
        </w:rPr>
        <w:t>将利比里亚人的经济状况提高至中等收入水平。这将大幅减少贫困，因为</w:t>
      </w:r>
      <w:r>
        <w:rPr>
          <w:rFonts w:hint="eastAsia"/>
        </w:rPr>
        <w:t>70%</w:t>
      </w:r>
      <w:r>
        <w:rPr>
          <w:rFonts w:hint="eastAsia"/>
        </w:rPr>
        <w:t>的利比里亚人现在每天的生活费不到</w:t>
      </w:r>
      <w:r>
        <w:rPr>
          <w:rFonts w:hint="eastAsia"/>
        </w:rPr>
        <w:t>2</w:t>
      </w:r>
      <w:r>
        <w:rPr>
          <w:rFonts w:hint="eastAsia"/>
        </w:rPr>
        <w:t>美元</w:t>
      </w:r>
      <w:r>
        <w:rPr>
          <w:rFonts w:hint="eastAsia"/>
        </w:rPr>
        <w:t>(2012</w:t>
      </w:r>
      <w:r>
        <w:rPr>
          <w:rFonts w:hint="eastAsia"/>
        </w:rPr>
        <w:t>年《转变议程》</w:t>
      </w:r>
      <w:r>
        <w:rPr>
          <w:rFonts w:hint="eastAsia"/>
        </w:rPr>
        <w:t>)</w:t>
      </w:r>
      <w:r>
        <w:rPr>
          <w:rFonts w:hint="eastAsia"/>
        </w:rPr>
        <w:t>。</w:t>
      </w:r>
      <w:r>
        <w:rPr>
          <w:rFonts w:hint="eastAsia"/>
        </w:rPr>
        <w:t>2013</w:t>
      </w:r>
      <w:r>
        <w:rPr>
          <w:rFonts w:hint="eastAsia"/>
        </w:rPr>
        <w:t>年</w:t>
      </w:r>
      <w:r>
        <w:rPr>
          <w:rFonts w:hint="eastAsia"/>
        </w:rPr>
        <w:t>7</w:t>
      </w:r>
      <w:r>
        <w:rPr>
          <w:rFonts w:hint="eastAsia"/>
        </w:rPr>
        <w:t>月，新的《体面工作法案》将家政工人的最低工资定为</w:t>
      </w:r>
      <w:r>
        <w:rPr>
          <w:rFonts w:hint="eastAsia"/>
        </w:rPr>
        <w:t xml:space="preserve"> </w:t>
      </w:r>
      <w:r>
        <w:rPr>
          <w:rFonts w:hint="eastAsia"/>
        </w:rPr>
        <w:t>每天</w:t>
      </w:r>
      <w:r>
        <w:rPr>
          <w:rFonts w:hint="eastAsia"/>
        </w:rPr>
        <w:t>6.75</w:t>
      </w:r>
      <w:r>
        <w:rPr>
          <w:rFonts w:hint="eastAsia"/>
        </w:rPr>
        <w:t>美元，即每月</w:t>
      </w:r>
      <w:r>
        <w:rPr>
          <w:rFonts w:hint="eastAsia"/>
        </w:rPr>
        <w:t>180</w:t>
      </w:r>
      <w:r>
        <w:rPr>
          <w:rFonts w:hint="eastAsia"/>
        </w:rPr>
        <w:t>美元，增加了约</w:t>
      </w:r>
      <w:r>
        <w:rPr>
          <w:rFonts w:hint="eastAsia"/>
        </w:rPr>
        <w:t xml:space="preserve"> 400%</w:t>
      </w:r>
      <w:r>
        <w:rPr>
          <w:rFonts w:hint="eastAsia"/>
        </w:rPr>
        <w:t>。</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31.</w:t>
      </w:r>
      <w:r>
        <w:rPr>
          <w:rFonts w:hint="eastAsia"/>
        </w:rPr>
        <w:tab/>
      </w:r>
      <w:r>
        <w:rPr>
          <w:rFonts w:hint="eastAsia"/>
        </w:rPr>
        <w:t>自然资源继续在利比里亚的经济中发挥主导作用。铁矿石、橡胶和木材为主要出口商品，而石油和棕榈油部门有很大的潜力。对这些资源的管理在过去一年中已受到审查。在林业部门滥用私人使用许可证已导致利比里亚四分之一的土地在基本没有监督的情况下被外包给外国公司。获取土地方面的争端也使棕榈油行业的种植减缓，而发现石油的工作由于该部门的机构需要改革而蒙上阴影。</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hint="eastAsia"/>
        </w:rPr>
      </w:pPr>
      <w:r>
        <w:rPr>
          <w:rFonts w:hint="eastAsia"/>
        </w:rPr>
        <w:t>32.</w:t>
      </w:r>
      <w:r>
        <w:rPr>
          <w:rFonts w:hint="eastAsia"/>
        </w:rPr>
        <w:tab/>
      </w:r>
      <w:r>
        <w:rPr>
          <w:rFonts w:hint="eastAsia"/>
        </w:rPr>
        <w:t>对电力和交通的投资应促进利比里亚私营部门及其自然资源部门之间的联系，同时提高大多数在农村地区从事小规模农业的家庭的生产力和进入市场的机会。</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33.</w:t>
      </w:r>
      <w:r>
        <w:rPr>
          <w:rFonts w:hint="eastAsia"/>
        </w:rPr>
        <w:tab/>
      </w:r>
      <w:r>
        <w:rPr>
          <w:rFonts w:hint="eastAsia"/>
        </w:rPr>
        <w:t>特许协定在</w:t>
      </w:r>
      <w:r>
        <w:rPr>
          <w:rFonts w:hint="eastAsia"/>
        </w:rPr>
        <w:t>10</w:t>
      </w:r>
      <w:r>
        <w:rPr>
          <w:rFonts w:hint="eastAsia"/>
        </w:rPr>
        <w:t>年中可创造多达</w:t>
      </w:r>
      <w:r>
        <w:rPr>
          <w:rFonts w:hint="eastAsia"/>
        </w:rPr>
        <w:t>100 000</w:t>
      </w:r>
      <w:r>
        <w:rPr>
          <w:rFonts w:hint="eastAsia"/>
        </w:rPr>
        <w:t>个当地工作，但这将对每一年加入劳动队伍的</w:t>
      </w:r>
      <w:r>
        <w:rPr>
          <w:rFonts w:hint="eastAsia"/>
        </w:rPr>
        <w:t>50 000</w:t>
      </w:r>
      <w:r>
        <w:rPr>
          <w:rFonts w:hint="eastAsia"/>
        </w:rPr>
        <w:t>名青年造成有限的影响。增加创造就业机会将有助于减少不稳定的风险。这十分重要，其原因是当地居民的参与和对政府授予特许权的知情事先同意的不足，使得许多特许权继续面临种种困难。</w:t>
      </w:r>
    </w:p>
    <w:p w:rsidR="00F11AFF" w:rsidRPr="00D857B5" w:rsidRDefault="00FF7597" w:rsidP="00FF759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F11AFF" w:rsidRPr="00D857B5">
        <w:rPr>
          <w:rFonts w:hint="eastAsia"/>
        </w:rPr>
        <w:t>性别平等与发展部</w:t>
      </w:r>
    </w:p>
    <w:p w:rsidR="00FF7597" w:rsidRPr="00FF7597" w:rsidRDefault="00FF7597" w:rsidP="00FF759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0" w:line="120" w:lineRule="exact"/>
        <w:ind w:left="1267" w:right="1260"/>
        <w:rPr>
          <w:rFonts w:hint="eastAsia"/>
          <w:sz w:val="10"/>
        </w:rPr>
      </w:pP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hint="eastAsia"/>
        </w:rPr>
      </w:pPr>
      <w:r>
        <w:rPr>
          <w:rFonts w:hint="eastAsia"/>
        </w:rPr>
        <w:t>34.</w:t>
      </w:r>
      <w:r>
        <w:rPr>
          <w:rFonts w:hint="eastAsia"/>
        </w:rPr>
        <w:tab/>
      </w:r>
      <w:r>
        <w:rPr>
          <w:rFonts w:hint="eastAsia"/>
        </w:rPr>
        <w:t>利比里亚政府继续推行政策、方案和颁布法律，以确保妇女和男子在社会中的平等。</w:t>
      </w:r>
      <w:r>
        <w:rPr>
          <w:rFonts w:hint="eastAsia"/>
        </w:rPr>
        <w:t>2001</w:t>
      </w:r>
      <w:r>
        <w:rPr>
          <w:rFonts w:hint="eastAsia"/>
        </w:rPr>
        <w:t>年设立的性别平等与发展部是在利比里亚促进性别平等、提高妇女地位和促进儿童权利的国家机构。它在影响妇女和儿童的所有问题上为利比里亚政府提供咨询意见，并将性别平等问题纳入政府的政策、方案、法律和资源分配的主流。</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rPr>
          <w:rFonts w:hint="eastAsia"/>
        </w:rPr>
      </w:pPr>
      <w:r>
        <w:rPr>
          <w:rFonts w:hint="eastAsia"/>
        </w:rPr>
        <w:t>35.</w:t>
      </w:r>
      <w:r>
        <w:rPr>
          <w:rFonts w:hint="eastAsia"/>
        </w:rPr>
        <w:tab/>
      </w:r>
      <w:r>
        <w:rPr>
          <w:rFonts w:hint="eastAsia"/>
        </w:rPr>
        <w:t>除了建议在调动妇女和使妇女作为平等伙伴与男子一起参与利比里亚的社会、政治、经济和文化发展方面应采取的适当措施，该部还监测国家政策和方案对妇女和儿童的影响，并向政府报告。</w:t>
      </w:r>
    </w:p>
    <w:p w:rsidR="00F11AFF" w:rsidRDefault="00F11AFF" w:rsidP="00F11AF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hint="eastAsia"/>
        </w:rPr>
      </w:pPr>
      <w:r>
        <w:rPr>
          <w:rFonts w:hint="eastAsia"/>
        </w:rPr>
        <w:t>36.</w:t>
      </w:r>
      <w:r>
        <w:rPr>
          <w:rFonts w:hint="eastAsia"/>
        </w:rPr>
        <w:tab/>
      </w:r>
      <w:r>
        <w:rPr>
          <w:rFonts w:hint="eastAsia"/>
        </w:rPr>
        <w:t>《利比里亚宪法》不分种族、性别、宗教信仰、出身、部落联系，保证所有利比里亚人的基本自由，利比里亚政府的政策和方案与宪法相符，反映出该国致力于实现性别平等和公平。这体现在</w:t>
      </w:r>
      <w:r>
        <w:rPr>
          <w:rFonts w:hint="eastAsia"/>
        </w:rPr>
        <w:t>2008-2011</w:t>
      </w:r>
      <w:r>
        <w:rPr>
          <w:rFonts w:hint="eastAsia"/>
        </w:rPr>
        <w:t>年《减贫战略》、</w:t>
      </w:r>
      <w:r>
        <w:rPr>
          <w:rFonts w:hint="eastAsia"/>
        </w:rPr>
        <w:t>2009</w:t>
      </w:r>
      <w:r>
        <w:rPr>
          <w:rFonts w:hint="eastAsia"/>
        </w:rPr>
        <w:t>年《利比里亚性别平等政策》、《利比里亚国家警察的性别平等政策》、</w:t>
      </w:r>
      <w:r>
        <w:rPr>
          <w:rFonts w:hint="eastAsia"/>
        </w:rPr>
        <w:t>2009</w:t>
      </w:r>
      <w:r>
        <w:rPr>
          <w:rFonts w:hint="eastAsia"/>
        </w:rPr>
        <w:t>年《心理健康政策》、</w:t>
      </w:r>
      <w:r>
        <w:rPr>
          <w:rFonts w:hint="eastAsia"/>
        </w:rPr>
        <w:t>2012</w:t>
      </w:r>
      <w:r>
        <w:rPr>
          <w:rFonts w:hint="eastAsia"/>
        </w:rPr>
        <w:t>年《转变议程》和</w:t>
      </w:r>
      <w:r>
        <w:rPr>
          <w:rFonts w:hint="eastAsia"/>
        </w:rPr>
        <w:t>2030</w:t>
      </w:r>
      <w:r>
        <w:rPr>
          <w:rFonts w:hint="eastAsia"/>
        </w:rPr>
        <w:t>年愿景国家战略中。</w:t>
      </w:r>
    </w:p>
    <w:p w:rsidR="008A55A4" w:rsidRPr="00F11AFF" w:rsidRDefault="00F11AFF" w:rsidP="00F11AFF">
      <w:pPr>
        <w:pStyle w:val="SingleTxt"/>
        <w:spacing w:after="0" w:line="240" w:lineRule="auto"/>
        <w:rPr>
          <w:sz w:val="20"/>
        </w:rPr>
      </w:pPr>
      <w:r>
        <w:rPr>
          <w:noProof/>
          <w:sz w:val="20"/>
        </w:rPr>
        <w:pict>
          <v:line id="_x0000_s1027" style="position:absolute;left:0;text-align:left;z-index:1;mso-position-horizontal:center" from="0,30pt" to="1in,30pt" strokecolor="#010000" strokeweight=".25pt"/>
        </w:pict>
      </w:r>
    </w:p>
    <w:sectPr w:rsidR="008A55A4" w:rsidRPr="00F11AFF" w:rsidSect="008A55A4">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6-16T14:42:00Z" w:initials="Start">
    <w:p w:rsidR="008A55A4" w:rsidRDefault="008A55A4">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306DF9">
        <w:fldChar w:fldCharType="separate"/>
      </w:r>
      <w:r w:rsidR="00EC70D5">
        <w:rPr>
          <w:rFonts w:hint="eastAsia"/>
          <w:noProof/>
        </w:rPr>
        <w:t>页</w:t>
      </w:r>
      <w:r w:rsidR="00EC70D5">
        <w:rPr>
          <w:rFonts w:hint="eastAsia"/>
          <w:noProof/>
        </w:rPr>
        <w:t xml:space="preserve">: </w:t>
      </w:r>
      <w:r w:rsidR="00EC70D5">
        <w:rPr>
          <w:noProof/>
        </w:rPr>
        <w:t>1</w:t>
      </w:r>
      <w:r w:rsidR="00EC70D5">
        <w:rPr>
          <w:rFonts w:hint="eastAsia"/>
          <w:noProof/>
        </w:rPr>
        <w:br/>
      </w:r>
      <w:r>
        <w:fldChar w:fldCharType="end"/>
      </w:r>
      <w:r>
        <w:rPr>
          <w:rStyle w:val="CommentReference"/>
        </w:rPr>
        <w:annotationRef/>
      </w:r>
      <w:r>
        <w:t>&lt;&lt;ODS JOB NO&gt;&gt;N1431911C&lt;&lt;ODS JOB NO&gt;&gt;</w:t>
      </w:r>
    </w:p>
    <w:p w:rsidR="008A55A4" w:rsidRDefault="008A55A4">
      <w:pPr>
        <w:pStyle w:val="CommentText"/>
      </w:pPr>
      <w:r>
        <w:t>&lt;&lt;ODS DOC SYMBOL1&gt;&gt;HRI/CORE/LBR/2014&lt;&lt;ODS DOC SYMBOL1&gt;&gt;</w:t>
      </w:r>
    </w:p>
    <w:p w:rsidR="008A55A4" w:rsidRDefault="008A55A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AF0" w:rsidRDefault="00753AF0">
      <w:r>
        <w:separator/>
      </w:r>
    </w:p>
  </w:endnote>
  <w:endnote w:type="continuationSeparator" w:id="0">
    <w:p w:rsidR="00753AF0" w:rsidRDefault="00753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A55A4" w:rsidTr="008A55A4">
      <w:tblPrEx>
        <w:tblCellMar>
          <w:top w:w="0" w:type="dxa"/>
          <w:bottom w:w="0" w:type="dxa"/>
        </w:tblCellMar>
      </w:tblPrEx>
      <w:tc>
        <w:tcPr>
          <w:tcW w:w="5033" w:type="dxa"/>
          <w:shd w:val="clear" w:color="auto" w:fill="auto"/>
        </w:tcPr>
        <w:p w:rsidR="008A55A4" w:rsidRPr="008A55A4" w:rsidRDefault="008A55A4" w:rsidP="008A55A4">
          <w:pPr>
            <w:pStyle w:val="Footer"/>
            <w:jc w:val="right"/>
            <w:rPr>
              <w:b w:val="0"/>
              <w:w w:val="103"/>
              <w:sz w:val="14"/>
            </w:rPr>
          </w:pPr>
          <w:fldSimple w:instr=" DOCVARIABLE &quot;FooterJN&quot; \* MERGEFORMAT ">
            <w:r w:rsidR="00254F6D">
              <w:rPr>
                <w:b w:val="0"/>
                <w:w w:val="103"/>
                <w:sz w:val="14"/>
              </w:rPr>
              <w:t>14-03809 (C)</w:t>
            </w:r>
          </w:fldSimple>
        </w:p>
      </w:tc>
      <w:tc>
        <w:tcPr>
          <w:tcW w:w="5033" w:type="dxa"/>
          <w:shd w:val="clear" w:color="auto" w:fill="auto"/>
        </w:tcPr>
        <w:p w:rsidR="008A55A4" w:rsidRPr="008A55A4" w:rsidRDefault="008A55A4" w:rsidP="008A55A4">
          <w:pPr>
            <w:pStyle w:val="Footer"/>
            <w:jc w:val="left"/>
            <w:rPr>
              <w:w w:val="103"/>
            </w:rPr>
          </w:pPr>
          <w:r>
            <w:rPr>
              <w:w w:val="103"/>
            </w:rPr>
            <w:fldChar w:fldCharType="begin"/>
          </w:r>
          <w:r>
            <w:rPr>
              <w:w w:val="103"/>
            </w:rPr>
            <w:instrText xml:space="preserve"> PAGE  \* Arabic  \* MERGEFORMAT </w:instrText>
          </w:r>
          <w:r>
            <w:rPr>
              <w:w w:val="103"/>
            </w:rPr>
            <w:fldChar w:fldCharType="separate"/>
          </w:r>
          <w:r w:rsidR="006F55B8">
            <w:rPr>
              <w:w w:val="103"/>
            </w:rPr>
            <w:t>8</w:t>
          </w:r>
          <w:r>
            <w:rPr>
              <w:w w:val="103"/>
            </w:rPr>
            <w:fldChar w:fldCharType="end"/>
          </w:r>
          <w:r>
            <w:rPr>
              <w:w w:val="103"/>
            </w:rPr>
            <w:t>/</w:t>
          </w:r>
          <w:fldSimple w:instr=" NUMPAGES  \* Arabic  \* MERGEFORMAT ">
            <w:r w:rsidR="006F55B8">
              <w:rPr>
                <w:w w:val="103"/>
              </w:rPr>
              <w:t>9</w:t>
            </w:r>
          </w:fldSimple>
        </w:p>
      </w:tc>
    </w:tr>
  </w:tbl>
  <w:p w:rsidR="008A55A4" w:rsidRPr="008A55A4" w:rsidRDefault="008A55A4" w:rsidP="008A55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A55A4" w:rsidTr="008A55A4">
      <w:tblPrEx>
        <w:tblCellMar>
          <w:top w:w="0" w:type="dxa"/>
          <w:bottom w:w="0" w:type="dxa"/>
        </w:tblCellMar>
      </w:tblPrEx>
      <w:tc>
        <w:tcPr>
          <w:tcW w:w="5033" w:type="dxa"/>
          <w:shd w:val="clear" w:color="auto" w:fill="auto"/>
        </w:tcPr>
        <w:p w:rsidR="008A55A4" w:rsidRPr="008A55A4" w:rsidRDefault="008A55A4" w:rsidP="008A55A4">
          <w:pPr>
            <w:pStyle w:val="Footer"/>
            <w:jc w:val="right"/>
          </w:pPr>
          <w:fldSimple w:instr=" PAGE  \* Arabic  \* MERGEFORMAT ">
            <w:r w:rsidR="006F55B8">
              <w:t>9</w:t>
            </w:r>
          </w:fldSimple>
          <w:r>
            <w:t>/</w:t>
          </w:r>
          <w:fldSimple w:instr=" NUMPAGES  \* Arabic  \* MERGEFORMAT ">
            <w:r w:rsidR="006F55B8">
              <w:t>9</w:t>
            </w:r>
          </w:fldSimple>
        </w:p>
      </w:tc>
      <w:tc>
        <w:tcPr>
          <w:tcW w:w="5033" w:type="dxa"/>
          <w:shd w:val="clear" w:color="auto" w:fill="auto"/>
        </w:tcPr>
        <w:p w:rsidR="008A55A4" w:rsidRPr="008A55A4" w:rsidRDefault="008A55A4" w:rsidP="008A55A4">
          <w:pPr>
            <w:pStyle w:val="Footer"/>
            <w:jc w:val="left"/>
            <w:rPr>
              <w:b w:val="0"/>
              <w:w w:val="103"/>
              <w:sz w:val="14"/>
            </w:rPr>
          </w:pPr>
          <w:fldSimple w:instr=" DOCVARIABLE &quot;FooterJN&quot; \* MERGEFORMAT ">
            <w:r w:rsidR="00254F6D">
              <w:rPr>
                <w:b w:val="0"/>
                <w:w w:val="103"/>
                <w:sz w:val="14"/>
              </w:rPr>
              <w:t>14-03809 (C)</w:t>
            </w:r>
          </w:fldSimple>
        </w:p>
      </w:tc>
    </w:tr>
  </w:tbl>
  <w:p w:rsidR="008A55A4" w:rsidRPr="008A55A4" w:rsidRDefault="008A55A4" w:rsidP="008A55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A55A4" w:rsidTr="008A55A4">
      <w:tblPrEx>
        <w:tblCellMar>
          <w:top w:w="0" w:type="dxa"/>
          <w:bottom w:w="0" w:type="dxa"/>
        </w:tblCellMar>
      </w:tblPrEx>
      <w:tc>
        <w:tcPr>
          <w:tcW w:w="5033" w:type="dxa"/>
        </w:tcPr>
        <w:p w:rsidR="008A55A4" w:rsidRDefault="008A55A4" w:rsidP="008A55A4">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2014Size =1Lang = C"/>
                <w10:wrap anchorx="page" anchory="page"/>
              </v:shape>
            </w:pict>
          </w:r>
          <w:fldSimple w:instr=" DOCVARIABLE &quot;jobn&quot; \* MERGEFORMAT ">
            <w:r w:rsidR="00254F6D">
              <w:t>14-03809 (C)</w:t>
            </w:r>
          </w:fldSimple>
          <w:r>
            <w:t xml:space="preserve">    160614    160614</w:t>
          </w:r>
        </w:p>
        <w:p w:rsidR="008A55A4" w:rsidRPr="008A55A4" w:rsidRDefault="008A55A4" w:rsidP="008A55A4">
          <w:pPr>
            <w:spacing w:before="80" w:line="210" w:lineRule="exact"/>
            <w:rPr>
              <w:rFonts w:ascii="Barcode 3 of 9 by request" w:hAnsi="Barcode 3 of 9 by request"/>
              <w:sz w:val="24"/>
            </w:rPr>
          </w:pPr>
          <w:r>
            <w:rPr>
              <w:rFonts w:ascii="Barcode 3 of 9 by request" w:hAnsi="Barcode 3 of 9 by request"/>
              <w:sz w:val="24"/>
            </w:rPr>
            <w:t>*1403809*</w:t>
          </w:r>
        </w:p>
      </w:tc>
      <w:tc>
        <w:tcPr>
          <w:tcW w:w="3686" w:type="dxa"/>
        </w:tcPr>
        <w:p w:rsidR="008A55A4" w:rsidRDefault="008A55A4" w:rsidP="008A55A4">
          <w:pPr>
            <w:pStyle w:val="Footer"/>
            <w:jc w:val="right"/>
            <w:rPr>
              <w:b w:val="0"/>
              <w:sz w:val="21"/>
            </w:rPr>
          </w:pPr>
          <w:r>
            <w:rPr>
              <w:b w:val="0"/>
              <w:sz w:val="21"/>
            </w:rPr>
            <w:pict>
              <v:shape id="_x0000_i1026" type="#_x0000_t75" style="width:48.75pt;height:18pt">
                <v:imagedata r:id="rId2" o:title="recycle_Chinese"/>
              </v:shape>
            </w:pict>
          </w:r>
        </w:p>
      </w:tc>
    </w:tr>
  </w:tbl>
  <w:p w:rsidR="008A55A4" w:rsidRPr="008A55A4" w:rsidRDefault="008A55A4" w:rsidP="008A55A4">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AF0" w:rsidRPr="00FF7597" w:rsidRDefault="00753AF0" w:rsidP="00FF7597">
      <w:pPr>
        <w:pStyle w:val="Footer"/>
        <w:spacing w:after="80"/>
        <w:ind w:left="792"/>
        <w:rPr>
          <w:sz w:val="16"/>
        </w:rPr>
      </w:pPr>
      <w:r w:rsidRPr="00FF7597">
        <w:rPr>
          <w:sz w:val="16"/>
        </w:rPr>
        <w:t>__________________</w:t>
      </w:r>
    </w:p>
  </w:footnote>
  <w:footnote w:type="continuationSeparator" w:id="0">
    <w:p w:rsidR="00753AF0" w:rsidRPr="00FF7597" w:rsidRDefault="00753AF0" w:rsidP="00FF7597">
      <w:pPr>
        <w:pStyle w:val="Footer"/>
        <w:spacing w:after="80"/>
        <w:ind w:left="792"/>
        <w:rPr>
          <w:sz w:val="16"/>
        </w:rPr>
      </w:pPr>
      <w:r w:rsidRPr="00FF7597">
        <w:rPr>
          <w:sz w:val="16"/>
        </w:rPr>
        <w:t>__________________</w:t>
      </w:r>
    </w:p>
  </w:footnote>
  <w:footnote w:id="1">
    <w:p w:rsidR="00FF7597" w:rsidRDefault="00FF7597" w:rsidP="00FF7597">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w:t>
      </w:r>
      <w:r>
        <w:tab/>
      </w:r>
      <w:r w:rsidRPr="008D69F5">
        <w:rPr>
          <w:rFonts w:hint="eastAsia"/>
        </w:rPr>
        <w:t>本文件未经正式编辑发布。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A55A4" w:rsidTr="008A55A4">
      <w:tblPrEx>
        <w:tblCellMar>
          <w:top w:w="0" w:type="dxa"/>
          <w:bottom w:w="0" w:type="dxa"/>
        </w:tblCellMar>
      </w:tblPrEx>
      <w:trPr>
        <w:trHeight w:hRule="exact" w:val="864"/>
      </w:trPr>
      <w:tc>
        <w:tcPr>
          <w:tcW w:w="4838" w:type="dxa"/>
          <w:shd w:val="clear" w:color="auto" w:fill="auto"/>
          <w:vAlign w:val="bottom"/>
        </w:tcPr>
        <w:p w:rsidR="008A55A4" w:rsidRPr="008A55A4" w:rsidRDefault="008A55A4" w:rsidP="008A55A4">
          <w:pPr>
            <w:pStyle w:val="Header"/>
            <w:spacing w:after="80"/>
            <w:jc w:val="left"/>
            <w:rPr>
              <w:b/>
              <w:sz w:val="17"/>
            </w:rPr>
          </w:pPr>
          <w:fldSimple w:instr=" DOCVARIABLE &quot;sss1&quot; \* MERGEFORMAT ">
            <w:r w:rsidR="00254F6D">
              <w:rPr>
                <w:b/>
                <w:sz w:val="17"/>
              </w:rPr>
              <w:t>HRI/CORE/LBR/2014</w:t>
            </w:r>
          </w:fldSimple>
        </w:p>
      </w:tc>
      <w:tc>
        <w:tcPr>
          <w:tcW w:w="5033" w:type="dxa"/>
          <w:shd w:val="clear" w:color="auto" w:fill="auto"/>
          <w:vAlign w:val="bottom"/>
        </w:tcPr>
        <w:p w:rsidR="008A55A4" w:rsidRDefault="008A55A4" w:rsidP="008A55A4">
          <w:pPr>
            <w:pStyle w:val="Header"/>
          </w:pPr>
        </w:p>
      </w:tc>
    </w:tr>
  </w:tbl>
  <w:p w:rsidR="008A55A4" w:rsidRPr="008A55A4" w:rsidRDefault="008A55A4" w:rsidP="008A55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A55A4" w:rsidTr="008A55A4">
      <w:tblPrEx>
        <w:tblCellMar>
          <w:top w:w="0" w:type="dxa"/>
          <w:bottom w:w="0" w:type="dxa"/>
        </w:tblCellMar>
      </w:tblPrEx>
      <w:trPr>
        <w:trHeight w:hRule="exact" w:val="864"/>
      </w:trPr>
      <w:tc>
        <w:tcPr>
          <w:tcW w:w="4838" w:type="dxa"/>
          <w:shd w:val="clear" w:color="auto" w:fill="auto"/>
          <w:vAlign w:val="bottom"/>
        </w:tcPr>
        <w:p w:rsidR="008A55A4" w:rsidRDefault="008A55A4" w:rsidP="008A55A4">
          <w:pPr>
            <w:pStyle w:val="Header"/>
          </w:pPr>
        </w:p>
      </w:tc>
      <w:tc>
        <w:tcPr>
          <w:tcW w:w="5033" w:type="dxa"/>
          <w:shd w:val="clear" w:color="auto" w:fill="auto"/>
          <w:vAlign w:val="bottom"/>
        </w:tcPr>
        <w:p w:rsidR="008A55A4" w:rsidRPr="008A55A4" w:rsidRDefault="008A55A4" w:rsidP="008A55A4">
          <w:pPr>
            <w:pStyle w:val="Header"/>
            <w:spacing w:after="80"/>
            <w:jc w:val="right"/>
            <w:rPr>
              <w:b/>
              <w:sz w:val="17"/>
            </w:rPr>
          </w:pPr>
          <w:fldSimple w:instr=" DOCVARIABLE &quot;sss1&quot; \* MERGEFORMAT ">
            <w:r w:rsidR="00254F6D">
              <w:rPr>
                <w:b/>
                <w:sz w:val="17"/>
              </w:rPr>
              <w:t>HRI/CORE/LBR/2014</w:t>
            </w:r>
          </w:fldSimple>
        </w:p>
      </w:tc>
    </w:tr>
  </w:tbl>
  <w:p w:rsidR="008A55A4" w:rsidRPr="008A55A4" w:rsidRDefault="008A55A4" w:rsidP="008A55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8A55A4" w:rsidTr="008A55A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A55A4" w:rsidRDefault="008A55A4" w:rsidP="008A55A4">
          <w:pPr>
            <w:pStyle w:val="Header"/>
            <w:spacing w:after="120"/>
          </w:pPr>
        </w:p>
      </w:tc>
      <w:tc>
        <w:tcPr>
          <w:tcW w:w="1872" w:type="dxa"/>
          <w:tcBorders>
            <w:bottom w:val="single" w:sz="4" w:space="0" w:color="auto"/>
          </w:tcBorders>
          <w:shd w:val="clear" w:color="auto" w:fill="auto"/>
          <w:vAlign w:val="bottom"/>
        </w:tcPr>
        <w:p w:rsidR="008A55A4" w:rsidRPr="008A55A4" w:rsidRDefault="008A55A4" w:rsidP="001B69B8">
          <w:pPr>
            <w:pStyle w:val="HCh"/>
            <w:rPr>
              <w:w w:val="96"/>
            </w:rPr>
          </w:pPr>
          <w:r>
            <w:rPr>
              <w:rFonts w:hint="eastAsia"/>
              <w:w w:val="96"/>
            </w:rPr>
            <w:t>联合国</w:t>
          </w:r>
        </w:p>
      </w:tc>
      <w:tc>
        <w:tcPr>
          <w:tcW w:w="245" w:type="dxa"/>
          <w:tcBorders>
            <w:bottom w:val="single" w:sz="4" w:space="0" w:color="auto"/>
          </w:tcBorders>
          <w:shd w:val="clear" w:color="auto" w:fill="auto"/>
          <w:vAlign w:val="bottom"/>
        </w:tcPr>
        <w:p w:rsidR="008A55A4" w:rsidRDefault="008A55A4" w:rsidP="008A55A4">
          <w:pPr>
            <w:pStyle w:val="Header"/>
            <w:spacing w:after="120"/>
          </w:pPr>
        </w:p>
      </w:tc>
      <w:tc>
        <w:tcPr>
          <w:tcW w:w="6523" w:type="dxa"/>
          <w:gridSpan w:val="3"/>
          <w:tcBorders>
            <w:bottom w:val="single" w:sz="4" w:space="0" w:color="auto"/>
          </w:tcBorders>
          <w:shd w:val="clear" w:color="auto" w:fill="auto"/>
          <w:vAlign w:val="bottom"/>
        </w:tcPr>
        <w:p w:rsidR="008A55A4" w:rsidRPr="008A55A4" w:rsidRDefault="008A55A4" w:rsidP="008A55A4">
          <w:pPr>
            <w:spacing w:after="80" w:line="240" w:lineRule="auto"/>
            <w:jc w:val="right"/>
            <w:rPr>
              <w:position w:val="-4"/>
            </w:rPr>
          </w:pPr>
          <w:r>
            <w:rPr>
              <w:position w:val="-4"/>
              <w:sz w:val="40"/>
            </w:rPr>
            <w:t>HRI</w:t>
          </w:r>
          <w:r>
            <w:rPr>
              <w:position w:val="-4"/>
            </w:rPr>
            <w:t>/CORE/LBR/2014</w:t>
          </w:r>
        </w:p>
      </w:tc>
    </w:tr>
    <w:tr w:rsidR="008A55A4" w:rsidRPr="008A55A4" w:rsidTr="008A55A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A55A4" w:rsidRDefault="008A55A4" w:rsidP="008A55A4">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A55A4" w:rsidRPr="008A55A4" w:rsidRDefault="008A55A4" w:rsidP="008A55A4">
          <w:pPr>
            <w:pStyle w:val="Header"/>
            <w:spacing w:before="109"/>
            <w:ind w:left="-72"/>
          </w:pPr>
        </w:p>
      </w:tc>
      <w:tc>
        <w:tcPr>
          <w:tcW w:w="5227" w:type="dxa"/>
          <w:gridSpan w:val="3"/>
          <w:tcBorders>
            <w:top w:val="single" w:sz="4" w:space="0" w:color="auto"/>
            <w:bottom w:val="single" w:sz="12" w:space="0" w:color="auto"/>
          </w:tcBorders>
          <w:shd w:val="clear" w:color="auto" w:fill="auto"/>
        </w:tcPr>
        <w:p w:rsidR="001B69B8" w:rsidRPr="001B69B8" w:rsidRDefault="001B69B8" w:rsidP="001B69B8">
          <w:pPr>
            <w:pStyle w:val="XLarge"/>
            <w:rPr>
              <w:rFonts w:hint="eastAsia"/>
            </w:rPr>
          </w:pPr>
        </w:p>
        <w:p w:rsidR="008A55A4" w:rsidRPr="008A55A4" w:rsidRDefault="008A55A4" w:rsidP="001B69B8">
          <w:pPr>
            <w:pStyle w:val="XLarge"/>
          </w:pPr>
          <w:r>
            <w:rPr>
              <w:rFonts w:hint="eastAsia"/>
            </w:rPr>
            <w:t>国际人权</w:t>
          </w:r>
          <w:r w:rsidR="00DB3FDD">
            <w:rPr>
              <w:rFonts w:hint="eastAsia"/>
            </w:rPr>
            <w:t>文书</w:t>
          </w:r>
        </w:p>
      </w:tc>
      <w:tc>
        <w:tcPr>
          <w:tcW w:w="245" w:type="dxa"/>
          <w:tcBorders>
            <w:top w:val="single" w:sz="4" w:space="0" w:color="auto"/>
            <w:bottom w:val="single" w:sz="12" w:space="0" w:color="auto"/>
          </w:tcBorders>
          <w:shd w:val="clear" w:color="auto" w:fill="auto"/>
        </w:tcPr>
        <w:p w:rsidR="008A55A4" w:rsidRPr="008A55A4" w:rsidRDefault="008A55A4" w:rsidP="008A55A4">
          <w:pPr>
            <w:pStyle w:val="Header"/>
            <w:spacing w:before="109"/>
          </w:pPr>
        </w:p>
      </w:tc>
      <w:tc>
        <w:tcPr>
          <w:tcW w:w="3180" w:type="dxa"/>
          <w:gridSpan w:val="2"/>
          <w:tcBorders>
            <w:top w:val="single" w:sz="4" w:space="0" w:color="auto"/>
            <w:bottom w:val="single" w:sz="12" w:space="0" w:color="auto"/>
          </w:tcBorders>
          <w:shd w:val="clear" w:color="auto" w:fill="auto"/>
        </w:tcPr>
        <w:p w:rsidR="008A55A4" w:rsidRDefault="008A55A4" w:rsidP="008A55A4">
          <w:pPr>
            <w:pStyle w:val="Distr"/>
          </w:pPr>
          <w:r>
            <w:t>Distr.: General</w:t>
          </w:r>
        </w:p>
        <w:p w:rsidR="008A55A4" w:rsidRDefault="00EC70D5" w:rsidP="008A55A4">
          <w:pPr>
            <w:pStyle w:val="Publication"/>
          </w:pPr>
          <w:r>
            <w:t>1</w:t>
          </w:r>
          <w:r w:rsidR="008A55A4">
            <w:t xml:space="preserve"> </w:t>
          </w:r>
          <w:r>
            <w:t>May</w:t>
          </w:r>
          <w:r w:rsidR="008A55A4">
            <w:t xml:space="preserve"> 2014</w:t>
          </w:r>
        </w:p>
        <w:p w:rsidR="008A55A4" w:rsidRDefault="008A55A4" w:rsidP="008A55A4">
          <w:pPr>
            <w:spacing w:line="240" w:lineRule="exact"/>
          </w:pPr>
          <w:r>
            <w:t>Chinese</w:t>
          </w:r>
        </w:p>
        <w:p w:rsidR="008A55A4" w:rsidRDefault="008A55A4" w:rsidP="008A55A4">
          <w:pPr>
            <w:pStyle w:val="Original"/>
          </w:pPr>
          <w:r>
            <w:t>Original: English</w:t>
          </w:r>
        </w:p>
        <w:p w:rsidR="008A55A4" w:rsidRPr="008A55A4" w:rsidRDefault="008A55A4" w:rsidP="008A55A4"/>
      </w:tc>
    </w:tr>
  </w:tbl>
  <w:p w:rsidR="008A55A4" w:rsidRPr="008A55A4" w:rsidRDefault="008A55A4" w:rsidP="008A55A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1879110C"/>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809*"/>
    <w:docVar w:name="CreationDt" w:val="16/06/2014 12:53:22"/>
    <w:docVar w:name="DocCategory" w:val="Doc"/>
    <w:docVar w:name="DocType" w:val="Final"/>
    <w:docVar w:name="FooterJN" w:val="14-03809 (C)"/>
    <w:docVar w:name="jobn" w:val="14-03809 (C)"/>
    <w:docVar w:name="jobnDT" w:val="14-03809 (C)   160614"/>
    <w:docVar w:name="jobnDTDT" w:val="14-03809 (C)   160614   160614"/>
    <w:docVar w:name="JobNo" w:val="1403809C"/>
    <w:docVar w:name="OandT" w:val="DHG"/>
    <w:docVar w:name="sss1" w:val="HRI/CORE/LBR/2014"/>
    <w:docVar w:name="sss2" w:val="-"/>
    <w:docVar w:name="Symbol1" w:val="HRI/CORE/LBR/2014"/>
    <w:docVar w:name="Symbol2" w:val="-"/>
  </w:docVars>
  <w:rsids>
    <w:rsidRoot w:val="0006064D"/>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064D"/>
    <w:rsid w:val="00064AA0"/>
    <w:rsid w:val="00066B28"/>
    <w:rsid w:val="00067AEB"/>
    <w:rsid w:val="0007337D"/>
    <w:rsid w:val="00074771"/>
    <w:rsid w:val="000748A8"/>
    <w:rsid w:val="000758DF"/>
    <w:rsid w:val="00075C4C"/>
    <w:rsid w:val="00076EB8"/>
    <w:rsid w:val="000777FC"/>
    <w:rsid w:val="00077AEE"/>
    <w:rsid w:val="00082CCB"/>
    <w:rsid w:val="00083CAB"/>
    <w:rsid w:val="000863AD"/>
    <w:rsid w:val="00095C67"/>
    <w:rsid w:val="000A31F9"/>
    <w:rsid w:val="000B3455"/>
    <w:rsid w:val="000C1786"/>
    <w:rsid w:val="000C4C08"/>
    <w:rsid w:val="000C4DDE"/>
    <w:rsid w:val="000D32BA"/>
    <w:rsid w:val="000E240F"/>
    <w:rsid w:val="000E49A4"/>
    <w:rsid w:val="000F1058"/>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1877"/>
    <w:rsid w:val="00173F4B"/>
    <w:rsid w:val="00174233"/>
    <w:rsid w:val="001746A8"/>
    <w:rsid w:val="0017506F"/>
    <w:rsid w:val="001873A2"/>
    <w:rsid w:val="001944A4"/>
    <w:rsid w:val="001A4A37"/>
    <w:rsid w:val="001B0DFD"/>
    <w:rsid w:val="001B2814"/>
    <w:rsid w:val="001B4F95"/>
    <w:rsid w:val="001B69B8"/>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3393B"/>
    <w:rsid w:val="00241DB7"/>
    <w:rsid w:val="00247382"/>
    <w:rsid w:val="00252E35"/>
    <w:rsid w:val="00254858"/>
    <w:rsid w:val="00254B46"/>
    <w:rsid w:val="00254F6D"/>
    <w:rsid w:val="00255FC4"/>
    <w:rsid w:val="00257053"/>
    <w:rsid w:val="00257592"/>
    <w:rsid w:val="00260C62"/>
    <w:rsid w:val="00263B7B"/>
    <w:rsid w:val="00266257"/>
    <w:rsid w:val="00271BE6"/>
    <w:rsid w:val="0027454D"/>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06DF9"/>
    <w:rsid w:val="00320C99"/>
    <w:rsid w:val="003274A9"/>
    <w:rsid w:val="003305F1"/>
    <w:rsid w:val="00331221"/>
    <w:rsid w:val="00346223"/>
    <w:rsid w:val="00350AE6"/>
    <w:rsid w:val="00355510"/>
    <w:rsid w:val="00363610"/>
    <w:rsid w:val="003649EE"/>
    <w:rsid w:val="00371BC6"/>
    <w:rsid w:val="00372383"/>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97E04"/>
    <w:rsid w:val="004A06D1"/>
    <w:rsid w:val="004A11FC"/>
    <w:rsid w:val="004B2C67"/>
    <w:rsid w:val="004B4F06"/>
    <w:rsid w:val="004C0224"/>
    <w:rsid w:val="004C053E"/>
    <w:rsid w:val="004C173A"/>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C79B6"/>
    <w:rsid w:val="006D4068"/>
    <w:rsid w:val="006E2924"/>
    <w:rsid w:val="006E7A26"/>
    <w:rsid w:val="006F04EF"/>
    <w:rsid w:val="006F2B3D"/>
    <w:rsid w:val="006F55B8"/>
    <w:rsid w:val="006F6A4F"/>
    <w:rsid w:val="007016DF"/>
    <w:rsid w:val="007038D4"/>
    <w:rsid w:val="007052CC"/>
    <w:rsid w:val="00715C4B"/>
    <w:rsid w:val="007319E0"/>
    <w:rsid w:val="007328A2"/>
    <w:rsid w:val="00732A10"/>
    <w:rsid w:val="007345AA"/>
    <w:rsid w:val="00735C21"/>
    <w:rsid w:val="00737B00"/>
    <w:rsid w:val="00747DB4"/>
    <w:rsid w:val="0075155C"/>
    <w:rsid w:val="00753A05"/>
    <w:rsid w:val="00753AF0"/>
    <w:rsid w:val="0075586B"/>
    <w:rsid w:val="00757193"/>
    <w:rsid w:val="00761190"/>
    <w:rsid w:val="00766FD7"/>
    <w:rsid w:val="00770BE9"/>
    <w:rsid w:val="00776537"/>
    <w:rsid w:val="007768ED"/>
    <w:rsid w:val="00780C90"/>
    <w:rsid w:val="00783A25"/>
    <w:rsid w:val="007843DB"/>
    <w:rsid w:val="007877F4"/>
    <w:rsid w:val="00797A11"/>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A280F"/>
    <w:rsid w:val="008A55A4"/>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46C87"/>
    <w:rsid w:val="00957134"/>
    <w:rsid w:val="0096193C"/>
    <w:rsid w:val="009769E1"/>
    <w:rsid w:val="00977E0D"/>
    <w:rsid w:val="00982D5C"/>
    <w:rsid w:val="00986132"/>
    <w:rsid w:val="00986C04"/>
    <w:rsid w:val="009932F9"/>
    <w:rsid w:val="009A11E3"/>
    <w:rsid w:val="009A2F76"/>
    <w:rsid w:val="009B1250"/>
    <w:rsid w:val="009C600E"/>
    <w:rsid w:val="009D0B10"/>
    <w:rsid w:val="009D1A54"/>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E1311"/>
    <w:rsid w:val="00AF114B"/>
    <w:rsid w:val="00AF2A33"/>
    <w:rsid w:val="00AF4C2D"/>
    <w:rsid w:val="00B014C7"/>
    <w:rsid w:val="00B03EFA"/>
    <w:rsid w:val="00B16C8C"/>
    <w:rsid w:val="00B171E7"/>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BF1821"/>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B3FDD"/>
    <w:rsid w:val="00DC2506"/>
    <w:rsid w:val="00DC4290"/>
    <w:rsid w:val="00DC49FA"/>
    <w:rsid w:val="00DD3D6B"/>
    <w:rsid w:val="00DD4467"/>
    <w:rsid w:val="00DD5418"/>
    <w:rsid w:val="00DD61C8"/>
    <w:rsid w:val="00DD772B"/>
    <w:rsid w:val="00DF5B53"/>
    <w:rsid w:val="00DF742A"/>
    <w:rsid w:val="00E0179C"/>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C70D5"/>
    <w:rsid w:val="00ED2D39"/>
    <w:rsid w:val="00EE0913"/>
    <w:rsid w:val="00EF23C4"/>
    <w:rsid w:val="00EF36AA"/>
    <w:rsid w:val="00EF695D"/>
    <w:rsid w:val="00F01440"/>
    <w:rsid w:val="00F020E7"/>
    <w:rsid w:val="00F03676"/>
    <w:rsid w:val="00F04C64"/>
    <w:rsid w:val="00F057A4"/>
    <w:rsid w:val="00F11AFF"/>
    <w:rsid w:val="00F13305"/>
    <w:rsid w:val="00F3596A"/>
    <w:rsid w:val="00F40463"/>
    <w:rsid w:val="00F44A01"/>
    <w:rsid w:val="00F50336"/>
    <w:rsid w:val="00F55E5B"/>
    <w:rsid w:val="00F569BC"/>
    <w:rsid w:val="00F62E3F"/>
    <w:rsid w:val="00F67F90"/>
    <w:rsid w:val="00F77B3E"/>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 w:val="00FF75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1B69B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400" w:lineRule="exact"/>
      <w:ind w:right="227"/>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singl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GB23126">
    <w:name w:val="样式 (中文) 楷体_GB2312 六号 蓝色 右 段后: 6 磅 行距: 单倍行距"/>
    <w:basedOn w:val="Normal"/>
    <w:rsid w:val="00F11AFF"/>
    <w:pPr>
      <w:spacing w:after="120" w:line="240" w:lineRule="auto"/>
      <w:jc w:val="right"/>
    </w:pPr>
    <w:rPr>
      <w:rFonts w:ascii="SimSun" w:eastAsia="KaiTi_GB2312" w:cs="SimSun"/>
      <w:sz w:val="15"/>
    </w:rPr>
  </w:style>
  <w:style w:type="paragraph" w:customStyle="1" w:styleId="HCh6">
    <w:name w:val="样式 _ H _Ch + (中文) 宋体 段后: 6 磅"/>
    <w:basedOn w:val="HCh"/>
    <w:rsid w:val="00F11AFF"/>
    <w:pPr>
      <w:spacing w:after="120"/>
      <w:jc w:val="left"/>
    </w:pPr>
    <w:rPr>
      <w:rFonts w:eastAsia="SimSun" w:cs="SimSu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9</Pages>
  <Words>886</Words>
  <Characters>5053</Characters>
  <Application>Microsoft Office Outlook</Application>
  <DocSecurity>4</DocSecurity>
  <Lines>42</Lines>
  <Paragraphs>11</Paragraphs>
  <ScaleCrop>false</ScaleCrop>
  <Company>United Nations</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Huangui Du</dc:creator>
  <cp:keywords/>
  <dc:description/>
  <cp:lastModifiedBy>Ctpu1</cp:lastModifiedBy>
  <cp:revision>21</cp:revision>
  <cp:lastPrinted>2014-06-16T14:12:00Z</cp:lastPrinted>
  <dcterms:created xsi:type="dcterms:W3CDTF">2014-06-16T10:46:00Z</dcterms:created>
  <dcterms:modified xsi:type="dcterms:W3CDTF">2014-06-16T14:54:00Z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1403809</vt:lpwstr>
  </property>
  <property fmtid="{D5CDD505-2E9C-101B-9397-08002B2CF9AE}" pid="3" name="ODSRefJobNo">
    <vt:lpwstr>1431911C</vt:lpwstr>
  </property>
  <property fmtid="{D5CDD505-2E9C-101B-9397-08002B2CF9AE}" pid="4" name="Symbol1">
    <vt:lpwstr>HRI/CORE/LBR/2014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June 2014</vt:lpwstr>
  </property>
  <property fmtid="{D5CDD505-2E9C-101B-9397-08002B2CF9AE}" pid="9" name="Original">
    <vt:lpwstr>English</vt:lpwstr>
  </property>
  <property fmtid="{D5CDD505-2E9C-101B-9397-08002B2CF9AE}" pid="10" name="Release Date">
    <vt:lpwstr>160614</vt:lpwstr>
  </property>
  <property fmtid="{D5CDD505-2E9C-101B-9397-08002B2CF9AE}" pid="11" name="Comment">
    <vt:lpwstr/>
  </property>
  <property fmtid="{D5CDD505-2E9C-101B-9397-08002B2CF9AE}" pid="12" name="DraftPages">
    <vt:lpwstr> </vt:lpwstr>
  </property>
  <property fmtid="{D5CDD505-2E9C-101B-9397-08002B2CF9AE}" pid="13" name="Operator">
    <vt:lpwstr>DHG</vt:lpwstr>
  </property>
</Properties>
</file>