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rPr>
          <w:snapToGrid/>
          <w:kern w:val="0"/>
        </w:rPr>
      </w:pPr>
    </w:p>
    <w:p w:rsidR="00000000" w:rsidRDefault="00000000"/>
    <w:p w:rsidR="00000000" w:rsidRDefault="00000000">
      <w:pPr>
        <w:pStyle w:val="Heading2"/>
        <w:rPr>
          <w:rFonts w:hint="eastAsia"/>
          <w:snapToGrid/>
          <w:kern w:val="0"/>
        </w:rPr>
      </w:pPr>
      <w:r>
        <w:rPr>
          <w:rFonts w:hint="eastAsia"/>
          <w:snapToGrid/>
          <w:kern w:val="0"/>
        </w:rPr>
        <w:t>作为签约国报告组成部分的核心文件</w:t>
      </w:r>
    </w:p>
    <w:p w:rsidR="00000000" w:rsidRDefault="00000000">
      <w:pPr>
        <w:pStyle w:val="Heading2"/>
        <w:spacing w:after="160"/>
        <w:rPr>
          <w:rFonts w:hint="eastAsia"/>
          <w:snapToGrid/>
          <w:kern w:val="0"/>
        </w:rPr>
      </w:pPr>
      <w:r>
        <w:rPr>
          <w:rFonts w:hint="eastAsia"/>
          <w:snapToGrid/>
          <w:kern w:val="0"/>
        </w:rPr>
        <w:t>大</w:t>
      </w:r>
      <w:r>
        <w:rPr>
          <w:snapToGrid/>
          <w:kern w:val="0"/>
        </w:rPr>
        <w:t xml:space="preserve"> </w:t>
      </w:r>
      <w:r>
        <w:rPr>
          <w:rFonts w:hint="eastAsia"/>
          <w:snapToGrid/>
          <w:kern w:val="0"/>
        </w:rPr>
        <w:t>韩</w:t>
      </w:r>
      <w:r>
        <w:rPr>
          <w:snapToGrid/>
          <w:kern w:val="0"/>
        </w:rPr>
        <w:t xml:space="preserve"> </w:t>
      </w:r>
      <w:r>
        <w:rPr>
          <w:rFonts w:hint="eastAsia"/>
          <w:snapToGrid/>
          <w:kern w:val="0"/>
        </w:rPr>
        <w:t>民</w:t>
      </w:r>
      <w:r>
        <w:rPr>
          <w:snapToGrid/>
          <w:kern w:val="0"/>
        </w:rPr>
        <w:t xml:space="preserve"> </w:t>
      </w:r>
      <w:r>
        <w:rPr>
          <w:rFonts w:hint="eastAsia"/>
          <w:snapToGrid/>
          <w:kern w:val="0"/>
        </w:rPr>
        <w:t>国</w:t>
      </w:r>
    </w:p>
    <w:p w:rsidR="00000000" w:rsidRDefault="00000000">
      <w:pPr>
        <w:pStyle w:val="12cm"/>
        <w:spacing w:before="0" w:after="160"/>
        <w:rPr>
          <w:rFonts w:hint="eastAsia"/>
          <w:snapToGrid/>
        </w:rPr>
      </w:pPr>
      <w:r>
        <w:rPr>
          <w:rFonts w:hint="eastAsia"/>
          <w:snapToGrid/>
        </w:rPr>
        <w:t>[2003</w:t>
      </w:r>
      <w:r>
        <w:rPr>
          <w:rFonts w:hint="eastAsia"/>
          <w:snapToGrid/>
        </w:rPr>
        <w:t>年</w:t>
      </w:r>
      <w:r>
        <w:rPr>
          <w:rFonts w:hint="eastAsia"/>
          <w:snapToGrid/>
        </w:rPr>
        <w:t>8</w:t>
      </w:r>
      <w:r>
        <w:rPr>
          <w:rFonts w:hint="eastAsia"/>
          <w:snapToGrid/>
        </w:rPr>
        <w:t>月</w:t>
      </w:r>
      <w:r>
        <w:rPr>
          <w:rFonts w:hint="eastAsia"/>
          <w:snapToGrid/>
        </w:rPr>
        <w:t>22</w:t>
      </w:r>
      <w:r>
        <w:rPr>
          <w:rFonts w:hint="eastAsia"/>
          <w:snapToGrid/>
        </w:rPr>
        <w:t>日</w:t>
      </w:r>
      <w:r>
        <w:rPr>
          <w:rFonts w:hint="eastAsia"/>
          <w:snapToGrid/>
        </w:rPr>
        <w:t>]</w:t>
      </w:r>
    </w:p>
    <w:p w:rsidR="00000000" w:rsidRDefault="00000000">
      <w:pPr>
        <w:pStyle w:val="a7"/>
        <w:keepNext/>
        <w:tabs>
          <w:tab w:val="clear" w:pos="7201"/>
          <w:tab w:val="clear" w:pos="8618"/>
          <w:tab w:val="left" w:pos="7088"/>
          <w:tab w:val="left" w:pos="8080"/>
          <w:tab w:val="left" w:pos="8640"/>
        </w:tabs>
        <w:spacing w:after="120" w:line="336" w:lineRule="auto"/>
        <w:jc w:val="center"/>
        <w:rPr>
          <w:snapToGrid/>
          <w:spacing w:val="0"/>
          <w:sz w:val="26"/>
        </w:rPr>
      </w:pPr>
      <w:r>
        <w:rPr>
          <w:rFonts w:eastAsia="SimSun"/>
          <w:snapToGrid/>
          <w:sz w:val="26"/>
        </w:rPr>
        <w:br w:type="page"/>
      </w:r>
      <w:r>
        <w:rPr>
          <w:rFonts w:hint="eastAsia"/>
          <w:snapToGrid/>
          <w:spacing w:val="0"/>
          <w:sz w:val="26"/>
        </w:rPr>
        <w:t>目</w:t>
      </w:r>
      <w:r>
        <w:rPr>
          <w:snapToGrid/>
          <w:spacing w:val="0"/>
          <w:sz w:val="26"/>
        </w:rPr>
        <w:tab/>
      </w:r>
      <w:r>
        <w:rPr>
          <w:rFonts w:hint="eastAsia"/>
          <w:snapToGrid/>
          <w:spacing w:val="0"/>
          <w:sz w:val="26"/>
        </w:rPr>
        <w:t>录</w:t>
      </w:r>
    </w:p>
    <w:p w:rsidR="00000000" w:rsidRDefault="00000000">
      <w:pPr>
        <w:pStyle w:val="a7"/>
        <w:keepNext/>
        <w:tabs>
          <w:tab w:val="clear" w:pos="7201"/>
          <w:tab w:val="clear" w:pos="8618"/>
          <w:tab w:val="left" w:pos="7088"/>
          <w:tab w:val="left" w:pos="8080"/>
          <w:tab w:val="left" w:pos="8640"/>
        </w:tabs>
        <w:spacing w:after="120" w:line="336" w:lineRule="auto"/>
        <w:rPr>
          <w:snapToGrid/>
          <w:spacing w:val="0"/>
          <w:sz w:val="26"/>
          <w:u w:val="single"/>
        </w:rPr>
      </w:pPr>
      <w:r>
        <w:rPr>
          <w:rFonts w:hint="eastAsia"/>
          <w:snapToGrid/>
          <w:spacing w:val="0"/>
          <w:sz w:val="26"/>
          <w:u w:val="single"/>
        </w:rPr>
        <w:t>章</w:t>
      </w:r>
      <w:r>
        <w:rPr>
          <w:snapToGrid/>
          <w:spacing w:val="0"/>
          <w:sz w:val="26"/>
          <w:u w:val="single"/>
        </w:rPr>
        <w:tab/>
      </w:r>
      <w:r>
        <w:rPr>
          <w:rFonts w:hint="eastAsia"/>
          <w:snapToGrid/>
          <w:spacing w:val="0"/>
          <w:sz w:val="26"/>
          <w:u w:val="single"/>
        </w:rPr>
        <w:t>次</w:t>
      </w:r>
      <w:r>
        <w:rPr>
          <w:snapToGrid/>
          <w:spacing w:val="0"/>
          <w:sz w:val="26"/>
        </w:rPr>
        <w:tab/>
      </w:r>
      <w:r>
        <w:rPr>
          <w:rFonts w:hint="eastAsia"/>
          <w:snapToGrid/>
          <w:spacing w:val="0"/>
          <w:sz w:val="26"/>
          <w:u w:val="single"/>
        </w:rPr>
        <w:t>段</w:t>
      </w:r>
      <w:r>
        <w:rPr>
          <w:snapToGrid/>
          <w:spacing w:val="0"/>
          <w:sz w:val="26"/>
          <w:u w:val="single"/>
        </w:rPr>
        <w:tab/>
      </w:r>
      <w:r>
        <w:rPr>
          <w:rFonts w:hint="eastAsia"/>
          <w:snapToGrid/>
          <w:spacing w:val="0"/>
          <w:sz w:val="26"/>
          <w:u w:val="single"/>
        </w:rPr>
        <w:t>次</w:t>
      </w:r>
      <w:r>
        <w:rPr>
          <w:snapToGrid/>
          <w:spacing w:val="0"/>
          <w:sz w:val="26"/>
        </w:rPr>
        <w:tab/>
      </w:r>
      <w:r>
        <w:rPr>
          <w:snapToGrid/>
          <w:spacing w:val="0"/>
          <w:sz w:val="26"/>
        </w:rPr>
        <w:tab/>
      </w:r>
      <w:r>
        <w:rPr>
          <w:rFonts w:hint="eastAsia"/>
          <w:snapToGrid/>
          <w:spacing w:val="0"/>
          <w:sz w:val="26"/>
          <w:u w:val="single"/>
        </w:rPr>
        <w:t>页</w:t>
      </w:r>
      <w:r>
        <w:rPr>
          <w:snapToGrid/>
          <w:spacing w:val="0"/>
          <w:sz w:val="26"/>
          <w:u w:val="single"/>
        </w:rPr>
        <w:tab/>
      </w:r>
      <w:r>
        <w:rPr>
          <w:rFonts w:hint="eastAsia"/>
          <w:snapToGrid/>
          <w:spacing w:val="0"/>
          <w:sz w:val="26"/>
          <w:u w:val="single"/>
        </w:rPr>
        <w:t>次</w:t>
      </w:r>
    </w:p>
    <w:p w:rsidR="00000000" w:rsidRDefault="00000000">
      <w:pPr>
        <w:pStyle w:val="a9"/>
        <w:rPr>
          <w:rFonts w:hint="eastAsia"/>
          <w:snapToGrid/>
        </w:rPr>
      </w:pPr>
      <w:r>
        <w:rPr>
          <w:snapToGrid/>
        </w:rPr>
        <w:tab/>
      </w:r>
      <w:r>
        <w:rPr>
          <w:rFonts w:hint="eastAsia"/>
          <w:snapToGrid/>
        </w:rPr>
        <w:t>一、土地和人口</w:t>
      </w:r>
      <w:r>
        <w:rPr>
          <w:snapToGrid/>
        </w:rPr>
        <w:t>............</w:t>
      </w:r>
      <w:r>
        <w:rPr>
          <w:snapToGrid/>
        </w:rPr>
        <w:tab/>
      </w:r>
      <w:r>
        <w:rPr>
          <w:snapToGrid/>
        </w:rPr>
        <w:tab/>
        <w:t>1</w:t>
      </w:r>
      <w:r>
        <w:rPr>
          <w:snapToGrid/>
        </w:rPr>
        <w:tab/>
        <w:t>-</w:t>
      </w:r>
      <w:r>
        <w:rPr>
          <w:snapToGrid/>
        </w:rPr>
        <w:tab/>
        <w:t>10</w:t>
      </w:r>
      <w:r>
        <w:rPr>
          <w:snapToGrid/>
        </w:rPr>
        <w:tab/>
      </w:r>
      <w:r>
        <w:rPr>
          <w:rFonts w:hint="eastAsia"/>
          <w:snapToGrid/>
        </w:rPr>
        <w:t>3</w:t>
      </w:r>
    </w:p>
    <w:p w:rsidR="00000000" w:rsidRDefault="00000000">
      <w:pPr>
        <w:pStyle w:val="a9"/>
        <w:ind w:left="1530"/>
        <w:rPr>
          <w:rFonts w:hint="eastAsia"/>
          <w:snapToGrid/>
        </w:rPr>
      </w:pPr>
      <w:r>
        <w:rPr>
          <w:rFonts w:hint="eastAsia"/>
          <w:snapToGrid/>
        </w:rPr>
        <w:t>A.</w:t>
      </w:r>
      <w:r>
        <w:rPr>
          <w:rFonts w:hint="eastAsia"/>
          <w:snapToGrid/>
        </w:rPr>
        <w:tab/>
      </w:r>
      <w:r>
        <w:rPr>
          <w:rFonts w:hint="eastAsia"/>
          <w:snapToGrid/>
        </w:rPr>
        <w:t>地理概况</w:t>
      </w:r>
      <w:r>
        <w:rPr>
          <w:snapToGrid/>
        </w:rPr>
        <w:tab/>
      </w:r>
      <w:r>
        <w:rPr>
          <w:snapToGrid/>
        </w:rPr>
        <w:tab/>
      </w:r>
      <w:r>
        <w:rPr>
          <w:snapToGrid/>
        </w:rPr>
        <w:tab/>
      </w:r>
      <w:r>
        <w:rPr>
          <w:rFonts w:hint="eastAsia"/>
          <w:snapToGrid/>
        </w:rPr>
        <w:t>1</w:t>
      </w:r>
      <w:r>
        <w:rPr>
          <w:snapToGrid/>
        </w:rPr>
        <w:tab/>
      </w:r>
      <w:r>
        <w:rPr>
          <w:snapToGrid/>
        </w:rPr>
        <w:tab/>
      </w:r>
      <w:r>
        <w:rPr>
          <w:rFonts w:hint="eastAsia"/>
          <w:snapToGrid/>
        </w:rPr>
        <w:t>3</w:t>
      </w:r>
    </w:p>
    <w:p w:rsidR="00000000" w:rsidRDefault="00000000">
      <w:pPr>
        <w:pStyle w:val="a9"/>
        <w:ind w:left="1530"/>
        <w:rPr>
          <w:rFonts w:hint="eastAsia"/>
          <w:snapToGrid/>
        </w:rPr>
      </w:pPr>
      <w:r>
        <w:rPr>
          <w:rFonts w:hint="eastAsia"/>
          <w:snapToGrid/>
        </w:rPr>
        <w:t>B.</w:t>
      </w:r>
      <w:r>
        <w:rPr>
          <w:rFonts w:hint="eastAsia"/>
          <w:snapToGrid/>
        </w:rPr>
        <w:tab/>
      </w:r>
      <w:r>
        <w:rPr>
          <w:rFonts w:hint="eastAsia"/>
          <w:snapToGrid/>
        </w:rPr>
        <w:t>人口、语言和宗教</w:t>
      </w:r>
      <w:r>
        <w:rPr>
          <w:snapToGrid/>
        </w:rPr>
        <w:tab/>
      </w:r>
      <w:r>
        <w:rPr>
          <w:snapToGrid/>
        </w:rPr>
        <w:tab/>
      </w:r>
      <w:r>
        <w:rPr>
          <w:rFonts w:hint="eastAsia"/>
          <w:snapToGrid/>
        </w:rPr>
        <w:t>2</w:t>
      </w:r>
      <w:r>
        <w:rPr>
          <w:rFonts w:hint="eastAsia"/>
          <w:snapToGrid/>
        </w:rPr>
        <w:tab/>
        <w:t>-</w:t>
      </w:r>
      <w:r>
        <w:rPr>
          <w:rFonts w:hint="eastAsia"/>
          <w:snapToGrid/>
        </w:rPr>
        <w:tab/>
        <w:t>9</w:t>
      </w:r>
      <w:r>
        <w:rPr>
          <w:snapToGrid/>
        </w:rPr>
        <w:tab/>
      </w:r>
      <w:r>
        <w:rPr>
          <w:rFonts w:hint="eastAsia"/>
          <w:snapToGrid/>
        </w:rPr>
        <w:t>3</w:t>
      </w:r>
    </w:p>
    <w:p w:rsidR="00000000" w:rsidRDefault="00000000">
      <w:pPr>
        <w:pStyle w:val="a9"/>
        <w:ind w:left="1530"/>
        <w:rPr>
          <w:rFonts w:hint="eastAsia"/>
          <w:snapToGrid/>
        </w:rPr>
      </w:pPr>
      <w:r>
        <w:rPr>
          <w:rFonts w:hint="eastAsia"/>
          <w:snapToGrid/>
        </w:rPr>
        <w:t>C.</w:t>
      </w:r>
      <w:r>
        <w:rPr>
          <w:rFonts w:hint="eastAsia"/>
          <w:snapToGrid/>
        </w:rPr>
        <w:tab/>
      </w:r>
      <w:r>
        <w:rPr>
          <w:rFonts w:hint="eastAsia"/>
          <w:snapToGrid/>
        </w:rPr>
        <w:t>其他社会经济指标</w:t>
      </w:r>
      <w:r>
        <w:rPr>
          <w:rFonts w:hint="eastAsia"/>
          <w:snapToGrid/>
        </w:rPr>
        <w:t xml:space="preserve"> </w:t>
      </w:r>
      <w:r>
        <w:rPr>
          <w:snapToGrid/>
        </w:rPr>
        <w:tab/>
      </w:r>
      <w:r>
        <w:rPr>
          <w:snapToGrid/>
        </w:rPr>
        <w:tab/>
      </w:r>
      <w:r>
        <w:rPr>
          <w:snapToGrid/>
        </w:rPr>
        <w:tab/>
      </w:r>
      <w:r>
        <w:rPr>
          <w:rFonts w:hint="eastAsia"/>
          <w:snapToGrid/>
        </w:rPr>
        <w:t>10</w:t>
      </w:r>
      <w:r>
        <w:rPr>
          <w:snapToGrid/>
        </w:rPr>
        <w:tab/>
      </w:r>
      <w:r>
        <w:rPr>
          <w:snapToGrid/>
        </w:rPr>
        <w:tab/>
      </w:r>
      <w:r>
        <w:rPr>
          <w:rFonts w:hint="eastAsia"/>
          <w:snapToGrid/>
        </w:rPr>
        <w:t>4</w:t>
      </w:r>
    </w:p>
    <w:p w:rsidR="00000000" w:rsidRDefault="00000000">
      <w:pPr>
        <w:pStyle w:val="a9"/>
        <w:rPr>
          <w:rFonts w:hint="eastAsia"/>
          <w:snapToGrid/>
        </w:rPr>
      </w:pPr>
      <w:r>
        <w:rPr>
          <w:snapToGrid/>
        </w:rPr>
        <w:tab/>
      </w:r>
      <w:r>
        <w:rPr>
          <w:rFonts w:hint="eastAsia"/>
          <w:snapToGrid/>
        </w:rPr>
        <w:t>二、一般政治结构</w:t>
      </w:r>
      <w:r>
        <w:rPr>
          <w:rFonts w:hint="eastAsia"/>
          <w:snapToGrid/>
        </w:rPr>
        <w:t xml:space="preserve"> </w:t>
      </w:r>
      <w:r>
        <w:rPr>
          <w:snapToGrid/>
        </w:rPr>
        <w:tab/>
      </w:r>
      <w:r>
        <w:rPr>
          <w:snapToGrid/>
        </w:rPr>
        <w:tab/>
      </w:r>
      <w:r>
        <w:rPr>
          <w:rFonts w:hint="eastAsia"/>
          <w:snapToGrid/>
        </w:rPr>
        <w:t>11</w:t>
      </w:r>
      <w:r>
        <w:rPr>
          <w:rFonts w:hint="eastAsia"/>
          <w:snapToGrid/>
        </w:rPr>
        <w:tab/>
        <w:t>-</w:t>
      </w:r>
      <w:r>
        <w:rPr>
          <w:rFonts w:hint="eastAsia"/>
          <w:snapToGrid/>
        </w:rPr>
        <w:tab/>
        <w:t>46</w:t>
      </w:r>
      <w:r>
        <w:rPr>
          <w:snapToGrid/>
        </w:rPr>
        <w:tab/>
      </w:r>
      <w:r>
        <w:rPr>
          <w:rFonts w:hint="eastAsia"/>
          <w:snapToGrid/>
        </w:rPr>
        <w:t>4</w:t>
      </w:r>
    </w:p>
    <w:p w:rsidR="00000000" w:rsidRDefault="00000000">
      <w:pPr>
        <w:pStyle w:val="a9"/>
        <w:ind w:left="1530"/>
        <w:rPr>
          <w:rFonts w:hint="eastAsia"/>
          <w:snapToGrid/>
        </w:rPr>
      </w:pPr>
      <w:r>
        <w:rPr>
          <w:rFonts w:hint="eastAsia"/>
          <w:snapToGrid/>
        </w:rPr>
        <w:t>A.</w:t>
      </w:r>
      <w:r>
        <w:rPr>
          <w:rFonts w:hint="eastAsia"/>
          <w:snapToGrid/>
        </w:rPr>
        <w:tab/>
      </w:r>
      <w:r>
        <w:rPr>
          <w:rFonts w:hint="eastAsia"/>
          <w:snapToGrid/>
        </w:rPr>
        <w:t>现代政治史</w:t>
      </w:r>
      <w:r>
        <w:rPr>
          <w:snapToGrid/>
        </w:rPr>
        <w:tab/>
      </w:r>
      <w:r>
        <w:rPr>
          <w:snapToGrid/>
        </w:rPr>
        <w:tab/>
      </w:r>
      <w:r>
        <w:rPr>
          <w:rFonts w:hint="eastAsia"/>
          <w:snapToGrid/>
        </w:rPr>
        <w:t>11</w:t>
      </w:r>
      <w:r>
        <w:rPr>
          <w:rFonts w:hint="eastAsia"/>
          <w:snapToGrid/>
        </w:rPr>
        <w:tab/>
        <w:t>-</w:t>
      </w:r>
      <w:r>
        <w:rPr>
          <w:rFonts w:hint="eastAsia"/>
          <w:snapToGrid/>
        </w:rPr>
        <w:tab/>
        <w:t>21</w:t>
      </w:r>
      <w:r>
        <w:rPr>
          <w:snapToGrid/>
        </w:rPr>
        <w:tab/>
      </w:r>
      <w:r>
        <w:rPr>
          <w:rFonts w:hint="eastAsia"/>
          <w:snapToGrid/>
        </w:rPr>
        <w:t>4</w:t>
      </w:r>
    </w:p>
    <w:p w:rsidR="00000000" w:rsidRDefault="00000000">
      <w:pPr>
        <w:pStyle w:val="a9"/>
        <w:ind w:left="1530"/>
        <w:rPr>
          <w:rFonts w:hint="eastAsia"/>
          <w:snapToGrid/>
        </w:rPr>
      </w:pPr>
      <w:r>
        <w:rPr>
          <w:rFonts w:hint="eastAsia"/>
          <w:snapToGrid/>
        </w:rPr>
        <w:t>B.</w:t>
      </w:r>
      <w:r>
        <w:rPr>
          <w:rFonts w:hint="eastAsia"/>
          <w:snapToGrid/>
        </w:rPr>
        <w:tab/>
      </w:r>
      <w:r>
        <w:rPr>
          <w:rFonts w:hint="eastAsia"/>
          <w:snapToGrid/>
        </w:rPr>
        <w:t>政府类型</w:t>
      </w:r>
      <w:r>
        <w:rPr>
          <w:snapToGrid/>
        </w:rPr>
        <w:tab/>
      </w:r>
      <w:r>
        <w:rPr>
          <w:snapToGrid/>
        </w:rPr>
        <w:tab/>
      </w:r>
      <w:r>
        <w:rPr>
          <w:rFonts w:hint="eastAsia"/>
          <w:snapToGrid/>
        </w:rPr>
        <w:t>22</w:t>
      </w:r>
      <w:r>
        <w:rPr>
          <w:rFonts w:hint="eastAsia"/>
          <w:snapToGrid/>
        </w:rPr>
        <w:tab/>
        <w:t>-</w:t>
      </w:r>
      <w:r>
        <w:rPr>
          <w:rFonts w:hint="eastAsia"/>
          <w:snapToGrid/>
        </w:rPr>
        <w:tab/>
        <w:t>23</w:t>
      </w:r>
      <w:r>
        <w:rPr>
          <w:snapToGrid/>
        </w:rPr>
        <w:tab/>
      </w:r>
      <w:r>
        <w:rPr>
          <w:rFonts w:hint="eastAsia"/>
          <w:snapToGrid/>
        </w:rPr>
        <w:t>6</w:t>
      </w:r>
    </w:p>
    <w:p w:rsidR="00000000" w:rsidRDefault="00000000">
      <w:pPr>
        <w:pStyle w:val="a9"/>
        <w:ind w:left="1530"/>
        <w:rPr>
          <w:rFonts w:hint="eastAsia"/>
          <w:snapToGrid/>
        </w:rPr>
      </w:pPr>
      <w:r>
        <w:rPr>
          <w:rFonts w:hint="eastAsia"/>
          <w:snapToGrid/>
        </w:rPr>
        <w:t>C.</w:t>
      </w:r>
      <w:r>
        <w:rPr>
          <w:rFonts w:hint="eastAsia"/>
          <w:snapToGrid/>
        </w:rPr>
        <w:tab/>
      </w:r>
      <w:r>
        <w:rPr>
          <w:rFonts w:hint="eastAsia"/>
          <w:snapToGrid/>
        </w:rPr>
        <w:t>政治组织</w:t>
      </w:r>
      <w:r>
        <w:rPr>
          <w:snapToGrid/>
        </w:rPr>
        <w:tab/>
      </w:r>
      <w:r>
        <w:rPr>
          <w:snapToGrid/>
        </w:rPr>
        <w:tab/>
      </w:r>
      <w:r>
        <w:rPr>
          <w:rFonts w:hint="eastAsia"/>
          <w:snapToGrid/>
        </w:rPr>
        <w:t>24</w:t>
      </w:r>
      <w:r>
        <w:rPr>
          <w:rFonts w:hint="eastAsia"/>
          <w:snapToGrid/>
        </w:rPr>
        <w:tab/>
        <w:t>-</w:t>
      </w:r>
      <w:r>
        <w:rPr>
          <w:rFonts w:hint="eastAsia"/>
          <w:snapToGrid/>
        </w:rPr>
        <w:tab/>
        <w:t>46</w:t>
      </w:r>
      <w:r>
        <w:rPr>
          <w:snapToGrid/>
        </w:rPr>
        <w:tab/>
      </w:r>
      <w:r>
        <w:rPr>
          <w:rFonts w:hint="eastAsia"/>
          <w:snapToGrid/>
        </w:rPr>
        <w:t>6</w:t>
      </w:r>
    </w:p>
    <w:p w:rsidR="00000000" w:rsidRDefault="00000000">
      <w:pPr>
        <w:pStyle w:val="a9"/>
        <w:ind w:left="2040"/>
        <w:rPr>
          <w:rFonts w:hint="eastAsia"/>
          <w:snapToGrid/>
        </w:rPr>
      </w:pPr>
      <w:r>
        <w:rPr>
          <w:rFonts w:hint="eastAsia"/>
          <w:snapToGrid/>
        </w:rPr>
        <w:t>1.</w:t>
      </w:r>
      <w:r>
        <w:rPr>
          <w:rFonts w:hint="eastAsia"/>
          <w:snapToGrid/>
        </w:rPr>
        <w:tab/>
      </w:r>
      <w:r>
        <w:rPr>
          <w:rFonts w:hint="eastAsia"/>
          <w:snapToGrid/>
        </w:rPr>
        <w:t>总统</w:t>
      </w:r>
      <w:r>
        <w:rPr>
          <w:rFonts w:hint="eastAsia"/>
          <w:snapToGrid/>
        </w:rPr>
        <w:t xml:space="preserve"> </w:t>
      </w:r>
      <w:r>
        <w:rPr>
          <w:snapToGrid/>
        </w:rPr>
        <w:tab/>
      </w:r>
      <w:r>
        <w:rPr>
          <w:snapToGrid/>
        </w:rPr>
        <w:tab/>
      </w:r>
      <w:r>
        <w:rPr>
          <w:rFonts w:hint="eastAsia"/>
          <w:snapToGrid/>
        </w:rPr>
        <w:t>24</w:t>
      </w:r>
      <w:r>
        <w:rPr>
          <w:rFonts w:hint="eastAsia"/>
          <w:snapToGrid/>
        </w:rPr>
        <w:tab/>
        <w:t>-</w:t>
      </w:r>
      <w:r>
        <w:rPr>
          <w:rFonts w:hint="eastAsia"/>
          <w:snapToGrid/>
        </w:rPr>
        <w:tab/>
        <w:t>29</w:t>
      </w:r>
      <w:r>
        <w:rPr>
          <w:snapToGrid/>
        </w:rPr>
        <w:tab/>
      </w:r>
      <w:r>
        <w:rPr>
          <w:rFonts w:hint="eastAsia"/>
          <w:snapToGrid/>
        </w:rPr>
        <w:t>6</w:t>
      </w:r>
    </w:p>
    <w:p w:rsidR="00000000" w:rsidRDefault="00000000">
      <w:pPr>
        <w:pStyle w:val="a9"/>
        <w:ind w:left="2040"/>
        <w:rPr>
          <w:rFonts w:hint="eastAsia"/>
          <w:snapToGrid/>
        </w:rPr>
      </w:pPr>
      <w:r>
        <w:rPr>
          <w:rFonts w:hint="eastAsia"/>
          <w:snapToGrid/>
        </w:rPr>
        <w:t>2.</w:t>
      </w:r>
      <w:r>
        <w:rPr>
          <w:rFonts w:hint="eastAsia"/>
          <w:snapToGrid/>
        </w:rPr>
        <w:tab/>
      </w:r>
      <w:r>
        <w:rPr>
          <w:rFonts w:hint="eastAsia"/>
          <w:snapToGrid/>
        </w:rPr>
        <w:t>总理、国务会议和行政部门</w:t>
      </w:r>
      <w:r>
        <w:rPr>
          <w:rFonts w:hint="eastAsia"/>
          <w:snapToGrid/>
        </w:rPr>
        <w:t xml:space="preserve"> </w:t>
      </w:r>
      <w:r>
        <w:rPr>
          <w:snapToGrid/>
        </w:rPr>
        <w:tab/>
      </w:r>
      <w:r>
        <w:rPr>
          <w:snapToGrid/>
        </w:rPr>
        <w:tab/>
      </w:r>
      <w:r>
        <w:rPr>
          <w:rFonts w:hint="eastAsia"/>
          <w:snapToGrid/>
        </w:rPr>
        <w:t>30</w:t>
      </w:r>
      <w:r>
        <w:rPr>
          <w:rFonts w:hint="eastAsia"/>
          <w:snapToGrid/>
        </w:rPr>
        <w:tab/>
        <w:t>-</w:t>
      </w:r>
      <w:r>
        <w:rPr>
          <w:rFonts w:hint="eastAsia"/>
          <w:snapToGrid/>
        </w:rPr>
        <w:tab/>
        <w:t>34</w:t>
      </w:r>
      <w:r>
        <w:rPr>
          <w:snapToGrid/>
        </w:rPr>
        <w:tab/>
      </w:r>
      <w:r>
        <w:rPr>
          <w:rFonts w:hint="eastAsia"/>
          <w:snapToGrid/>
        </w:rPr>
        <w:t>7</w:t>
      </w:r>
    </w:p>
    <w:p w:rsidR="00000000" w:rsidRDefault="00000000">
      <w:pPr>
        <w:pStyle w:val="a9"/>
        <w:ind w:left="2040"/>
        <w:rPr>
          <w:rFonts w:hint="eastAsia"/>
          <w:snapToGrid/>
        </w:rPr>
      </w:pPr>
      <w:r>
        <w:rPr>
          <w:rFonts w:hint="eastAsia"/>
          <w:snapToGrid/>
        </w:rPr>
        <w:t>3.</w:t>
      </w:r>
      <w:r>
        <w:rPr>
          <w:rFonts w:hint="eastAsia"/>
          <w:snapToGrid/>
        </w:rPr>
        <w:tab/>
      </w:r>
      <w:r>
        <w:rPr>
          <w:rFonts w:hint="eastAsia"/>
          <w:snapToGrid/>
        </w:rPr>
        <w:t>立法机构</w:t>
      </w:r>
      <w:r>
        <w:rPr>
          <w:rFonts w:hint="eastAsia"/>
          <w:snapToGrid/>
        </w:rPr>
        <w:t xml:space="preserve"> </w:t>
      </w:r>
      <w:r>
        <w:rPr>
          <w:snapToGrid/>
        </w:rPr>
        <w:tab/>
      </w:r>
      <w:r>
        <w:rPr>
          <w:snapToGrid/>
        </w:rPr>
        <w:tab/>
      </w:r>
      <w:r>
        <w:rPr>
          <w:rFonts w:hint="eastAsia"/>
          <w:snapToGrid/>
        </w:rPr>
        <w:t>35</w:t>
      </w:r>
      <w:r>
        <w:rPr>
          <w:rFonts w:hint="eastAsia"/>
          <w:snapToGrid/>
        </w:rPr>
        <w:tab/>
        <w:t>-</w:t>
      </w:r>
      <w:r>
        <w:rPr>
          <w:rFonts w:hint="eastAsia"/>
          <w:snapToGrid/>
        </w:rPr>
        <w:tab/>
        <w:t>39</w:t>
      </w:r>
      <w:r>
        <w:rPr>
          <w:snapToGrid/>
        </w:rPr>
        <w:tab/>
      </w:r>
      <w:r>
        <w:rPr>
          <w:rFonts w:hint="eastAsia"/>
          <w:snapToGrid/>
        </w:rPr>
        <w:t>8</w:t>
      </w:r>
    </w:p>
    <w:p w:rsidR="00000000" w:rsidRDefault="00000000">
      <w:pPr>
        <w:pStyle w:val="a9"/>
        <w:ind w:left="2040"/>
        <w:rPr>
          <w:rFonts w:hint="eastAsia"/>
          <w:snapToGrid/>
        </w:rPr>
      </w:pPr>
      <w:r>
        <w:rPr>
          <w:rFonts w:hint="eastAsia"/>
          <w:snapToGrid/>
        </w:rPr>
        <w:t>4.</w:t>
      </w:r>
      <w:r>
        <w:rPr>
          <w:rFonts w:hint="eastAsia"/>
          <w:snapToGrid/>
        </w:rPr>
        <w:tab/>
      </w:r>
      <w:r>
        <w:rPr>
          <w:rFonts w:hint="eastAsia"/>
          <w:snapToGrid/>
        </w:rPr>
        <w:t>司法机构</w:t>
      </w:r>
      <w:r>
        <w:rPr>
          <w:rFonts w:hint="eastAsia"/>
          <w:snapToGrid/>
        </w:rPr>
        <w:t xml:space="preserve"> </w:t>
      </w:r>
      <w:r>
        <w:rPr>
          <w:snapToGrid/>
        </w:rPr>
        <w:tab/>
      </w:r>
      <w:r>
        <w:rPr>
          <w:snapToGrid/>
        </w:rPr>
        <w:tab/>
      </w:r>
      <w:r>
        <w:rPr>
          <w:rFonts w:hint="eastAsia"/>
          <w:snapToGrid/>
        </w:rPr>
        <w:t>40</w:t>
      </w:r>
      <w:r>
        <w:rPr>
          <w:rFonts w:hint="eastAsia"/>
          <w:snapToGrid/>
        </w:rPr>
        <w:tab/>
        <w:t>-</w:t>
      </w:r>
      <w:r>
        <w:rPr>
          <w:rFonts w:hint="eastAsia"/>
          <w:snapToGrid/>
        </w:rPr>
        <w:tab/>
        <w:t>46</w:t>
      </w:r>
      <w:r>
        <w:rPr>
          <w:snapToGrid/>
        </w:rPr>
        <w:tab/>
      </w:r>
      <w:r>
        <w:rPr>
          <w:rFonts w:hint="eastAsia"/>
          <w:snapToGrid/>
        </w:rPr>
        <w:t>8</w:t>
      </w:r>
    </w:p>
    <w:p w:rsidR="00000000" w:rsidRDefault="00000000">
      <w:pPr>
        <w:pStyle w:val="a9"/>
        <w:rPr>
          <w:rFonts w:hint="eastAsia"/>
          <w:snapToGrid/>
        </w:rPr>
      </w:pPr>
      <w:r>
        <w:rPr>
          <w:rFonts w:hint="eastAsia"/>
          <w:snapToGrid/>
        </w:rPr>
        <w:tab/>
      </w:r>
      <w:r>
        <w:rPr>
          <w:rFonts w:hint="eastAsia"/>
          <w:snapToGrid/>
        </w:rPr>
        <w:t>三、保护人权的一般法律框架</w:t>
      </w:r>
      <w:r>
        <w:rPr>
          <w:snapToGrid/>
        </w:rPr>
        <w:tab/>
      </w:r>
      <w:r>
        <w:rPr>
          <w:snapToGrid/>
        </w:rPr>
        <w:tab/>
      </w:r>
      <w:r>
        <w:rPr>
          <w:rFonts w:hint="eastAsia"/>
          <w:snapToGrid/>
        </w:rPr>
        <w:t>47</w:t>
      </w:r>
      <w:r>
        <w:rPr>
          <w:rFonts w:hint="eastAsia"/>
          <w:snapToGrid/>
        </w:rPr>
        <w:tab/>
        <w:t>-</w:t>
      </w:r>
      <w:r>
        <w:rPr>
          <w:rFonts w:hint="eastAsia"/>
          <w:snapToGrid/>
        </w:rPr>
        <w:tab/>
        <w:t>69</w:t>
      </w:r>
      <w:r>
        <w:rPr>
          <w:snapToGrid/>
        </w:rPr>
        <w:tab/>
      </w:r>
      <w:r>
        <w:rPr>
          <w:rFonts w:hint="eastAsia"/>
          <w:snapToGrid/>
        </w:rPr>
        <w:t>9</w:t>
      </w:r>
    </w:p>
    <w:p w:rsidR="00000000" w:rsidRDefault="00000000">
      <w:pPr>
        <w:pStyle w:val="a9"/>
        <w:ind w:left="1530"/>
        <w:rPr>
          <w:rFonts w:hint="eastAsia"/>
          <w:snapToGrid/>
        </w:rPr>
      </w:pPr>
      <w:r>
        <w:rPr>
          <w:rFonts w:hint="eastAsia"/>
          <w:snapToGrid/>
        </w:rPr>
        <w:t>A.</w:t>
      </w:r>
      <w:r>
        <w:rPr>
          <w:rFonts w:hint="eastAsia"/>
          <w:snapToGrid/>
        </w:rPr>
        <w:tab/>
      </w:r>
      <w:r>
        <w:rPr>
          <w:rFonts w:hint="eastAsia"/>
          <w:snapToGrid/>
        </w:rPr>
        <w:t>负责人权事务的国家系统</w:t>
      </w:r>
      <w:r>
        <w:rPr>
          <w:rFonts w:hint="eastAsia"/>
          <w:snapToGrid/>
        </w:rPr>
        <w:t xml:space="preserve"> </w:t>
      </w:r>
      <w:r>
        <w:rPr>
          <w:snapToGrid/>
        </w:rPr>
        <w:tab/>
      </w:r>
      <w:r>
        <w:rPr>
          <w:snapToGrid/>
        </w:rPr>
        <w:tab/>
      </w:r>
      <w:r>
        <w:rPr>
          <w:rFonts w:hint="eastAsia"/>
          <w:snapToGrid/>
        </w:rPr>
        <w:t>47</w:t>
      </w:r>
      <w:r>
        <w:rPr>
          <w:rFonts w:hint="eastAsia"/>
          <w:snapToGrid/>
        </w:rPr>
        <w:tab/>
        <w:t>-</w:t>
      </w:r>
      <w:r>
        <w:rPr>
          <w:rFonts w:hint="eastAsia"/>
          <w:snapToGrid/>
        </w:rPr>
        <w:tab/>
        <w:t>54</w:t>
      </w:r>
      <w:r>
        <w:rPr>
          <w:snapToGrid/>
        </w:rPr>
        <w:tab/>
      </w:r>
      <w:r>
        <w:rPr>
          <w:rFonts w:hint="eastAsia"/>
          <w:snapToGrid/>
        </w:rPr>
        <w:t>9</w:t>
      </w:r>
    </w:p>
    <w:p w:rsidR="00000000" w:rsidRDefault="00000000">
      <w:pPr>
        <w:pStyle w:val="a9"/>
        <w:ind w:left="1530"/>
        <w:rPr>
          <w:rFonts w:hint="eastAsia"/>
          <w:snapToGrid/>
        </w:rPr>
      </w:pPr>
      <w:r>
        <w:rPr>
          <w:rFonts w:hint="eastAsia"/>
          <w:snapToGrid/>
        </w:rPr>
        <w:t>B.</w:t>
      </w:r>
      <w:r>
        <w:rPr>
          <w:rFonts w:hint="eastAsia"/>
          <w:snapToGrid/>
        </w:rPr>
        <w:tab/>
      </w:r>
      <w:r>
        <w:rPr>
          <w:rFonts w:hint="eastAsia"/>
          <w:snapToGrid/>
        </w:rPr>
        <w:t>针对个人权利受到损害者的赔偿措施</w:t>
      </w:r>
      <w:r>
        <w:rPr>
          <w:snapToGrid/>
        </w:rPr>
        <w:tab/>
      </w:r>
      <w:r>
        <w:rPr>
          <w:snapToGrid/>
        </w:rPr>
        <w:tab/>
      </w:r>
      <w:r>
        <w:rPr>
          <w:rFonts w:hint="eastAsia"/>
          <w:snapToGrid/>
        </w:rPr>
        <w:t>55</w:t>
      </w:r>
      <w:r>
        <w:rPr>
          <w:rFonts w:hint="eastAsia"/>
          <w:snapToGrid/>
        </w:rPr>
        <w:tab/>
        <w:t>-</w:t>
      </w:r>
      <w:r>
        <w:rPr>
          <w:rFonts w:hint="eastAsia"/>
          <w:snapToGrid/>
        </w:rPr>
        <w:tab/>
        <w:t>59</w:t>
      </w:r>
      <w:r>
        <w:rPr>
          <w:snapToGrid/>
        </w:rPr>
        <w:tab/>
      </w:r>
      <w:r>
        <w:rPr>
          <w:rFonts w:hint="eastAsia"/>
          <w:snapToGrid/>
        </w:rPr>
        <w:t>11</w:t>
      </w:r>
    </w:p>
    <w:p w:rsidR="00000000" w:rsidRDefault="00000000">
      <w:pPr>
        <w:pStyle w:val="a9"/>
        <w:ind w:left="1530"/>
        <w:rPr>
          <w:rFonts w:hint="eastAsia"/>
          <w:snapToGrid/>
        </w:rPr>
      </w:pPr>
      <w:r>
        <w:rPr>
          <w:rFonts w:hint="eastAsia"/>
          <w:snapToGrid/>
        </w:rPr>
        <w:t>C.</w:t>
      </w:r>
      <w:r>
        <w:rPr>
          <w:rFonts w:hint="eastAsia"/>
          <w:snapToGrid/>
        </w:rPr>
        <w:tab/>
      </w:r>
      <w:r>
        <w:rPr>
          <w:rFonts w:hint="eastAsia"/>
          <w:snapToGrid/>
        </w:rPr>
        <w:t>宪法和其他法律中对保护人权的规定</w:t>
      </w:r>
      <w:r>
        <w:rPr>
          <w:snapToGrid/>
        </w:rPr>
        <w:tab/>
      </w:r>
      <w:r>
        <w:rPr>
          <w:snapToGrid/>
        </w:rPr>
        <w:tab/>
      </w:r>
      <w:r>
        <w:rPr>
          <w:rFonts w:hint="eastAsia"/>
          <w:snapToGrid/>
        </w:rPr>
        <w:t>60</w:t>
      </w:r>
      <w:r>
        <w:rPr>
          <w:rFonts w:hint="eastAsia"/>
          <w:snapToGrid/>
        </w:rPr>
        <w:tab/>
        <w:t>-</w:t>
      </w:r>
      <w:r>
        <w:rPr>
          <w:rFonts w:hint="eastAsia"/>
          <w:snapToGrid/>
        </w:rPr>
        <w:tab/>
        <w:t>66</w:t>
      </w:r>
      <w:r>
        <w:rPr>
          <w:snapToGrid/>
        </w:rPr>
        <w:tab/>
      </w:r>
      <w:r>
        <w:rPr>
          <w:rFonts w:hint="eastAsia"/>
          <w:snapToGrid/>
        </w:rPr>
        <w:t>12</w:t>
      </w:r>
    </w:p>
    <w:p w:rsidR="00000000" w:rsidRDefault="00000000">
      <w:pPr>
        <w:pStyle w:val="a9"/>
        <w:ind w:left="1530"/>
        <w:rPr>
          <w:rFonts w:hint="eastAsia"/>
          <w:snapToGrid/>
        </w:rPr>
      </w:pPr>
      <w:r>
        <w:rPr>
          <w:rFonts w:hint="eastAsia"/>
          <w:snapToGrid/>
        </w:rPr>
        <w:t>D.</w:t>
      </w:r>
      <w:r>
        <w:rPr>
          <w:rFonts w:hint="eastAsia"/>
          <w:snapToGrid/>
        </w:rPr>
        <w:tab/>
      </w:r>
      <w:r>
        <w:rPr>
          <w:rFonts w:hint="eastAsia"/>
          <w:snapToGrid/>
        </w:rPr>
        <w:t>缔约国法律制度中的人权文书</w:t>
      </w:r>
      <w:r>
        <w:rPr>
          <w:snapToGrid/>
        </w:rPr>
        <w:tab/>
      </w:r>
      <w:r>
        <w:rPr>
          <w:snapToGrid/>
        </w:rPr>
        <w:tab/>
      </w:r>
      <w:r>
        <w:rPr>
          <w:rFonts w:hint="eastAsia"/>
          <w:snapToGrid/>
        </w:rPr>
        <w:t>67</w:t>
      </w:r>
      <w:r>
        <w:rPr>
          <w:rFonts w:hint="eastAsia"/>
          <w:snapToGrid/>
        </w:rPr>
        <w:tab/>
        <w:t>-</w:t>
      </w:r>
      <w:r>
        <w:rPr>
          <w:rFonts w:hint="eastAsia"/>
          <w:snapToGrid/>
        </w:rPr>
        <w:tab/>
        <w:t>69</w:t>
      </w:r>
      <w:r>
        <w:rPr>
          <w:snapToGrid/>
        </w:rPr>
        <w:tab/>
      </w:r>
      <w:r>
        <w:rPr>
          <w:rFonts w:hint="eastAsia"/>
          <w:snapToGrid/>
        </w:rPr>
        <w:t>13</w:t>
      </w:r>
    </w:p>
    <w:p w:rsidR="00000000" w:rsidRDefault="00000000">
      <w:pPr>
        <w:pStyle w:val="a9"/>
        <w:spacing w:after="240"/>
        <w:rPr>
          <w:rFonts w:hint="eastAsia"/>
          <w:snapToGrid/>
        </w:rPr>
      </w:pPr>
      <w:r>
        <w:rPr>
          <w:rFonts w:hint="eastAsia"/>
          <w:snapToGrid/>
        </w:rPr>
        <w:tab/>
      </w:r>
      <w:r>
        <w:rPr>
          <w:rFonts w:hint="eastAsia"/>
          <w:snapToGrid/>
        </w:rPr>
        <w:t>四、新闻与宣传</w:t>
      </w:r>
      <w:r>
        <w:rPr>
          <w:snapToGrid/>
        </w:rPr>
        <w:tab/>
      </w:r>
      <w:r>
        <w:rPr>
          <w:snapToGrid/>
        </w:rPr>
        <w:tab/>
      </w:r>
      <w:r>
        <w:rPr>
          <w:rFonts w:hint="eastAsia"/>
          <w:snapToGrid/>
        </w:rPr>
        <w:t>70</w:t>
      </w:r>
      <w:r>
        <w:rPr>
          <w:rFonts w:hint="eastAsia"/>
          <w:snapToGrid/>
        </w:rPr>
        <w:tab/>
        <w:t>-</w:t>
      </w:r>
      <w:r>
        <w:rPr>
          <w:rFonts w:hint="eastAsia"/>
          <w:snapToGrid/>
        </w:rPr>
        <w:tab/>
        <w:t>74</w:t>
      </w:r>
      <w:r>
        <w:rPr>
          <w:snapToGrid/>
        </w:rPr>
        <w:tab/>
      </w:r>
      <w:r>
        <w:rPr>
          <w:rFonts w:hint="eastAsia"/>
          <w:snapToGrid/>
        </w:rPr>
        <w:t>13</w:t>
      </w:r>
    </w:p>
    <w:p w:rsidR="00000000" w:rsidRDefault="00000000">
      <w:pPr>
        <w:pStyle w:val="aa"/>
        <w:rPr>
          <w:rFonts w:hint="eastAsia"/>
          <w:snapToGrid/>
        </w:rPr>
      </w:pPr>
      <w:r>
        <w:rPr>
          <w:rFonts w:hint="eastAsia"/>
          <w:snapToGrid/>
        </w:rPr>
        <w:t>附</w:t>
      </w:r>
      <w:r>
        <w:rPr>
          <w:snapToGrid/>
        </w:rPr>
        <w:t xml:space="preserve">  </w:t>
      </w:r>
      <w:r>
        <w:rPr>
          <w:rFonts w:hint="eastAsia"/>
          <w:snapToGrid/>
        </w:rPr>
        <w:t>件</w:t>
      </w:r>
      <w:r>
        <w:rPr>
          <w:snapToGrid/>
        </w:rPr>
        <w:t>...............................</w:t>
      </w:r>
      <w:r>
        <w:rPr>
          <w:rFonts w:hint="eastAsia"/>
          <w:snapToGrid/>
        </w:rPr>
        <w:t>...</w:t>
      </w:r>
      <w:r>
        <w:rPr>
          <w:rFonts w:hint="eastAsia"/>
          <w:snapToGrid/>
        </w:rPr>
        <w:tab/>
      </w:r>
      <w:r>
        <w:rPr>
          <w:snapToGrid/>
        </w:rPr>
        <w:tab/>
      </w:r>
      <w:r>
        <w:rPr>
          <w:rFonts w:hint="eastAsia"/>
          <w:snapToGrid/>
        </w:rPr>
        <w:t>15</w:t>
      </w:r>
    </w:p>
    <w:p w:rsidR="00000000" w:rsidRDefault="00000000">
      <w:pPr>
        <w:pStyle w:val="Heading2"/>
        <w:rPr>
          <w:rFonts w:hint="eastAsia"/>
          <w:kern w:val="0"/>
        </w:rPr>
      </w:pPr>
      <w:r>
        <w:rPr>
          <w:snapToGrid/>
          <w:kern w:val="0"/>
        </w:rPr>
        <w:br w:type="page"/>
      </w:r>
      <w:r>
        <w:rPr>
          <w:rFonts w:hint="eastAsia"/>
          <w:kern w:val="0"/>
        </w:rPr>
        <w:t>一、土地和人口</w:t>
      </w:r>
    </w:p>
    <w:p w:rsidR="00000000" w:rsidRDefault="00000000">
      <w:pPr>
        <w:pStyle w:val="Heading3"/>
        <w:rPr>
          <w:rFonts w:hint="eastAsia"/>
          <w:kern w:val="0"/>
        </w:rPr>
      </w:pPr>
      <w:r>
        <w:rPr>
          <w:rFonts w:hint="eastAsia"/>
          <w:kern w:val="0"/>
          <w:u w:val="none"/>
        </w:rPr>
        <w:t>A</w:t>
      </w:r>
      <w:r>
        <w:rPr>
          <w:kern w:val="0"/>
          <w:u w:val="none"/>
        </w:rPr>
        <w:t xml:space="preserve">.  </w:t>
      </w:r>
      <w:r>
        <w:rPr>
          <w:rFonts w:hint="eastAsia"/>
          <w:kern w:val="0"/>
        </w:rPr>
        <w:t>地理概况</w:t>
      </w:r>
    </w:p>
    <w:p w:rsidR="00000000" w:rsidRDefault="00000000">
      <w:pPr>
        <w:spacing w:after="320"/>
        <w:rPr>
          <w:rFonts w:hint="eastAsia"/>
          <w:snapToGrid/>
        </w:rPr>
      </w:pPr>
      <w:r>
        <w:rPr>
          <w:snapToGrid/>
        </w:rPr>
        <w:tab/>
        <w:t xml:space="preserve">1.  </w:t>
      </w:r>
      <w:r>
        <w:rPr>
          <w:rFonts w:hint="eastAsia"/>
          <w:snapToGrid/>
        </w:rPr>
        <w:t>大韩民国位于朝鲜半岛，南北纵向</w:t>
      </w:r>
      <w:r>
        <w:rPr>
          <w:rFonts w:hint="eastAsia"/>
          <w:snapToGrid/>
        </w:rPr>
        <w:t>1,100</w:t>
      </w:r>
      <w:r>
        <w:rPr>
          <w:rFonts w:hint="eastAsia"/>
          <w:snapToGrid/>
        </w:rPr>
        <w:t>公里，东濒东海，西临黄海。朝鲜半岛位于亚洲大陆东北部，太平洋西北角，总面积为</w:t>
      </w:r>
      <w:r>
        <w:rPr>
          <w:rFonts w:hint="eastAsia"/>
          <w:snapToGrid/>
        </w:rPr>
        <w:t>222,154</w:t>
      </w:r>
      <w:r>
        <w:rPr>
          <w:rFonts w:hint="eastAsia"/>
          <w:snapToGrid/>
        </w:rPr>
        <w:t>平方公里。</w:t>
      </w:r>
    </w:p>
    <w:p w:rsidR="00000000" w:rsidRDefault="00000000">
      <w:pPr>
        <w:pStyle w:val="Heading3"/>
        <w:rPr>
          <w:rFonts w:hint="eastAsia"/>
          <w:kern w:val="0"/>
        </w:rPr>
      </w:pPr>
      <w:r>
        <w:rPr>
          <w:rFonts w:hint="eastAsia"/>
          <w:snapToGrid/>
          <w:u w:val="none"/>
        </w:rPr>
        <w:t xml:space="preserve">B.  </w:t>
      </w:r>
      <w:r>
        <w:rPr>
          <w:rFonts w:hint="eastAsia"/>
          <w:kern w:val="0"/>
        </w:rPr>
        <w:t>人口、语言和宗教</w:t>
      </w:r>
    </w:p>
    <w:p w:rsidR="00000000" w:rsidRDefault="00000000">
      <w:pPr>
        <w:rPr>
          <w:rFonts w:hint="eastAsia"/>
          <w:snapToGrid/>
        </w:rPr>
      </w:pPr>
      <w:r>
        <w:rPr>
          <w:rFonts w:hint="eastAsia"/>
        </w:rPr>
        <w:tab/>
      </w:r>
      <w:r>
        <w:rPr>
          <w:rFonts w:hint="eastAsia"/>
          <w:snapToGrid/>
        </w:rPr>
        <w:t xml:space="preserve">2.  </w:t>
      </w:r>
      <w:r>
        <w:rPr>
          <w:rFonts w:hint="eastAsia"/>
          <w:snapToGrid/>
        </w:rPr>
        <w:t>大韩民国为单一民族，只有一种官方母语：韩国语。韩国人民共有一些独特的体貌特征，被认为是曾经从中亚移徙到朝鲜半岛的一些蒙古部落的后裔。</w:t>
      </w:r>
    </w:p>
    <w:p w:rsidR="00000000" w:rsidRDefault="00000000">
      <w:pPr>
        <w:rPr>
          <w:rFonts w:hint="eastAsia"/>
          <w:snapToGrid/>
        </w:rPr>
      </w:pPr>
      <w:r>
        <w:rPr>
          <w:rFonts w:hint="eastAsia"/>
          <w:snapToGrid/>
        </w:rPr>
        <w:tab/>
        <w:t xml:space="preserve">3.  </w:t>
      </w:r>
      <w:r>
        <w:rPr>
          <w:rFonts w:hint="eastAsia"/>
          <w:snapToGrid/>
        </w:rPr>
        <w:t>到</w:t>
      </w:r>
      <w:r>
        <w:rPr>
          <w:rFonts w:hint="eastAsia"/>
          <w:snapToGrid/>
        </w:rPr>
        <w:t>2002</w:t>
      </w:r>
      <w:r>
        <w:rPr>
          <w:rFonts w:hint="eastAsia"/>
          <w:snapToGrid/>
        </w:rPr>
        <w:t>年</w:t>
      </w:r>
      <w:r>
        <w:rPr>
          <w:rFonts w:hint="eastAsia"/>
          <w:snapToGrid/>
        </w:rPr>
        <w:t>4</w:t>
      </w:r>
      <w:r>
        <w:rPr>
          <w:rFonts w:hint="eastAsia"/>
          <w:snapToGrid/>
        </w:rPr>
        <w:t>月为止，大韩民国的总人口估计为</w:t>
      </w:r>
      <w:r>
        <w:rPr>
          <w:rFonts w:hint="eastAsia"/>
          <w:snapToGrid/>
        </w:rPr>
        <w:t>48,021,558,</w:t>
      </w:r>
      <w:r>
        <w:rPr>
          <w:rFonts w:hint="eastAsia"/>
          <w:snapToGrid/>
        </w:rPr>
        <w:t>每平方公里的人口密度为</w:t>
      </w:r>
      <w:r>
        <w:rPr>
          <w:rFonts w:hint="eastAsia"/>
          <w:snapToGrid/>
        </w:rPr>
        <w:t>476</w:t>
      </w:r>
      <w:r>
        <w:rPr>
          <w:rFonts w:hint="eastAsia"/>
          <w:snapToGrid/>
        </w:rPr>
        <w:t>人。目前人口增长率维持在</w:t>
      </w:r>
      <w:r>
        <w:rPr>
          <w:rFonts w:hint="eastAsia"/>
          <w:snapToGrid/>
        </w:rPr>
        <w:t>0.89%</w:t>
      </w:r>
      <w:r>
        <w:rPr>
          <w:rFonts w:hint="eastAsia"/>
          <w:snapToGrid/>
        </w:rPr>
        <w:t>，预期到</w:t>
      </w:r>
      <w:r>
        <w:rPr>
          <w:rFonts w:hint="eastAsia"/>
          <w:snapToGrid/>
        </w:rPr>
        <w:t>2028</w:t>
      </w:r>
      <w:r>
        <w:rPr>
          <w:rFonts w:hint="eastAsia"/>
          <w:snapToGrid/>
        </w:rPr>
        <w:t>年将进一步降到</w:t>
      </w:r>
      <w:r>
        <w:rPr>
          <w:rFonts w:hint="eastAsia"/>
          <w:snapToGrid/>
        </w:rPr>
        <w:t>0%</w:t>
      </w:r>
      <w:r>
        <w:rPr>
          <w:rFonts w:hint="eastAsia"/>
          <w:snapToGrid/>
        </w:rPr>
        <w:t>。</w:t>
      </w:r>
    </w:p>
    <w:p w:rsidR="00000000" w:rsidRDefault="00000000">
      <w:pPr>
        <w:rPr>
          <w:rFonts w:hint="eastAsia"/>
          <w:snapToGrid/>
        </w:rPr>
      </w:pPr>
      <w:r>
        <w:rPr>
          <w:rFonts w:hint="eastAsia"/>
          <w:snapToGrid/>
        </w:rPr>
        <w:tab/>
        <w:t xml:space="preserve">4.  </w:t>
      </w:r>
      <w:r>
        <w:rPr>
          <w:rFonts w:hint="eastAsia"/>
          <w:snapToGrid/>
        </w:rPr>
        <w:t>据统计资料表明，</w:t>
      </w:r>
      <w:r>
        <w:rPr>
          <w:rFonts w:hint="eastAsia"/>
          <w:snapToGrid/>
        </w:rPr>
        <w:t>1999</w:t>
      </w:r>
      <w:r>
        <w:rPr>
          <w:rFonts w:hint="eastAsia"/>
          <w:snapToGrid/>
        </w:rPr>
        <w:t>年时总人口中</w:t>
      </w:r>
      <w:r>
        <w:rPr>
          <w:rFonts w:hint="eastAsia"/>
          <w:snapToGrid/>
        </w:rPr>
        <w:t>65</w:t>
      </w:r>
      <w:r>
        <w:rPr>
          <w:rFonts w:hint="eastAsia"/>
          <w:snapToGrid/>
        </w:rPr>
        <w:t>岁或</w:t>
      </w:r>
      <w:r>
        <w:rPr>
          <w:rFonts w:hint="eastAsia"/>
          <w:snapToGrid/>
        </w:rPr>
        <w:t>65</w:t>
      </w:r>
      <w:r>
        <w:rPr>
          <w:rFonts w:hint="eastAsia"/>
          <w:snapToGrid/>
        </w:rPr>
        <w:t>岁以上人口的比率为</w:t>
      </w:r>
      <w:r>
        <w:rPr>
          <w:rFonts w:hint="eastAsia"/>
          <w:snapToGrid/>
        </w:rPr>
        <w:t>6.9%</w:t>
      </w:r>
      <w:r>
        <w:rPr>
          <w:rFonts w:hint="eastAsia"/>
          <w:snapToGrid/>
        </w:rPr>
        <w:t>，而</w:t>
      </w:r>
      <w:r>
        <w:rPr>
          <w:rFonts w:hint="eastAsia"/>
          <w:snapToGrid/>
        </w:rPr>
        <w:t>2000</w:t>
      </w:r>
      <w:r>
        <w:rPr>
          <w:rFonts w:hint="eastAsia"/>
          <w:snapToGrid/>
        </w:rPr>
        <w:t>年中这部分人口则占总人口的</w:t>
      </w:r>
      <w:r>
        <w:rPr>
          <w:rFonts w:hint="eastAsia"/>
          <w:snapToGrid/>
        </w:rPr>
        <w:t>7.2%</w:t>
      </w:r>
      <w:r>
        <w:rPr>
          <w:rFonts w:hint="eastAsia"/>
          <w:snapToGrid/>
        </w:rPr>
        <w:t>。由于韩国经济发展取得成功，韩国人总的健康状况与过去三十年相比得到了显著改善。</w:t>
      </w:r>
      <w:r>
        <w:rPr>
          <w:rFonts w:hint="eastAsia"/>
          <w:snapToGrid/>
        </w:rPr>
        <w:t>1960</w:t>
      </w:r>
      <w:r>
        <w:rPr>
          <w:rFonts w:hint="eastAsia"/>
          <w:snapToGrid/>
        </w:rPr>
        <w:t>年时，人口预期寿命为男性</w:t>
      </w:r>
      <w:r>
        <w:rPr>
          <w:rFonts w:hint="eastAsia"/>
          <w:snapToGrid/>
        </w:rPr>
        <w:t>51</w:t>
      </w:r>
      <w:r>
        <w:rPr>
          <w:rFonts w:hint="eastAsia"/>
          <w:snapToGrid/>
        </w:rPr>
        <w:t>岁，女性</w:t>
      </w:r>
      <w:r>
        <w:rPr>
          <w:rFonts w:hint="eastAsia"/>
          <w:snapToGrid/>
        </w:rPr>
        <w:t>54</w:t>
      </w:r>
      <w:r>
        <w:rPr>
          <w:rFonts w:hint="eastAsia"/>
          <w:snapToGrid/>
        </w:rPr>
        <w:t>岁，而到</w:t>
      </w:r>
      <w:r>
        <w:rPr>
          <w:rFonts w:hint="eastAsia"/>
          <w:snapToGrid/>
        </w:rPr>
        <w:t>2000</w:t>
      </w:r>
      <w:r>
        <w:rPr>
          <w:rFonts w:hint="eastAsia"/>
          <w:snapToGrid/>
        </w:rPr>
        <w:t>年时，该数字已有增加，男性为</w:t>
      </w:r>
      <w:r>
        <w:rPr>
          <w:rFonts w:hint="eastAsia"/>
          <w:snapToGrid/>
        </w:rPr>
        <w:t>72.1</w:t>
      </w:r>
      <w:r>
        <w:rPr>
          <w:rFonts w:hint="eastAsia"/>
          <w:snapToGrid/>
        </w:rPr>
        <w:t>岁，女性为</w:t>
      </w:r>
      <w:r>
        <w:rPr>
          <w:rFonts w:hint="eastAsia"/>
          <w:snapToGrid/>
        </w:rPr>
        <w:t>79.5</w:t>
      </w:r>
      <w:r>
        <w:rPr>
          <w:rFonts w:hint="eastAsia"/>
          <w:snapToGrid/>
        </w:rPr>
        <w:t>岁。</w:t>
      </w:r>
    </w:p>
    <w:p w:rsidR="00000000" w:rsidRDefault="00000000">
      <w:pPr>
        <w:rPr>
          <w:rFonts w:hint="eastAsia"/>
          <w:snapToGrid/>
        </w:rPr>
      </w:pPr>
      <w:r>
        <w:rPr>
          <w:rFonts w:hint="eastAsia"/>
          <w:snapToGrid/>
        </w:rPr>
        <w:tab/>
        <w:t xml:space="preserve">5.  </w:t>
      </w:r>
      <w:r>
        <w:rPr>
          <w:rFonts w:hint="eastAsia"/>
          <w:snapToGrid/>
        </w:rPr>
        <w:t>婴儿死亡率显著下降的同时，产妇死亡率也出现下降。由于出生率低和预期寿命延长，目前人口分布呈钟状，年轻人</w:t>
      </w:r>
      <w:r>
        <w:rPr>
          <w:rFonts w:hint="eastAsia"/>
          <w:snapToGrid/>
        </w:rPr>
        <w:t>(15</w:t>
      </w:r>
      <w:r>
        <w:rPr>
          <w:rFonts w:hint="eastAsia"/>
          <w:snapToGrid/>
        </w:rPr>
        <w:t>岁以下</w:t>
      </w:r>
      <w:r>
        <w:rPr>
          <w:rFonts w:hint="eastAsia"/>
          <w:snapToGrid/>
        </w:rPr>
        <w:t>)</w:t>
      </w:r>
      <w:r>
        <w:rPr>
          <w:rFonts w:hint="eastAsia"/>
          <w:snapToGrid/>
        </w:rPr>
        <w:t>在总人口中比例将不断减少，而老年人</w:t>
      </w:r>
      <w:r>
        <w:rPr>
          <w:rFonts w:hint="eastAsia"/>
          <w:snapToGrid/>
        </w:rPr>
        <w:t>(65</w:t>
      </w:r>
      <w:r>
        <w:rPr>
          <w:rFonts w:hint="eastAsia"/>
          <w:snapToGrid/>
        </w:rPr>
        <w:t>岁以上</w:t>
      </w:r>
      <w:r>
        <w:rPr>
          <w:rFonts w:hint="eastAsia"/>
          <w:snapToGrid/>
        </w:rPr>
        <w:t>)</w:t>
      </w:r>
      <w:r>
        <w:rPr>
          <w:rFonts w:hint="eastAsia"/>
          <w:snapToGrid/>
        </w:rPr>
        <w:t>到</w:t>
      </w:r>
      <w:r>
        <w:rPr>
          <w:rFonts w:hint="eastAsia"/>
          <w:snapToGrid/>
        </w:rPr>
        <w:t>2030</w:t>
      </w:r>
      <w:r>
        <w:rPr>
          <w:rFonts w:hint="eastAsia"/>
          <w:snapToGrid/>
        </w:rPr>
        <w:t>年将占总人口约</w:t>
      </w:r>
      <w:r>
        <w:rPr>
          <w:rFonts w:hint="eastAsia"/>
          <w:snapToGrid/>
        </w:rPr>
        <w:t>19.3%</w:t>
      </w:r>
      <w:r>
        <w:rPr>
          <w:rFonts w:hint="eastAsia"/>
          <w:snapToGrid/>
        </w:rPr>
        <w:t>。</w:t>
      </w:r>
    </w:p>
    <w:p w:rsidR="00000000" w:rsidRDefault="00000000">
      <w:pPr>
        <w:rPr>
          <w:rFonts w:hint="eastAsia"/>
          <w:snapToGrid/>
        </w:rPr>
      </w:pPr>
      <w:r>
        <w:rPr>
          <w:rFonts w:hint="eastAsia"/>
          <w:snapToGrid/>
        </w:rPr>
        <w:tab/>
        <w:t xml:space="preserve">6.  </w:t>
      </w:r>
      <w:r>
        <w:rPr>
          <w:rFonts w:hint="eastAsia"/>
          <w:snapToGrid/>
        </w:rPr>
        <w:t>韩国一贯高度重视教育，把教育作为自我实现和社会进步的一种手段。现代学校于</w:t>
      </w:r>
      <w:r>
        <w:rPr>
          <w:rFonts w:hint="eastAsia"/>
          <w:snapToGrid/>
        </w:rPr>
        <w:t>1880</w:t>
      </w:r>
      <w:r>
        <w:rPr>
          <w:rFonts w:hint="eastAsia"/>
          <w:snapToGrid/>
        </w:rPr>
        <w:t>年代出现，</w:t>
      </w:r>
      <w:r>
        <w:rPr>
          <w:rFonts w:hint="eastAsia"/>
          <w:snapToGrid/>
        </w:rPr>
        <w:t>1948</w:t>
      </w:r>
      <w:r>
        <w:rPr>
          <w:rFonts w:hint="eastAsia"/>
          <w:snapToGrid/>
        </w:rPr>
        <w:t>年建立大韩民国后，政府于</w:t>
      </w:r>
      <w:r>
        <w:rPr>
          <w:rFonts w:hint="eastAsia"/>
          <w:snapToGrid/>
        </w:rPr>
        <w:t>1953</w:t>
      </w:r>
      <w:r>
        <w:rPr>
          <w:rFonts w:hint="eastAsia"/>
          <w:snapToGrid/>
        </w:rPr>
        <w:t>年开始建立一种现代的教育体系，实行小学六年义务教育。随后义务教育扩展至中学，实行三年初中义务教育，并将于</w:t>
      </w:r>
      <w:r>
        <w:rPr>
          <w:rFonts w:hint="eastAsia"/>
          <w:snapToGrid/>
        </w:rPr>
        <w:t>2004</w:t>
      </w:r>
      <w:r>
        <w:rPr>
          <w:rFonts w:hint="eastAsia"/>
          <w:snapToGrid/>
        </w:rPr>
        <w:t>年普及全国。目前韩国是世界识字率最高的国家之一。</w:t>
      </w:r>
    </w:p>
    <w:p w:rsidR="00000000" w:rsidRDefault="00000000">
      <w:pPr>
        <w:rPr>
          <w:rFonts w:hint="eastAsia"/>
          <w:snapToGrid/>
        </w:rPr>
      </w:pPr>
      <w:r>
        <w:rPr>
          <w:rFonts w:hint="eastAsia"/>
          <w:snapToGrid/>
        </w:rPr>
        <w:tab/>
        <w:t xml:space="preserve">7.  </w:t>
      </w:r>
      <w:r>
        <w:rPr>
          <w:rFonts w:hint="eastAsia"/>
          <w:snapToGrid/>
        </w:rPr>
        <w:t>韩国于</w:t>
      </w:r>
      <w:r>
        <w:rPr>
          <w:rFonts w:hint="eastAsia"/>
          <w:snapToGrid/>
        </w:rPr>
        <w:t>1960</w:t>
      </w:r>
      <w:r>
        <w:rPr>
          <w:rFonts w:hint="eastAsia"/>
          <w:snapToGrid/>
        </w:rPr>
        <w:t>年代和</w:t>
      </w:r>
      <w:r>
        <w:rPr>
          <w:rFonts w:hint="eastAsia"/>
          <w:snapToGrid/>
        </w:rPr>
        <w:t>1970</w:t>
      </w:r>
      <w:r>
        <w:rPr>
          <w:rFonts w:hint="eastAsia"/>
          <w:snapToGrid/>
        </w:rPr>
        <w:t>年代迅速工业化和城市化，农村居民不断迁往城市，特别是汉城，致使大城市地区过度城市化。然而，近年来，已有越来越多的人移居到汉城郊外的新开发区。</w:t>
      </w:r>
    </w:p>
    <w:p w:rsidR="00000000" w:rsidRDefault="00000000">
      <w:pPr>
        <w:rPr>
          <w:rFonts w:hint="eastAsia"/>
          <w:snapToGrid/>
        </w:rPr>
      </w:pPr>
      <w:r>
        <w:rPr>
          <w:rFonts w:hint="eastAsia"/>
          <w:snapToGrid/>
        </w:rPr>
        <w:tab/>
        <w:t xml:space="preserve">8.  </w:t>
      </w:r>
      <w:r>
        <w:rPr>
          <w:rFonts w:hint="eastAsia"/>
          <w:snapToGrid/>
        </w:rPr>
        <w:t>与某些以一种宗教为主导的文化不同，韩国文化中包含有各种各样的宗教成分，它们造就了韩国人民的思想与行为方式。在历史上，韩国人曾受到萨满教、佛教、道教或儒教的影响，而现代，基督教大举进入，带来了另一种可能改变国民精神面貌的重要因素。此外，随着宗教机构这些具有影响力的社会组织的出现，宗教信徒显著增加。</w:t>
      </w:r>
    </w:p>
    <w:p w:rsidR="00000000" w:rsidRDefault="00000000">
      <w:pPr>
        <w:spacing w:after="320"/>
        <w:rPr>
          <w:rFonts w:hint="eastAsia"/>
          <w:snapToGrid/>
        </w:rPr>
      </w:pPr>
      <w:r>
        <w:rPr>
          <w:rFonts w:hint="eastAsia"/>
          <w:snapToGrid/>
        </w:rPr>
        <w:tab/>
        <w:t xml:space="preserve">9.  </w:t>
      </w:r>
      <w:r>
        <w:rPr>
          <w:rFonts w:hint="eastAsia"/>
          <w:snapToGrid/>
        </w:rPr>
        <w:t>大韩民国《宪法》保障宗教自由。根据</w:t>
      </w:r>
      <w:r>
        <w:rPr>
          <w:rFonts w:hint="eastAsia"/>
          <w:snapToGrid/>
        </w:rPr>
        <w:t>1999</w:t>
      </w:r>
      <w:r>
        <w:rPr>
          <w:rFonts w:hint="eastAsia"/>
          <w:snapToGrid/>
        </w:rPr>
        <w:t>年的社会统计调查，</w:t>
      </w:r>
      <w:r>
        <w:rPr>
          <w:rFonts w:hint="eastAsia"/>
          <w:snapToGrid/>
        </w:rPr>
        <w:t>53.6%</w:t>
      </w:r>
      <w:r>
        <w:rPr>
          <w:rFonts w:hint="eastAsia"/>
          <w:snapToGrid/>
        </w:rPr>
        <w:t>的韩国人具有明确的宗教信仰。信教人口中约</w:t>
      </w:r>
      <w:r>
        <w:rPr>
          <w:rFonts w:hint="eastAsia"/>
          <w:snapToGrid/>
        </w:rPr>
        <w:t>49%</w:t>
      </w:r>
      <w:r>
        <w:rPr>
          <w:rFonts w:hint="eastAsia"/>
          <w:snapToGrid/>
        </w:rPr>
        <w:t>为佛教徒，其次是新教徒，占</w:t>
      </w:r>
      <w:r>
        <w:rPr>
          <w:rFonts w:hint="eastAsia"/>
          <w:snapToGrid/>
        </w:rPr>
        <w:t>35%</w:t>
      </w:r>
      <w:r>
        <w:rPr>
          <w:rFonts w:hint="eastAsia"/>
          <w:snapToGrid/>
        </w:rPr>
        <w:t>，天主教徒，占</w:t>
      </w:r>
      <w:r>
        <w:rPr>
          <w:rFonts w:hint="eastAsia"/>
          <w:snapToGrid/>
        </w:rPr>
        <w:t>13%</w:t>
      </w:r>
      <w:r>
        <w:rPr>
          <w:rFonts w:hint="eastAsia"/>
          <w:snapToGrid/>
        </w:rPr>
        <w:t>。</w:t>
      </w:r>
    </w:p>
    <w:p w:rsidR="00000000" w:rsidRDefault="00000000">
      <w:pPr>
        <w:pStyle w:val="Heading3"/>
        <w:rPr>
          <w:rFonts w:hint="eastAsia"/>
          <w:kern w:val="0"/>
        </w:rPr>
      </w:pPr>
      <w:r>
        <w:rPr>
          <w:rFonts w:hint="eastAsia"/>
          <w:snapToGrid/>
          <w:u w:val="none"/>
        </w:rPr>
        <w:t xml:space="preserve">C.  </w:t>
      </w:r>
      <w:r>
        <w:rPr>
          <w:rFonts w:hint="eastAsia"/>
          <w:kern w:val="0"/>
        </w:rPr>
        <w:t>其他社会经济指标</w:t>
      </w:r>
    </w:p>
    <w:p w:rsidR="00000000" w:rsidRDefault="00000000">
      <w:pPr>
        <w:spacing w:after="320"/>
        <w:rPr>
          <w:rFonts w:hint="eastAsia"/>
          <w:snapToGrid/>
        </w:rPr>
      </w:pPr>
      <w:r>
        <w:rPr>
          <w:rFonts w:hint="eastAsia"/>
        </w:rPr>
        <w:tab/>
      </w:r>
      <w:r>
        <w:rPr>
          <w:rFonts w:hint="eastAsia"/>
          <w:snapToGrid/>
        </w:rPr>
        <w:t xml:space="preserve">10.  </w:t>
      </w:r>
      <w:r>
        <w:rPr>
          <w:rFonts w:hint="eastAsia"/>
          <w:snapToGrid/>
        </w:rPr>
        <w:t>以出口为增长动力的外向型经济发展战略大大有助于韩国经济的彻底变革。在这种战略基础上，实施了许多成功的发展方案。由此，从</w:t>
      </w:r>
      <w:r>
        <w:rPr>
          <w:rFonts w:hint="eastAsia"/>
          <w:snapToGrid/>
        </w:rPr>
        <w:t>1961</w:t>
      </w:r>
      <w:r>
        <w:rPr>
          <w:rFonts w:hint="eastAsia"/>
          <w:snapToGrid/>
        </w:rPr>
        <w:t>年到</w:t>
      </w:r>
      <w:r>
        <w:rPr>
          <w:rFonts w:hint="eastAsia"/>
          <w:snapToGrid/>
        </w:rPr>
        <w:t>2002</w:t>
      </w:r>
      <w:r>
        <w:rPr>
          <w:rFonts w:hint="eastAsia"/>
          <w:snapToGrid/>
        </w:rPr>
        <w:t>年，大韩民国的国内生产总值由</w:t>
      </w:r>
      <w:r>
        <w:rPr>
          <w:rFonts w:hint="eastAsia"/>
          <w:snapToGrid/>
        </w:rPr>
        <w:t>21</w:t>
      </w:r>
      <w:r>
        <w:rPr>
          <w:rFonts w:hint="eastAsia"/>
          <w:snapToGrid/>
        </w:rPr>
        <w:t>亿美元增加到</w:t>
      </w:r>
      <w:r>
        <w:rPr>
          <w:rFonts w:hint="eastAsia"/>
          <w:snapToGrid/>
        </w:rPr>
        <w:t>4,766</w:t>
      </w:r>
      <w:r>
        <w:rPr>
          <w:rFonts w:hint="eastAsia"/>
          <w:snapToGrid/>
        </w:rPr>
        <w:t>亿美元，韩国成为世界第十三大经济国</w:t>
      </w:r>
      <w:r>
        <w:rPr>
          <w:rFonts w:hint="eastAsia"/>
          <w:snapToGrid/>
        </w:rPr>
        <w:t>(</w:t>
      </w:r>
      <w:r>
        <w:rPr>
          <w:rFonts w:hint="eastAsia"/>
          <w:snapToGrid/>
        </w:rPr>
        <w:t>就国内生产总值而言</w:t>
      </w:r>
      <w:r>
        <w:rPr>
          <w:rFonts w:hint="eastAsia"/>
          <w:snapToGrid/>
        </w:rPr>
        <w:t>)</w:t>
      </w:r>
      <w:r>
        <w:rPr>
          <w:rFonts w:hint="eastAsia"/>
          <w:snapToGrid/>
        </w:rPr>
        <w:t>。其人均国民总收入从</w:t>
      </w:r>
      <w:r>
        <w:rPr>
          <w:rFonts w:hint="eastAsia"/>
          <w:snapToGrid/>
        </w:rPr>
        <w:t>1961</w:t>
      </w:r>
      <w:r>
        <w:rPr>
          <w:rFonts w:hint="eastAsia"/>
          <w:snapToGrid/>
        </w:rPr>
        <w:t>年的</w:t>
      </w:r>
      <w:r>
        <w:rPr>
          <w:rFonts w:hint="eastAsia"/>
          <w:snapToGrid/>
        </w:rPr>
        <w:t>82</w:t>
      </w:r>
      <w:r>
        <w:rPr>
          <w:rFonts w:hint="eastAsia"/>
          <w:snapToGrid/>
        </w:rPr>
        <w:t>美元激增到</w:t>
      </w:r>
      <w:r>
        <w:rPr>
          <w:rFonts w:hint="eastAsia"/>
          <w:snapToGrid/>
        </w:rPr>
        <w:t>2002</w:t>
      </w:r>
      <w:r>
        <w:rPr>
          <w:rFonts w:hint="eastAsia"/>
          <w:snapToGrid/>
        </w:rPr>
        <w:t>年的</w:t>
      </w:r>
      <w:r>
        <w:rPr>
          <w:rFonts w:hint="eastAsia"/>
          <w:snapToGrid/>
        </w:rPr>
        <w:t>10,013</w:t>
      </w:r>
      <w:r>
        <w:rPr>
          <w:rFonts w:hint="eastAsia"/>
          <w:snapToGrid/>
        </w:rPr>
        <w:t>美元。这些引人注目的数字清楚表明这些经济方案带来了多么大的成功。</w:t>
      </w:r>
      <w:r>
        <w:rPr>
          <w:rFonts w:hint="eastAsia"/>
          <w:snapToGrid/>
        </w:rPr>
        <w:t>1996</w:t>
      </w:r>
      <w:r>
        <w:rPr>
          <w:rFonts w:hint="eastAsia"/>
          <w:snapToGrid/>
        </w:rPr>
        <w:t>年大韩民国成为经济合作与发展组织</w:t>
      </w:r>
      <w:r>
        <w:rPr>
          <w:rFonts w:hint="eastAsia"/>
          <w:snapToGrid/>
        </w:rPr>
        <w:t>(</w:t>
      </w:r>
      <w:r>
        <w:rPr>
          <w:rFonts w:hint="eastAsia"/>
          <w:snapToGrid/>
        </w:rPr>
        <w:t>经合组织</w:t>
      </w:r>
      <w:r>
        <w:rPr>
          <w:rFonts w:hint="eastAsia"/>
          <w:snapToGrid/>
        </w:rPr>
        <w:t>)</w:t>
      </w:r>
      <w:r>
        <w:rPr>
          <w:rFonts w:hint="eastAsia"/>
          <w:snapToGrid/>
        </w:rPr>
        <w:t>第</w:t>
      </w:r>
      <w:r>
        <w:rPr>
          <w:rFonts w:hint="eastAsia"/>
          <w:snapToGrid/>
        </w:rPr>
        <w:t>29</w:t>
      </w:r>
      <w:r>
        <w:rPr>
          <w:rFonts w:hint="eastAsia"/>
          <w:snapToGrid/>
        </w:rPr>
        <w:t>个成员国。</w:t>
      </w:r>
    </w:p>
    <w:p w:rsidR="00000000" w:rsidRDefault="00000000">
      <w:pPr>
        <w:pStyle w:val="Heading2"/>
        <w:rPr>
          <w:rFonts w:hint="eastAsia"/>
          <w:kern w:val="0"/>
        </w:rPr>
      </w:pPr>
      <w:r>
        <w:rPr>
          <w:rFonts w:hint="eastAsia"/>
          <w:snapToGrid/>
        </w:rPr>
        <w:t>二、</w:t>
      </w:r>
      <w:r>
        <w:rPr>
          <w:rFonts w:hint="eastAsia"/>
          <w:kern w:val="0"/>
        </w:rPr>
        <w:t>一般政治结构</w:t>
      </w:r>
    </w:p>
    <w:p w:rsidR="00000000" w:rsidRDefault="00000000">
      <w:pPr>
        <w:pStyle w:val="Heading3"/>
        <w:rPr>
          <w:rFonts w:hint="eastAsia"/>
          <w:kern w:val="0"/>
        </w:rPr>
      </w:pPr>
      <w:r>
        <w:rPr>
          <w:rFonts w:hint="eastAsia"/>
          <w:u w:val="none"/>
        </w:rPr>
        <w:t xml:space="preserve">A.  </w:t>
      </w:r>
      <w:r>
        <w:rPr>
          <w:rFonts w:hint="eastAsia"/>
          <w:kern w:val="0"/>
        </w:rPr>
        <w:t>现代政治史</w:t>
      </w:r>
    </w:p>
    <w:p w:rsidR="00000000" w:rsidRDefault="00000000">
      <w:pPr>
        <w:rPr>
          <w:rFonts w:hint="eastAsia"/>
          <w:snapToGrid/>
        </w:rPr>
      </w:pPr>
      <w:r>
        <w:rPr>
          <w:rFonts w:hint="eastAsia"/>
        </w:rPr>
        <w:tab/>
      </w:r>
      <w:r>
        <w:rPr>
          <w:rFonts w:hint="eastAsia"/>
          <w:snapToGrid/>
        </w:rPr>
        <w:t xml:space="preserve">11.  </w:t>
      </w:r>
      <w:r>
        <w:rPr>
          <w:rFonts w:hint="eastAsia"/>
          <w:snapToGrid/>
        </w:rPr>
        <w:t>直到十九世纪末以前，韩国，当时的“德藏王朝”始终是一个“隐遁的王国”，坚决抵制西方国家建立外交和贸易关系的要求。但是，随着时间的推移，一些亚洲和欧洲国家争相向朝鲜半岛灌输自己的影响。</w:t>
      </w:r>
      <w:r>
        <w:rPr>
          <w:rFonts w:hint="eastAsia"/>
          <w:snapToGrid/>
        </w:rPr>
        <w:t>1910</w:t>
      </w:r>
      <w:r>
        <w:rPr>
          <w:rFonts w:hint="eastAsia"/>
          <w:snapToGrid/>
        </w:rPr>
        <w:t>年，日本强行吞并德藏王朝并实行殖民统治。日本人接管了全部政府职能以及工业。韩国在日本帝国主义的控制下，受到压迫和剥削。</w:t>
      </w:r>
      <w:r>
        <w:rPr>
          <w:rFonts w:hint="eastAsia"/>
          <w:snapToGrid/>
        </w:rPr>
        <w:t>1945</w:t>
      </w:r>
      <w:r>
        <w:rPr>
          <w:rFonts w:hint="eastAsia"/>
          <w:snapToGrid/>
        </w:rPr>
        <w:t>年，盟军在二次世界大战中打败日本，终于结束了其在该国三十五年的统治。</w:t>
      </w:r>
    </w:p>
    <w:p w:rsidR="00000000" w:rsidRDefault="00000000">
      <w:pPr>
        <w:rPr>
          <w:rFonts w:hint="eastAsia"/>
          <w:snapToGrid/>
        </w:rPr>
      </w:pPr>
      <w:r>
        <w:rPr>
          <w:rFonts w:hint="eastAsia"/>
          <w:snapToGrid/>
        </w:rPr>
        <w:tab/>
        <w:t xml:space="preserve">12.  </w:t>
      </w:r>
      <w:r>
        <w:rPr>
          <w:rFonts w:hint="eastAsia"/>
          <w:snapToGrid/>
        </w:rPr>
        <w:t>光复后，苏联和美国以北纬</w:t>
      </w:r>
      <w:r>
        <w:rPr>
          <w:rFonts w:hint="eastAsia"/>
          <w:snapToGrid/>
        </w:rPr>
        <w:t>38</w:t>
      </w:r>
      <w:r>
        <w:rPr>
          <w:rFonts w:hint="eastAsia"/>
          <w:snapToGrid/>
        </w:rPr>
        <w:t>度线为界将朝鲜半岛划分为南北两部分，目的是解除日本军队残部的武装。两支占领军分别在其各自管辖地区内推行自己的体制，所以希望在半岛上建立统一的独立政府的努力一直受到阻挠。由于苏美之间冲突加剧，于是联合国将朝鲜半岛问题列入了其议程，并决定在联合国朝鲜问题临时委员会</w:t>
      </w:r>
      <w:r>
        <w:rPr>
          <w:rFonts w:hint="eastAsia"/>
          <w:snapToGrid/>
        </w:rPr>
        <w:t>(</w:t>
      </w:r>
      <w:r>
        <w:rPr>
          <w:rFonts w:hint="eastAsia"/>
          <w:snapToGrid/>
        </w:rPr>
        <w:t>联朝临委会</w:t>
      </w:r>
      <w:r>
        <w:rPr>
          <w:rFonts w:hint="eastAsia"/>
          <w:snapToGrid/>
        </w:rPr>
        <w:t>)</w:t>
      </w:r>
      <w:r>
        <w:rPr>
          <w:rFonts w:hint="eastAsia"/>
          <w:snapToGrid/>
        </w:rPr>
        <w:t>的支持下举行大选。</w:t>
      </w:r>
    </w:p>
    <w:p w:rsidR="00000000" w:rsidRDefault="00000000">
      <w:pPr>
        <w:rPr>
          <w:rFonts w:hint="eastAsia"/>
          <w:snapToGrid/>
        </w:rPr>
      </w:pPr>
      <w:r>
        <w:rPr>
          <w:rFonts w:hint="eastAsia"/>
          <w:snapToGrid/>
        </w:rPr>
        <w:tab/>
        <w:t xml:space="preserve">13.  </w:t>
      </w:r>
      <w:r>
        <w:rPr>
          <w:rFonts w:hint="eastAsia"/>
          <w:snapToGrid/>
        </w:rPr>
        <w:t>选举于</w:t>
      </w:r>
      <w:r>
        <w:rPr>
          <w:rFonts w:hint="eastAsia"/>
          <w:snapToGrid/>
        </w:rPr>
        <w:t>1948</w:t>
      </w:r>
      <w:r>
        <w:rPr>
          <w:rFonts w:hint="eastAsia"/>
          <w:snapToGrid/>
        </w:rPr>
        <w:t>年</w:t>
      </w:r>
      <w:r>
        <w:rPr>
          <w:rFonts w:hint="eastAsia"/>
          <w:snapToGrid/>
        </w:rPr>
        <w:t>5</w:t>
      </w:r>
      <w:r>
        <w:rPr>
          <w:rFonts w:hint="eastAsia"/>
          <w:snapToGrid/>
        </w:rPr>
        <w:t>月</w:t>
      </w:r>
      <w:r>
        <w:rPr>
          <w:rFonts w:hint="eastAsia"/>
          <w:snapToGrid/>
        </w:rPr>
        <w:t>10</w:t>
      </w:r>
      <w:r>
        <w:rPr>
          <w:rFonts w:hint="eastAsia"/>
          <w:snapToGrid/>
        </w:rPr>
        <w:t>日在北纬</w:t>
      </w:r>
      <w:r>
        <w:rPr>
          <w:rFonts w:hint="eastAsia"/>
          <w:snapToGrid/>
        </w:rPr>
        <w:t>38</w:t>
      </w:r>
      <w:r>
        <w:rPr>
          <w:rFonts w:hint="eastAsia"/>
          <w:snapToGrid/>
        </w:rPr>
        <w:t>度线以南地区进行，李承晚当选为大韩民国第一届总统。与此同时，北纬</w:t>
      </w:r>
      <w:r>
        <w:rPr>
          <w:rFonts w:hint="eastAsia"/>
          <w:snapToGrid/>
        </w:rPr>
        <w:t>38</w:t>
      </w:r>
      <w:r>
        <w:rPr>
          <w:rFonts w:hint="eastAsia"/>
          <w:snapToGrid/>
        </w:rPr>
        <w:t>度线以北地区，苏联拒绝联朝临委会进入，成立了在金日成的领导下的一个共产主义政体。</w:t>
      </w:r>
    </w:p>
    <w:p w:rsidR="00000000" w:rsidRDefault="00000000">
      <w:pPr>
        <w:rPr>
          <w:rFonts w:hint="eastAsia"/>
          <w:snapToGrid/>
        </w:rPr>
      </w:pPr>
      <w:r>
        <w:rPr>
          <w:rFonts w:hint="eastAsia"/>
          <w:snapToGrid/>
        </w:rPr>
        <w:tab/>
        <w:t>14.  1950</w:t>
      </w:r>
      <w:r>
        <w:rPr>
          <w:rFonts w:hint="eastAsia"/>
          <w:snapToGrid/>
        </w:rPr>
        <w:t>年</w:t>
      </w:r>
      <w:r>
        <w:rPr>
          <w:rFonts w:hint="eastAsia"/>
          <w:snapToGrid/>
        </w:rPr>
        <w:t>6</w:t>
      </w:r>
      <w:r>
        <w:rPr>
          <w:rFonts w:hint="eastAsia"/>
          <w:snapToGrid/>
        </w:rPr>
        <w:t>月</w:t>
      </w:r>
      <w:r>
        <w:rPr>
          <w:rFonts w:hint="eastAsia"/>
          <w:snapToGrid/>
        </w:rPr>
        <w:t>25</w:t>
      </w:r>
      <w:r>
        <w:rPr>
          <w:rFonts w:hint="eastAsia"/>
          <w:snapToGrid/>
        </w:rPr>
        <w:t>日，朝鲜战争爆发。这场蹂躏半岛的战争造成近三百万人死伤，另有数百万人无家可归和与家人离散。</w:t>
      </w:r>
      <w:r>
        <w:rPr>
          <w:rFonts w:hint="eastAsia"/>
          <w:snapToGrid/>
        </w:rPr>
        <w:t>1953</w:t>
      </w:r>
      <w:r>
        <w:rPr>
          <w:rFonts w:hint="eastAsia"/>
          <w:snapToGrid/>
        </w:rPr>
        <w:t>年</w:t>
      </w:r>
      <w:r>
        <w:rPr>
          <w:rFonts w:hint="eastAsia"/>
          <w:snapToGrid/>
        </w:rPr>
        <w:t>7</w:t>
      </w:r>
      <w:r>
        <w:rPr>
          <w:rFonts w:hint="eastAsia"/>
          <w:snapToGrid/>
        </w:rPr>
        <w:t>月签署了停火协定，但是在李总统政府的统治下，社会继续处于严重混乱之中。</w:t>
      </w:r>
    </w:p>
    <w:p w:rsidR="00000000" w:rsidRDefault="00000000">
      <w:pPr>
        <w:rPr>
          <w:rFonts w:hint="eastAsia"/>
          <w:snapToGrid/>
        </w:rPr>
      </w:pPr>
      <w:r>
        <w:rPr>
          <w:rFonts w:hint="eastAsia"/>
          <w:snapToGrid/>
        </w:rPr>
        <w:tab/>
        <w:t>15.  1950</w:t>
      </w:r>
      <w:r>
        <w:rPr>
          <w:rFonts w:hint="eastAsia"/>
          <w:snapToGrid/>
        </w:rPr>
        <w:t>年代期间，大韩民国的民主制度尚处在发展之中，国家经历了极大的政治和经济困难。</w:t>
      </w:r>
      <w:r>
        <w:rPr>
          <w:rFonts w:hint="eastAsia"/>
          <w:snapToGrid/>
        </w:rPr>
        <w:t>1960</w:t>
      </w:r>
      <w:r>
        <w:rPr>
          <w:rFonts w:hint="eastAsia"/>
          <w:snapToGrid/>
        </w:rPr>
        <w:t>年</w:t>
      </w:r>
      <w:r>
        <w:rPr>
          <w:rFonts w:hint="eastAsia"/>
          <w:snapToGrid/>
        </w:rPr>
        <w:t>4</w:t>
      </w:r>
      <w:r>
        <w:rPr>
          <w:rFonts w:hint="eastAsia"/>
          <w:snapToGrid/>
        </w:rPr>
        <w:t>月，爆发了一场由学生领导的起义，导致李总统下台。同年</w:t>
      </w:r>
      <w:r>
        <w:rPr>
          <w:rFonts w:hint="eastAsia"/>
          <w:snapToGrid/>
        </w:rPr>
        <w:t>8</w:t>
      </w:r>
      <w:r>
        <w:rPr>
          <w:rFonts w:hint="eastAsia"/>
          <w:snapToGrid/>
        </w:rPr>
        <w:t>月，民主党的张勉组建政府，成立了第二共和国。</w:t>
      </w:r>
    </w:p>
    <w:p w:rsidR="00000000" w:rsidRDefault="00000000">
      <w:pPr>
        <w:rPr>
          <w:rFonts w:hint="eastAsia"/>
          <w:snapToGrid/>
        </w:rPr>
      </w:pPr>
      <w:r>
        <w:rPr>
          <w:rFonts w:hint="eastAsia"/>
          <w:snapToGrid/>
        </w:rPr>
        <w:tab/>
        <w:t xml:space="preserve">16.  </w:t>
      </w:r>
      <w:r>
        <w:rPr>
          <w:rFonts w:hint="eastAsia"/>
          <w:snapToGrid/>
        </w:rPr>
        <w:t>然而，第二共和国于</w:t>
      </w:r>
      <w:r>
        <w:rPr>
          <w:rFonts w:hint="eastAsia"/>
          <w:snapToGrid/>
        </w:rPr>
        <w:t>1961</w:t>
      </w:r>
      <w:r>
        <w:rPr>
          <w:rFonts w:hint="eastAsia"/>
          <w:snapToGrid/>
        </w:rPr>
        <w:t>年</w:t>
      </w:r>
      <w:r>
        <w:rPr>
          <w:rFonts w:hint="eastAsia"/>
          <w:snapToGrid/>
        </w:rPr>
        <w:t>5</w:t>
      </w:r>
      <w:r>
        <w:rPr>
          <w:rFonts w:hint="eastAsia"/>
          <w:snapToGrid/>
        </w:rPr>
        <w:t>月</w:t>
      </w:r>
      <w:r>
        <w:rPr>
          <w:rFonts w:hint="eastAsia"/>
          <w:snapToGrid/>
        </w:rPr>
        <w:t>16</w:t>
      </w:r>
      <w:r>
        <w:rPr>
          <w:rFonts w:hint="eastAsia"/>
          <w:snapToGrid/>
        </w:rPr>
        <w:t>日被朴正熙少将发动的政变推翻。朴正熙少将领导的国家复兴委员会接管了政府的立法、行政和司法各项职能。</w:t>
      </w:r>
    </w:p>
    <w:p w:rsidR="00000000" w:rsidRDefault="00000000">
      <w:pPr>
        <w:rPr>
          <w:rFonts w:hint="eastAsia"/>
          <w:snapToGrid/>
        </w:rPr>
      </w:pPr>
      <w:r>
        <w:rPr>
          <w:rFonts w:hint="eastAsia"/>
          <w:snapToGrid/>
        </w:rPr>
        <w:tab/>
        <w:t xml:space="preserve">17.  </w:t>
      </w:r>
      <w:r>
        <w:rPr>
          <w:rFonts w:hint="eastAsia"/>
          <w:snapToGrid/>
        </w:rPr>
        <w:t>朴正熙于</w:t>
      </w:r>
      <w:r>
        <w:rPr>
          <w:rFonts w:hint="eastAsia"/>
          <w:snapToGrid/>
        </w:rPr>
        <w:t>1963</w:t>
      </w:r>
      <w:r>
        <w:rPr>
          <w:rFonts w:hint="eastAsia"/>
          <w:snapToGrid/>
        </w:rPr>
        <w:t>年当选总统。其政府在</w:t>
      </w:r>
      <w:r>
        <w:rPr>
          <w:rFonts w:hint="eastAsia"/>
          <w:snapToGrid/>
        </w:rPr>
        <w:t>1960</w:t>
      </w:r>
      <w:r>
        <w:rPr>
          <w:rFonts w:hint="eastAsia"/>
          <w:snapToGrid/>
        </w:rPr>
        <w:t>年代和</w:t>
      </w:r>
      <w:r>
        <w:rPr>
          <w:rFonts w:hint="eastAsia"/>
          <w:snapToGrid/>
        </w:rPr>
        <w:t>1970</w:t>
      </w:r>
      <w:r>
        <w:rPr>
          <w:rFonts w:hint="eastAsia"/>
          <w:snapToGrid/>
        </w:rPr>
        <w:t>年代中迅速进行工业化并实现了高经济增长率。这段时期常被称为“汉江奇迹”。尽管这段时期韩国的经济增长率高，但朴正熙政府对政治权利和公民自由实行了严厉限制。</w:t>
      </w:r>
    </w:p>
    <w:p w:rsidR="00000000" w:rsidRDefault="00000000">
      <w:pPr>
        <w:rPr>
          <w:rFonts w:hint="eastAsia"/>
          <w:snapToGrid/>
        </w:rPr>
      </w:pPr>
      <w:r>
        <w:rPr>
          <w:rFonts w:hint="eastAsia"/>
          <w:snapToGrid/>
        </w:rPr>
        <w:tab/>
        <w:t>18.  1979</w:t>
      </w:r>
      <w:r>
        <w:rPr>
          <w:rFonts w:hint="eastAsia"/>
          <w:snapToGrid/>
        </w:rPr>
        <w:t>年</w:t>
      </w:r>
      <w:r>
        <w:rPr>
          <w:rFonts w:hint="eastAsia"/>
          <w:snapToGrid/>
        </w:rPr>
        <w:t>10</w:t>
      </w:r>
      <w:r>
        <w:rPr>
          <w:rFonts w:hint="eastAsia"/>
          <w:snapToGrid/>
        </w:rPr>
        <w:t>月朴正熙总统遇刺身亡，国家陷入一种军法管制下的混乱过渡时期。崔圭夏在此期间充任代总统，并于</w:t>
      </w:r>
      <w:r>
        <w:rPr>
          <w:rFonts w:hint="eastAsia"/>
          <w:snapToGrid/>
        </w:rPr>
        <w:t>1980</w:t>
      </w:r>
      <w:r>
        <w:rPr>
          <w:rFonts w:hint="eastAsia"/>
          <w:snapToGrid/>
        </w:rPr>
        <w:t>年</w:t>
      </w:r>
      <w:r>
        <w:rPr>
          <w:rFonts w:hint="eastAsia"/>
          <w:snapToGrid/>
        </w:rPr>
        <w:t>8</w:t>
      </w:r>
      <w:r>
        <w:rPr>
          <w:rFonts w:hint="eastAsia"/>
          <w:snapToGrid/>
        </w:rPr>
        <w:t>月辞职。全斗焕被全国统一会议推选为大韩民国总统。全国统一会议成立于朴正熙执政期间，行使选举团的职能。</w:t>
      </w:r>
    </w:p>
    <w:p w:rsidR="00000000" w:rsidRDefault="00000000">
      <w:pPr>
        <w:rPr>
          <w:rFonts w:hint="eastAsia"/>
          <w:snapToGrid/>
        </w:rPr>
      </w:pPr>
      <w:r>
        <w:rPr>
          <w:rFonts w:hint="eastAsia"/>
          <w:snapToGrid/>
        </w:rPr>
        <w:tab/>
        <w:t xml:space="preserve">19.  </w:t>
      </w:r>
      <w:r>
        <w:rPr>
          <w:rFonts w:hint="eastAsia"/>
          <w:snapToGrid/>
        </w:rPr>
        <w:t>整个</w:t>
      </w:r>
      <w:r>
        <w:rPr>
          <w:rFonts w:hint="eastAsia"/>
          <w:snapToGrid/>
        </w:rPr>
        <w:t>1980</w:t>
      </w:r>
      <w:r>
        <w:rPr>
          <w:rFonts w:hint="eastAsia"/>
          <w:snapToGrid/>
        </w:rPr>
        <w:t>年代期间支持民主的运动加剧，</w:t>
      </w:r>
      <w:r>
        <w:rPr>
          <w:rFonts w:hint="eastAsia"/>
          <w:snapToGrid/>
        </w:rPr>
        <w:t>1987</w:t>
      </w:r>
      <w:r>
        <w:rPr>
          <w:rFonts w:hint="eastAsia"/>
          <w:snapToGrid/>
        </w:rPr>
        <w:t>年修订了宪法，恢复了由公民直接投票选举总统的制度。根据新宪法，前将军卢泰愚当选为总统。他执政期间在民主方面取得了进步，为三十二年中第一位平民总统的当选创造了条件。</w:t>
      </w:r>
      <w:r>
        <w:rPr>
          <w:rFonts w:hint="eastAsia"/>
          <w:snapToGrid/>
        </w:rPr>
        <w:t>1992</w:t>
      </w:r>
      <w:r>
        <w:rPr>
          <w:rFonts w:hint="eastAsia"/>
          <w:snapToGrid/>
        </w:rPr>
        <w:t>年，一位长期以来支持民主的活动家，金泳三，作为执政党候选人当选为总统。</w:t>
      </w:r>
    </w:p>
    <w:p w:rsidR="00000000" w:rsidRDefault="00000000">
      <w:pPr>
        <w:rPr>
          <w:rFonts w:hint="eastAsia"/>
          <w:snapToGrid/>
        </w:rPr>
      </w:pPr>
      <w:r>
        <w:rPr>
          <w:rFonts w:hint="eastAsia"/>
          <w:snapToGrid/>
        </w:rPr>
        <w:tab/>
        <w:t xml:space="preserve">20.  </w:t>
      </w:r>
      <w:r>
        <w:rPr>
          <w:rFonts w:hint="eastAsia"/>
          <w:snapToGrid/>
        </w:rPr>
        <w:t>在</w:t>
      </w:r>
      <w:r>
        <w:rPr>
          <w:rFonts w:hint="eastAsia"/>
          <w:snapToGrid/>
        </w:rPr>
        <w:t>1997</w:t>
      </w:r>
      <w:r>
        <w:rPr>
          <w:rFonts w:hint="eastAsia"/>
          <w:snapToGrid/>
        </w:rPr>
        <w:t>年的总统选举中，主要反对党新政治国民会议的领袖金大中当选总统。其政府被称为“国民政府”，是韩国宪法史中第一次以和平交接政权的方式</w:t>
      </w:r>
      <w:r>
        <w:rPr>
          <w:rFonts w:hint="eastAsia"/>
          <w:snapToGrid/>
        </w:rPr>
        <w:t>(</w:t>
      </w:r>
      <w:r>
        <w:rPr>
          <w:rFonts w:hint="eastAsia"/>
          <w:snapToGrid/>
        </w:rPr>
        <w:t>执政党将政权和平移交给反对党</w:t>
      </w:r>
      <w:r>
        <w:rPr>
          <w:rFonts w:hint="eastAsia"/>
          <w:snapToGrid/>
        </w:rPr>
        <w:t xml:space="preserve">) </w:t>
      </w:r>
      <w:r>
        <w:rPr>
          <w:rFonts w:hint="eastAsia"/>
          <w:snapToGrid/>
        </w:rPr>
        <w:t>建立起来的政府。</w:t>
      </w:r>
    </w:p>
    <w:p w:rsidR="00000000" w:rsidRDefault="00000000">
      <w:pPr>
        <w:spacing w:after="320"/>
        <w:rPr>
          <w:rFonts w:hint="eastAsia"/>
          <w:snapToGrid/>
        </w:rPr>
      </w:pPr>
      <w:r>
        <w:rPr>
          <w:rFonts w:hint="eastAsia"/>
          <w:snapToGrid/>
        </w:rPr>
        <w:tab/>
        <w:t>21.  2003</w:t>
      </w:r>
      <w:r>
        <w:rPr>
          <w:rFonts w:hint="eastAsia"/>
          <w:snapToGrid/>
        </w:rPr>
        <w:t>年</w:t>
      </w:r>
      <w:r>
        <w:rPr>
          <w:rFonts w:hint="eastAsia"/>
          <w:snapToGrid/>
        </w:rPr>
        <w:t>2</w:t>
      </w:r>
      <w:r>
        <w:rPr>
          <w:rFonts w:hint="eastAsia"/>
          <w:snapToGrid/>
        </w:rPr>
        <w:t>月，卢武铉当选第十六届总统，其政府被称为“参与政府”，推行和平繁荣政策。卢武铉总统制定的这项政策具有战略眼光，旨在为和平统一奠定基础，并通过促进朝鲜半岛的和平进程和南北朝鲜间的共同繁荣来为韩国的经济腾飞并成为东北亚经济中枢奠定基础。</w:t>
      </w:r>
    </w:p>
    <w:p w:rsidR="00000000" w:rsidRDefault="00000000">
      <w:pPr>
        <w:pStyle w:val="Heading3"/>
        <w:rPr>
          <w:rFonts w:hint="eastAsia"/>
          <w:kern w:val="0"/>
        </w:rPr>
      </w:pPr>
      <w:r>
        <w:rPr>
          <w:rFonts w:hint="eastAsia"/>
          <w:kern w:val="0"/>
          <w:u w:val="none"/>
        </w:rPr>
        <w:t xml:space="preserve">B.  </w:t>
      </w:r>
      <w:r>
        <w:rPr>
          <w:rFonts w:hint="eastAsia"/>
          <w:kern w:val="0"/>
        </w:rPr>
        <w:t>政府的类型</w:t>
      </w:r>
    </w:p>
    <w:p w:rsidR="00000000" w:rsidRDefault="00000000">
      <w:pPr>
        <w:rPr>
          <w:rFonts w:hint="eastAsia"/>
          <w:snapToGrid/>
        </w:rPr>
      </w:pPr>
      <w:r>
        <w:rPr>
          <w:rFonts w:hint="eastAsia"/>
        </w:rPr>
        <w:tab/>
      </w:r>
      <w:r>
        <w:rPr>
          <w:rFonts w:hint="eastAsia"/>
          <w:snapToGrid/>
        </w:rPr>
        <w:t xml:space="preserve">22.  </w:t>
      </w:r>
      <w:r>
        <w:rPr>
          <w:rFonts w:hint="eastAsia"/>
          <w:snapToGrid/>
        </w:rPr>
        <w:t>大韩民国是个民主共和国。其《宪法》在序言部分中申明，《宪法》的主要目的是通过进一步加强有利于个人行动和普遍和谐的基本自由与民主秩序，为每个人提供平等的机会，并使个人能够在各个领域，包括政治、经济、社会和文化生活领域中充分发挥其能力。此外，宪法还将三权分立和法治制度化。</w:t>
      </w:r>
    </w:p>
    <w:p w:rsidR="00000000" w:rsidRDefault="00000000">
      <w:pPr>
        <w:spacing w:after="320"/>
        <w:rPr>
          <w:rFonts w:hint="eastAsia"/>
          <w:snapToGrid/>
        </w:rPr>
      </w:pPr>
      <w:r>
        <w:rPr>
          <w:rFonts w:hint="eastAsia"/>
          <w:snapToGrid/>
        </w:rPr>
        <w:tab/>
        <w:t xml:space="preserve">23.  </w:t>
      </w:r>
      <w:r>
        <w:rPr>
          <w:rFonts w:hint="eastAsia"/>
          <w:snapToGrid/>
        </w:rPr>
        <w:t>韩国的政治体制是一种含有议会制度某些特征的混合总统制，与纯总统制不同。例如，这种制度设有一名总理，其任命须得到国会批准。此外，包括总统在内的行政部门经常向国会提出议案。</w:t>
      </w:r>
    </w:p>
    <w:p w:rsidR="00000000" w:rsidRDefault="00000000">
      <w:pPr>
        <w:pStyle w:val="Heading3"/>
        <w:rPr>
          <w:rFonts w:hint="eastAsia"/>
          <w:kern w:val="0"/>
        </w:rPr>
      </w:pPr>
      <w:r>
        <w:rPr>
          <w:rFonts w:hint="eastAsia"/>
          <w:kern w:val="0"/>
          <w:u w:val="none"/>
        </w:rPr>
        <w:t xml:space="preserve">C.  </w:t>
      </w:r>
      <w:r>
        <w:rPr>
          <w:rFonts w:hint="eastAsia"/>
          <w:kern w:val="0"/>
        </w:rPr>
        <w:t>政治组织</w:t>
      </w:r>
    </w:p>
    <w:p w:rsidR="00000000" w:rsidRDefault="00000000">
      <w:pPr>
        <w:pStyle w:val="Heading3"/>
        <w:rPr>
          <w:rFonts w:hint="eastAsia"/>
          <w:kern w:val="0"/>
        </w:rPr>
      </w:pPr>
      <w:r>
        <w:rPr>
          <w:rFonts w:hint="eastAsia"/>
          <w:kern w:val="0"/>
          <w:u w:val="none"/>
        </w:rPr>
        <w:t xml:space="preserve">1.  </w:t>
      </w:r>
      <w:r>
        <w:rPr>
          <w:rFonts w:hint="eastAsia"/>
          <w:kern w:val="0"/>
        </w:rPr>
        <w:t>总</w:t>
      </w:r>
      <w:r>
        <w:rPr>
          <w:rFonts w:hint="eastAsia"/>
          <w:kern w:val="0"/>
        </w:rPr>
        <w:t xml:space="preserve">  </w:t>
      </w:r>
      <w:r>
        <w:rPr>
          <w:rFonts w:hint="eastAsia"/>
          <w:kern w:val="0"/>
        </w:rPr>
        <w:t>统</w:t>
      </w:r>
    </w:p>
    <w:p w:rsidR="00000000" w:rsidRDefault="00000000">
      <w:pPr>
        <w:rPr>
          <w:rFonts w:hint="eastAsia"/>
          <w:snapToGrid/>
        </w:rPr>
      </w:pPr>
      <w:r>
        <w:rPr>
          <w:rFonts w:hint="eastAsia"/>
        </w:rPr>
        <w:tab/>
      </w:r>
      <w:r>
        <w:rPr>
          <w:rFonts w:hint="eastAsia"/>
          <w:snapToGrid/>
        </w:rPr>
        <w:t xml:space="preserve">24.  </w:t>
      </w:r>
      <w:r>
        <w:rPr>
          <w:rFonts w:hint="eastAsia"/>
          <w:snapToGrid/>
        </w:rPr>
        <w:t>大韩民国的总统是最高行政长官和国家元首，以无记名投票形式经所有年满</w:t>
      </w:r>
      <w:r>
        <w:rPr>
          <w:rFonts w:hint="eastAsia"/>
          <w:snapToGrid/>
        </w:rPr>
        <w:t>20</w:t>
      </w:r>
      <w:r>
        <w:rPr>
          <w:rFonts w:hint="eastAsia"/>
          <w:snapToGrid/>
        </w:rPr>
        <w:t>岁的公民直接选举产生。总统任期五年，且只限一届，因为《宪法》条款明确禁止连任。最近一次总统选举于</w:t>
      </w:r>
      <w:r>
        <w:rPr>
          <w:rFonts w:hint="eastAsia"/>
          <w:snapToGrid/>
        </w:rPr>
        <w:t>2002</w:t>
      </w:r>
      <w:r>
        <w:rPr>
          <w:rFonts w:hint="eastAsia"/>
          <w:snapToGrid/>
        </w:rPr>
        <w:t>年</w:t>
      </w:r>
      <w:r>
        <w:rPr>
          <w:rFonts w:hint="eastAsia"/>
          <w:snapToGrid/>
        </w:rPr>
        <w:t>12</w:t>
      </w:r>
      <w:r>
        <w:rPr>
          <w:rFonts w:hint="eastAsia"/>
          <w:snapToGrid/>
        </w:rPr>
        <w:t>月举行。</w:t>
      </w:r>
    </w:p>
    <w:p w:rsidR="00000000" w:rsidRDefault="00000000">
      <w:pPr>
        <w:rPr>
          <w:rFonts w:hint="eastAsia"/>
          <w:snapToGrid/>
        </w:rPr>
      </w:pPr>
      <w:r>
        <w:rPr>
          <w:rFonts w:hint="eastAsia"/>
          <w:snapToGrid/>
        </w:rPr>
        <w:tab/>
        <w:t xml:space="preserve">25.  </w:t>
      </w:r>
      <w:r>
        <w:rPr>
          <w:rFonts w:hint="eastAsia"/>
          <w:snapToGrid/>
        </w:rPr>
        <w:t>总统候选人必须年满</w:t>
      </w:r>
      <w:r>
        <w:rPr>
          <w:rFonts w:hint="eastAsia"/>
          <w:snapToGrid/>
        </w:rPr>
        <w:t>40</w:t>
      </w:r>
      <w:r>
        <w:rPr>
          <w:rFonts w:hint="eastAsia"/>
          <w:snapToGrid/>
        </w:rPr>
        <w:t>岁，是大韩民国国民，并有投票资格</w:t>
      </w:r>
      <w:r>
        <w:rPr>
          <w:rFonts w:hint="eastAsia"/>
          <w:snapToGrid/>
        </w:rPr>
        <w:t>(</w:t>
      </w:r>
      <w:r>
        <w:rPr>
          <w:rFonts w:hint="eastAsia"/>
          <w:snapToGrid/>
        </w:rPr>
        <w:t>违反选举法的行为和其他重大罪行，以及严重精神病，可能导致被剥夺选举权</w:t>
      </w:r>
      <w:r>
        <w:rPr>
          <w:rFonts w:hint="eastAsia"/>
          <w:snapToGrid/>
        </w:rPr>
        <w:t>)</w:t>
      </w:r>
      <w:r>
        <w:rPr>
          <w:rFonts w:hint="eastAsia"/>
          <w:snapToGrid/>
        </w:rPr>
        <w:t>。</w:t>
      </w:r>
    </w:p>
    <w:p w:rsidR="00000000" w:rsidRDefault="00000000">
      <w:pPr>
        <w:rPr>
          <w:rFonts w:hint="eastAsia"/>
          <w:snapToGrid/>
        </w:rPr>
      </w:pPr>
      <w:r>
        <w:rPr>
          <w:rFonts w:hint="eastAsia"/>
          <w:snapToGrid/>
        </w:rPr>
        <w:tab/>
        <w:t xml:space="preserve">26.  </w:t>
      </w:r>
      <w:r>
        <w:rPr>
          <w:rFonts w:hint="eastAsia"/>
          <w:snapToGrid/>
        </w:rPr>
        <w:t>一任制是种防护措施，以防任何人执政时间过长。如果总统不再有能力履行其职责，则首先应由总理继任，随后才考虑由国务会议成员按法律预定的接替次序继任。如果总统职位出现空缺，必须在</w:t>
      </w:r>
      <w:r>
        <w:rPr>
          <w:rFonts w:hint="eastAsia"/>
          <w:snapToGrid/>
        </w:rPr>
        <w:t>60</w:t>
      </w:r>
      <w:r>
        <w:rPr>
          <w:rFonts w:hint="eastAsia"/>
          <w:snapToGrid/>
        </w:rPr>
        <w:t>日内选出一名继任者。</w:t>
      </w:r>
    </w:p>
    <w:p w:rsidR="00000000" w:rsidRDefault="00000000">
      <w:pPr>
        <w:rPr>
          <w:rFonts w:hint="eastAsia"/>
          <w:snapToGrid/>
        </w:rPr>
      </w:pPr>
      <w:r>
        <w:rPr>
          <w:rFonts w:hint="eastAsia"/>
          <w:snapToGrid/>
        </w:rPr>
        <w:tab/>
        <w:t xml:space="preserve">27.  </w:t>
      </w:r>
      <w:r>
        <w:rPr>
          <w:rFonts w:hint="eastAsia"/>
          <w:snapToGrid/>
        </w:rPr>
        <w:t>总统的职责包括：维护大韩民国的独立并保卫宪法；促进祖国的和平统一；执行经国会批准的共和国法律。</w:t>
      </w:r>
    </w:p>
    <w:p w:rsidR="00000000" w:rsidRDefault="00000000">
      <w:pPr>
        <w:rPr>
          <w:rFonts w:hint="eastAsia"/>
          <w:snapToGrid/>
        </w:rPr>
      </w:pPr>
      <w:r>
        <w:rPr>
          <w:rFonts w:hint="eastAsia"/>
          <w:snapToGrid/>
        </w:rPr>
        <w:tab/>
        <w:t xml:space="preserve">28.  </w:t>
      </w:r>
      <w:r>
        <w:rPr>
          <w:rFonts w:hint="eastAsia"/>
          <w:snapToGrid/>
        </w:rPr>
        <w:t>总统的权力包括：对国会议案行使否决权</w:t>
      </w:r>
      <w:r>
        <w:rPr>
          <w:rFonts w:hint="eastAsia"/>
          <w:snapToGrid/>
        </w:rPr>
        <w:t>(</w:t>
      </w:r>
      <w:r>
        <w:rPr>
          <w:rFonts w:hint="eastAsia"/>
          <w:snapToGrid/>
        </w:rPr>
        <w:t>但国会可以三分之二多数推翻总统的否决</w:t>
      </w:r>
      <w:r>
        <w:rPr>
          <w:rFonts w:hint="eastAsia"/>
          <w:snapToGrid/>
        </w:rPr>
        <w:t>)</w:t>
      </w:r>
      <w:r>
        <w:rPr>
          <w:rFonts w:hint="eastAsia"/>
          <w:snapToGrid/>
        </w:rPr>
        <w:t>；出席国会会议并做发言；直接建议进行全民投票；宣战和达成和平；担任武装力量总司令；宣布军事管制法；颁布法律；向国会提交政府预算；批准大赦、减刑和授勋。总统权力中有许多受到国会的制约。</w:t>
      </w:r>
    </w:p>
    <w:p w:rsidR="00000000" w:rsidRDefault="00000000">
      <w:pPr>
        <w:spacing w:after="320"/>
        <w:rPr>
          <w:rFonts w:hint="eastAsia"/>
          <w:snapToGrid/>
        </w:rPr>
      </w:pPr>
      <w:r>
        <w:rPr>
          <w:rFonts w:hint="eastAsia"/>
          <w:snapToGrid/>
        </w:rPr>
        <w:tab/>
        <w:t xml:space="preserve">29.  </w:t>
      </w:r>
      <w:r>
        <w:rPr>
          <w:rFonts w:hint="eastAsia"/>
          <w:snapToGrid/>
        </w:rPr>
        <w:t>总统在任期间除被指控叛乱或叛国罪外，不受刑事起诉。总统有权任命和罢免包括总理和国务会议成员在内的公职人员。总理和国务会议成员根据总统的指令任职或被免职。总统在任期间不得担任任何其他私人或公共职务。</w:t>
      </w:r>
    </w:p>
    <w:p w:rsidR="00000000" w:rsidRDefault="00000000">
      <w:pPr>
        <w:pStyle w:val="Heading3"/>
        <w:rPr>
          <w:rFonts w:hint="eastAsia"/>
          <w:kern w:val="0"/>
        </w:rPr>
      </w:pPr>
      <w:r>
        <w:rPr>
          <w:rFonts w:hint="eastAsia"/>
          <w:kern w:val="0"/>
          <w:u w:val="none"/>
        </w:rPr>
        <w:t xml:space="preserve">2.  </w:t>
      </w:r>
      <w:r>
        <w:rPr>
          <w:rFonts w:hint="eastAsia"/>
          <w:kern w:val="0"/>
        </w:rPr>
        <w:t>总理、国务会议和行政部门</w:t>
      </w:r>
    </w:p>
    <w:p w:rsidR="00000000" w:rsidRDefault="00000000">
      <w:pPr>
        <w:rPr>
          <w:rFonts w:hint="eastAsia"/>
          <w:snapToGrid/>
        </w:rPr>
      </w:pPr>
      <w:r>
        <w:rPr>
          <w:rFonts w:hint="eastAsia"/>
        </w:rPr>
        <w:tab/>
      </w:r>
      <w:r>
        <w:rPr>
          <w:rFonts w:hint="eastAsia"/>
          <w:snapToGrid/>
        </w:rPr>
        <w:t xml:space="preserve">30.  </w:t>
      </w:r>
      <w:r>
        <w:rPr>
          <w:rFonts w:hint="eastAsia"/>
          <w:snapToGrid/>
        </w:rPr>
        <w:t>根据大韩民国的总统制，总统通过国务会议履行其职责。国务会议由</w:t>
      </w:r>
      <w:r>
        <w:rPr>
          <w:rFonts w:hint="eastAsia"/>
          <w:snapToGrid/>
        </w:rPr>
        <w:t>15</w:t>
      </w:r>
      <w:r>
        <w:rPr>
          <w:rFonts w:hint="eastAsia"/>
          <w:snapToGrid/>
        </w:rPr>
        <w:t>至</w:t>
      </w:r>
      <w:r>
        <w:rPr>
          <w:rFonts w:hint="eastAsia"/>
          <w:snapToGrid/>
        </w:rPr>
        <w:t>30</w:t>
      </w:r>
      <w:r>
        <w:rPr>
          <w:rFonts w:hint="eastAsia"/>
          <w:snapToGrid/>
        </w:rPr>
        <w:t>名成员组成，由总统领导。国务会议是依照宪法成立的审议机构，包括由总统决定的政府各部的部长，总统通过国务会议来行使权力。国务会议虽只是个审议机构，但在政务中发挥有重要作用，《宪法》规定国务会议必须讨论下述问题：</w:t>
      </w:r>
      <w:r>
        <w:rPr>
          <w:snapToGrid/>
        </w:rPr>
        <w:t>(a)</w:t>
      </w:r>
      <w:r>
        <w:rPr>
          <w:rFonts w:hint="eastAsia"/>
          <w:snapToGrid/>
        </w:rPr>
        <w:t xml:space="preserve"> </w:t>
      </w:r>
      <w:r>
        <w:rPr>
          <w:rFonts w:hint="eastAsia"/>
          <w:snapToGrid/>
        </w:rPr>
        <w:t>国务的初步计划和行政部门的大政方针；</w:t>
      </w:r>
      <w:r>
        <w:rPr>
          <w:snapToGrid/>
        </w:rPr>
        <w:t>(b)</w:t>
      </w:r>
      <w:r>
        <w:rPr>
          <w:rFonts w:hint="eastAsia"/>
          <w:snapToGrid/>
        </w:rPr>
        <w:t xml:space="preserve"> </w:t>
      </w:r>
      <w:r>
        <w:rPr>
          <w:rFonts w:hint="eastAsia"/>
          <w:snapToGrid/>
        </w:rPr>
        <w:t>宣战、达成和平和其他与外交政策有关的重要事项；</w:t>
      </w:r>
      <w:r>
        <w:rPr>
          <w:snapToGrid/>
        </w:rPr>
        <w:t>(c)</w:t>
      </w:r>
      <w:r>
        <w:rPr>
          <w:rFonts w:hint="eastAsia"/>
          <w:snapToGrid/>
        </w:rPr>
        <w:t xml:space="preserve"> </w:t>
      </w:r>
      <w:r>
        <w:rPr>
          <w:rFonts w:hint="eastAsia"/>
          <w:snapToGrid/>
        </w:rPr>
        <w:t>《宪法》修正案草案、国民公决方面的建议、条约草案、立法议案和拟订的总统令；</w:t>
      </w:r>
      <w:r>
        <w:rPr>
          <w:snapToGrid/>
        </w:rPr>
        <w:t>(d)</w:t>
      </w:r>
      <w:r>
        <w:rPr>
          <w:rFonts w:hint="eastAsia"/>
          <w:snapToGrid/>
        </w:rPr>
        <w:t xml:space="preserve"> </w:t>
      </w:r>
      <w:r>
        <w:rPr>
          <w:rFonts w:hint="eastAsia"/>
          <w:snapToGrid/>
        </w:rPr>
        <w:t>决算、决算、处理国家财产的初步计划和导致国家财政义务的合同以及其他重要财政事项；</w:t>
      </w:r>
      <w:r>
        <w:rPr>
          <w:rFonts w:hint="eastAsia"/>
          <w:snapToGrid/>
        </w:rPr>
        <w:t>(</w:t>
      </w:r>
      <w:r>
        <w:rPr>
          <w:snapToGrid/>
        </w:rPr>
        <w:t>e</w:t>
      </w:r>
      <w:r>
        <w:rPr>
          <w:rFonts w:hint="eastAsia"/>
          <w:snapToGrid/>
        </w:rPr>
        <w:t xml:space="preserve">) </w:t>
      </w:r>
      <w:r>
        <w:rPr>
          <w:rFonts w:hint="eastAsia"/>
          <w:snapToGrid/>
        </w:rPr>
        <w:t>紧急命令和总统采取的紧急金融和经济行动或在这方面发布的命令；</w:t>
      </w:r>
      <w:r>
        <w:rPr>
          <w:snapToGrid/>
        </w:rPr>
        <w:t>(f)</w:t>
      </w:r>
      <w:r>
        <w:rPr>
          <w:rFonts w:hint="eastAsia"/>
          <w:snapToGrid/>
        </w:rPr>
        <w:t xml:space="preserve"> </w:t>
      </w:r>
      <w:r>
        <w:rPr>
          <w:rFonts w:hint="eastAsia"/>
          <w:snapToGrid/>
        </w:rPr>
        <w:t>军事方面的重大事宜；</w:t>
      </w:r>
      <w:r>
        <w:rPr>
          <w:snapToGrid/>
        </w:rPr>
        <w:t>(g)</w:t>
      </w:r>
      <w:r>
        <w:rPr>
          <w:rFonts w:hint="eastAsia"/>
          <w:snapToGrid/>
        </w:rPr>
        <w:t xml:space="preserve"> </w:t>
      </w:r>
      <w:r>
        <w:rPr>
          <w:rFonts w:hint="eastAsia"/>
          <w:snapToGrid/>
        </w:rPr>
        <w:t>召开国会特别会议的请求；</w:t>
      </w:r>
      <w:r>
        <w:rPr>
          <w:snapToGrid/>
        </w:rPr>
        <w:t>(h)</w:t>
      </w:r>
      <w:r>
        <w:rPr>
          <w:rFonts w:hint="eastAsia"/>
          <w:snapToGrid/>
        </w:rPr>
        <w:t xml:space="preserve"> </w:t>
      </w:r>
      <w:r>
        <w:rPr>
          <w:rFonts w:hint="eastAsia"/>
          <w:snapToGrid/>
        </w:rPr>
        <w:t>关于批准大赦、减刑和恢复权利方面的决定；以及</w:t>
      </w:r>
      <w:r>
        <w:rPr>
          <w:snapToGrid/>
        </w:rPr>
        <w:t>(i)</w:t>
      </w:r>
      <w:r>
        <w:rPr>
          <w:rFonts w:hint="eastAsia"/>
          <w:snapToGrid/>
        </w:rPr>
        <w:t xml:space="preserve"> </w:t>
      </w:r>
      <w:r>
        <w:rPr>
          <w:rFonts w:hint="eastAsia"/>
          <w:snapToGrid/>
        </w:rPr>
        <w:t>关于在行政部门内授予或分配权力的初步计划，等等。</w:t>
      </w:r>
    </w:p>
    <w:p w:rsidR="00000000" w:rsidRDefault="00000000">
      <w:pPr>
        <w:rPr>
          <w:rFonts w:hint="eastAsia"/>
          <w:snapToGrid/>
        </w:rPr>
      </w:pPr>
      <w:r>
        <w:rPr>
          <w:rFonts w:hint="eastAsia"/>
          <w:snapToGrid/>
        </w:rPr>
        <w:tab/>
        <w:t xml:space="preserve">31.  </w:t>
      </w:r>
      <w:r>
        <w:rPr>
          <w:rFonts w:hint="eastAsia"/>
          <w:snapToGrid/>
        </w:rPr>
        <w:t>总理由总统任命，但这项任命必须得到国会多数议员的批准。总理是总统的主要行政助理，并是国务会议成员之一，负责根据总统指令监督政府各部的工作和管理政府政策协调厅的事务。总理还有权在国务会议内讨论重大国家政策，并出席国会的会议。</w:t>
      </w:r>
    </w:p>
    <w:p w:rsidR="00000000" w:rsidRDefault="00000000">
      <w:pPr>
        <w:rPr>
          <w:rFonts w:hint="eastAsia"/>
          <w:snapToGrid/>
        </w:rPr>
      </w:pPr>
      <w:r>
        <w:rPr>
          <w:rFonts w:hint="eastAsia"/>
          <w:snapToGrid/>
        </w:rPr>
        <w:tab/>
        <w:t xml:space="preserve">32.  </w:t>
      </w:r>
      <w:r>
        <w:rPr>
          <w:rFonts w:hint="eastAsia"/>
          <w:snapToGrid/>
        </w:rPr>
        <w:t>两名副总理也是国务会议成员，在接替次序上排在总理之后，履行总理委派的职责。两名副总理分别由财政经济部长和教育及人力资源开发部长兼任。</w:t>
      </w:r>
    </w:p>
    <w:p w:rsidR="00000000" w:rsidRDefault="00000000">
      <w:pPr>
        <w:rPr>
          <w:rFonts w:hint="eastAsia"/>
          <w:snapToGrid/>
        </w:rPr>
      </w:pPr>
      <w:r>
        <w:rPr>
          <w:rFonts w:hint="eastAsia"/>
          <w:snapToGrid/>
        </w:rPr>
        <w:tab/>
        <w:t xml:space="preserve">33.  </w:t>
      </w:r>
      <w:r>
        <w:rPr>
          <w:rFonts w:hint="eastAsia"/>
          <w:snapToGrid/>
        </w:rPr>
        <w:t>国务会议成员由总统根据总理的举荐任命，领导并监督各部的工作，讨论重要国务，并以总统名义行事。国务会议成员将出席国会的各次会议，汇报国家行政情况或发表意见和回答问题。国务会议成员只对总统负有集体或个人责任。</w:t>
      </w:r>
    </w:p>
    <w:p w:rsidR="00000000" w:rsidRDefault="00000000">
      <w:pPr>
        <w:spacing w:after="320"/>
        <w:rPr>
          <w:rFonts w:hint="eastAsia"/>
          <w:snapToGrid/>
        </w:rPr>
      </w:pPr>
      <w:r>
        <w:rPr>
          <w:rFonts w:hint="eastAsia"/>
          <w:snapToGrid/>
        </w:rPr>
        <w:tab/>
        <w:t xml:space="preserve">34.  </w:t>
      </w:r>
      <w:r>
        <w:rPr>
          <w:rFonts w:hint="eastAsia"/>
          <w:snapToGrid/>
        </w:rPr>
        <w:t>任何军人都无资格成为国务会议成员或被任命为总理，除非他</w:t>
      </w:r>
      <w:r>
        <w:rPr>
          <w:rFonts w:hint="eastAsia"/>
          <w:snapToGrid/>
        </w:rPr>
        <w:t>/</w:t>
      </w:r>
      <w:r>
        <w:rPr>
          <w:rFonts w:hint="eastAsia"/>
          <w:snapToGrid/>
        </w:rPr>
        <w:t>她已经退役。</w:t>
      </w:r>
    </w:p>
    <w:p w:rsidR="00000000" w:rsidRDefault="00000000">
      <w:pPr>
        <w:pStyle w:val="Heading3"/>
        <w:rPr>
          <w:rFonts w:hint="eastAsia"/>
          <w:kern w:val="0"/>
        </w:rPr>
      </w:pPr>
      <w:r>
        <w:rPr>
          <w:rFonts w:hint="eastAsia"/>
          <w:kern w:val="0"/>
          <w:u w:val="none"/>
        </w:rPr>
        <w:t xml:space="preserve">3.  </w:t>
      </w:r>
      <w:r>
        <w:rPr>
          <w:rFonts w:hint="eastAsia"/>
          <w:kern w:val="0"/>
        </w:rPr>
        <w:t>立法机构</w:t>
      </w:r>
    </w:p>
    <w:p w:rsidR="00000000" w:rsidRDefault="00000000">
      <w:pPr>
        <w:rPr>
          <w:rFonts w:hint="eastAsia"/>
          <w:snapToGrid/>
        </w:rPr>
      </w:pPr>
      <w:r>
        <w:rPr>
          <w:rFonts w:hint="eastAsia"/>
        </w:rPr>
        <w:tab/>
      </w:r>
      <w:r>
        <w:rPr>
          <w:rFonts w:hint="eastAsia"/>
          <w:snapToGrid/>
        </w:rPr>
        <w:t xml:space="preserve">35.  </w:t>
      </w:r>
      <w:r>
        <w:rPr>
          <w:rFonts w:hint="eastAsia"/>
          <w:snapToGrid/>
        </w:rPr>
        <w:t>立法权被赋予国会这个一院制立法机构。国会目前有</w:t>
      </w:r>
      <w:r>
        <w:rPr>
          <w:rFonts w:hint="eastAsia"/>
          <w:snapToGrid/>
        </w:rPr>
        <w:t>273</w:t>
      </w:r>
      <w:r>
        <w:rPr>
          <w:rFonts w:hint="eastAsia"/>
          <w:snapToGrid/>
        </w:rPr>
        <w:t>名议员</w:t>
      </w:r>
      <w:r>
        <w:rPr>
          <w:rFonts w:hint="eastAsia"/>
          <w:snapToGrid/>
        </w:rPr>
        <w:t>(</w:t>
      </w:r>
      <w:r>
        <w:rPr>
          <w:rFonts w:hint="eastAsia"/>
          <w:snapToGrid/>
        </w:rPr>
        <w:t>宪法规定至少要有</w:t>
      </w:r>
      <w:r>
        <w:rPr>
          <w:rFonts w:hint="eastAsia"/>
          <w:snapToGrid/>
        </w:rPr>
        <w:t>200</w:t>
      </w:r>
      <w:r>
        <w:rPr>
          <w:rFonts w:hint="eastAsia"/>
          <w:snapToGrid/>
        </w:rPr>
        <w:t>名议员</w:t>
      </w:r>
      <w:r>
        <w:rPr>
          <w:rFonts w:hint="eastAsia"/>
          <w:snapToGrid/>
        </w:rPr>
        <w:t>)</w:t>
      </w:r>
      <w:r>
        <w:rPr>
          <w:rFonts w:hint="eastAsia"/>
          <w:snapToGrid/>
        </w:rPr>
        <w:t>，任期四年。只有有投票资格且年满</w:t>
      </w:r>
      <w:r>
        <w:rPr>
          <w:rFonts w:hint="eastAsia"/>
          <w:snapToGrid/>
        </w:rPr>
        <w:t>25</w:t>
      </w:r>
      <w:r>
        <w:rPr>
          <w:rFonts w:hint="eastAsia"/>
          <w:snapToGrid/>
        </w:rPr>
        <w:t>岁的大韩民国国民才能入选国会。</w:t>
      </w:r>
    </w:p>
    <w:p w:rsidR="00000000" w:rsidRDefault="00000000">
      <w:pPr>
        <w:rPr>
          <w:rFonts w:hint="eastAsia"/>
          <w:snapToGrid/>
        </w:rPr>
      </w:pPr>
      <w:r>
        <w:rPr>
          <w:rFonts w:hint="eastAsia"/>
          <w:snapToGrid/>
        </w:rPr>
        <w:tab/>
        <w:t>36.</w:t>
      </w:r>
      <w:r>
        <w:rPr>
          <w:rFonts w:hint="eastAsia"/>
          <w:snapToGrid/>
        </w:rPr>
        <w:t>经公民直接投票选出的议员占议员总数的六分之五，其余议席按比例分配给在大选中赢得五个或更多席位的政党。这种比例代表制的目的是要使议员能够代表全国的利益而不只是地方的利益。</w:t>
      </w:r>
    </w:p>
    <w:p w:rsidR="00000000" w:rsidRDefault="00000000">
      <w:pPr>
        <w:rPr>
          <w:rFonts w:hint="eastAsia"/>
          <w:snapToGrid/>
        </w:rPr>
      </w:pPr>
      <w:r>
        <w:rPr>
          <w:rFonts w:hint="eastAsia"/>
          <w:snapToGrid/>
        </w:rPr>
        <w:tab/>
        <w:t xml:space="preserve">37.  </w:t>
      </w:r>
      <w:r>
        <w:rPr>
          <w:rFonts w:hint="eastAsia"/>
          <w:snapToGrid/>
        </w:rPr>
        <w:t>宪法赋予国会若干职能，最首要的一项是制定法律。此外，国会的其他职能包括：核准国家预算；批准总统颁布的大赦令；检查和调查国务方面的具体事项；弹劾；批准条约或其他外交政策方面的事务；批准对法官和总理的任命；批准宣战决定；批准向国外派遣军队或批准外国军队进驻国内。国会可以三分之二多数推翻总统对国会议案的否决。</w:t>
      </w:r>
    </w:p>
    <w:p w:rsidR="00000000" w:rsidRDefault="00000000">
      <w:pPr>
        <w:rPr>
          <w:rFonts w:hint="eastAsia"/>
          <w:snapToGrid/>
        </w:rPr>
      </w:pPr>
      <w:r>
        <w:rPr>
          <w:rFonts w:hint="eastAsia"/>
          <w:snapToGrid/>
        </w:rPr>
        <w:tab/>
        <w:t xml:space="preserve">38.  </w:t>
      </w:r>
      <w:r>
        <w:rPr>
          <w:rFonts w:hint="eastAsia"/>
          <w:snapToGrid/>
        </w:rPr>
        <w:t>国会设有</w:t>
      </w:r>
      <w:r>
        <w:rPr>
          <w:rFonts w:hint="eastAsia"/>
          <w:snapToGrid/>
        </w:rPr>
        <w:t>16</w:t>
      </w:r>
      <w:r>
        <w:rPr>
          <w:rFonts w:hint="eastAsia"/>
          <w:snapToGrid/>
        </w:rPr>
        <w:t>个常设委员会，负责下述领域的事务：指导国会的工作；立法和司法；国家政策；财政经济；统一与外交通商；国防；政府行政和地方自治；教育；科学、技术、信息和电信；文化和旅游；农林渔业及海洋事务；工商业和能源；卫生与福利；环境与劳动；建设与运输；以及情报。</w:t>
      </w:r>
    </w:p>
    <w:p w:rsidR="00000000" w:rsidRDefault="00000000">
      <w:pPr>
        <w:spacing w:after="320"/>
        <w:rPr>
          <w:rFonts w:hint="eastAsia"/>
          <w:snapToGrid/>
        </w:rPr>
      </w:pPr>
      <w:r>
        <w:rPr>
          <w:rFonts w:hint="eastAsia"/>
          <w:snapToGrid/>
        </w:rPr>
        <w:tab/>
        <w:t xml:space="preserve">39.  </w:t>
      </w:r>
      <w:r>
        <w:rPr>
          <w:rFonts w:hint="eastAsia"/>
          <w:snapToGrid/>
        </w:rPr>
        <w:t>各常设委员会的主席从各委员会委员中选举产生。委员会主席有权主持委员会的讨论、保证讨论顺利进行并代表委员会。各委员会构成了调和执政党与反对党之间分歧的主要论坛。</w:t>
      </w:r>
    </w:p>
    <w:p w:rsidR="00000000" w:rsidRDefault="00000000">
      <w:pPr>
        <w:pStyle w:val="Heading3"/>
        <w:rPr>
          <w:rFonts w:hint="eastAsia"/>
          <w:kern w:val="0"/>
        </w:rPr>
      </w:pPr>
      <w:r>
        <w:rPr>
          <w:rFonts w:hint="eastAsia"/>
          <w:kern w:val="0"/>
          <w:u w:val="none"/>
        </w:rPr>
        <w:t xml:space="preserve">4.  </w:t>
      </w:r>
      <w:r>
        <w:rPr>
          <w:rFonts w:hint="eastAsia"/>
          <w:kern w:val="0"/>
        </w:rPr>
        <w:t>司法机构</w:t>
      </w:r>
    </w:p>
    <w:p w:rsidR="00000000" w:rsidRDefault="00000000">
      <w:pPr>
        <w:rPr>
          <w:rFonts w:hint="eastAsia"/>
          <w:snapToGrid/>
        </w:rPr>
      </w:pPr>
      <w:r>
        <w:rPr>
          <w:rFonts w:hint="eastAsia"/>
        </w:rPr>
        <w:tab/>
      </w:r>
      <w:r>
        <w:rPr>
          <w:rFonts w:hint="eastAsia"/>
          <w:snapToGrid/>
        </w:rPr>
        <w:t xml:space="preserve">40.  </w:t>
      </w:r>
      <w:r>
        <w:rPr>
          <w:rFonts w:hint="eastAsia"/>
          <w:snapToGrid/>
        </w:rPr>
        <w:t>大韩民国的司法机构包括宪法法院、大法院、高等法院、地方法院、家庭法院、行政法院、专利法院和军事法庭。</w:t>
      </w:r>
    </w:p>
    <w:p w:rsidR="00000000" w:rsidRDefault="00000000">
      <w:pPr>
        <w:rPr>
          <w:rFonts w:hint="eastAsia"/>
          <w:snapToGrid/>
        </w:rPr>
      </w:pPr>
      <w:r>
        <w:rPr>
          <w:rFonts w:hint="eastAsia"/>
          <w:snapToGrid/>
        </w:rPr>
        <w:tab/>
        <w:t xml:space="preserve">41.  </w:t>
      </w:r>
      <w:r>
        <w:rPr>
          <w:rFonts w:hint="eastAsia"/>
          <w:snapToGrid/>
        </w:rPr>
        <w:t>大法院是最高上诉机构。其成员经国会同意由总统任命，任期六年，并可以得到再次任命。大法院院长也须经国会同意后由总统任命，但任期只有一届。大法院院长和大法院其他法官必须年满</w:t>
      </w:r>
      <w:r>
        <w:rPr>
          <w:rFonts w:hint="eastAsia"/>
          <w:snapToGrid/>
        </w:rPr>
        <w:t>40</w:t>
      </w:r>
      <w:r>
        <w:rPr>
          <w:rFonts w:hint="eastAsia"/>
          <w:snapToGrid/>
        </w:rPr>
        <w:t>岁，有投票资格，并且必须在法律方面有至少</w:t>
      </w:r>
      <w:r>
        <w:rPr>
          <w:rFonts w:hint="eastAsia"/>
          <w:snapToGrid/>
        </w:rPr>
        <w:t>15</w:t>
      </w:r>
      <w:r>
        <w:rPr>
          <w:rFonts w:hint="eastAsia"/>
          <w:snapToGrid/>
        </w:rPr>
        <w:t>年的从业经验。</w:t>
      </w:r>
    </w:p>
    <w:p w:rsidR="00000000" w:rsidRDefault="00000000">
      <w:pPr>
        <w:rPr>
          <w:rFonts w:hint="eastAsia"/>
          <w:snapToGrid/>
        </w:rPr>
      </w:pPr>
      <w:r>
        <w:rPr>
          <w:rFonts w:hint="eastAsia"/>
          <w:snapToGrid/>
        </w:rPr>
        <w:tab/>
        <w:t xml:space="preserve">42.  </w:t>
      </w:r>
      <w:r>
        <w:rPr>
          <w:rFonts w:hint="eastAsia"/>
          <w:snapToGrid/>
        </w:rPr>
        <w:t>大韩民国的大法院不对法律的合宪性作出判决，除非在审判中法律的合宪性或合法性受到质疑。对合宪性的司法审查通常是宪法法院这个特殊法院履行的职能。宪法法院由具有法官资格并经总统任命的九名仲裁人组成。其中三人必须从国会提名的人选中挑选，另有三名须从大法院院长提名的人选中推选。若要宣布一项法律违宪，须经宪法法院六名仲裁人同意。宪法法院也对弹劾、解散政党和政府内部纠纷作出裁决。</w:t>
      </w:r>
    </w:p>
    <w:p w:rsidR="00000000" w:rsidRDefault="00000000">
      <w:pPr>
        <w:rPr>
          <w:rFonts w:hint="eastAsia"/>
          <w:snapToGrid/>
        </w:rPr>
      </w:pPr>
      <w:r>
        <w:rPr>
          <w:rFonts w:hint="eastAsia"/>
          <w:snapToGrid/>
        </w:rPr>
        <w:tab/>
        <w:t xml:space="preserve">43.  </w:t>
      </w:r>
      <w:r>
        <w:rPr>
          <w:rFonts w:hint="eastAsia"/>
          <w:snapToGrid/>
        </w:rPr>
        <w:t>此外，大韩民国的宪法法院对公民提出的《宪法》控诉作出裁决。任何人如果其受《宪法》保障的基本权利由于行使或不行使公职权力</w:t>
      </w:r>
      <w:r>
        <w:rPr>
          <w:rFonts w:hint="eastAsia"/>
          <w:snapToGrid/>
        </w:rPr>
        <w:t>(</w:t>
      </w:r>
      <w:r>
        <w:rPr>
          <w:rFonts w:hint="eastAsia"/>
          <w:snapToGrid/>
        </w:rPr>
        <w:t>根据法院判决采取的行使或不行使做法除外</w:t>
      </w:r>
      <w:r>
        <w:rPr>
          <w:rFonts w:hint="eastAsia"/>
          <w:snapToGrid/>
        </w:rPr>
        <w:t>)</w:t>
      </w:r>
      <w:r>
        <w:rPr>
          <w:rFonts w:hint="eastAsia"/>
          <w:snapToGrid/>
        </w:rPr>
        <w:t>而受到侵犯，在已经用尽其他法律所能提供的各种补救程序后，可以请宪法法院对其控诉作出裁决。</w:t>
      </w:r>
    </w:p>
    <w:p w:rsidR="00000000" w:rsidRDefault="00000000">
      <w:pPr>
        <w:rPr>
          <w:rFonts w:hint="eastAsia"/>
          <w:snapToGrid/>
        </w:rPr>
      </w:pPr>
      <w:r>
        <w:rPr>
          <w:rFonts w:hint="eastAsia"/>
          <w:snapToGrid/>
        </w:rPr>
        <w:tab/>
        <w:t xml:space="preserve">44.  </w:t>
      </w:r>
      <w:r>
        <w:rPr>
          <w:rFonts w:hint="eastAsia"/>
          <w:snapToGrid/>
        </w:rPr>
        <w:t>其他法院包括：高等法院，审理对地方和家庭法院在民事、刑事和行政案件中所作判决的上诉以及法律指定的特殊案件；地方法院，管辖范围包括民事、刑事、行政、选举以及其他司法事务，并在汉城以外各地区履行行政法院的职能；家庭法院、行政法院和专利法院，专门审理法律所规定的特殊领域的案件，包括这些领域中的初步上诉。大法院和宪法法院以外的法官任期十年，期满后可以被再次任命。</w:t>
      </w:r>
    </w:p>
    <w:p w:rsidR="00000000" w:rsidRDefault="00000000">
      <w:pPr>
        <w:rPr>
          <w:rFonts w:hint="eastAsia"/>
          <w:snapToGrid/>
        </w:rPr>
      </w:pPr>
      <w:r>
        <w:rPr>
          <w:rFonts w:hint="eastAsia"/>
          <w:snapToGrid/>
        </w:rPr>
        <w:tab/>
        <w:t xml:space="preserve">45.  </w:t>
      </w:r>
      <w:r>
        <w:rPr>
          <w:rFonts w:hint="eastAsia"/>
          <w:snapToGrid/>
        </w:rPr>
        <w:t>最后，军事法庭负责军事审判。军事法庭的最终上诉机构是大法院。</w:t>
      </w:r>
    </w:p>
    <w:p w:rsidR="00000000" w:rsidRDefault="00000000">
      <w:pPr>
        <w:spacing w:after="320"/>
        <w:rPr>
          <w:rFonts w:hint="eastAsia"/>
          <w:snapToGrid/>
        </w:rPr>
      </w:pPr>
      <w:r>
        <w:rPr>
          <w:rFonts w:hint="eastAsia"/>
          <w:snapToGrid/>
        </w:rPr>
        <w:tab/>
        <w:t xml:space="preserve">46.  </w:t>
      </w:r>
      <w:r>
        <w:rPr>
          <w:rFonts w:hint="eastAsia"/>
          <w:snapToGrid/>
        </w:rPr>
        <w:t>除大法院和宪法法院的法官外，司法机构的所有其他法官均由大法院院长任命，但他作出的任命须得到大法院法官委员会</w:t>
      </w:r>
      <w:r>
        <w:rPr>
          <w:rFonts w:hint="eastAsia"/>
          <w:snapToGrid/>
        </w:rPr>
        <w:t>(</w:t>
      </w:r>
      <w:r>
        <w:rPr>
          <w:rFonts w:hint="eastAsia"/>
          <w:snapToGrid/>
        </w:rPr>
        <w:t>由大法院的法官及其院长组成</w:t>
      </w:r>
      <w:r>
        <w:rPr>
          <w:rFonts w:hint="eastAsia"/>
          <w:snapToGrid/>
        </w:rPr>
        <w:t>)</w:t>
      </w:r>
      <w:r>
        <w:rPr>
          <w:rFonts w:hint="eastAsia"/>
          <w:snapToGrid/>
        </w:rPr>
        <w:t>的批准。</w:t>
      </w:r>
    </w:p>
    <w:p w:rsidR="00000000" w:rsidRDefault="00000000">
      <w:pPr>
        <w:pStyle w:val="Heading2"/>
        <w:rPr>
          <w:rFonts w:hint="eastAsia"/>
          <w:kern w:val="0"/>
        </w:rPr>
      </w:pPr>
      <w:r>
        <w:rPr>
          <w:rFonts w:hint="eastAsia"/>
        </w:rPr>
        <w:t>三、</w:t>
      </w:r>
      <w:r>
        <w:rPr>
          <w:rFonts w:hint="eastAsia"/>
          <w:kern w:val="0"/>
        </w:rPr>
        <w:t>保护人权的一般法律框架</w:t>
      </w:r>
    </w:p>
    <w:p w:rsidR="00000000" w:rsidRDefault="00000000">
      <w:pPr>
        <w:pStyle w:val="Heading3"/>
        <w:rPr>
          <w:rFonts w:hint="eastAsia"/>
          <w:kern w:val="0"/>
        </w:rPr>
      </w:pPr>
      <w:r>
        <w:rPr>
          <w:rFonts w:hint="eastAsia"/>
          <w:kern w:val="0"/>
          <w:u w:val="none"/>
        </w:rPr>
        <w:t xml:space="preserve">A.  </w:t>
      </w:r>
      <w:r>
        <w:rPr>
          <w:rFonts w:hint="eastAsia"/>
          <w:kern w:val="0"/>
        </w:rPr>
        <w:t>负责人权事务的国家系统</w:t>
      </w:r>
    </w:p>
    <w:p w:rsidR="00000000" w:rsidRDefault="00000000">
      <w:pPr>
        <w:rPr>
          <w:rFonts w:hint="eastAsia"/>
          <w:snapToGrid/>
        </w:rPr>
      </w:pPr>
      <w:r>
        <w:rPr>
          <w:rFonts w:hint="eastAsia"/>
        </w:rPr>
        <w:tab/>
      </w:r>
      <w:r>
        <w:rPr>
          <w:rFonts w:hint="eastAsia"/>
          <w:snapToGrid/>
        </w:rPr>
        <w:t xml:space="preserve">47.  </w:t>
      </w:r>
      <w:r>
        <w:rPr>
          <w:rFonts w:hint="eastAsia"/>
          <w:snapToGrid/>
        </w:rPr>
        <w:t>在大韩民国，立法、执行和司法机构在其各自权限内分担保护人权的责任。</w:t>
      </w:r>
    </w:p>
    <w:p w:rsidR="00000000" w:rsidRDefault="00000000">
      <w:pPr>
        <w:rPr>
          <w:rFonts w:hint="eastAsia"/>
          <w:snapToGrid/>
        </w:rPr>
      </w:pPr>
      <w:r>
        <w:rPr>
          <w:rFonts w:hint="eastAsia"/>
          <w:snapToGrid/>
        </w:rPr>
        <w:tab/>
        <w:t xml:space="preserve">48.  </w:t>
      </w:r>
      <w:r>
        <w:rPr>
          <w:rFonts w:hint="eastAsia"/>
          <w:snapToGrid/>
        </w:rPr>
        <w:t>根据《宪法》授权，国会负责颁布法律保护公民的权利，审查受《宪法》保障的权利是否遭到国家实体或公民行为的侵犯。这个立法机构在执行机构以及有关非政府组织的配合下通过公开听证并进行一般讨论来对人权需要作出适当反应。</w:t>
      </w:r>
    </w:p>
    <w:p w:rsidR="00000000" w:rsidRDefault="00000000">
      <w:pPr>
        <w:rPr>
          <w:rFonts w:hint="eastAsia"/>
          <w:snapToGrid/>
        </w:rPr>
      </w:pPr>
      <w:r>
        <w:rPr>
          <w:rFonts w:hint="eastAsia"/>
          <w:snapToGrid/>
        </w:rPr>
        <w:tab/>
        <w:t xml:space="preserve">49.  </w:t>
      </w:r>
      <w:r>
        <w:rPr>
          <w:rFonts w:hint="eastAsia"/>
          <w:snapToGrid/>
        </w:rPr>
        <w:t>执行机构包括总统、总理、法务部、检事和警察，这些机构是《宪法》和保护人权方面法律的主要执行者。法务部负责制定国家政策和战略来宣传国际人权文书。法务部人权司的主要责任是促进遵守法律和秩序的观念并与民间的人权组织合作。</w:t>
      </w:r>
    </w:p>
    <w:p w:rsidR="00000000" w:rsidRDefault="00000000">
      <w:pPr>
        <w:rPr>
          <w:rFonts w:hint="eastAsia"/>
          <w:snapToGrid/>
        </w:rPr>
      </w:pPr>
      <w:r>
        <w:rPr>
          <w:rFonts w:hint="eastAsia"/>
          <w:snapToGrid/>
        </w:rPr>
        <w:tab/>
        <w:t xml:space="preserve">50.  </w:t>
      </w:r>
      <w:r>
        <w:rPr>
          <w:rFonts w:hint="eastAsia"/>
          <w:snapToGrid/>
        </w:rPr>
        <w:t>最近，警察机构重新作出承诺，保证在执法过程中做到公平和人道。韩国国家警察厅为此实行了一些措施，包括在其与非政府组织的协作机构内成立一个保护人权的附属委员会；为防暴警察制定安全和人权原则；减少对可疑行为的任意质问等。</w:t>
      </w:r>
    </w:p>
    <w:p w:rsidR="00000000" w:rsidRDefault="00000000">
      <w:pPr>
        <w:rPr>
          <w:rFonts w:hint="eastAsia"/>
          <w:snapToGrid/>
        </w:rPr>
      </w:pPr>
      <w:r>
        <w:rPr>
          <w:rFonts w:hint="eastAsia"/>
          <w:snapToGrid/>
        </w:rPr>
        <w:tab/>
        <w:t xml:space="preserve">51.  </w:t>
      </w:r>
      <w:r>
        <w:rPr>
          <w:rFonts w:hint="eastAsia"/>
          <w:snapToGrid/>
        </w:rPr>
        <w:t>在大韩民国，每个公民在其权利遭到侵犯时，都可以诉诸法院。国家各级法院根据《宪法》和其他人权法律的规定在其各自管辖范围内处理侵权问题。宪法法院就法律合宪性作出裁决并审查行政当局的工作以确保司法机构在保护公民基本权利方面的独立性。如果法律侵犯了《宪法》规定的基本人权，则应提请宪法法院裁决，之后如必要，通过国会的法案进行修正。</w:t>
      </w:r>
    </w:p>
    <w:p w:rsidR="00000000" w:rsidRDefault="00000000">
      <w:pPr>
        <w:rPr>
          <w:rFonts w:hint="eastAsia"/>
          <w:snapToGrid/>
        </w:rPr>
      </w:pPr>
      <w:r>
        <w:rPr>
          <w:rFonts w:hint="eastAsia"/>
          <w:snapToGrid/>
        </w:rPr>
        <w:tab/>
        <w:t xml:space="preserve">52.  </w:t>
      </w:r>
      <w:r>
        <w:rPr>
          <w:rFonts w:hint="eastAsia"/>
          <w:snapToGrid/>
        </w:rPr>
        <w:t>除上述政府部门外，</w:t>
      </w:r>
      <w:r>
        <w:rPr>
          <w:rFonts w:hint="eastAsia"/>
          <w:snapToGrid/>
        </w:rPr>
        <w:t>1994</w:t>
      </w:r>
      <w:r>
        <w:rPr>
          <w:rFonts w:hint="eastAsia"/>
          <w:snapToGrid/>
        </w:rPr>
        <w:t>年成立了监察员办公室，以便进一步防止管理不善现象并保护民众的权益。监察员办公室是个独立的中立机构，遵从国际监察员学会的戒律，目的是解决公民提出的申诉。监察员的主要职能是防止各政府机构侵犯公民的权益。</w:t>
      </w:r>
    </w:p>
    <w:p w:rsidR="00000000" w:rsidRDefault="00000000">
      <w:pPr>
        <w:rPr>
          <w:rFonts w:hint="eastAsia"/>
          <w:snapToGrid/>
        </w:rPr>
      </w:pPr>
      <w:r>
        <w:rPr>
          <w:rFonts w:hint="eastAsia"/>
          <w:snapToGrid/>
        </w:rPr>
        <w:tab/>
        <w:t xml:space="preserve">53.  </w:t>
      </w:r>
      <w:r>
        <w:rPr>
          <w:rFonts w:hint="eastAsia"/>
          <w:snapToGrid/>
        </w:rPr>
        <w:t>然而，保护人权方面的主要进步是</w:t>
      </w:r>
      <w:r>
        <w:rPr>
          <w:rFonts w:hint="eastAsia"/>
          <w:snapToGrid/>
        </w:rPr>
        <w:t>2001</w:t>
      </w:r>
      <w:r>
        <w:rPr>
          <w:rFonts w:hint="eastAsia"/>
          <w:snapToGrid/>
        </w:rPr>
        <w:t>年</w:t>
      </w:r>
      <w:r>
        <w:rPr>
          <w:rFonts w:hint="eastAsia"/>
          <w:snapToGrid/>
        </w:rPr>
        <w:t>11</w:t>
      </w:r>
      <w:r>
        <w:rPr>
          <w:rFonts w:hint="eastAsia"/>
          <w:snapToGrid/>
        </w:rPr>
        <w:t>月成立了国家人权委员会。这是一个独立的机构，有权建议人权方面的国家法律，并对侵犯人权和歧视行为进行调查。</w:t>
      </w:r>
    </w:p>
    <w:p w:rsidR="00000000" w:rsidRDefault="00000000">
      <w:pPr>
        <w:spacing w:after="320"/>
        <w:rPr>
          <w:rFonts w:hint="eastAsia"/>
          <w:snapToGrid/>
        </w:rPr>
      </w:pPr>
      <w:r>
        <w:rPr>
          <w:rFonts w:hint="eastAsia"/>
          <w:snapToGrid/>
        </w:rPr>
        <w:tab/>
        <w:t xml:space="preserve">54.  </w:t>
      </w:r>
      <w:r>
        <w:rPr>
          <w:rFonts w:hint="eastAsia"/>
          <w:snapToGrid/>
        </w:rPr>
        <w:t>《国家人权委员会法》第</w:t>
      </w:r>
      <w:r>
        <w:rPr>
          <w:rFonts w:hint="eastAsia"/>
          <w:snapToGrid/>
        </w:rPr>
        <w:t>19</w:t>
      </w:r>
      <w:r>
        <w:rPr>
          <w:rFonts w:hint="eastAsia"/>
          <w:snapToGrid/>
        </w:rPr>
        <w:t>条第</w:t>
      </w:r>
      <w:r>
        <w:rPr>
          <w:rFonts w:hint="eastAsia"/>
          <w:snapToGrid/>
        </w:rPr>
        <w:t>1</w:t>
      </w:r>
      <w:r>
        <w:rPr>
          <w:rFonts w:hint="eastAsia"/>
          <w:snapToGrid/>
        </w:rPr>
        <w:t>款规定，委员会应在与人权有关的法规</w:t>
      </w:r>
      <w:r>
        <w:rPr>
          <w:rFonts w:hint="eastAsia"/>
          <w:snapToGrid/>
        </w:rPr>
        <w:t>(</w:t>
      </w:r>
      <w:r>
        <w:rPr>
          <w:rFonts w:hint="eastAsia"/>
          <w:snapToGrid/>
        </w:rPr>
        <w:t>包括提交给国会的议案</w:t>
      </w:r>
      <w:r>
        <w:rPr>
          <w:rFonts w:hint="eastAsia"/>
          <w:snapToGrid/>
        </w:rPr>
        <w:t>)</w:t>
      </w:r>
      <w:r>
        <w:rPr>
          <w:rFonts w:hint="eastAsia"/>
          <w:snapToGrid/>
        </w:rPr>
        <w:t>、法律制度、政策和惯例方面开展调查和研究，并提出改善建议或发表意见。第</w:t>
      </w:r>
      <w:r>
        <w:rPr>
          <w:rFonts w:hint="eastAsia"/>
          <w:snapToGrid/>
        </w:rPr>
        <w:t>21</w:t>
      </w:r>
      <w:r>
        <w:rPr>
          <w:rFonts w:hint="eastAsia"/>
          <w:snapToGrid/>
        </w:rPr>
        <w:t>条规定国家有关机构在根据国际人权条约的条款编写政府报告时，应听取委员会的意见。根据第</w:t>
      </w:r>
      <w:r>
        <w:rPr>
          <w:rFonts w:hint="eastAsia"/>
          <w:snapToGrid/>
        </w:rPr>
        <w:t>25</w:t>
      </w:r>
      <w:r>
        <w:rPr>
          <w:rFonts w:hint="eastAsia"/>
          <w:snapToGrid/>
        </w:rPr>
        <w:t>条，委员会可以建议有关实体改进或纠正具体政策和做法，或表明有关看法；第</w:t>
      </w:r>
      <w:r>
        <w:rPr>
          <w:rFonts w:hint="eastAsia"/>
          <w:snapToGrid/>
        </w:rPr>
        <w:t>29</w:t>
      </w:r>
      <w:r>
        <w:rPr>
          <w:rFonts w:hint="eastAsia"/>
          <w:snapToGrid/>
        </w:rPr>
        <w:t>条规定，委员会应编写关于其前一年活动、人权情况和改善措施的年度报告，并向大韩民国总统和国会汇报这些方面的情况。</w:t>
      </w:r>
    </w:p>
    <w:p w:rsidR="00000000" w:rsidRDefault="00000000">
      <w:pPr>
        <w:pStyle w:val="Heading3"/>
        <w:rPr>
          <w:rFonts w:hint="eastAsia"/>
          <w:kern w:val="0"/>
        </w:rPr>
      </w:pPr>
      <w:r>
        <w:rPr>
          <w:rFonts w:hint="eastAsia"/>
          <w:u w:val="none"/>
        </w:rPr>
        <w:t xml:space="preserve">B.  </w:t>
      </w:r>
      <w:r>
        <w:rPr>
          <w:rFonts w:hint="eastAsia"/>
          <w:kern w:val="0"/>
        </w:rPr>
        <w:t>针对个人权利受到损害者的赔偿措施</w:t>
      </w:r>
    </w:p>
    <w:p w:rsidR="00000000" w:rsidRDefault="00000000">
      <w:pPr>
        <w:rPr>
          <w:rFonts w:hint="eastAsia"/>
          <w:snapToGrid/>
        </w:rPr>
      </w:pPr>
      <w:r>
        <w:rPr>
          <w:rFonts w:hint="eastAsia"/>
        </w:rPr>
        <w:tab/>
      </w:r>
      <w:r>
        <w:rPr>
          <w:rFonts w:hint="eastAsia"/>
          <w:snapToGrid/>
        </w:rPr>
        <w:t xml:space="preserve">55.  </w:t>
      </w:r>
      <w:r>
        <w:rPr>
          <w:rFonts w:hint="eastAsia"/>
          <w:snapToGrid/>
        </w:rPr>
        <w:t>在大韩民国，个人权利与自由受到《宪法》和有关法律的保护。《宪法》规定了基本原则以确保个人在权利受到侵犯时能够寻求赔偿。</w:t>
      </w:r>
    </w:p>
    <w:p w:rsidR="00000000" w:rsidRDefault="00000000">
      <w:pPr>
        <w:numPr>
          <w:ilvl w:val="0"/>
          <w:numId w:val="85"/>
        </w:numPr>
        <w:tabs>
          <w:tab w:val="clear" w:pos="1531"/>
        </w:tabs>
        <w:rPr>
          <w:rFonts w:hint="eastAsia"/>
          <w:snapToGrid/>
        </w:rPr>
      </w:pPr>
      <w:r>
        <w:rPr>
          <w:rFonts w:hint="eastAsia"/>
          <w:snapToGrid/>
        </w:rPr>
        <w:t>无论是言论或是新闻均不得侵害人们的名誉和权利，或不得损害公共道德或社会伦理。如果言论或新闻侵害了个人的名誉或权利，可以针对由此造成的损害提出索赔</w:t>
      </w:r>
      <w:r>
        <w:rPr>
          <w:rFonts w:hint="eastAsia"/>
          <w:snapToGrid/>
        </w:rPr>
        <w:t>(</w:t>
      </w:r>
      <w:r>
        <w:rPr>
          <w:rFonts w:hint="eastAsia"/>
          <w:snapToGrid/>
        </w:rPr>
        <w:t>第</w:t>
      </w:r>
      <w:r>
        <w:rPr>
          <w:rFonts w:hint="eastAsia"/>
          <w:snapToGrid/>
        </w:rPr>
        <w:t>21</w:t>
      </w:r>
      <w:r>
        <w:rPr>
          <w:rFonts w:hint="eastAsia"/>
          <w:snapToGrid/>
        </w:rPr>
        <w:t>条第</w:t>
      </w:r>
      <w:r>
        <w:rPr>
          <w:rFonts w:hint="eastAsia"/>
          <w:snapToGrid/>
        </w:rPr>
        <w:t>4</w:t>
      </w:r>
      <w:r>
        <w:rPr>
          <w:rFonts w:hint="eastAsia"/>
          <w:snapToGrid/>
        </w:rPr>
        <w:t>款</w:t>
      </w:r>
      <w:r>
        <w:rPr>
          <w:rFonts w:hint="eastAsia"/>
          <w:snapToGrid/>
        </w:rPr>
        <w:t>)</w:t>
      </w:r>
      <w:r>
        <w:rPr>
          <w:rFonts w:hint="eastAsia"/>
          <w:snapToGrid/>
        </w:rPr>
        <w:t>；</w:t>
      </w:r>
    </w:p>
    <w:p w:rsidR="00000000" w:rsidRDefault="00000000">
      <w:pPr>
        <w:numPr>
          <w:ilvl w:val="0"/>
          <w:numId w:val="85"/>
        </w:numPr>
        <w:tabs>
          <w:tab w:val="clear" w:pos="1531"/>
        </w:tabs>
        <w:rPr>
          <w:rFonts w:hint="eastAsia"/>
          <w:snapToGrid/>
        </w:rPr>
      </w:pPr>
      <w:r>
        <w:rPr>
          <w:rFonts w:hint="eastAsia"/>
          <w:snapToGrid/>
        </w:rPr>
        <w:t>出于公共需要而没收、使用或限制私有财产的做法应受法律制约，而且在这种情况下，应给予公正的赔偿</w:t>
      </w:r>
      <w:r>
        <w:rPr>
          <w:rFonts w:hint="eastAsia"/>
          <w:snapToGrid/>
        </w:rPr>
        <w:t>(</w:t>
      </w:r>
      <w:r>
        <w:rPr>
          <w:rFonts w:hint="eastAsia"/>
          <w:snapToGrid/>
        </w:rPr>
        <w:t>第</w:t>
      </w:r>
      <w:r>
        <w:rPr>
          <w:rFonts w:hint="eastAsia"/>
          <w:snapToGrid/>
        </w:rPr>
        <w:t>23</w:t>
      </w:r>
      <w:r>
        <w:rPr>
          <w:rFonts w:hint="eastAsia"/>
          <w:snapToGrid/>
        </w:rPr>
        <w:t>条第</w:t>
      </w:r>
      <w:r>
        <w:rPr>
          <w:rFonts w:hint="eastAsia"/>
          <w:snapToGrid/>
        </w:rPr>
        <w:t>3</w:t>
      </w:r>
      <w:r>
        <w:rPr>
          <w:rFonts w:hint="eastAsia"/>
          <w:snapToGrid/>
        </w:rPr>
        <w:t>款</w:t>
      </w:r>
      <w:r>
        <w:rPr>
          <w:rFonts w:hint="eastAsia"/>
          <w:snapToGrid/>
        </w:rPr>
        <w:t>)</w:t>
      </w:r>
      <w:r>
        <w:rPr>
          <w:rFonts w:hint="eastAsia"/>
          <w:snapToGrid/>
        </w:rPr>
        <w:t>；</w:t>
      </w:r>
    </w:p>
    <w:p w:rsidR="00000000" w:rsidRDefault="00000000">
      <w:pPr>
        <w:numPr>
          <w:ilvl w:val="0"/>
          <w:numId w:val="85"/>
        </w:numPr>
        <w:tabs>
          <w:tab w:val="clear" w:pos="1531"/>
        </w:tabs>
        <w:rPr>
          <w:rFonts w:hint="eastAsia"/>
          <w:snapToGrid/>
        </w:rPr>
      </w:pPr>
      <w:r>
        <w:rPr>
          <w:rFonts w:hint="eastAsia"/>
          <w:snapToGrid/>
        </w:rPr>
        <w:t>受到监禁的嫌疑犯或被告如不曾依法受到起诉或者已被法院宣告无罪释放，则有权根据法律规定的条件向国家索取公正的赔偿</w:t>
      </w:r>
      <w:r>
        <w:rPr>
          <w:rFonts w:hint="eastAsia"/>
          <w:snapToGrid/>
        </w:rPr>
        <w:t>(</w:t>
      </w:r>
      <w:r>
        <w:rPr>
          <w:rFonts w:hint="eastAsia"/>
          <w:snapToGrid/>
        </w:rPr>
        <w:t>第</w:t>
      </w:r>
      <w:r>
        <w:rPr>
          <w:rFonts w:hint="eastAsia"/>
          <w:snapToGrid/>
        </w:rPr>
        <w:t>28</w:t>
      </w:r>
      <w:r>
        <w:rPr>
          <w:rFonts w:hint="eastAsia"/>
          <w:snapToGrid/>
        </w:rPr>
        <w:t>条</w:t>
      </w:r>
      <w:r>
        <w:rPr>
          <w:rFonts w:hint="eastAsia"/>
          <w:snapToGrid/>
        </w:rPr>
        <w:t>)</w:t>
      </w:r>
      <w:r>
        <w:rPr>
          <w:rFonts w:hint="eastAsia"/>
          <w:snapToGrid/>
        </w:rPr>
        <w:t>；</w:t>
      </w:r>
    </w:p>
    <w:p w:rsidR="00000000" w:rsidRDefault="00000000">
      <w:pPr>
        <w:numPr>
          <w:ilvl w:val="0"/>
          <w:numId w:val="85"/>
        </w:numPr>
        <w:tabs>
          <w:tab w:val="clear" w:pos="1531"/>
        </w:tabs>
        <w:rPr>
          <w:rFonts w:hint="eastAsia"/>
          <w:snapToGrid/>
        </w:rPr>
      </w:pPr>
      <w:r>
        <w:rPr>
          <w:rFonts w:hint="eastAsia"/>
          <w:snapToGrid/>
        </w:rPr>
        <w:t>个人如因公职人员执行公务过程中的非法行为而受到损害，则此人可以根据法律规定的条件向国家或公共组织索取公正的赔偿</w:t>
      </w:r>
      <w:r>
        <w:rPr>
          <w:rFonts w:hint="eastAsia"/>
          <w:snapToGrid/>
        </w:rPr>
        <w:t>(</w:t>
      </w:r>
      <w:r>
        <w:rPr>
          <w:rFonts w:hint="eastAsia"/>
          <w:snapToGrid/>
        </w:rPr>
        <w:t>第</w:t>
      </w:r>
      <w:r>
        <w:rPr>
          <w:rFonts w:hint="eastAsia"/>
          <w:snapToGrid/>
        </w:rPr>
        <w:t>29</w:t>
      </w:r>
      <w:r>
        <w:rPr>
          <w:rFonts w:hint="eastAsia"/>
          <w:snapToGrid/>
        </w:rPr>
        <w:t>条第</w:t>
      </w:r>
      <w:r>
        <w:rPr>
          <w:rFonts w:hint="eastAsia"/>
          <w:snapToGrid/>
        </w:rPr>
        <w:t>1</w:t>
      </w:r>
      <w:r>
        <w:rPr>
          <w:rFonts w:hint="eastAsia"/>
          <w:snapToGrid/>
        </w:rPr>
        <w:t>款</w:t>
      </w:r>
      <w:r>
        <w:rPr>
          <w:rFonts w:hint="eastAsia"/>
          <w:snapToGrid/>
        </w:rPr>
        <w:t>)</w:t>
      </w:r>
      <w:r>
        <w:rPr>
          <w:rFonts w:hint="eastAsia"/>
          <w:snapToGrid/>
        </w:rPr>
        <w:t>；</w:t>
      </w:r>
    </w:p>
    <w:p w:rsidR="00000000" w:rsidRDefault="00000000">
      <w:pPr>
        <w:numPr>
          <w:ilvl w:val="0"/>
          <w:numId w:val="85"/>
        </w:numPr>
        <w:tabs>
          <w:tab w:val="clear" w:pos="1531"/>
        </w:tabs>
        <w:rPr>
          <w:rFonts w:hint="eastAsia"/>
          <w:snapToGrid/>
        </w:rPr>
      </w:pPr>
      <w:r>
        <w:rPr>
          <w:rFonts w:hint="eastAsia"/>
          <w:snapToGrid/>
        </w:rPr>
        <w:t>由于他人犯罪行为而身亡或受伤的公民，可以根据法律规定的条件获得国家提供的援助</w:t>
      </w:r>
      <w:r>
        <w:rPr>
          <w:rFonts w:hint="eastAsia"/>
          <w:snapToGrid/>
        </w:rPr>
        <w:t>(</w:t>
      </w:r>
      <w:r>
        <w:rPr>
          <w:rFonts w:hint="eastAsia"/>
          <w:snapToGrid/>
        </w:rPr>
        <w:t>第</w:t>
      </w:r>
      <w:r>
        <w:rPr>
          <w:rFonts w:hint="eastAsia"/>
          <w:snapToGrid/>
        </w:rPr>
        <w:t>30</w:t>
      </w:r>
      <w:r>
        <w:rPr>
          <w:rFonts w:hint="eastAsia"/>
          <w:snapToGrid/>
        </w:rPr>
        <w:t>条</w:t>
      </w:r>
      <w:r>
        <w:rPr>
          <w:rFonts w:hint="eastAsia"/>
          <w:snapToGrid/>
        </w:rPr>
        <w:t>)</w:t>
      </w:r>
      <w:r>
        <w:rPr>
          <w:rFonts w:hint="eastAsia"/>
          <w:snapToGrid/>
        </w:rPr>
        <w:t>。</w:t>
      </w:r>
    </w:p>
    <w:p w:rsidR="00000000" w:rsidRDefault="00000000">
      <w:pPr>
        <w:rPr>
          <w:rFonts w:hint="eastAsia"/>
          <w:snapToGrid/>
        </w:rPr>
      </w:pPr>
      <w:r>
        <w:rPr>
          <w:rFonts w:hint="eastAsia"/>
          <w:snapToGrid/>
        </w:rPr>
        <w:tab/>
        <w:t xml:space="preserve">56.  </w:t>
      </w:r>
      <w:r>
        <w:rPr>
          <w:rFonts w:hint="eastAsia"/>
          <w:snapToGrid/>
        </w:rPr>
        <w:t>根据《宪法》载明的原则，有关法律和规章制度应提供适当的手段来补救对个人权利造成的损害或伤害。概括地说，侵权行为和对此作出的赔偿有两种情况。第一种是国家官员侵害个人权利的情况；第二种涉及个人之间造成的损害或伤害，这时国家须通过司法程序和行政补救措施来调解利益冲突。</w:t>
      </w:r>
    </w:p>
    <w:p w:rsidR="00000000" w:rsidRDefault="00000000">
      <w:pPr>
        <w:rPr>
          <w:rFonts w:hint="eastAsia"/>
          <w:snapToGrid/>
        </w:rPr>
      </w:pPr>
      <w:r>
        <w:rPr>
          <w:rFonts w:hint="eastAsia"/>
          <w:snapToGrid/>
        </w:rPr>
        <w:tab/>
        <w:t xml:space="preserve">57.  </w:t>
      </w:r>
      <w:r>
        <w:rPr>
          <w:rFonts w:hint="eastAsia"/>
          <w:snapToGrid/>
        </w:rPr>
        <w:t>就上述第二种情况来说，解决冲突时应以《民法》和《民事诉讼法》的条款为依据。因被告的犯罪行为而受到伤害的受害人有权在审理刑事案件过程中同时提出一项民事诉讼。这些受害人也可以根据《犯罪受害者援助法》获得国家的援助。</w:t>
      </w:r>
    </w:p>
    <w:p w:rsidR="00000000" w:rsidRDefault="00000000">
      <w:pPr>
        <w:rPr>
          <w:rFonts w:hint="eastAsia"/>
          <w:snapToGrid/>
        </w:rPr>
      </w:pPr>
      <w:r>
        <w:rPr>
          <w:rFonts w:hint="eastAsia"/>
          <w:snapToGrid/>
        </w:rPr>
        <w:tab/>
        <w:t xml:space="preserve">58.  </w:t>
      </w:r>
      <w:r>
        <w:rPr>
          <w:rFonts w:hint="eastAsia"/>
          <w:snapToGrid/>
        </w:rPr>
        <w:t>对于个人因公职人员的行为而受到损害或伤害的情况，《国家赔偿法》和《刑事赔偿法》规定了准则。前者规定如果公职人员在执行公务过程中有意或无意伤害了其他人，则国家或地方政府应对伤害作出赔偿</w:t>
      </w:r>
      <w:r>
        <w:rPr>
          <w:rFonts w:hint="eastAsia"/>
          <w:snapToGrid/>
        </w:rPr>
        <w:t>(</w:t>
      </w:r>
      <w:r>
        <w:rPr>
          <w:rFonts w:hint="eastAsia"/>
          <w:snapToGrid/>
        </w:rPr>
        <w:t>《国家赔偿法》第</w:t>
      </w:r>
      <w:r>
        <w:rPr>
          <w:rFonts w:hint="eastAsia"/>
          <w:snapToGrid/>
        </w:rPr>
        <w:t>2</w:t>
      </w:r>
      <w:r>
        <w:rPr>
          <w:rFonts w:hint="eastAsia"/>
          <w:snapToGrid/>
        </w:rPr>
        <w:t>条</w:t>
      </w:r>
      <w:r>
        <w:rPr>
          <w:rFonts w:hint="eastAsia"/>
          <w:snapToGrid/>
        </w:rPr>
        <w:t>)</w:t>
      </w:r>
      <w:r>
        <w:rPr>
          <w:rFonts w:hint="eastAsia"/>
          <w:snapToGrid/>
        </w:rPr>
        <w:t>。</w:t>
      </w:r>
    </w:p>
    <w:p w:rsidR="00000000" w:rsidRDefault="00000000">
      <w:pPr>
        <w:spacing w:after="320"/>
        <w:rPr>
          <w:rFonts w:hint="eastAsia"/>
          <w:snapToGrid/>
        </w:rPr>
      </w:pPr>
      <w:r>
        <w:rPr>
          <w:rFonts w:hint="eastAsia"/>
          <w:snapToGrid/>
        </w:rPr>
        <w:tab/>
        <w:t xml:space="preserve">59.  </w:t>
      </w:r>
      <w:r>
        <w:rPr>
          <w:rFonts w:hint="eastAsia"/>
          <w:snapToGrid/>
        </w:rPr>
        <w:t>除上述法律和条例外，还颁布了各种特别法案，处理如何赔偿在诸如种族歧视、两性不平等和政治监禁等方面可能对个人权利造成的损害的问题。这类法案，如《防止性别歧视和补救法》和《恢复名誉和赔偿法》</w:t>
      </w:r>
      <w:r>
        <w:rPr>
          <w:rFonts w:hint="eastAsia"/>
          <w:snapToGrid/>
        </w:rPr>
        <w:t>(</w:t>
      </w:r>
      <w:r>
        <w:rPr>
          <w:rFonts w:hint="eastAsia"/>
          <w:snapToGrid/>
        </w:rPr>
        <w:t>涉及参与民主运动的人</w:t>
      </w:r>
      <w:r>
        <w:rPr>
          <w:rFonts w:hint="eastAsia"/>
          <w:snapToGrid/>
        </w:rPr>
        <w:t>)</w:t>
      </w:r>
      <w:r>
        <w:rPr>
          <w:rFonts w:hint="eastAsia"/>
          <w:snapToGrid/>
        </w:rPr>
        <w:t>等，以法律条款的形式明确规定了犯罪行为的性质、损害或伤害的程度以及赔偿侵权行为受害者的金额。</w:t>
      </w:r>
    </w:p>
    <w:p w:rsidR="00000000" w:rsidRDefault="00000000">
      <w:pPr>
        <w:pStyle w:val="Heading3"/>
        <w:rPr>
          <w:rFonts w:hint="eastAsia"/>
          <w:kern w:val="0"/>
        </w:rPr>
      </w:pPr>
      <w:r>
        <w:rPr>
          <w:rFonts w:hint="eastAsia"/>
          <w:u w:val="none"/>
        </w:rPr>
        <w:tab/>
      </w:r>
      <w:r>
        <w:rPr>
          <w:rFonts w:hint="eastAsia"/>
          <w:kern w:val="0"/>
          <w:u w:val="none"/>
        </w:rPr>
        <w:t xml:space="preserve">C.  </w:t>
      </w:r>
      <w:r>
        <w:rPr>
          <w:rFonts w:hint="eastAsia"/>
          <w:kern w:val="0"/>
        </w:rPr>
        <w:t>《宪法》和其他法律中对保护人权的规定</w:t>
      </w:r>
    </w:p>
    <w:p w:rsidR="00000000" w:rsidRDefault="00000000">
      <w:pPr>
        <w:rPr>
          <w:rFonts w:hint="eastAsia"/>
          <w:snapToGrid/>
        </w:rPr>
      </w:pPr>
      <w:r>
        <w:rPr>
          <w:rFonts w:hint="eastAsia"/>
        </w:rPr>
        <w:tab/>
      </w:r>
      <w:r>
        <w:rPr>
          <w:rFonts w:hint="eastAsia"/>
          <w:snapToGrid/>
        </w:rPr>
        <w:t xml:space="preserve">60.  </w:t>
      </w:r>
      <w:r>
        <w:rPr>
          <w:rFonts w:hint="eastAsia"/>
          <w:snapToGrid/>
        </w:rPr>
        <w:t>《宪法》保护不可侵犯的基本人权。《宪法》第二章专门处理公民权利和责任问题，公民根据该章的规定享有人身自由权、人身安全权和隐私权。此外，受《宪法》保护的基本人权</w:t>
      </w:r>
      <w:r>
        <w:rPr>
          <w:rFonts w:hint="eastAsia"/>
          <w:snapToGrid/>
        </w:rPr>
        <w:t>(</w:t>
      </w:r>
      <w:r>
        <w:rPr>
          <w:rFonts w:hint="eastAsia"/>
          <w:snapToGrid/>
        </w:rPr>
        <w:t>不包括那些以具有大韩民国国籍为前提的权利</w:t>
      </w:r>
      <w:r>
        <w:rPr>
          <w:rFonts w:hint="eastAsia"/>
          <w:snapToGrid/>
        </w:rPr>
        <w:t>)</w:t>
      </w:r>
      <w:r>
        <w:rPr>
          <w:rFonts w:hint="eastAsia"/>
          <w:snapToGrid/>
        </w:rPr>
        <w:t>也同样适用于外国人。</w:t>
      </w:r>
    </w:p>
    <w:p w:rsidR="00000000" w:rsidRDefault="00000000">
      <w:pPr>
        <w:rPr>
          <w:rFonts w:hint="eastAsia"/>
          <w:snapToGrid/>
        </w:rPr>
      </w:pPr>
      <w:r>
        <w:rPr>
          <w:rFonts w:hint="eastAsia"/>
          <w:snapToGrid/>
        </w:rPr>
        <w:tab/>
        <w:t xml:space="preserve">61.  </w:t>
      </w:r>
      <w:r>
        <w:rPr>
          <w:rFonts w:hint="eastAsia"/>
          <w:snapToGrid/>
        </w:rPr>
        <w:t>《宪法》中有关保护人权的条款内容只是说明性的。第</w:t>
      </w:r>
      <w:r>
        <w:rPr>
          <w:rFonts w:hint="eastAsia"/>
          <w:snapToGrid/>
        </w:rPr>
        <w:t>37</w:t>
      </w:r>
      <w:r>
        <w:rPr>
          <w:rFonts w:hint="eastAsia"/>
          <w:snapToGrid/>
        </w:rPr>
        <w:t>条第</w:t>
      </w:r>
      <w:r>
        <w:rPr>
          <w:rFonts w:hint="eastAsia"/>
          <w:snapToGrid/>
        </w:rPr>
        <w:t>1</w:t>
      </w:r>
      <w:r>
        <w:rPr>
          <w:rFonts w:hint="eastAsia"/>
          <w:snapToGrid/>
        </w:rPr>
        <w:t>款规定不得因《宪法》中未予载明而忽视某些自由和权利。政府应通过有关规章和条例表明对人权的基本原则与标准的尊重。</w:t>
      </w:r>
    </w:p>
    <w:p w:rsidR="00000000" w:rsidRDefault="00000000">
      <w:pPr>
        <w:rPr>
          <w:rFonts w:hint="eastAsia"/>
          <w:snapToGrid/>
        </w:rPr>
      </w:pPr>
      <w:r>
        <w:rPr>
          <w:rFonts w:hint="eastAsia"/>
          <w:snapToGrid/>
        </w:rPr>
        <w:tab/>
        <w:t xml:space="preserve">62.  </w:t>
      </w:r>
      <w:r>
        <w:rPr>
          <w:rFonts w:hint="eastAsia"/>
          <w:snapToGrid/>
        </w:rPr>
        <w:t>刑事法律和条例规定任何人不得遭到任意逮捕、监禁、搜身或审问。根据《宪法》第</w:t>
      </w:r>
      <w:r>
        <w:rPr>
          <w:rFonts w:hint="eastAsia"/>
          <w:snapToGrid/>
        </w:rPr>
        <w:t>12</w:t>
      </w:r>
      <w:r>
        <w:rPr>
          <w:rFonts w:hint="eastAsia"/>
          <w:snapToGrid/>
        </w:rPr>
        <w:t>条，禁止施以酷刑，如果被告因遭受酷刑、暴力、恫吓、长期监禁、欺骗等而违心供认，或者如果在正式审判中供词仅是不利于被告的唯一证据，则不得以此供词作为有罪的证据，也不得因这样一种供词而惩罚被告。</w:t>
      </w:r>
    </w:p>
    <w:p w:rsidR="00000000" w:rsidRDefault="00000000">
      <w:pPr>
        <w:rPr>
          <w:rFonts w:hint="eastAsia"/>
          <w:snapToGrid/>
        </w:rPr>
      </w:pPr>
      <w:r>
        <w:rPr>
          <w:rFonts w:hint="eastAsia"/>
          <w:snapToGrid/>
        </w:rPr>
        <w:tab/>
        <w:t xml:space="preserve">63.  </w:t>
      </w:r>
      <w:r>
        <w:rPr>
          <w:rFonts w:hint="eastAsia"/>
          <w:snapToGrid/>
        </w:rPr>
        <w:t>法律规定一切被逮捕或监禁的人均有权立即获得律师的援助，对任何无经济能力获得律师援助的被告，国家应给予援助。被逮捕或监禁的人应被告知逮捕或监禁他们的理由以及可以获得律师援助的权利。被逮捕或监禁的人还有权请求法院审查逮捕或监禁他们的行为是否合法。而且必须立即将逮捕或监禁的理由、时间和地点通知给被逮捕或监禁者的家人。</w:t>
      </w:r>
    </w:p>
    <w:p w:rsidR="00000000" w:rsidRDefault="00000000">
      <w:pPr>
        <w:rPr>
          <w:rFonts w:hint="eastAsia"/>
          <w:snapToGrid/>
        </w:rPr>
      </w:pPr>
      <w:r>
        <w:rPr>
          <w:rFonts w:hint="eastAsia"/>
          <w:snapToGrid/>
        </w:rPr>
        <w:tab/>
        <w:t xml:space="preserve">64.  </w:t>
      </w:r>
      <w:r>
        <w:rPr>
          <w:rFonts w:hint="eastAsia"/>
          <w:snapToGrid/>
        </w:rPr>
        <w:t>《刑法》与《刑事诉讼法》中坚持法无明文者不罚的基本原则。国内法律禁止对同一罪行审判两次和追溯既往的做法。</w:t>
      </w:r>
    </w:p>
    <w:p w:rsidR="00000000" w:rsidRDefault="00000000">
      <w:pPr>
        <w:rPr>
          <w:rFonts w:hint="eastAsia"/>
          <w:snapToGrid/>
        </w:rPr>
      </w:pPr>
      <w:r>
        <w:rPr>
          <w:rFonts w:hint="eastAsia"/>
          <w:snapToGrid/>
        </w:rPr>
        <w:tab/>
        <w:t xml:space="preserve">65.  </w:t>
      </w:r>
      <w:r>
        <w:rPr>
          <w:rFonts w:hint="eastAsia"/>
          <w:snapToGrid/>
        </w:rPr>
        <w:t>自</w:t>
      </w:r>
      <w:r>
        <w:rPr>
          <w:rFonts w:hint="eastAsia"/>
          <w:snapToGrid/>
        </w:rPr>
        <w:t>1980</w:t>
      </w:r>
      <w:r>
        <w:rPr>
          <w:rFonts w:hint="eastAsia"/>
          <w:snapToGrid/>
        </w:rPr>
        <w:t>年代末期以来，大韩民国政府对保护人权问题给予了高度重视，并颁布了保护政治权利和妇女权利的特别法律。《查明可疑死亡真相特别法》和《为参与民主运动者恢复名誉并给予赔偿法》确保过去镇压人民民主运动行为的受害者及其家庭获得公正的赔偿以弥补他们遭受的损害或伤亡。</w:t>
      </w:r>
    </w:p>
    <w:p w:rsidR="00000000" w:rsidRDefault="00000000">
      <w:pPr>
        <w:rPr>
          <w:rFonts w:hint="eastAsia"/>
          <w:snapToGrid/>
        </w:rPr>
      </w:pPr>
      <w:r>
        <w:rPr>
          <w:rFonts w:hint="eastAsia"/>
          <w:snapToGrid/>
        </w:rPr>
        <w:tab/>
        <w:t xml:space="preserve">66.  </w:t>
      </w:r>
      <w:r>
        <w:rPr>
          <w:rFonts w:hint="eastAsia"/>
          <w:snapToGrid/>
        </w:rPr>
        <w:t>自</w:t>
      </w:r>
      <w:r>
        <w:rPr>
          <w:rFonts w:hint="eastAsia"/>
          <w:snapToGrid/>
        </w:rPr>
        <w:t>1990</w:t>
      </w:r>
      <w:r>
        <w:rPr>
          <w:rFonts w:hint="eastAsia"/>
          <w:snapToGrid/>
        </w:rPr>
        <w:t>年代中期以来，政府还不断改善法律和体制基础设施，以促进男女平等。为全面保护妇女的权利，</w:t>
      </w:r>
      <w:r>
        <w:rPr>
          <w:rFonts w:hint="eastAsia"/>
          <w:snapToGrid/>
        </w:rPr>
        <w:t>1991</w:t>
      </w:r>
      <w:r>
        <w:rPr>
          <w:rFonts w:hint="eastAsia"/>
          <w:snapToGrid/>
        </w:rPr>
        <w:t>年颁布了《防止性别歧视和补救法》，</w:t>
      </w:r>
      <w:r>
        <w:rPr>
          <w:rFonts w:hint="eastAsia"/>
          <w:snapToGrid/>
        </w:rPr>
        <w:t>2001</w:t>
      </w:r>
      <w:r>
        <w:rPr>
          <w:rFonts w:hint="eastAsia"/>
          <w:snapToGrid/>
        </w:rPr>
        <w:t>年成立了女性部。</w:t>
      </w:r>
    </w:p>
    <w:p w:rsidR="00000000" w:rsidRDefault="00000000">
      <w:pPr>
        <w:pStyle w:val="Heading3"/>
        <w:rPr>
          <w:rFonts w:hint="eastAsia"/>
          <w:kern w:val="0"/>
        </w:rPr>
      </w:pPr>
      <w:r>
        <w:rPr>
          <w:rFonts w:hint="eastAsia"/>
          <w:u w:val="none"/>
        </w:rPr>
        <w:t xml:space="preserve">D.  </w:t>
      </w:r>
      <w:r>
        <w:rPr>
          <w:rFonts w:hint="eastAsia"/>
          <w:kern w:val="0"/>
        </w:rPr>
        <w:t>国家法律制度中的人权文书</w:t>
      </w:r>
    </w:p>
    <w:p w:rsidR="00000000" w:rsidRDefault="00000000">
      <w:pPr>
        <w:rPr>
          <w:rFonts w:hint="eastAsia"/>
          <w:snapToGrid/>
        </w:rPr>
      </w:pPr>
      <w:r>
        <w:rPr>
          <w:rFonts w:hint="eastAsia"/>
        </w:rPr>
        <w:tab/>
      </w:r>
      <w:r>
        <w:rPr>
          <w:rFonts w:hint="eastAsia"/>
          <w:snapToGrid/>
        </w:rPr>
        <w:t xml:space="preserve">67.  </w:t>
      </w:r>
      <w:r>
        <w:rPr>
          <w:rFonts w:hint="eastAsia"/>
          <w:snapToGrid/>
        </w:rPr>
        <w:t>大韩民国《宪法》第</w:t>
      </w:r>
      <w:r>
        <w:rPr>
          <w:rFonts w:hint="eastAsia"/>
          <w:snapToGrid/>
        </w:rPr>
        <w:t>6</w:t>
      </w:r>
      <w:r>
        <w:rPr>
          <w:rFonts w:hint="eastAsia"/>
          <w:snapToGrid/>
        </w:rPr>
        <w:t>条第</w:t>
      </w:r>
      <w:r>
        <w:rPr>
          <w:rFonts w:hint="eastAsia"/>
          <w:snapToGrid/>
        </w:rPr>
        <w:t>1</w:t>
      </w:r>
      <w:r>
        <w:rPr>
          <w:rFonts w:hint="eastAsia"/>
          <w:snapToGrid/>
        </w:rPr>
        <w:t>款规定，应根据《宪法》和普遍认可的国际法规则适当缔结并颁布的条约，应与共和国国内法律具有相同的效力。各项条约一经政府批准，便对所有国家机构和全体公民具有约束力。</w:t>
      </w:r>
    </w:p>
    <w:p w:rsidR="00000000" w:rsidRDefault="00000000">
      <w:pPr>
        <w:pStyle w:val="ac"/>
        <w:rPr>
          <w:rFonts w:hint="eastAsia"/>
          <w:snapToGrid/>
        </w:rPr>
      </w:pPr>
      <w:r>
        <w:rPr>
          <w:rFonts w:hint="eastAsia"/>
          <w:snapToGrid/>
        </w:rPr>
        <w:t>大韩民国已签署和批准了六项核心人权文书：</w:t>
      </w:r>
    </w:p>
    <w:p w:rsidR="00000000" w:rsidRDefault="00000000">
      <w:pPr>
        <w:pStyle w:val="a"/>
        <w:ind w:left="2070"/>
        <w:rPr>
          <w:rFonts w:hint="eastAsia"/>
          <w:snapToGrid/>
        </w:rPr>
      </w:pPr>
      <w:r>
        <w:rPr>
          <w:rFonts w:hint="eastAsia"/>
          <w:snapToGrid/>
        </w:rPr>
        <w:t>《经济、社会、文化权利国际公约》；</w:t>
      </w:r>
    </w:p>
    <w:p w:rsidR="00000000" w:rsidRDefault="00000000">
      <w:pPr>
        <w:pStyle w:val="a"/>
        <w:ind w:left="2070"/>
        <w:rPr>
          <w:rFonts w:hint="eastAsia"/>
          <w:snapToGrid/>
        </w:rPr>
      </w:pPr>
      <w:r>
        <w:rPr>
          <w:rFonts w:hint="eastAsia"/>
          <w:snapToGrid/>
        </w:rPr>
        <w:t>《公民权利和政治权利国际公约》；</w:t>
      </w:r>
    </w:p>
    <w:p w:rsidR="00000000" w:rsidRDefault="00000000">
      <w:pPr>
        <w:pStyle w:val="a"/>
        <w:ind w:left="2070"/>
        <w:rPr>
          <w:rFonts w:hint="eastAsia"/>
          <w:snapToGrid/>
        </w:rPr>
      </w:pPr>
      <w:r>
        <w:rPr>
          <w:rFonts w:hint="eastAsia"/>
          <w:snapToGrid/>
        </w:rPr>
        <w:t>《儿童权利公约》；</w:t>
      </w:r>
    </w:p>
    <w:p w:rsidR="00000000" w:rsidRDefault="00000000">
      <w:pPr>
        <w:pStyle w:val="a"/>
        <w:ind w:left="2070"/>
        <w:rPr>
          <w:rFonts w:hint="eastAsia"/>
          <w:snapToGrid/>
        </w:rPr>
      </w:pPr>
      <w:r>
        <w:rPr>
          <w:rFonts w:hint="eastAsia"/>
          <w:snapToGrid/>
        </w:rPr>
        <w:t>《禁止酷刑和其他残忍、不人道或有辱人格的待遇或处罚公约》；</w:t>
      </w:r>
    </w:p>
    <w:p w:rsidR="00000000" w:rsidRDefault="00000000">
      <w:pPr>
        <w:pStyle w:val="a"/>
        <w:ind w:left="2070"/>
        <w:rPr>
          <w:rFonts w:hint="eastAsia"/>
          <w:snapToGrid/>
        </w:rPr>
      </w:pPr>
      <w:r>
        <w:rPr>
          <w:rFonts w:hint="eastAsia"/>
          <w:snapToGrid/>
        </w:rPr>
        <w:t>《消除对妇女一切形式歧视公约》；</w:t>
      </w:r>
    </w:p>
    <w:p w:rsidR="00000000" w:rsidRDefault="00000000">
      <w:pPr>
        <w:pStyle w:val="a"/>
        <w:ind w:left="2070"/>
        <w:rPr>
          <w:rFonts w:hint="eastAsia"/>
          <w:snapToGrid/>
        </w:rPr>
      </w:pPr>
      <w:r>
        <w:rPr>
          <w:rFonts w:hint="eastAsia"/>
          <w:snapToGrid/>
        </w:rPr>
        <w:t>《消除一切形式种族歧视国际公约》。</w:t>
      </w:r>
    </w:p>
    <w:p w:rsidR="00000000" w:rsidRDefault="00000000">
      <w:pPr>
        <w:rPr>
          <w:rFonts w:hint="eastAsia"/>
          <w:snapToGrid/>
        </w:rPr>
      </w:pPr>
      <w:r>
        <w:rPr>
          <w:rFonts w:hint="eastAsia"/>
          <w:snapToGrid/>
        </w:rPr>
        <w:tab/>
        <w:t xml:space="preserve">68.  </w:t>
      </w:r>
      <w:r>
        <w:rPr>
          <w:rFonts w:hint="eastAsia"/>
          <w:snapToGrid/>
        </w:rPr>
        <w:t>上述六项核心人权文书在大韩民国具有充分的约束力，司法机构和行政当局，以及各有关公共社团必须遵从这些文书规定的义务。一般说来，不需要其他程序来使条约义务在国内具有法律效力。</w:t>
      </w:r>
    </w:p>
    <w:p w:rsidR="00000000" w:rsidRDefault="00000000">
      <w:pPr>
        <w:spacing w:after="320"/>
        <w:rPr>
          <w:rFonts w:hint="eastAsia"/>
          <w:snapToGrid/>
        </w:rPr>
      </w:pPr>
      <w:r>
        <w:rPr>
          <w:rFonts w:hint="eastAsia"/>
          <w:snapToGrid/>
        </w:rPr>
        <w:tab/>
        <w:t xml:space="preserve">69.  </w:t>
      </w:r>
      <w:r>
        <w:rPr>
          <w:rFonts w:hint="eastAsia"/>
          <w:snapToGrid/>
        </w:rPr>
        <w:t>韩国政府在其根据《公民权利和政治权利国际公约》第</w:t>
      </w:r>
      <w:r>
        <w:rPr>
          <w:rFonts w:hint="eastAsia"/>
          <w:snapToGrid/>
        </w:rPr>
        <w:t>40</w:t>
      </w:r>
      <w:r>
        <w:rPr>
          <w:rFonts w:hint="eastAsia"/>
          <w:snapToGrid/>
        </w:rPr>
        <w:t>条提交的关于《公约》执行情况的第一次定期报告中重申，上述人权文书一经正式批准将被自动纳入国内法律。</w:t>
      </w:r>
    </w:p>
    <w:p w:rsidR="00000000" w:rsidRDefault="00000000">
      <w:pPr>
        <w:pStyle w:val="Heading2"/>
        <w:rPr>
          <w:rFonts w:hint="eastAsia"/>
          <w:kern w:val="0"/>
        </w:rPr>
      </w:pPr>
      <w:r>
        <w:rPr>
          <w:rFonts w:hint="eastAsia"/>
        </w:rPr>
        <w:t>四、</w:t>
      </w:r>
      <w:r>
        <w:rPr>
          <w:rFonts w:hint="eastAsia"/>
          <w:kern w:val="0"/>
        </w:rPr>
        <w:t>新闻与宣传</w:t>
      </w:r>
    </w:p>
    <w:p w:rsidR="00000000" w:rsidRDefault="00000000">
      <w:pPr>
        <w:rPr>
          <w:rFonts w:hint="eastAsia"/>
          <w:snapToGrid/>
        </w:rPr>
      </w:pPr>
      <w:r>
        <w:rPr>
          <w:rFonts w:hint="eastAsia"/>
        </w:rPr>
        <w:tab/>
      </w:r>
      <w:r>
        <w:rPr>
          <w:rFonts w:hint="eastAsia"/>
          <w:snapToGrid/>
        </w:rPr>
        <w:t xml:space="preserve">70.  </w:t>
      </w:r>
      <w:r>
        <w:rPr>
          <w:rFonts w:hint="eastAsia"/>
          <w:snapToGrid/>
        </w:rPr>
        <w:t>大韩民国通过在国内刊行国际人权文书，并通过学校的教学大纲，一直在积极向大众提供关于人权的信息。</w:t>
      </w:r>
    </w:p>
    <w:p w:rsidR="00000000" w:rsidRDefault="00000000">
      <w:pPr>
        <w:rPr>
          <w:rFonts w:hint="eastAsia"/>
          <w:snapToGrid/>
        </w:rPr>
      </w:pPr>
      <w:r>
        <w:rPr>
          <w:rFonts w:hint="eastAsia"/>
          <w:snapToGrid/>
        </w:rPr>
        <w:tab/>
        <w:t xml:space="preserve">71.  </w:t>
      </w:r>
      <w:r>
        <w:rPr>
          <w:rFonts w:hint="eastAsia"/>
          <w:snapToGrid/>
        </w:rPr>
        <w:t>法务部是直接负责保护人权的政府部门，它审查人权方面的各项国际公约并为在其国内的适用作准备，还监督这些公约在学校、工作场所，甚至在街头和公民的日常生活中是否得到适当执行。此外，法务部与教育及人力资源开发部合作，确保在中小学和其他学术机构的课程中纳入人权教育。最后，国家人权委员会就如何在国内执行国际人权文书问题出版了一本参考书并为公职人员制定了人权教育方案。</w:t>
      </w:r>
    </w:p>
    <w:p w:rsidR="00000000" w:rsidRDefault="00000000">
      <w:pPr>
        <w:rPr>
          <w:rFonts w:hint="eastAsia"/>
          <w:snapToGrid/>
        </w:rPr>
      </w:pPr>
      <w:r>
        <w:rPr>
          <w:rFonts w:hint="eastAsia"/>
          <w:snapToGrid/>
        </w:rPr>
        <w:tab/>
        <w:t xml:space="preserve">72.  </w:t>
      </w:r>
      <w:r>
        <w:rPr>
          <w:rFonts w:hint="eastAsia"/>
          <w:snapToGrid/>
        </w:rPr>
        <w:t>大韩民国加入的国际人权公约的案文已在国内得到传播。此外，法务部和外交通商部还提供从一些研究人权的国际组织那里获得的资料和报告。</w:t>
      </w:r>
    </w:p>
    <w:p w:rsidR="00000000" w:rsidRDefault="00000000">
      <w:pPr>
        <w:rPr>
          <w:rFonts w:hint="eastAsia"/>
          <w:snapToGrid/>
        </w:rPr>
      </w:pPr>
      <w:r>
        <w:rPr>
          <w:rFonts w:hint="eastAsia"/>
          <w:snapToGrid/>
        </w:rPr>
        <w:tab/>
        <w:t xml:space="preserve">73.  </w:t>
      </w:r>
      <w:r>
        <w:rPr>
          <w:rFonts w:hint="eastAsia"/>
          <w:snapToGrid/>
        </w:rPr>
        <w:t>大韩民国在国内不仅公布其关于各项国际公约执行情况的定期报告，而且公布各国际组织根据各项公约提出的结论性意见，其中最新的是</w:t>
      </w:r>
      <w:r>
        <w:rPr>
          <w:rFonts w:hint="eastAsia"/>
          <w:snapToGrid/>
        </w:rPr>
        <w:t>2003</w:t>
      </w:r>
      <w:r>
        <w:rPr>
          <w:rFonts w:hint="eastAsia"/>
          <w:snapToGrid/>
        </w:rPr>
        <w:t>年</w:t>
      </w:r>
      <w:r>
        <w:rPr>
          <w:rFonts w:hint="eastAsia"/>
          <w:snapToGrid/>
        </w:rPr>
        <w:t>1</w:t>
      </w:r>
      <w:r>
        <w:rPr>
          <w:rFonts w:hint="eastAsia"/>
          <w:snapToGrid/>
        </w:rPr>
        <w:t>月针对大韩民国关于《儿童权利公约》执行情况的第二次定期报告提出的结论性意见。</w:t>
      </w:r>
    </w:p>
    <w:p w:rsidR="00000000" w:rsidRDefault="00000000">
      <w:pPr>
        <w:rPr>
          <w:rFonts w:hint="eastAsia"/>
          <w:snapToGrid/>
        </w:rPr>
      </w:pPr>
      <w:r>
        <w:rPr>
          <w:rFonts w:hint="eastAsia"/>
          <w:snapToGrid/>
        </w:rPr>
        <w:tab/>
        <w:t xml:space="preserve">74.  </w:t>
      </w:r>
      <w:r>
        <w:rPr>
          <w:rFonts w:hint="eastAsia"/>
          <w:snapToGrid/>
        </w:rPr>
        <w:t>政府代表们定期参加人权研讨会、课程和由其他政府、国际组织和非政府组织举办的其他类似的活动。政府在编写关于各项国际人权公约执行情况的国家报告时与非政府组织进行磋商。</w:t>
      </w:r>
    </w:p>
    <w:p w:rsidR="00000000" w:rsidRDefault="00000000">
      <w:pPr>
        <w:pStyle w:val="Heading2"/>
        <w:rPr>
          <w:rFonts w:hint="eastAsia"/>
          <w:snapToGrid/>
          <w:kern w:val="0"/>
        </w:rPr>
      </w:pPr>
      <w:r>
        <w:rPr>
          <w:snapToGrid/>
          <w:kern w:val="0"/>
        </w:rPr>
        <w:br w:type="page"/>
      </w:r>
      <w:r>
        <w:rPr>
          <w:rFonts w:hint="eastAsia"/>
          <w:snapToGrid/>
          <w:kern w:val="0"/>
        </w:rPr>
        <w:t>附</w:t>
      </w:r>
      <w:r>
        <w:rPr>
          <w:rFonts w:hint="eastAsia"/>
          <w:snapToGrid/>
          <w:kern w:val="0"/>
        </w:rPr>
        <w:t xml:space="preserve">  </w:t>
      </w:r>
      <w:r>
        <w:rPr>
          <w:rFonts w:hint="eastAsia"/>
          <w:snapToGrid/>
          <w:kern w:val="0"/>
        </w:rPr>
        <w:t>件</w:t>
      </w:r>
    </w:p>
    <w:p w:rsidR="00000000" w:rsidRDefault="00000000">
      <w:pPr>
        <w:pStyle w:val="Heading2"/>
        <w:rPr>
          <w:rFonts w:hint="eastAsia"/>
          <w:snapToGrid/>
          <w:kern w:val="0"/>
        </w:rPr>
      </w:pPr>
      <w:r>
        <w:rPr>
          <w:rFonts w:hint="eastAsia"/>
          <w:snapToGrid/>
          <w:kern w:val="0"/>
        </w:rPr>
        <w:t>主要统计资料</w:t>
      </w:r>
      <w:r>
        <w:rPr>
          <w:rFonts w:hint="eastAsia"/>
          <w:snapToGrid/>
          <w:kern w:val="0"/>
        </w:rPr>
        <w:t>(</w:t>
      </w:r>
      <w:r>
        <w:rPr>
          <w:rFonts w:hint="eastAsia"/>
          <w:caps/>
          <w:snapToGrid/>
          <w:kern w:val="0"/>
        </w:rPr>
        <w:t>韩国国家统计局</w:t>
      </w:r>
      <w:r>
        <w:rPr>
          <w:rFonts w:hint="eastAsia"/>
          <w:snapToGrid/>
          <w:kern w:val="0"/>
        </w:rPr>
        <w:t>)</w:t>
      </w:r>
    </w:p>
    <w:p w:rsidR="00000000" w:rsidRDefault="00000000">
      <w:pPr>
        <w:jc w:val="center"/>
        <w:rPr>
          <w:rFonts w:hint="eastAsia"/>
          <w:snapToGrid/>
          <w:sz w:val="22"/>
        </w:rPr>
      </w:pPr>
      <w:r>
        <w:rPr>
          <w:rFonts w:hint="eastAsia"/>
          <w:snapToGrid/>
        </w:rPr>
        <w:t>土地和人口：</w:t>
      </w:r>
      <w:r>
        <w:rPr>
          <w:snapToGrid/>
        </w:rPr>
        <w:t>1961-2000</w:t>
      </w:r>
    </w:p>
    <w:tbl>
      <w:tblPr>
        <w:tblW w:w="0" w:type="auto"/>
        <w:tblInd w:w="84" w:type="dxa"/>
        <w:tblBorders>
          <w:top w:val="single" w:sz="6" w:space="0" w:color="auto"/>
          <w:left w:val="single" w:sz="6" w:space="0" w:color="auto"/>
          <w:bottom w:val="single" w:sz="6" w:space="0" w:color="auto"/>
          <w:right w:val="single" w:sz="6" w:space="0" w:color="auto"/>
          <w:insideV w:val="single" w:sz="6" w:space="0" w:color="auto"/>
        </w:tblBorders>
        <w:shd w:val="clear" w:color="auto" w:fill="FFFFFF"/>
        <w:tblCellMar>
          <w:left w:w="56" w:type="dxa"/>
          <w:right w:w="56" w:type="dxa"/>
        </w:tblCellMar>
        <w:tblLook w:val="0000" w:firstRow="0" w:lastRow="0" w:firstColumn="0" w:lastColumn="0" w:noHBand="0" w:noVBand="0"/>
      </w:tblPr>
      <w:tblGrid>
        <w:gridCol w:w="1272"/>
        <w:gridCol w:w="1690"/>
        <w:gridCol w:w="1430"/>
        <w:gridCol w:w="1040"/>
        <w:gridCol w:w="910"/>
        <w:gridCol w:w="1560"/>
        <w:gridCol w:w="1359"/>
      </w:tblGrid>
      <w:tr w:rsidR="00000000">
        <w:tblPrEx>
          <w:tblCellMar>
            <w:top w:w="0" w:type="dxa"/>
            <w:bottom w:w="0" w:type="dxa"/>
          </w:tblCellMar>
        </w:tblPrEx>
        <w:trPr>
          <w:cantSplit/>
          <w:trHeight w:val="295"/>
        </w:trPr>
        <w:tc>
          <w:tcPr>
            <w:tcW w:w="1272" w:type="dxa"/>
            <w:vMerge w:val="restart"/>
            <w:tcBorders>
              <w:top w:val="single" w:sz="6" w:space="0" w:color="auto"/>
            </w:tcBorders>
            <w:shd w:val="clear" w:color="auto" w:fill="FFFFFF"/>
            <w:vAlign w:val="center"/>
          </w:tcPr>
          <w:p w:rsidR="00000000" w:rsidRDefault="00000000">
            <w:pPr>
              <w:pStyle w:val="a2"/>
              <w:spacing w:line="280" w:lineRule="exact"/>
              <w:rPr>
                <w:snapToGrid/>
                <w:u w:val="single"/>
              </w:rPr>
            </w:pPr>
          </w:p>
        </w:tc>
        <w:tc>
          <w:tcPr>
            <w:tcW w:w="1690" w:type="dxa"/>
            <w:vMerge w:val="restart"/>
            <w:tcBorders>
              <w:top w:val="single" w:sz="6" w:space="0" w:color="auto"/>
            </w:tcBorders>
            <w:shd w:val="clear" w:color="auto" w:fill="FFFFFF"/>
            <w:vAlign w:val="center"/>
          </w:tcPr>
          <w:p w:rsidR="00000000" w:rsidRDefault="00000000">
            <w:pPr>
              <w:pStyle w:val="a2"/>
              <w:spacing w:line="280" w:lineRule="exact"/>
              <w:rPr>
                <w:snapToGrid/>
                <w:u w:val="single"/>
              </w:rPr>
            </w:pPr>
            <w:r>
              <w:rPr>
                <w:rFonts w:hint="eastAsia"/>
                <w:snapToGrid/>
                <w:spacing w:val="6"/>
                <w:u w:val="single"/>
              </w:rPr>
              <w:t>土地面积</w:t>
            </w:r>
            <w:r>
              <w:rPr>
                <w:snapToGrid/>
                <w:szCs w:val="16"/>
                <w:u w:val="single"/>
              </w:rPr>
              <w:t>(km</w:t>
            </w:r>
            <w:r>
              <w:rPr>
                <w:snapToGrid/>
                <w:szCs w:val="16"/>
                <w:u w:val="single"/>
                <w:vertAlign w:val="superscript"/>
              </w:rPr>
              <w:t>2</w:t>
            </w:r>
            <w:r>
              <w:rPr>
                <w:snapToGrid/>
                <w:szCs w:val="16"/>
              </w:rPr>
              <w:t>)</w:t>
            </w:r>
          </w:p>
        </w:tc>
        <w:tc>
          <w:tcPr>
            <w:tcW w:w="1430" w:type="dxa"/>
            <w:vMerge w:val="restart"/>
            <w:tcBorders>
              <w:top w:val="single" w:sz="6" w:space="0" w:color="auto"/>
            </w:tcBorders>
            <w:shd w:val="clear" w:color="auto" w:fill="FFFFFF"/>
            <w:vAlign w:val="center"/>
          </w:tcPr>
          <w:p w:rsidR="00000000" w:rsidRDefault="00000000">
            <w:pPr>
              <w:pStyle w:val="a2"/>
              <w:spacing w:line="280" w:lineRule="exact"/>
              <w:jc w:val="center"/>
              <w:rPr>
                <w:snapToGrid/>
                <w:szCs w:val="16"/>
                <w:u w:val="single"/>
              </w:rPr>
            </w:pPr>
            <w:r>
              <w:rPr>
                <w:rFonts w:hint="eastAsia"/>
                <w:snapToGrid/>
                <w:u w:val="single"/>
              </w:rPr>
              <w:t>人口</w:t>
            </w:r>
            <w:r>
              <w:rPr>
                <w:snapToGrid/>
                <w:szCs w:val="16"/>
                <w:u w:val="single"/>
              </w:rPr>
              <w:t>(</w:t>
            </w:r>
            <w:r>
              <w:rPr>
                <w:rFonts w:hint="eastAsia"/>
                <w:snapToGrid/>
                <w:szCs w:val="16"/>
                <w:u w:val="single"/>
              </w:rPr>
              <w:t>千</w:t>
            </w:r>
            <w:r>
              <w:rPr>
                <w:snapToGrid/>
                <w:szCs w:val="16"/>
              </w:rPr>
              <w:t>)</w:t>
            </w:r>
          </w:p>
        </w:tc>
        <w:tc>
          <w:tcPr>
            <w:tcW w:w="1040" w:type="dxa"/>
            <w:vMerge w:val="restart"/>
            <w:tcBorders>
              <w:top w:val="single" w:sz="6" w:space="0" w:color="auto"/>
            </w:tcBorders>
            <w:shd w:val="clear" w:color="auto" w:fill="FFFFFF"/>
            <w:vAlign w:val="center"/>
          </w:tcPr>
          <w:p w:rsidR="00000000" w:rsidRDefault="00000000">
            <w:pPr>
              <w:pStyle w:val="a2"/>
              <w:spacing w:line="280" w:lineRule="exact"/>
              <w:rPr>
                <w:rFonts w:hint="eastAsia"/>
                <w:snapToGrid/>
                <w:u w:val="single"/>
              </w:rPr>
            </w:pPr>
            <w:r>
              <w:rPr>
                <w:rFonts w:hint="eastAsia"/>
                <w:snapToGrid/>
                <w:u w:val="single"/>
              </w:rPr>
              <w:t>增长率</w:t>
            </w:r>
          </w:p>
          <w:p w:rsidR="00000000" w:rsidRDefault="00000000">
            <w:pPr>
              <w:pStyle w:val="a2"/>
              <w:spacing w:line="280" w:lineRule="exact"/>
              <w:rPr>
                <w:snapToGrid/>
                <w:u w:val="single"/>
              </w:rPr>
            </w:pPr>
            <w:r>
              <w:rPr>
                <w:snapToGrid/>
              </w:rPr>
              <w:t>(</w:t>
            </w:r>
            <w:r>
              <w:rPr>
                <w:rFonts w:hint="eastAsia"/>
                <w:snapToGrid/>
                <w:u w:val="single"/>
              </w:rPr>
              <w:t>百分比</w:t>
            </w:r>
            <w:r>
              <w:rPr>
                <w:snapToGrid/>
              </w:rPr>
              <w:t>)</w:t>
            </w:r>
          </w:p>
        </w:tc>
        <w:tc>
          <w:tcPr>
            <w:tcW w:w="910" w:type="dxa"/>
            <w:vMerge w:val="restart"/>
            <w:tcBorders>
              <w:top w:val="single" w:sz="6" w:space="0" w:color="auto"/>
            </w:tcBorders>
            <w:shd w:val="clear" w:color="auto" w:fill="FFFFFF"/>
            <w:vAlign w:val="center"/>
          </w:tcPr>
          <w:p w:rsidR="00000000" w:rsidRDefault="00000000">
            <w:pPr>
              <w:pStyle w:val="a2"/>
              <w:spacing w:line="280" w:lineRule="exact"/>
              <w:jc w:val="center"/>
              <w:rPr>
                <w:snapToGrid/>
                <w:u w:val="single"/>
              </w:rPr>
            </w:pPr>
            <w:r>
              <w:rPr>
                <w:rFonts w:hint="eastAsia"/>
                <w:snapToGrid/>
                <w:u w:val="single"/>
              </w:rPr>
              <w:t>男</w:t>
            </w:r>
            <w:r>
              <w:rPr>
                <w:rFonts w:hint="eastAsia"/>
                <w:snapToGrid/>
                <w:u w:val="single"/>
              </w:rPr>
              <w:t>/</w:t>
            </w:r>
            <w:r>
              <w:rPr>
                <w:rFonts w:hint="eastAsia"/>
                <w:snapToGrid/>
                <w:u w:val="single"/>
              </w:rPr>
              <w:t>女</w:t>
            </w:r>
            <w:r>
              <w:rPr>
                <w:snapToGrid/>
                <w:u w:val="single"/>
              </w:rPr>
              <w:br/>
            </w:r>
            <w:r>
              <w:rPr>
                <w:rFonts w:hint="eastAsia"/>
                <w:snapToGrid/>
                <w:u w:val="single"/>
              </w:rPr>
              <w:t>比率</w:t>
            </w:r>
            <w:r>
              <w:rPr>
                <w:snapToGrid/>
              </w:rPr>
              <w:t>*</w:t>
            </w:r>
          </w:p>
        </w:tc>
        <w:tc>
          <w:tcPr>
            <w:tcW w:w="2919" w:type="dxa"/>
            <w:gridSpan w:val="2"/>
            <w:tcBorders>
              <w:top w:val="single" w:sz="6" w:space="0" w:color="auto"/>
              <w:bottom w:val="single" w:sz="6" w:space="0" w:color="auto"/>
            </w:tcBorders>
            <w:shd w:val="clear" w:color="auto" w:fill="FFFFFF"/>
          </w:tcPr>
          <w:p w:rsidR="00000000" w:rsidRDefault="00000000">
            <w:pPr>
              <w:pStyle w:val="a2"/>
              <w:spacing w:line="280" w:lineRule="exact"/>
              <w:jc w:val="center"/>
              <w:rPr>
                <w:rFonts w:hint="eastAsia"/>
                <w:snapToGrid/>
                <w:u w:val="single"/>
              </w:rPr>
            </w:pPr>
            <w:r>
              <w:rPr>
                <w:rFonts w:hint="eastAsia"/>
                <w:snapToGrid/>
                <w:u w:val="single"/>
              </w:rPr>
              <w:t>农业人口</w:t>
            </w:r>
          </w:p>
        </w:tc>
      </w:tr>
      <w:tr w:rsidR="00000000">
        <w:tblPrEx>
          <w:tblCellMar>
            <w:top w:w="0" w:type="dxa"/>
            <w:bottom w:w="0" w:type="dxa"/>
          </w:tblCellMar>
        </w:tblPrEx>
        <w:trPr>
          <w:cantSplit/>
          <w:trHeight w:val="359"/>
        </w:trPr>
        <w:tc>
          <w:tcPr>
            <w:tcW w:w="1272" w:type="dxa"/>
            <w:vMerge/>
            <w:tcBorders>
              <w:bottom w:val="single" w:sz="6" w:space="0" w:color="auto"/>
            </w:tcBorders>
            <w:shd w:val="clear" w:color="auto" w:fill="FFFFFF"/>
          </w:tcPr>
          <w:p w:rsidR="00000000" w:rsidRDefault="00000000">
            <w:pPr>
              <w:pStyle w:val="a2"/>
              <w:spacing w:line="280" w:lineRule="exact"/>
              <w:rPr>
                <w:snapToGrid/>
                <w:u w:val="single"/>
              </w:rPr>
            </w:pPr>
          </w:p>
        </w:tc>
        <w:tc>
          <w:tcPr>
            <w:tcW w:w="1690" w:type="dxa"/>
            <w:vMerge/>
            <w:tcBorders>
              <w:bottom w:val="single" w:sz="6" w:space="0" w:color="auto"/>
            </w:tcBorders>
            <w:shd w:val="clear" w:color="auto" w:fill="FFFFFF"/>
          </w:tcPr>
          <w:p w:rsidR="00000000" w:rsidRDefault="00000000">
            <w:pPr>
              <w:pStyle w:val="a2"/>
              <w:spacing w:line="280" w:lineRule="exact"/>
              <w:rPr>
                <w:snapToGrid/>
                <w:u w:val="single"/>
              </w:rPr>
            </w:pPr>
          </w:p>
        </w:tc>
        <w:tc>
          <w:tcPr>
            <w:tcW w:w="1430" w:type="dxa"/>
            <w:vMerge/>
            <w:tcBorders>
              <w:bottom w:val="single" w:sz="6" w:space="0" w:color="auto"/>
            </w:tcBorders>
            <w:shd w:val="clear" w:color="auto" w:fill="FFFFFF"/>
          </w:tcPr>
          <w:p w:rsidR="00000000" w:rsidRDefault="00000000">
            <w:pPr>
              <w:pStyle w:val="a2"/>
              <w:spacing w:line="280" w:lineRule="exact"/>
              <w:rPr>
                <w:snapToGrid/>
                <w:u w:val="single"/>
              </w:rPr>
            </w:pPr>
          </w:p>
        </w:tc>
        <w:tc>
          <w:tcPr>
            <w:tcW w:w="1040" w:type="dxa"/>
            <w:vMerge/>
            <w:tcBorders>
              <w:bottom w:val="single" w:sz="6" w:space="0" w:color="auto"/>
            </w:tcBorders>
            <w:shd w:val="clear" w:color="auto" w:fill="FFFFFF"/>
          </w:tcPr>
          <w:p w:rsidR="00000000" w:rsidRDefault="00000000">
            <w:pPr>
              <w:pStyle w:val="a2"/>
              <w:spacing w:line="280" w:lineRule="exact"/>
              <w:rPr>
                <w:snapToGrid/>
                <w:u w:val="single"/>
              </w:rPr>
            </w:pPr>
          </w:p>
        </w:tc>
        <w:tc>
          <w:tcPr>
            <w:tcW w:w="910" w:type="dxa"/>
            <w:vMerge/>
            <w:tcBorders>
              <w:bottom w:val="single" w:sz="6" w:space="0" w:color="auto"/>
            </w:tcBorders>
            <w:shd w:val="clear" w:color="auto" w:fill="FFFFFF"/>
          </w:tcPr>
          <w:p w:rsidR="00000000" w:rsidRDefault="00000000">
            <w:pPr>
              <w:pStyle w:val="a2"/>
              <w:spacing w:line="280" w:lineRule="exact"/>
              <w:rPr>
                <w:snapToGrid/>
                <w:u w:val="single"/>
              </w:rPr>
            </w:pPr>
          </w:p>
        </w:tc>
        <w:tc>
          <w:tcPr>
            <w:tcW w:w="1560" w:type="dxa"/>
            <w:tcBorders>
              <w:top w:val="single" w:sz="6" w:space="0" w:color="auto"/>
              <w:bottom w:val="single" w:sz="6" w:space="0" w:color="auto"/>
            </w:tcBorders>
            <w:shd w:val="clear" w:color="auto" w:fill="FFFFFF"/>
          </w:tcPr>
          <w:p w:rsidR="00000000" w:rsidRDefault="00000000">
            <w:pPr>
              <w:pStyle w:val="a2"/>
              <w:spacing w:line="280" w:lineRule="exact"/>
              <w:jc w:val="center"/>
              <w:rPr>
                <w:snapToGrid/>
                <w:szCs w:val="16"/>
                <w:u w:val="single"/>
              </w:rPr>
            </w:pPr>
            <w:r>
              <w:rPr>
                <w:snapToGrid/>
                <w:szCs w:val="16"/>
              </w:rPr>
              <w:t>(</w:t>
            </w:r>
            <w:r>
              <w:rPr>
                <w:rFonts w:hint="eastAsia"/>
                <w:snapToGrid/>
                <w:szCs w:val="16"/>
                <w:u w:val="single"/>
              </w:rPr>
              <w:t>千</w:t>
            </w:r>
            <w:r>
              <w:rPr>
                <w:snapToGrid/>
                <w:szCs w:val="16"/>
              </w:rPr>
              <w:t>)</w:t>
            </w:r>
          </w:p>
        </w:tc>
        <w:tc>
          <w:tcPr>
            <w:tcW w:w="1359" w:type="dxa"/>
            <w:tcBorders>
              <w:top w:val="single" w:sz="6" w:space="0" w:color="auto"/>
              <w:bottom w:val="single" w:sz="6" w:space="0" w:color="auto"/>
            </w:tcBorders>
            <w:shd w:val="clear" w:color="auto" w:fill="FFFFFF"/>
          </w:tcPr>
          <w:p w:rsidR="00000000" w:rsidRDefault="00000000">
            <w:pPr>
              <w:pStyle w:val="a2"/>
              <w:spacing w:line="280" w:lineRule="exact"/>
              <w:jc w:val="center"/>
              <w:rPr>
                <w:snapToGrid/>
                <w:u w:val="single"/>
              </w:rPr>
            </w:pPr>
            <w:r>
              <w:rPr>
                <w:rFonts w:hint="eastAsia"/>
                <w:snapToGrid/>
                <w:szCs w:val="16"/>
                <w:u w:val="single"/>
              </w:rPr>
              <w:t>占总人口的百分比</w:t>
            </w:r>
          </w:p>
        </w:tc>
      </w:tr>
      <w:tr w:rsidR="00000000">
        <w:tblPrEx>
          <w:tblCellMar>
            <w:top w:w="0" w:type="dxa"/>
            <w:bottom w:w="0" w:type="dxa"/>
          </w:tblCellMar>
        </w:tblPrEx>
        <w:trPr>
          <w:cantSplit/>
        </w:trPr>
        <w:tc>
          <w:tcPr>
            <w:tcW w:w="1272" w:type="dxa"/>
            <w:tcBorders>
              <w:top w:val="single" w:sz="6" w:space="0" w:color="auto"/>
            </w:tcBorders>
            <w:shd w:val="clear" w:color="auto" w:fill="FFFFFF"/>
          </w:tcPr>
          <w:p w:rsidR="00000000" w:rsidRDefault="00000000">
            <w:pPr>
              <w:pStyle w:val="a2"/>
              <w:ind w:left="170"/>
              <w:rPr>
                <w:snapToGrid/>
              </w:rPr>
            </w:pPr>
            <w:r>
              <w:rPr>
                <w:snapToGrid/>
              </w:rPr>
              <w:t>1961</w:t>
            </w:r>
          </w:p>
        </w:tc>
        <w:tc>
          <w:tcPr>
            <w:tcW w:w="1690" w:type="dxa"/>
            <w:tcBorders>
              <w:top w:val="single" w:sz="6" w:space="0" w:color="auto"/>
            </w:tcBorders>
            <w:shd w:val="clear" w:color="auto" w:fill="FFFFFF"/>
          </w:tcPr>
          <w:p w:rsidR="00000000" w:rsidRDefault="00000000">
            <w:pPr>
              <w:pStyle w:val="a2"/>
              <w:tabs>
                <w:tab w:val="decimal" w:pos="854"/>
                <w:tab w:val="decimal" w:pos="1303"/>
              </w:tabs>
              <w:jc w:val="center"/>
              <w:rPr>
                <w:snapToGrid/>
              </w:rPr>
            </w:pPr>
            <w:r>
              <w:rPr>
                <w:snapToGrid/>
              </w:rPr>
              <w:t>98,431</w:t>
            </w:r>
          </w:p>
        </w:tc>
        <w:tc>
          <w:tcPr>
            <w:tcW w:w="1430" w:type="dxa"/>
            <w:tcBorders>
              <w:top w:val="single" w:sz="6" w:space="0" w:color="auto"/>
            </w:tcBorders>
            <w:shd w:val="clear" w:color="auto" w:fill="FFFFFF"/>
          </w:tcPr>
          <w:p w:rsidR="00000000" w:rsidRDefault="00000000">
            <w:pPr>
              <w:pStyle w:val="a2"/>
              <w:tabs>
                <w:tab w:val="decimal" w:pos="854"/>
              </w:tabs>
              <w:rPr>
                <w:snapToGrid/>
              </w:rPr>
            </w:pPr>
            <w:r>
              <w:rPr>
                <w:snapToGrid/>
              </w:rPr>
              <w:t>25,766</w:t>
            </w:r>
          </w:p>
        </w:tc>
        <w:tc>
          <w:tcPr>
            <w:tcW w:w="1040" w:type="dxa"/>
            <w:tcBorders>
              <w:top w:val="single" w:sz="6" w:space="0" w:color="auto"/>
            </w:tcBorders>
            <w:shd w:val="clear" w:color="auto" w:fill="FFFFFF"/>
          </w:tcPr>
          <w:p w:rsidR="00000000" w:rsidRDefault="00000000">
            <w:pPr>
              <w:pStyle w:val="a2"/>
              <w:jc w:val="center"/>
              <w:rPr>
                <w:snapToGrid/>
              </w:rPr>
            </w:pPr>
            <w:r>
              <w:rPr>
                <w:snapToGrid/>
              </w:rPr>
              <w:t>3.01</w:t>
            </w:r>
          </w:p>
        </w:tc>
        <w:tc>
          <w:tcPr>
            <w:tcW w:w="910" w:type="dxa"/>
            <w:tcBorders>
              <w:top w:val="single" w:sz="6" w:space="0" w:color="auto"/>
            </w:tcBorders>
            <w:shd w:val="clear" w:color="auto" w:fill="FFFFFF"/>
          </w:tcPr>
          <w:p w:rsidR="00000000" w:rsidRDefault="00000000">
            <w:pPr>
              <w:pStyle w:val="a2"/>
              <w:rPr>
                <w:snapToGrid/>
              </w:rPr>
            </w:pPr>
            <w:r>
              <w:rPr>
                <w:snapToGrid/>
              </w:rPr>
              <w:t>100.8</w:t>
            </w:r>
          </w:p>
        </w:tc>
        <w:tc>
          <w:tcPr>
            <w:tcW w:w="1560" w:type="dxa"/>
            <w:tcBorders>
              <w:top w:val="single" w:sz="6" w:space="0" w:color="auto"/>
            </w:tcBorders>
            <w:shd w:val="clear" w:color="auto" w:fill="FFFFFF"/>
          </w:tcPr>
          <w:p w:rsidR="00000000" w:rsidRDefault="00000000">
            <w:pPr>
              <w:pStyle w:val="a2"/>
              <w:tabs>
                <w:tab w:val="decimal" w:pos="984"/>
              </w:tabs>
              <w:rPr>
                <w:snapToGrid/>
              </w:rPr>
            </w:pPr>
            <w:r>
              <w:rPr>
                <w:snapToGrid/>
              </w:rPr>
              <w:t>14,509</w:t>
            </w:r>
          </w:p>
        </w:tc>
        <w:tc>
          <w:tcPr>
            <w:tcW w:w="1359" w:type="dxa"/>
            <w:tcBorders>
              <w:top w:val="single" w:sz="6" w:space="0" w:color="auto"/>
            </w:tcBorders>
            <w:shd w:val="clear" w:color="auto" w:fill="FFFFFF"/>
          </w:tcPr>
          <w:p w:rsidR="00000000" w:rsidRDefault="00000000">
            <w:pPr>
              <w:pStyle w:val="a2"/>
              <w:jc w:val="center"/>
              <w:rPr>
                <w:snapToGrid/>
              </w:rPr>
            </w:pPr>
            <w:r>
              <w:rPr>
                <w:snapToGrid/>
              </w:rPr>
              <w:t>56.3</w:t>
            </w:r>
          </w:p>
        </w:tc>
      </w:tr>
      <w:tr w:rsidR="00000000">
        <w:tblPrEx>
          <w:tblCellMar>
            <w:top w:w="0" w:type="dxa"/>
            <w:bottom w:w="0" w:type="dxa"/>
          </w:tblCellMar>
        </w:tblPrEx>
        <w:trPr>
          <w:cantSplit/>
        </w:trPr>
        <w:tc>
          <w:tcPr>
            <w:tcW w:w="1272" w:type="dxa"/>
            <w:shd w:val="clear" w:color="auto" w:fill="FFFFFF"/>
          </w:tcPr>
          <w:p w:rsidR="00000000" w:rsidRDefault="00000000">
            <w:pPr>
              <w:pStyle w:val="a2"/>
              <w:ind w:left="170"/>
              <w:rPr>
                <w:snapToGrid/>
              </w:rPr>
            </w:pPr>
            <w:r>
              <w:rPr>
                <w:snapToGrid/>
              </w:rPr>
              <w:t>1971</w:t>
            </w:r>
          </w:p>
        </w:tc>
        <w:tc>
          <w:tcPr>
            <w:tcW w:w="1690" w:type="dxa"/>
            <w:shd w:val="clear" w:color="auto" w:fill="FFFFFF"/>
          </w:tcPr>
          <w:p w:rsidR="00000000" w:rsidRDefault="00000000">
            <w:pPr>
              <w:pStyle w:val="a2"/>
              <w:tabs>
                <w:tab w:val="decimal" w:pos="854"/>
                <w:tab w:val="decimal" w:pos="1303"/>
              </w:tabs>
              <w:jc w:val="center"/>
              <w:rPr>
                <w:snapToGrid/>
              </w:rPr>
            </w:pPr>
            <w:r>
              <w:rPr>
                <w:snapToGrid/>
              </w:rPr>
              <w:t>98,234</w:t>
            </w:r>
          </w:p>
        </w:tc>
        <w:tc>
          <w:tcPr>
            <w:tcW w:w="1430" w:type="dxa"/>
            <w:shd w:val="clear" w:color="auto" w:fill="FFFFFF"/>
          </w:tcPr>
          <w:p w:rsidR="00000000" w:rsidRDefault="00000000">
            <w:pPr>
              <w:pStyle w:val="a2"/>
              <w:tabs>
                <w:tab w:val="decimal" w:pos="854"/>
              </w:tabs>
              <w:rPr>
                <w:snapToGrid/>
              </w:rPr>
            </w:pPr>
            <w:r>
              <w:rPr>
                <w:snapToGrid/>
              </w:rPr>
              <w:t>32,883</w:t>
            </w:r>
          </w:p>
        </w:tc>
        <w:tc>
          <w:tcPr>
            <w:tcW w:w="1040" w:type="dxa"/>
            <w:shd w:val="clear" w:color="auto" w:fill="FFFFFF"/>
          </w:tcPr>
          <w:p w:rsidR="00000000" w:rsidRDefault="00000000">
            <w:pPr>
              <w:pStyle w:val="a2"/>
              <w:jc w:val="center"/>
              <w:rPr>
                <w:snapToGrid/>
              </w:rPr>
            </w:pPr>
            <w:r>
              <w:rPr>
                <w:snapToGrid/>
              </w:rPr>
              <w:t>1.99</w:t>
            </w:r>
          </w:p>
        </w:tc>
        <w:tc>
          <w:tcPr>
            <w:tcW w:w="910" w:type="dxa"/>
            <w:shd w:val="clear" w:color="auto" w:fill="FFFFFF"/>
          </w:tcPr>
          <w:p w:rsidR="00000000" w:rsidRDefault="00000000">
            <w:pPr>
              <w:pStyle w:val="a2"/>
              <w:rPr>
                <w:snapToGrid/>
              </w:rPr>
            </w:pPr>
            <w:r>
              <w:rPr>
                <w:snapToGrid/>
              </w:rPr>
              <w:t>102.6</w:t>
            </w:r>
          </w:p>
        </w:tc>
        <w:tc>
          <w:tcPr>
            <w:tcW w:w="1560" w:type="dxa"/>
            <w:shd w:val="clear" w:color="auto" w:fill="FFFFFF"/>
          </w:tcPr>
          <w:p w:rsidR="00000000" w:rsidRDefault="00000000">
            <w:pPr>
              <w:pStyle w:val="a2"/>
              <w:tabs>
                <w:tab w:val="decimal" w:pos="984"/>
              </w:tabs>
              <w:rPr>
                <w:snapToGrid/>
              </w:rPr>
            </w:pPr>
            <w:r>
              <w:rPr>
                <w:snapToGrid/>
              </w:rPr>
              <w:t>14,712</w:t>
            </w:r>
          </w:p>
        </w:tc>
        <w:tc>
          <w:tcPr>
            <w:tcW w:w="1359" w:type="dxa"/>
            <w:shd w:val="clear" w:color="auto" w:fill="FFFFFF"/>
          </w:tcPr>
          <w:p w:rsidR="00000000" w:rsidRDefault="00000000">
            <w:pPr>
              <w:pStyle w:val="a2"/>
              <w:jc w:val="center"/>
              <w:rPr>
                <w:snapToGrid/>
              </w:rPr>
            </w:pPr>
            <w:r>
              <w:rPr>
                <w:snapToGrid/>
              </w:rPr>
              <w:t>44.7</w:t>
            </w:r>
          </w:p>
        </w:tc>
      </w:tr>
      <w:tr w:rsidR="00000000">
        <w:tblPrEx>
          <w:tblCellMar>
            <w:top w:w="0" w:type="dxa"/>
            <w:bottom w:w="0" w:type="dxa"/>
          </w:tblCellMar>
        </w:tblPrEx>
        <w:trPr>
          <w:cantSplit/>
        </w:trPr>
        <w:tc>
          <w:tcPr>
            <w:tcW w:w="1272" w:type="dxa"/>
            <w:shd w:val="clear" w:color="auto" w:fill="FFFFFF"/>
          </w:tcPr>
          <w:p w:rsidR="00000000" w:rsidRDefault="00000000">
            <w:pPr>
              <w:pStyle w:val="a2"/>
              <w:ind w:left="170"/>
              <w:rPr>
                <w:snapToGrid/>
              </w:rPr>
            </w:pPr>
            <w:r>
              <w:rPr>
                <w:snapToGrid/>
              </w:rPr>
              <w:t>1976</w:t>
            </w:r>
          </w:p>
        </w:tc>
        <w:tc>
          <w:tcPr>
            <w:tcW w:w="1690" w:type="dxa"/>
            <w:shd w:val="clear" w:color="auto" w:fill="FFFFFF"/>
          </w:tcPr>
          <w:p w:rsidR="00000000" w:rsidRDefault="00000000">
            <w:pPr>
              <w:pStyle w:val="a2"/>
              <w:tabs>
                <w:tab w:val="decimal" w:pos="854"/>
                <w:tab w:val="decimal" w:pos="1303"/>
              </w:tabs>
              <w:jc w:val="center"/>
              <w:rPr>
                <w:snapToGrid/>
              </w:rPr>
            </w:pPr>
            <w:r>
              <w:rPr>
                <w:snapToGrid/>
              </w:rPr>
              <w:t>98,799</w:t>
            </w:r>
          </w:p>
        </w:tc>
        <w:tc>
          <w:tcPr>
            <w:tcW w:w="1430" w:type="dxa"/>
            <w:shd w:val="clear" w:color="auto" w:fill="FFFFFF"/>
          </w:tcPr>
          <w:p w:rsidR="00000000" w:rsidRDefault="00000000">
            <w:pPr>
              <w:pStyle w:val="a2"/>
              <w:tabs>
                <w:tab w:val="decimal" w:pos="854"/>
              </w:tabs>
              <w:rPr>
                <w:snapToGrid/>
              </w:rPr>
            </w:pPr>
            <w:r>
              <w:rPr>
                <w:snapToGrid/>
              </w:rPr>
              <w:t>35,849</w:t>
            </w:r>
          </w:p>
        </w:tc>
        <w:tc>
          <w:tcPr>
            <w:tcW w:w="1040" w:type="dxa"/>
            <w:shd w:val="clear" w:color="auto" w:fill="FFFFFF"/>
          </w:tcPr>
          <w:p w:rsidR="00000000" w:rsidRDefault="00000000">
            <w:pPr>
              <w:pStyle w:val="a2"/>
              <w:jc w:val="center"/>
              <w:rPr>
                <w:snapToGrid/>
              </w:rPr>
            </w:pPr>
            <w:r>
              <w:rPr>
                <w:snapToGrid/>
              </w:rPr>
              <w:t>1.61</w:t>
            </w:r>
          </w:p>
        </w:tc>
        <w:tc>
          <w:tcPr>
            <w:tcW w:w="910" w:type="dxa"/>
            <w:shd w:val="clear" w:color="auto" w:fill="FFFFFF"/>
          </w:tcPr>
          <w:p w:rsidR="00000000" w:rsidRDefault="00000000">
            <w:pPr>
              <w:pStyle w:val="a2"/>
              <w:rPr>
                <w:snapToGrid/>
              </w:rPr>
            </w:pPr>
            <w:r>
              <w:rPr>
                <w:snapToGrid/>
              </w:rPr>
              <w:t>101.5</w:t>
            </w:r>
          </w:p>
        </w:tc>
        <w:tc>
          <w:tcPr>
            <w:tcW w:w="1560" w:type="dxa"/>
            <w:shd w:val="clear" w:color="auto" w:fill="FFFFFF"/>
          </w:tcPr>
          <w:p w:rsidR="00000000" w:rsidRDefault="00000000">
            <w:pPr>
              <w:pStyle w:val="a2"/>
              <w:tabs>
                <w:tab w:val="decimal" w:pos="984"/>
              </w:tabs>
              <w:rPr>
                <w:snapToGrid/>
              </w:rPr>
            </w:pPr>
            <w:r>
              <w:rPr>
                <w:snapToGrid/>
              </w:rPr>
              <w:t>12,785</w:t>
            </w:r>
          </w:p>
        </w:tc>
        <w:tc>
          <w:tcPr>
            <w:tcW w:w="1359" w:type="dxa"/>
            <w:shd w:val="clear" w:color="auto" w:fill="FFFFFF"/>
          </w:tcPr>
          <w:p w:rsidR="00000000" w:rsidRDefault="00000000">
            <w:pPr>
              <w:pStyle w:val="a2"/>
              <w:jc w:val="center"/>
              <w:rPr>
                <w:snapToGrid/>
              </w:rPr>
            </w:pPr>
            <w:r>
              <w:rPr>
                <w:snapToGrid/>
              </w:rPr>
              <w:t>35.7</w:t>
            </w:r>
          </w:p>
        </w:tc>
      </w:tr>
      <w:tr w:rsidR="00000000">
        <w:tblPrEx>
          <w:tblCellMar>
            <w:top w:w="0" w:type="dxa"/>
            <w:bottom w:w="0" w:type="dxa"/>
          </w:tblCellMar>
        </w:tblPrEx>
        <w:trPr>
          <w:cantSplit/>
        </w:trPr>
        <w:tc>
          <w:tcPr>
            <w:tcW w:w="1272" w:type="dxa"/>
            <w:shd w:val="clear" w:color="auto" w:fill="FFFFFF"/>
          </w:tcPr>
          <w:p w:rsidR="00000000" w:rsidRDefault="00000000">
            <w:pPr>
              <w:pStyle w:val="a2"/>
              <w:ind w:left="170"/>
              <w:rPr>
                <w:snapToGrid/>
              </w:rPr>
            </w:pPr>
            <w:r>
              <w:rPr>
                <w:snapToGrid/>
              </w:rPr>
              <w:t>1981</w:t>
            </w:r>
          </w:p>
        </w:tc>
        <w:tc>
          <w:tcPr>
            <w:tcW w:w="1690" w:type="dxa"/>
            <w:shd w:val="clear" w:color="auto" w:fill="FFFFFF"/>
          </w:tcPr>
          <w:p w:rsidR="00000000" w:rsidRDefault="00000000">
            <w:pPr>
              <w:pStyle w:val="a2"/>
              <w:tabs>
                <w:tab w:val="decimal" w:pos="854"/>
                <w:tab w:val="decimal" w:pos="1303"/>
              </w:tabs>
              <w:jc w:val="center"/>
              <w:rPr>
                <w:snapToGrid/>
              </w:rPr>
            </w:pPr>
            <w:r>
              <w:rPr>
                <w:snapToGrid/>
              </w:rPr>
              <w:t>99,016</w:t>
            </w:r>
          </w:p>
        </w:tc>
        <w:tc>
          <w:tcPr>
            <w:tcW w:w="1430" w:type="dxa"/>
            <w:shd w:val="clear" w:color="auto" w:fill="FFFFFF"/>
          </w:tcPr>
          <w:p w:rsidR="00000000" w:rsidRDefault="00000000">
            <w:pPr>
              <w:pStyle w:val="a2"/>
              <w:tabs>
                <w:tab w:val="decimal" w:pos="854"/>
              </w:tabs>
              <w:rPr>
                <w:snapToGrid/>
              </w:rPr>
            </w:pPr>
            <w:r>
              <w:rPr>
                <w:snapToGrid/>
              </w:rPr>
              <w:t>38,723</w:t>
            </w:r>
          </w:p>
        </w:tc>
        <w:tc>
          <w:tcPr>
            <w:tcW w:w="1040" w:type="dxa"/>
            <w:shd w:val="clear" w:color="auto" w:fill="FFFFFF"/>
          </w:tcPr>
          <w:p w:rsidR="00000000" w:rsidRDefault="00000000">
            <w:pPr>
              <w:pStyle w:val="a2"/>
              <w:jc w:val="center"/>
              <w:rPr>
                <w:snapToGrid/>
              </w:rPr>
            </w:pPr>
            <w:r>
              <w:rPr>
                <w:snapToGrid/>
              </w:rPr>
              <w:t>1.57</w:t>
            </w:r>
          </w:p>
        </w:tc>
        <w:tc>
          <w:tcPr>
            <w:tcW w:w="910" w:type="dxa"/>
            <w:shd w:val="clear" w:color="auto" w:fill="FFFFFF"/>
          </w:tcPr>
          <w:p w:rsidR="00000000" w:rsidRDefault="00000000">
            <w:pPr>
              <w:pStyle w:val="a2"/>
              <w:rPr>
                <w:snapToGrid/>
              </w:rPr>
            </w:pPr>
            <w:r>
              <w:rPr>
                <w:snapToGrid/>
              </w:rPr>
              <w:t>101.8</w:t>
            </w:r>
          </w:p>
        </w:tc>
        <w:tc>
          <w:tcPr>
            <w:tcW w:w="1560" w:type="dxa"/>
            <w:shd w:val="clear" w:color="auto" w:fill="FFFFFF"/>
          </w:tcPr>
          <w:p w:rsidR="00000000" w:rsidRDefault="00000000">
            <w:pPr>
              <w:pStyle w:val="a2"/>
              <w:tabs>
                <w:tab w:val="decimal" w:pos="984"/>
              </w:tabs>
              <w:rPr>
                <w:snapToGrid/>
              </w:rPr>
            </w:pPr>
            <w:r>
              <w:rPr>
                <w:snapToGrid/>
              </w:rPr>
              <w:t>9,999</w:t>
            </w:r>
          </w:p>
        </w:tc>
        <w:tc>
          <w:tcPr>
            <w:tcW w:w="1359" w:type="dxa"/>
            <w:shd w:val="clear" w:color="auto" w:fill="FFFFFF"/>
          </w:tcPr>
          <w:p w:rsidR="00000000" w:rsidRDefault="00000000">
            <w:pPr>
              <w:pStyle w:val="a2"/>
              <w:jc w:val="center"/>
              <w:rPr>
                <w:snapToGrid/>
              </w:rPr>
            </w:pPr>
            <w:r>
              <w:rPr>
                <w:snapToGrid/>
              </w:rPr>
              <w:t>25.8</w:t>
            </w:r>
          </w:p>
        </w:tc>
      </w:tr>
      <w:tr w:rsidR="00000000">
        <w:tblPrEx>
          <w:tblCellMar>
            <w:top w:w="0" w:type="dxa"/>
            <w:bottom w:w="0" w:type="dxa"/>
          </w:tblCellMar>
        </w:tblPrEx>
        <w:trPr>
          <w:cantSplit/>
        </w:trPr>
        <w:tc>
          <w:tcPr>
            <w:tcW w:w="1272" w:type="dxa"/>
            <w:shd w:val="clear" w:color="auto" w:fill="FFFFFF"/>
          </w:tcPr>
          <w:p w:rsidR="00000000" w:rsidRDefault="00000000">
            <w:pPr>
              <w:pStyle w:val="a2"/>
              <w:ind w:left="170"/>
              <w:rPr>
                <w:snapToGrid/>
              </w:rPr>
            </w:pPr>
            <w:r>
              <w:rPr>
                <w:snapToGrid/>
              </w:rPr>
              <w:t>1986</w:t>
            </w:r>
          </w:p>
        </w:tc>
        <w:tc>
          <w:tcPr>
            <w:tcW w:w="1690" w:type="dxa"/>
            <w:shd w:val="clear" w:color="auto" w:fill="FFFFFF"/>
          </w:tcPr>
          <w:p w:rsidR="00000000" w:rsidRDefault="00000000">
            <w:pPr>
              <w:pStyle w:val="a2"/>
              <w:tabs>
                <w:tab w:val="decimal" w:pos="854"/>
                <w:tab w:val="decimal" w:pos="1303"/>
              </w:tabs>
              <w:jc w:val="center"/>
              <w:rPr>
                <w:snapToGrid/>
              </w:rPr>
            </w:pPr>
            <w:r>
              <w:rPr>
                <w:snapToGrid/>
              </w:rPr>
              <w:t>99,173</w:t>
            </w:r>
          </w:p>
        </w:tc>
        <w:tc>
          <w:tcPr>
            <w:tcW w:w="1430" w:type="dxa"/>
            <w:shd w:val="clear" w:color="auto" w:fill="FFFFFF"/>
          </w:tcPr>
          <w:p w:rsidR="00000000" w:rsidRDefault="00000000">
            <w:pPr>
              <w:pStyle w:val="a2"/>
              <w:tabs>
                <w:tab w:val="decimal" w:pos="854"/>
              </w:tabs>
              <w:rPr>
                <w:snapToGrid/>
              </w:rPr>
            </w:pPr>
            <w:r>
              <w:rPr>
                <w:snapToGrid/>
              </w:rPr>
              <w:t>41,214</w:t>
            </w:r>
          </w:p>
        </w:tc>
        <w:tc>
          <w:tcPr>
            <w:tcW w:w="1040" w:type="dxa"/>
            <w:shd w:val="clear" w:color="auto" w:fill="FFFFFF"/>
          </w:tcPr>
          <w:p w:rsidR="00000000" w:rsidRDefault="00000000">
            <w:pPr>
              <w:pStyle w:val="a2"/>
              <w:jc w:val="center"/>
              <w:rPr>
                <w:snapToGrid/>
              </w:rPr>
            </w:pPr>
            <w:r>
              <w:rPr>
                <w:snapToGrid/>
              </w:rPr>
              <w:t>1.00</w:t>
            </w:r>
          </w:p>
        </w:tc>
        <w:tc>
          <w:tcPr>
            <w:tcW w:w="910" w:type="dxa"/>
            <w:shd w:val="clear" w:color="auto" w:fill="FFFFFF"/>
          </w:tcPr>
          <w:p w:rsidR="00000000" w:rsidRDefault="00000000">
            <w:pPr>
              <w:pStyle w:val="a2"/>
              <w:rPr>
                <w:snapToGrid/>
              </w:rPr>
            </w:pPr>
            <w:r>
              <w:rPr>
                <w:snapToGrid/>
              </w:rPr>
              <w:t>101.6</w:t>
            </w:r>
          </w:p>
        </w:tc>
        <w:tc>
          <w:tcPr>
            <w:tcW w:w="1560" w:type="dxa"/>
            <w:shd w:val="clear" w:color="auto" w:fill="FFFFFF"/>
          </w:tcPr>
          <w:p w:rsidR="00000000" w:rsidRDefault="00000000">
            <w:pPr>
              <w:pStyle w:val="a2"/>
              <w:tabs>
                <w:tab w:val="decimal" w:pos="984"/>
              </w:tabs>
              <w:rPr>
                <w:snapToGrid/>
              </w:rPr>
            </w:pPr>
            <w:r>
              <w:rPr>
                <w:snapToGrid/>
              </w:rPr>
              <w:t>8,180</w:t>
            </w:r>
          </w:p>
        </w:tc>
        <w:tc>
          <w:tcPr>
            <w:tcW w:w="1359" w:type="dxa"/>
            <w:shd w:val="clear" w:color="auto" w:fill="FFFFFF"/>
          </w:tcPr>
          <w:p w:rsidR="00000000" w:rsidRDefault="00000000">
            <w:pPr>
              <w:pStyle w:val="a2"/>
              <w:jc w:val="center"/>
              <w:rPr>
                <w:snapToGrid/>
              </w:rPr>
            </w:pPr>
            <w:r>
              <w:rPr>
                <w:snapToGrid/>
              </w:rPr>
              <w:t>19.8</w:t>
            </w:r>
          </w:p>
        </w:tc>
      </w:tr>
      <w:tr w:rsidR="00000000">
        <w:tblPrEx>
          <w:tblCellMar>
            <w:top w:w="0" w:type="dxa"/>
            <w:bottom w:w="0" w:type="dxa"/>
          </w:tblCellMar>
        </w:tblPrEx>
        <w:trPr>
          <w:cantSplit/>
        </w:trPr>
        <w:tc>
          <w:tcPr>
            <w:tcW w:w="1272" w:type="dxa"/>
            <w:shd w:val="clear" w:color="auto" w:fill="FFFFFF"/>
          </w:tcPr>
          <w:p w:rsidR="00000000" w:rsidRDefault="00000000">
            <w:pPr>
              <w:pStyle w:val="a2"/>
              <w:ind w:left="170"/>
              <w:rPr>
                <w:snapToGrid/>
              </w:rPr>
            </w:pPr>
            <w:r>
              <w:rPr>
                <w:snapToGrid/>
              </w:rPr>
              <w:t>1991</w:t>
            </w:r>
          </w:p>
        </w:tc>
        <w:tc>
          <w:tcPr>
            <w:tcW w:w="1690" w:type="dxa"/>
            <w:shd w:val="clear" w:color="auto" w:fill="FFFFFF"/>
          </w:tcPr>
          <w:p w:rsidR="00000000" w:rsidRDefault="00000000">
            <w:pPr>
              <w:pStyle w:val="a2"/>
              <w:tabs>
                <w:tab w:val="decimal" w:pos="854"/>
                <w:tab w:val="decimal" w:pos="1303"/>
              </w:tabs>
              <w:jc w:val="center"/>
              <w:rPr>
                <w:snapToGrid/>
              </w:rPr>
            </w:pPr>
            <w:r>
              <w:rPr>
                <w:snapToGrid/>
              </w:rPr>
              <w:t>99,300</w:t>
            </w:r>
          </w:p>
        </w:tc>
        <w:tc>
          <w:tcPr>
            <w:tcW w:w="1430" w:type="dxa"/>
            <w:shd w:val="clear" w:color="auto" w:fill="FFFFFF"/>
          </w:tcPr>
          <w:p w:rsidR="00000000" w:rsidRDefault="00000000">
            <w:pPr>
              <w:pStyle w:val="a2"/>
              <w:tabs>
                <w:tab w:val="decimal" w:pos="854"/>
              </w:tabs>
              <w:rPr>
                <w:snapToGrid/>
              </w:rPr>
            </w:pPr>
            <w:r>
              <w:rPr>
                <w:snapToGrid/>
              </w:rPr>
              <w:t>43,296</w:t>
            </w:r>
          </w:p>
        </w:tc>
        <w:tc>
          <w:tcPr>
            <w:tcW w:w="1040" w:type="dxa"/>
            <w:shd w:val="clear" w:color="auto" w:fill="FFFFFF"/>
          </w:tcPr>
          <w:p w:rsidR="00000000" w:rsidRDefault="00000000">
            <w:pPr>
              <w:pStyle w:val="a2"/>
              <w:jc w:val="center"/>
              <w:rPr>
                <w:snapToGrid/>
              </w:rPr>
            </w:pPr>
            <w:r>
              <w:rPr>
                <w:snapToGrid/>
              </w:rPr>
              <w:t>0.99</w:t>
            </w:r>
          </w:p>
        </w:tc>
        <w:tc>
          <w:tcPr>
            <w:tcW w:w="910" w:type="dxa"/>
            <w:shd w:val="clear" w:color="auto" w:fill="FFFFFF"/>
          </w:tcPr>
          <w:p w:rsidR="00000000" w:rsidRDefault="00000000">
            <w:pPr>
              <w:pStyle w:val="a2"/>
              <w:rPr>
                <w:snapToGrid/>
              </w:rPr>
            </w:pPr>
            <w:r>
              <w:rPr>
                <w:snapToGrid/>
              </w:rPr>
              <w:t>101.3</w:t>
            </w:r>
          </w:p>
        </w:tc>
        <w:tc>
          <w:tcPr>
            <w:tcW w:w="1560" w:type="dxa"/>
            <w:shd w:val="clear" w:color="auto" w:fill="FFFFFF"/>
          </w:tcPr>
          <w:p w:rsidR="00000000" w:rsidRDefault="00000000">
            <w:pPr>
              <w:pStyle w:val="a2"/>
              <w:tabs>
                <w:tab w:val="decimal" w:pos="984"/>
              </w:tabs>
              <w:rPr>
                <w:snapToGrid/>
              </w:rPr>
            </w:pPr>
            <w:r>
              <w:rPr>
                <w:snapToGrid/>
              </w:rPr>
              <w:t>6,068</w:t>
            </w:r>
          </w:p>
        </w:tc>
        <w:tc>
          <w:tcPr>
            <w:tcW w:w="1359" w:type="dxa"/>
            <w:shd w:val="clear" w:color="auto" w:fill="FFFFFF"/>
          </w:tcPr>
          <w:p w:rsidR="00000000" w:rsidRDefault="00000000">
            <w:pPr>
              <w:pStyle w:val="a2"/>
              <w:jc w:val="center"/>
              <w:rPr>
                <w:snapToGrid/>
              </w:rPr>
            </w:pPr>
            <w:r>
              <w:rPr>
                <w:snapToGrid/>
              </w:rPr>
              <w:t>14.0</w:t>
            </w:r>
          </w:p>
        </w:tc>
      </w:tr>
      <w:tr w:rsidR="00000000">
        <w:tblPrEx>
          <w:tblCellMar>
            <w:top w:w="0" w:type="dxa"/>
            <w:bottom w:w="0" w:type="dxa"/>
          </w:tblCellMar>
        </w:tblPrEx>
        <w:trPr>
          <w:cantSplit/>
        </w:trPr>
        <w:tc>
          <w:tcPr>
            <w:tcW w:w="1272" w:type="dxa"/>
            <w:shd w:val="clear" w:color="auto" w:fill="FFFFFF"/>
          </w:tcPr>
          <w:p w:rsidR="00000000" w:rsidRDefault="00000000">
            <w:pPr>
              <w:pStyle w:val="a2"/>
              <w:ind w:left="170"/>
              <w:rPr>
                <w:snapToGrid/>
              </w:rPr>
            </w:pPr>
            <w:r>
              <w:rPr>
                <w:snapToGrid/>
              </w:rPr>
              <w:t>1996</w:t>
            </w:r>
          </w:p>
        </w:tc>
        <w:tc>
          <w:tcPr>
            <w:tcW w:w="1690" w:type="dxa"/>
            <w:shd w:val="clear" w:color="auto" w:fill="FFFFFF"/>
          </w:tcPr>
          <w:p w:rsidR="00000000" w:rsidRDefault="00000000">
            <w:pPr>
              <w:pStyle w:val="a2"/>
              <w:tabs>
                <w:tab w:val="decimal" w:pos="854"/>
                <w:tab w:val="decimal" w:pos="1303"/>
              </w:tabs>
              <w:jc w:val="center"/>
              <w:rPr>
                <w:snapToGrid/>
              </w:rPr>
            </w:pPr>
            <w:r>
              <w:rPr>
                <w:snapToGrid/>
              </w:rPr>
              <w:t>99,313</w:t>
            </w:r>
          </w:p>
        </w:tc>
        <w:tc>
          <w:tcPr>
            <w:tcW w:w="1430" w:type="dxa"/>
            <w:shd w:val="clear" w:color="auto" w:fill="FFFFFF"/>
          </w:tcPr>
          <w:p w:rsidR="00000000" w:rsidRDefault="00000000">
            <w:pPr>
              <w:pStyle w:val="a2"/>
              <w:tabs>
                <w:tab w:val="decimal" w:pos="854"/>
              </w:tabs>
              <w:rPr>
                <w:snapToGrid/>
              </w:rPr>
            </w:pPr>
            <w:r>
              <w:rPr>
                <w:snapToGrid/>
              </w:rPr>
              <w:t>45,525</w:t>
            </w:r>
          </w:p>
        </w:tc>
        <w:tc>
          <w:tcPr>
            <w:tcW w:w="1040" w:type="dxa"/>
            <w:shd w:val="clear" w:color="auto" w:fill="FFFFFF"/>
          </w:tcPr>
          <w:p w:rsidR="00000000" w:rsidRDefault="00000000">
            <w:pPr>
              <w:pStyle w:val="a2"/>
              <w:jc w:val="center"/>
              <w:rPr>
                <w:snapToGrid/>
              </w:rPr>
            </w:pPr>
            <w:r>
              <w:rPr>
                <w:snapToGrid/>
              </w:rPr>
              <w:t>0.96</w:t>
            </w:r>
          </w:p>
        </w:tc>
        <w:tc>
          <w:tcPr>
            <w:tcW w:w="910" w:type="dxa"/>
            <w:shd w:val="clear" w:color="auto" w:fill="FFFFFF"/>
          </w:tcPr>
          <w:p w:rsidR="00000000" w:rsidRDefault="00000000">
            <w:pPr>
              <w:pStyle w:val="a2"/>
              <w:rPr>
                <w:snapToGrid/>
              </w:rPr>
            </w:pPr>
            <w:r>
              <w:rPr>
                <w:snapToGrid/>
              </w:rPr>
              <w:t>101.4</w:t>
            </w:r>
          </w:p>
        </w:tc>
        <w:tc>
          <w:tcPr>
            <w:tcW w:w="1560" w:type="dxa"/>
            <w:shd w:val="clear" w:color="auto" w:fill="FFFFFF"/>
          </w:tcPr>
          <w:p w:rsidR="00000000" w:rsidRDefault="00000000">
            <w:pPr>
              <w:pStyle w:val="a2"/>
              <w:tabs>
                <w:tab w:val="decimal" w:pos="984"/>
              </w:tabs>
              <w:rPr>
                <w:snapToGrid/>
              </w:rPr>
            </w:pPr>
            <w:r>
              <w:rPr>
                <w:snapToGrid/>
              </w:rPr>
              <w:t>4,692</w:t>
            </w:r>
          </w:p>
        </w:tc>
        <w:tc>
          <w:tcPr>
            <w:tcW w:w="1359" w:type="dxa"/>
            <w:shd w:val="clear" w:color="auto" w:fill="FFFFFF"/>
          </w:tcPr>
          <w:p w:rsidR="00000000" w:rsidRDefault="00000000">
            <w:pPr>
              <w:pStyle w:val="a2"/>
              <w:jc w:val="center"/>
              <w:rPr>
                <w:snapToGrid/>
              </w:rPr>
            </w:pPr>
            <w:r>
              <w:rPr>
                <w:snapToGrid/>
              </w:rPr>
              <w:t>10.3</w:t>
            </w:r>
          </w:p>
        </w:tc>
      </w:tr>
      <w:tr w:rsidR="00000000">
        <w:tblPrEx>
          <w:tblCellMar>
            <w:top w:w="0" w:type="dxa"/>
            <w:bottom w:w="0" w:type="dxa"/>
          </w:tblCellMar>
        </w:tblPrEx>
        <w:trPr>
          <w:cantSplit/>
        </w:trPr>
        <w:tc>
          <w:tcPr>
            <w:tcW w:w="1272" w:type="dxa"/>
            <w:shd w:val="clear" w:color="auto" w:fill="FFFFFF"/>
          </w:tcPr>
          <w:p w:rsidR="00000000" w:rsidRDefault="00000000">
            <w:pPr>
              <w:pStyle w:val="a2"/>
              <w:ind w:left="170"/>
              <w:rPr>
                <w:snapToGrid/>
              </w:rPr>
            </w:pPr>
            <w:r>
              <w:rPr>
                <w:snapToGrid/>
              </w:rPr>
              <w:t>1997</w:t>
            </w:r>
          </w:p>
        </w:tc>
        <w:tc>
          <w:tcPr>
            <w:tcW w:w="1690" w:type="dxa"/>
            <w:shd w:val="clear" w:color="auto" w:fill="FFFFFF"/>
          </w:tcPr>
          <w:p w:rsidR="00000000" w:rsidRDefault="00000000">
            <w:pPr>
              <w:pStyle w:val="a2"/>
              <w:tabs>
                <w:tab w:val="decimal" w:pos="854"/>
                <w:tab w:val="decimal" w:pos="1303"/>
              </w:tabs>
              <w:jc w:val="center"/>
              <w:rPr>
                <w:snapToGrid/>
              </w:rPr>
            </w:pPr>
            <w:r>
              <w:rPr>
                <w:snapToGrid/>
              </w:rPr>
              <w:t>99,373</w:t>
            </w:r>
          </w:p>
        </w:tc>
        <w:tc>
          <w:tcPr>
            <w:tcW w:w="1430" w:type="dxa"/>
            <w:shd w:val="clear" w:color="auto" w:fill="FFFFFF"/>
          </w:tcPr>
          <w:p w:rsidR="00000000" w:rsidRDefault="00000000">
            <w:pPr>
              <w:pStyle w:val="a2"/>
              <w:tabs>
                <w:tab w:val="decimal" w:pos="854"/>
              </w:tabs>
              <w:rPr>
                <w:snapToGrid/>
              </w:rPr>
            </w:pPr>
            <w:r>
              <w:rPr>
                <w:snapToGrid/>
              </w:rPr>
              <w:t>45,954</w:t>
            </w:r>
          </w:p>
        </w:tc>
        <w:tc>
          <w:tcPr>
            <w:tcW w:w="1040" w:type="dxa"/>
            <w:shd w:val="clear" w:color="auto" w:fill="FFFFFF"/>
          </w:tcPr>
          <w:p w:rsidR="00000000" w:rsidRDefault="00000000">
            <w:pPr>
              <w:pStyle w:val="a2"/>
              <w:jc w:val="center"/>
              <w:rPr>
                <w:snapToGrid/>
              </w:rPr>
            </w:pPr>
            <w:r>
              <w:rPr>
                <w:snapToGrid/>
              </w:rPr>
              <w:t>0.94</w:t>
            </w:r>
          </w:p>
        </w:tc>
        <w:tc>
          <w:tcPr>
            <w:tcW w:w="910" w:type="dxa"/>
            <w:shd w:val="clear" w:color="auto" w:fill="FFFFFF"/>
          </w:tcPr>
          <w:p w:rsidR="00000000" w:rsidRDefault="00000000">
            <w:pPr>
              <w:pStyle w:val="a2"/>
              <w:rPr>
                <w:snapToGrid/>
              </w:rPr>
            </w:pPr>
            <w:r>
              <w:rPr>
                <w:snapToGrid/>
              </w:rPr>
              <w:t>101.5</w:t>
            </w:r>
          </w:p>
        </w:tc>
        <w:tc>
          <w:tcPr>
            <w:tcW w:w="1560" w:type="dxa"/>
            <w:shd w:val="clear" w:color="auto" w:fill="FFFFFF"/>
          </w:tcPr>
          <w:p w:rsidR="00000000" w:rsidRDefault="00000000">
            <w:pPr>
              <w:pStyle w:val="a2"/>
              <w:tabs>
                <w:tab w:val="decimal" w:pos="984"/>
              </w:tabs>
              <w:rPr>
                <w:snapToGrid/>
              </w:rPr>
            </w:pPr>
            <w:r>
              <w:rPr>
                <w:snapToGrid/>
              </w:rPr>
              <w:t>4,468</w:t>
            </w:r>
          </w:p>
        </w:tc>
        <w:tc>
          <w:tcPr>
            <w:tcW w:w="1359" w:type="dxa"/>
            <w:shd w:val="clear" w:color="auto" w:fill="FFFFFF"/>
          </w:tcPr>
          <w:p w:rsidR="00000000" w:rsidRDefault="00000000">
            <w:pPr>
              <w:pStyle w:val="a2"/>
              <w:jc w:val="center"/>
              <w:rPr>
                <w:snapToGrid/>
              </w:rPr>
            </w:pPr>
            <w:r>
              <w:rPr>
                <w:snapToGrid/>
              </w:rPr>
              <w:t>9.7</w:t>
            </w:r>
          </w:p>
        </w:tc>
      </w:tr>
      <w:tr w:rsidR="00000000">
        <w:tblPrEx>
          <w:tblCellMar>
            <w:top w:w="0" w:type="dxa"/>
            <w:bottom w:w="0" w:type="dxa"/>
          </w:tblCellMar>
        </w:tblPrEx>
        <w:trPr>
          <w:cantSplit/>
        </w:trPr>
        <w:tc>
          <w:tcPr>
            <w:tcW w:w="1272" w:type="dxa"/>
            <w:shd w:val="clear" w:color="auto" w:fill="FFFFFF"/>
          </w:tcPr>
          <w:p w:rsidR="00000000" w:rsidRDefault="00000000">
            <w:pPr>
              <w:pStyle w:val="a2"/>
              <w:ind w:left="170"/>
              <w:rPr>
                <w:snapToGrid/>
              </w:rPr>
            </w:pPr>
            <w:r>
              <w:rPr>
                <w:snapToGrid/>
              </w:rPr>
              <w:t>1998</w:t>
            </w:r>
          </w:p>
        </w:tc>
        <w:tc>
          <w:tcPr>
            <w:tcW w:w="1690" w:type="dxa"/>
            <w:shd w:val="clear" w:color="auto" w:fill="FFFFFF"/>
          </w:tcPr>
          <w:p w:rsidR="00000000" w:rsidRDefault="00000000">
            <w:pPr>
              <w:pStyle w:val="a2"/>
              <w:tabs>
                <w:tab w:val="decimal" w:pos="854"/>
                <w:tab w:val="decimal" w:pos="1303"/>
              </w:tabs>
              <w:jc w:val="center"/>
              <w:rPr>
                <w:snapToGrid/>
              </w:rPr>
            </w:pPr>
            <w:r>
              <w:rPr>
                <w:snapToGrid/>
              </w:rPr>
              <w:t>99,408</w:t>
            </w:r>
          </w:p>
        </w:tc>
        <w:tc>
          <w:tcPr>
            <w:tcW w:w="1430" w:type="dxa"/>
            <w:shd w:val="clear" w:color="auto" w:fill="FFFFFF"/>
          </w:tcPr>
          <w:p w:rsidR="00000000" w:rsidRDefault="00000000">
            <w:pPr>
              <w:pStyle w:val="a2"/>
              <w:tabs>
                <w:tab w:val="decimal" w:pos="854"/>
              </w:tabs>
              <w:rPr>
                <w:snapToGrid/>
              </w:rPr>
            </w:pPr>
            <w:r>
              <w:rPr>
                <w:snapToGrid/>
              </w:rPr>
              <w:t>46,287</w:t>
            </w:r>
          </w:p>
        </w:tc>
        <w:tc>
          <w:tcPr>
            <w:tcW w:w="1040" w:type="dxa"/>
            <w:shd w:val="clear" w:color="auto" w:fill="FFFFFF"/>
          </w:tcPr>
          <w:p w:rsidR="00000000" w:rsidRDefault="00000000">
            <w:pPr>
              <w:pStyle w:val="a2"/>
              <w:jc w:val="center"/>
              <w:rPr>
                <w:snapToGrid/>
              </w:rPr>
            </w:pPr>
            <w:r>
              <w:rPr>
                <w:snapToGrid/>
              </w:rPr>
              <w:t>0.72</w:t>
            </w:r>
          </w:p>
        </w:tc>
        <w:tc>
          <w:tcPr>
            <w:tcW w:w="910" w:type="dxa"/>
            <w:shd w:val="clear" w:color="auto" w:fill="FFFFFF"/>
          </w:tcPr>
          <w:p w:rsidR="00000000" w:rsidRDefault="00000000">
            <w:pPr>
              <w:pStyle w:val="a2"/>
              <w:rPr>
                <w:snapToGrid/>
              </w:rPr>
            </w:pPr>
            <w:r>
              <w:rPr>
                <w:snapToGrid/>
              </w:rPr>
              <w:t>101.3</w:t>
            </w:r>
          </w:p>
        </w:tc>
        <w:tc>
          <w:tcPr>
            <w:tcW w:w="1560" w:type="dxa"/>
            <w:shd w:val="clear" w:color="auto" w:fill="FFFFFF"/>
          </w:tcPr>
          <w:p w:rsidR="00000000" w:rsidRDefault="00000000">
            <w:pPr>
              <w:pStyle w:val="a2"/>
              <w:tabs>
                <w:tab w:val="decimal" w:pos="984"/>
              </w:tabs>
              <w:rPr>
                <w:snapToGrid/>
              </w:rPr>
            </w:pPr>
            <w:r>
              <w:rPr>
                <w:snapToGrid/>
              </w:rPr>
              <w:t>4,400</w:t>
            </w:r>
          </w:p>
        </w:tc>
        <w:tc>
          <w:tcPr>
            <w:tcW w:w="1359" w:type="dxa"/>
            <w:shd w:val="clear" w:color="auto" w:fill="FFFFFF"/>
          </w:tcPr>
          <w:p w:rsidR="00000000" w:rsidRDefault="00000000">
            <w:pPr>
              <w:pStyle w:val="a2"/>
              <w:jc w:val="center"/>
              <w:rPr>
                <w:snapToGrid/>
              </w:rPr>
            </w:pPr>
            <w:r>
              <w:rPr>
                <w:snapToGrid/>
              </w:rPr>
              <w:t>9.5</w:t>
            </w:r>
          </w:p>
        </w:tc>
      </w:tr>
      <w:tr w:rsidR="00000000">
        <w:tblPrEx>
          <w:tblCellMar>
            <w:top w:w="0" w:type="dxa"/>
            <w:bottom w:w="0" w:type="dxa"/>
          </w:tblCellMar>
        </w:tblPrEx>
        <w:trPr>
          <w:cantSplit/>
        </w:trPr>
        <w:tc>
          <w:tcPr>
            <w:tcW w:w="1272" w:type="dxa"/>
            <w:shd w:val="clear" w:color="auto" w:fill="FFFFFF"/>
          </w:tcPr>
          <w:p w:rsidR="00000000" w:rsidRDefault="00000000">
            <w:pPr>
              <w:pStyle w:val="a2"/>
              <w:ind w:left="170"/>
              <w:rPr>
                <w:snapToGrid/>
              </w:rPr>
            </w:pPr>
            <w:r>
              <w:rPr>
                <w:snapToGrid/>
              </w:rPr>
              <w:t>1999</w:t>
            </w:r>
          </w:p>
        </w:tc>
        <w:tc>
          <w:tcPr>
            <w:tcW w:w="1690" w:type="dxa"/>
            <w:shd w:val="clear" w:color="auto" w:fill="FFFFFF"/>
          </w:tcPr>
          <w:p w:rsidR="00000000" w:rsidRDefault="00000000">
            <w:pPr>
              <w:pStyle w:val="a2"/>
              <w:tabs>
                <w:tab w:val="decimal" w:pos="854"/>
                <w:tab w:val="decimal" w:pos="1303"/>
              </w:tabs>
              <w:jc w:val="center"/>
              <w:rPr>
                <w:snapToGrid/>
              </w:rPr>
            </w:pPr>
            <w:r>
              <w:rPr>
                <w:snapToGrid/>
              </w:rPr>
              <w:t>99,434</w:t>
            </w:r>
          </w:p>
        </w:tc>
        <w:tc>
          <w:tcPr>
            <w:tcW w:w="1430" w:type="dxa"/>
            <w:shd w:val="clear" w:color="auto" w:fill="FFFFFF"/>
          </w:tcPr>
          <w:p w:rsidR="00000000" w:rsidRDefault="00000000">
            <w:pPr>
              <w:pStyle w:val="a2"/>
              <w:tabs>
                <w:tab w:val="decimal" w:pos="854"/>
              </w:tabs>
              <w:rPr>
                <w:snapToGrid/>
              </w:rPr>
            </w:pPr>
            <w:r>
              <w:rPr>
                <w:snapToGrid/>
              </w:rPr>
              <w:t>46,617</w:t>
            </w:r>
          </w:p>
        </w:tc>
        <w:tc>
          <w:tcPr>
            <w:tcW w:w="1040" w:type="dxa"/>
            <w:shd w:val="clear" w:color="auto" w:fill="FFFFFF"/>
          </w:tcPr>
          <w:p w:rsidR="00000000" w:rsidRDefault="00000000">
            <w:pPr>
              <w:pStyle w:val="a2"/>
              <w:jc w:val="center"/>
              <w:rPr>
                <w:snapToGrid/>
              </w:rPr>
            </w:pPr>
            <w:r>
              <w:rPr>
                <w:snapToGrid/>
              </w:rPr>
              <w:t>0.71</w:t>
            </w:r>
          </w:p>
        </w:tc>
        <w:tc>
          <w:tcPr>
            <w:tcW w:w="910" w:type="dxa"/>
            <w:shd w:val="clear" w:color="auto" w:fill="FFFFFF"/>
          </w:tcPr>
          <w:p w:rsidR="00000000" w:rsidRDefault="00000000">
            <w:pPr>
              <w:pStyle w:val="a2"/>
              <w:rPr>
                <w:snapToGrid/>
              </w:rPr>
            </w:pPr>
            <w:r>
              <w:rPr>
                <w:snapToGrid/>
              </w:rPr>
              <w:t>101.3</w:t>
            </w:r>
          </w:p>
        </w:tc>
        <w:tc>
          <w:tcPr>
            <w:tcW w:w="1560" w:type="dxa"/>
            <w:shd w:val="clear" w:color="auto" w:fill="FFFFFF"/>
          </w:tcPr>
          <w:p w:rsidR="00000000" w:rsidRDefault="00000000">
            <w:pPr>
              <w:pStyle w:val="a2"/>
              <w:tabs>
                <w:tab w:val="decimal" w:pos="984"/>
              </w:tabs>
              <w:rPr>
                <w:snapToGrid/>
              </w:rPr>
            </w:pPr>
            <w:r>
              <w:rPr>
                <w:snapToGrid/>
              </w:rPr>
              <w:t>4,210</w:t>
            </w:r>
          </w:p>
        </w:tc>
        <w:tc>
          <w:tcPr>
            <w:tcW w:w="1359" w:type="dxa"/>
            <w:shd w:val="clear" w:color="auto" w:fill="FFFFFF"/>
          </w:tcPr>
          <w:p w:rsidR="00000000" w:rsidRDefault="00000000">
            <w:pPr>
              <w:pStyle w:val="a2"/>
              <w:jc w:val="center"/>
              <w:rPr>
                <w:snapToGrid/>
              </w:rPr>
            </w:pPr>
            <w:r>
              <w:rPr>
                <w:snapToGrid/>
              </w:rPr>
              <w:t>9.0</w:t>
            </w:r>
          </w:p>
        </w:tc>
      </w:tr>
      <w:tr w:rsidR="00000000">
        <w:tblPrEx>
          <w:tblCellMar>
            <w:top w:w="0" w:type="dxa"/>
            <w:bottom w:w="0" w:type="dxa"/>
          </w:tblCellMar>
        </w:tblPrEx>
        <w:trPr>
          <w:cantSplit/>
        </w:trPr>
        <w:tc>
          <w:tcPr>
            <w:tcW w:w="1272" w:type="dxa"/>
            <w:shd w:val="clear" w:color="auto" w:fill="FFFFFF"/>
          </w:tcPr>
          <w:p w:rsidR="00000000" w:rsidRDefault="00000000">
            <w:pPr>
              <w:pStyle w:val="a2"/>
              <w:ind w:left="170"/>
              <w:rPr>
                <w:snapToGrid/>
              </w:rPr>
            </w:pPr>
            <w:r>
              <w:rPr>
                <w:snapToGrid/>
              </w:rPr>
              <w:t>2000</w:t>
            </w:r>
          </w:p>
        </w:tc>
        <w:tc>
          <w:tcPr>
            <w:tcW w:w="1690" w:type="dxa"/>
            <w:shd w:val="clear" w:color="auto" w:fill="FFFFFF"/>
          </w:tcPr>
          <w:p w:rsidR="00000000" w:rsidRDefault="00000000">
            <w:pPr>
              <w:pStyle w:val="a2"/>
              <w:tabs>
                <w:tab w:val="decimal" w:pos="854"/>
                <w:tab w:val="decimal" w:pos="1303"/>
              </w:tabs>
              <w:jc w:val="center"/>
              <w:rPr>
                <w:snapToGrid/>
              </w:rPr>
            </w:pPr>
            <w:r>
              <w:rPr>
                <w:snapToGrid/>
              </w:rPr>
              <w:t>99,461</w:t>
            </w:r>
          </w:p>
        </w:tc>
        <w:tc>
          <w:tcPr>
            <w:tcW w:w="1430" w:type="dxa"/>
            <w:shd w:val="clear" w:color="auto" w:fill="FFFFFF"/>
          </w:tcPr>
          <w:p w:rsidR="00000000" w:rsidRDefault="00000000">
            <w:pPr>
              <w:pStyle w:val="a2"/>
              <w:tabs>
                <w:tab w:val="decimal" w:pos="854"/>
              </w:tabs>
              <w:rPr>
                <w:snapToGrid/>
              </w:rPr>
            </w:pPr>
            <w:r>
              <w:rPr>
                <w:snapToGrid/>
              </w:rPr>
              <w:t>47,008</w:t>
            </w:r>
          </w:p>
        </w:tc>
        <w:tc>
          <w:tcPr>
            <w:tcW w:w="1040" w:type="dxa"/>
            <w:shd w:val="clear" w:color="auto" w:fill="FFFFFF"/>
          </w:tcPr>
          <w:p w:rsidR="00000000" w:rsidRDefault="00000000">
            <w:pPr>
              <w:pStyle w:val="a2"/>
              <w:jc w:val="center"/>
              <w:rPr>
                <w:snapToGrid/>
              </w:rPr>
            </w:pPr>
            <w:r>
              <w:rPr>
                <w:snapToGrid/>
              </w:rPr>
              <w:t>0.84</w:t>
            </w:r>
          </w:p>
        </w:tc>
        <w:tc>
          <w:tcPr>
            <w:tcW w:w="910" w:type="dxa"/>
            <w:shd w:val="clear" w:color="auto" w:fill="FFFFFF"/>
          </w:tcPr>
          <w:p w:rsidR="00000000" w:rsidRDefault="00000000">
            <w:pPr>
              <w:pStyle w:val="a2"/>
              <w:rPr>
                <w:snapToGrid/>
              </w:rPr>
            </w:pPr>
            <w:r>
              <w:rPr>
                <w:snapToGrid/>
              </w:rPr>
              <w:t>101.4</w:t>
            </w:r>
          </w:p>
        </w:tc>
        <w:tc>
          <w:tcPr>
            <w:tcW w:w="1560" w:type="dxa"/>
            <w:shd w:val="clear" w:color="auto" w:fill="FFFFFF"/>
          </w:tcPr>
          <w:p w:rsidR="00000000" w:rsidRDefault="00000000">
            <w:pPr>
              <w:pStyle w:val="a2"/>
              <w:tabs>
                <w:tab w:val="decimal" w:pos="984"/>
              </w:tabs>
              <w:rPr>
                <w:snapToGrid/>
              </w:rPr>
            </w:pPr>
            <w:r>
              <w:rPr>
                <w:snapToGrid/>
              </w:rPr>
              <w:t>4,031</w:t>
            </w:r>
          </w:p>
        </w:tc>
        <w:tc>
          <w:tcPr>
            <w:tcW w:w="1359" w:type="dxa"/>
            <w:shd w:val="clear" w:color="auto" w:fill="FFFFFF"/>
          </w:tcPr>
          <w:p w:rsidR="00000000" w:rsidRDefault="00000000">
            <w:pPr>
              <w:pStyle w:val="a2"/>
              <w:jc w:val="center"/>
              <w:rPr>
                <w:snapToGrid/>
              </w:rPr>
            </w:pPr>
            <w:r>
              <w:rPr>
                <w:snapToGrid/>
              </w:rPr>
              <w:t>8.6</w:t>
            </w:r>
          </w:p>
        </w:tc>
      </w:tr>
    </w:tbl>
    <w:p w:rsidR="00000000" w:rsidRDefault="00000000">
      <w:pPr>
        <w:rPr>
          <w:rFonts w:hint="eastAsia"/>
          <w:snapToGrid/>
        </w:rPr>
      </w:pPr>
    </w:p>
    <w:p w:rsidR="00000000" w:rsidRDefault="00000000">
      <w:pPr>
        <w:spacing w:after="240"/>
        <w:rPr>
          <w:rFonts w:hint="eastAsia"/>
          <w:snapToGrid/>
        </w:rPr>
      </w:pPr>
      <w:r>
        <w:rPr>
          <w:rFonts w:hint="eastAsia"/>
          <w:snapToGrid/>
        </w:rPr>
        <w:tab/>
      </w:r>
      <w:r>
        <w:rPr>
          <w:snapToGrid/>
        </w:rPr>
        <w:t xml:space="preserve">* </w:t>
      </w:r>
      <w:r>
        <w:rPr>
          <w:rFonts w:hint="eastAsia"/>
          <w:snapToGrid/>
        </w:rPr>
        <w:tab/>
      </w:r>
      <w:r>
        <w:rPr>
          <w:rFonts w:eastAsia="KaiTi_GB2312" w:hint="eastAsia"/>
          <w:snapToGrid/>
          <w:spacing w:val="0"/>
          <w:sz w:val="22"/>
        </w:rPr>
        <w:t>女性</w:t>
      </w:r>
      <w:r>
        <w:rPr>
          <w:rFonts w:eastAsia="KaiTi_GB2312" w:hint="eastAsia"/>
          <w:snapToGrid/>
          <w:spacing w:val="0"/>
          <w:sz w:val="22"/>
        </w:rPr>
        <w:t>=100</w:t>
      </w:r>
    </w:p>
    <w:p w:rsidR="00000000" w:rsidRDefault="00000000">
      <w:pPr>
        <w:jc w:val="center"/>
        <w:rPr>
          <w:rFonts w:hint="eastAsia"/>
          <w:snapToGrid/>
        </w:rPr>
      </w:pPr>
      <w:r>
        <w:rPr>
          <w:rFonts w:hint="eastAsia"/>
          <w:snapToGrid/>
        </w:rPr>
        <w:t>人口结构和受赡养人比率：</w:t>
      </w:r>
      <w:r>
        <w:rPr>
          <w:rFonts w:hint="eastAsia"/>
          <w:snapToGrid/>
        </w:rPr>
        <w:t>1980-2000</w:t>
      </w:r>
    </w:p>
    <w:tbl>
      <w:tblPr>
        <w:tblW w:w="0" w:type="auto"/>
        <w:tblInd w:w="84" w:type="dxa"/>
        <w:tblBorders>
          <w:top w:val="single" w:sz="6" w:space="0" w:color="auto"/>
          <w:left w:val="single" w:sz="6" w:space="0" w:color="auto"/>
          <w:bottom w:val="single" w:sz="6" w:space="0" w:color="auto"/>
          <w:right w:val="single" w:sz="6" w:space="0" w:color="auto"/>
          <w:insideV w:val="single" w:sz="6" w:space="0" w:color="auto"/>
        </w:tblBorders>
        <w:shd w:val="clear" w:color="auto" w:fill="FFFFFF"/>
        <w:tblCellMar>
          <w:left w:w="56" w:type="dxa"/>
          <w:right w:w="56" w:type="dxa"/>
        </w:tblCellMar>
        <w:tblLook w:val="0000" w:firstRow="0" w:lastRow="0" w:firstColumn="0" w:lastColumn="0" w:noHBand="0" w:noVBand="0"/>
      </w:tblPr>
      <w:tblGrid>
        <w:gridCol w:w="1402"/>
        <w:gridCol w:w="1820"/>
        <w:gridCol w:w="1820"/>
        <w:gridCol w:w="2018"/>
        <w:gridCol w:w="2268"/>
      </w:tblGrid>
      <w:tr w:rsidR="00000000">
        <w:tblPrEx>
          <w:tblCellMar>
            <w:top w:w="0" w:type="dxa"/>
            <w:bottom w:w="0" w:type="dxa"/>
          </w:tblCellMar>
        </w:tblPrEx>
        <w:trPr>
          <w:cantSplit/>
          <w:tblHeader/>
        </w:trPr>
        <w:tc>
          <w:tcPr>
            <w:tcW w:w="1402" w:type="dxa"/>
            <w:tcBorders>
              <w:top w:val="single" w:sz="6" w:space="0" w:color="auto"/>
              <w:bottom w:val="single" w:sz="6" w:space="0" w:color="auto"/>
            </w:tcBorders>
            <w:shd w:val="clear" w:color="auto" w:fill="FFFFFF"/>
            <w:vAlign w:val="center"/>
          </w:tcPr>
          <w:p w:rsidR="00000000" w:rsidRDefault="00000000">
            <w:pPr>
              <w:pStyle w:val="a2"/>
              <w:spacing w:before="80" w:after="80" w:line="300" w:lineRule="exact"/>
              <w:jc w:val="center"/>
              <w:rPr>
                <w:snapToGrid/>
                <w:spacing w:val="0"/>
                <w:sz w:val="20"/>
                <w:u w:val="single"/>
              </w:rPr>
            </w:pPr>
          </w:p>
        </w:tc>
        <w:tc>
          <w:tcPr>
            <w:tcW w:w="1820" w:type="dxa"/>
            <w:tcBorders>
              <w:top w:val="single" w:sz="6" w:space="0" w:color="auto"/>
              <w:bottom w:val="single" w:sz="6" w:space="0" w:color="auto"/>
            </w:tcBorders>
            <w:shd w:val="clear" w:color="auto" w:fill="FFFFFF"/>
            <w:vAlign w:val="center"/>
          </w:tcPr>
          <w:p w:rsidR="00000000" w:rsidRDefault="00000000">
            <w:pPr>
              <w:pStyle w:val="a2"/>
              <w:spacing w:before="80" w:after="80" w:line="300" w:lineRule="exact"/>
              <w:jc w:val="center"/>
              <w:rPr>
                <w:snapToGrid/>
                <w:spacing w:val="0"/>
                <w:sz w:val="20"/>
                <w:szCs w:val="16"/>
                <w:u w:val="single"/>
              </w:rPr>
            </w:pPr>
            <w:r>
              <w:rPr>
                <w:snapToGrid/>
                <w:spacing w:val="0"/>
                <w:sz w:val="20"/>
                <w:szCs w:val="16"/>
                <w:u w:val="single"/>
              </w:rPr>
              <w:t>0-14</w:t>
            </w:r>
            <w:r>
              <w:rPr>
                <w:rFonts w:hint="eastAsia"/>
                <w:snapToGrid/>
                <w:spacing w:val="0"/>
                <w:sz w:val="20"/>
                <w:szCs w:val="16"/>
                <w:u w:val="single"/>
              </w:rPr>
              <w:t>岁</w:t>
            </w:r>
            <w:r>
              <w:rPr>
                <w:snapToGrid/>
                <w:spacing w:val="0"/>
                <w:sz w:val="20"/>
                <w:szCs w:val="16"/>
                <w:u w:val="single"/>
              </w:rPr>
              <w:br/>
            </w:r>
            <w:r>
              <w:rPr>
                <w:snapToGrid/>
                <w:spacing w:val="0"/>
                <w:sz w:val="20"/>
                <w:szCs w:val="16"/>
              </w:rPr>
              <w:t>(</w:t>
            </w:r>
            <w:r>
              <w:rPr>
                <w:rFonts w:hint="eastAsia"/>
                <w:snapToGrid/>
                <w:spacing w:val="0"/>
                <w:sz w:val="20"/>
                <w:szCs w:val="16"/>
                <w:u w:val="single"/>
              </w:rPr>
              <w:t>百分比</w:t>
            </w:r>
            <w:r>
              <w:rPr>
                <w:snapToGrid/>
                <w:spacing w:val="0"/>
                <w:sz w:val="20"/>
                <w:szCs w:val="16"/>
              </w:rPr>
              <w:t>)</w:t>
            </w:r>
          </w:p>
        </w:tc>
        <w:tc>
          <w:tcPr>
            <w:tcW w:w="1820" w:type="dxa"/>
            <w:tcBorders>
              <w:top w:val="single" w:sz="6" w:space="0" w:color="auto"/>
              <w:bottom w:val="single" w:sz="6" w:space="0" w:color="auto"/>
            </w:tcBorders>
            <w:shd w:val="clear" w:color="auto" w:fill="FFFFFF"/>
            <w:vAlign w:val="center"/>
          </w:tcPr>
          <w:p w:rsidR="00000000" w:rsidRDefault="00000000">
            <w:pPr>
              <w:pStyle w:val="a2"/>
              <w:spacing w:before="80" w:after="80" w:line="300" w:lineRule="exact"/>
              <w:jc w:val="center"/>
              <w:rPr>
                <w:snapToGrid/>
                <w:spacing w:val="0"/>
                <w:sz w:val="20"/>
                <w:szCs w:val="16"/>
                <w:u w:val="single"/>
              </w:rPr>
            </w:pPr>
            <w:r>
              <w:rPr>
                <w:snapToGrid/>
                <w:spacing w:val="0"/>
                <w:sz w:val="20"/>
                <w:szCs w:val="16"/>
                <w:u w:val="single"/>
              </w:rPr>
              <w:t>15-64</w:t>
            </w:r>
            <w:r>
              <w:rPr>
                <w:rFonts w:hint="eastAsia"/>
                <w:snapToGrid/>
                <w:spacing w:val="0"/>
                <w:sz w:val="20"/>
                <w:szCs w:val="16"/>
                <w:u w:val="single"/>
              </w:rPr>
              <w:t>岁</w:t>
            </w:r>
            <w:r>
              <w:rPr>
                <w:snapToGrid/>
                <w:spacing w:val="0"/>
                <w:sz w:val="20"/>
                <w:szCs w:val="16"/>
                <w:u w:val="single"/>
              </w:rPr>
              <w:br/>
            </w:r>
            <w:r>
              <w:rPr>
                <w:snapToGrid/>
                <w:spacing w:val="0"/>
                <w:sz w:val="20"/>
                <w:szCs w:val="16"/>
              </w:rPr>
              <w:t>(</w:t>
            </w:r>
            <w:r>
              <w:rPr>
                <w:rFonts w:hint="eastAsia"/>
                <w:snapToGrid/>
                <w:spacing w:val="0"/>
                <w:sz w:val="20"/>
                <w:szCs w:val="16"/>
                <w:u w:val="single"/>
              </w:rPr>
              <w:t>百分比</w:t>
            </w:r>
            <w:r>
              <w:rPr>
                <w:snapToGrid/>
                <w:spacing w:val="0"/>
                <w:sz w:val="20"/>
                <w:szCs w:val="16"/>
              </w:rPr>
              <w:t>)</w:t>
            </w:r>
          </w:p>
        </w:tc>
        <w:tc>
          <w:tcPr>
            <w:tcW w:w="2018" w:type="dxa"/>
            <w:tcBorders>
              <w:top w:val="single" w:sz="6" w:space="0" w:color="auto"/>
              <w:bottom w:val="single" w:sz="6" w:space="0" w:color="auto"/>
            </w:tcBorders>
            <w:shd w:val="clear" w:color="auto" w:fill="FFFFFF"/>
            <w:vAlign w:val="center"/>
          </w:tcPr>
          <w:p w:rsidR="00000000" w:rsidRDefault="00000000">
            <w:pPr>
              <w:pStyle w:val="a2"/>
              <w:spacing w:before="80" w:after="80" w:line="300" w:lineRule="exact"/>
              <w:jc w:val="center"/>
              <w:rPr>
                <w:snapToGrid/>
                <w:spacing w:val="0"/>
                <w:sz w:val="20"/>
                <w:szCs w:val="16"/>
                <w:u w:val="single"/>
              </w:rPr>
            </w:pPr>
            <w:r>
              <w:rPr>
                <w:snapToGrid/>
                <w:spacing w:val="0"/>
                <w:sz w:val="20"/>
                <w:szCs w:val="16"/>
                <w:u w:val="single"/>
              </w:rPr>
              <w:t>65</w:t>
            </w:r>
            <w:r>
              <w:rPr>
                <w:rFonts w:hint="eastAsia"/>
                <w:snapToGrid/>
                <w:spacing w:val="0"/>
                <w:sz w:val="20"/>
                <w:szCs w:val="16"/>
                <w:u w:val="single"/>
              </w:rPr>
              <w:t>岁以上</w:t>
            </w:r>
            <w:r>
              <w:rPr>
                <w:snapToGrid/>
                <w:spacing w:val="0"/>
                <w:sz w:val="20"/>
                <w:szCs w:val="16"/>
                <w:u w:val="single"/>
              </w:rPr>
              <w:br/>
            </w:r>
            <w:r>
              <w:rPr>
                <w:snapToGrid/>
                <w:spacing w:val="0"/>
                <w:sz w:val="20"/>
                <w:szCs w:val="16"/>
              </w:rPr>
              <w:t>(</w:t>
            </w:r>
            <w:r>
              <w:rPr>
                <w:rFonts w:hint="eastAsia"/>
                <w:snapToGrid/>
                <w:spacing w:val="0"/>
                <w:sz w:val="20"/>
                <w:szCs w:val="16"/>
                <w:u w:val="single"/>
              </w:rPr>
              <w:t>百分比</w:t>
            </w:r>
            <w:r>
              <w:rPr>
                <w:snapToGrid/>
                <w:spacing w:val="0"/>
                <w:sz w:val="20"/>
                <w:szCs w:val="16"/>
              </w:rPr>
              <w:t>)</w:t>
            </w:r>
          </w:p>
        </w:tc>
        <w:tc>
          <w:tcPr>
            <w:tcW w:w="2268" w:type="dxa"/>
            <w:tcBorders>
              <w:top w:val="single" w:sz="6" w:space="0" w:color="auto"/>
              <w:bottom w:val="single" w:sz="6" w:space="0" w:color="auto"/>
            </w:tcBorders>
            <w:shd w:val="clear" w:color="auto" w:fill="FFFFFF"/>
            <w:vAlign w:val="center"/>
          </w:tcPr>
          <w:p w:rsidR="00000000" w:rsidRDefault="00000000">
            <w:pPr>
              <w:pStyle w:val="a2"/>
              <w:spacing w:before="80" w:after="80" w:line="300" w:lineRule="exact"/>
              <w:jc w:val="center"/>
              <w:rPr>
                <w:rFonts w:hint="eastAsia"/>
                <w:snapToGrid/>
                <w:spacing w:val="0"/>
                <w:sz w:val="20"/>
                <w:szCs w:val="16"/>
                <w:u w:val="single"/>
              </w:rPr>
            </w:pPr>
            <w:r>
              <w:rPr>
                <w:rFonts w:hint="eastAsia"/>
                <w:snapToGrid/>
                <w:spacing w:val="0"/>
                <w:sz w:val="20"/>
                <w:szCs w:val="16"/>
                <w:u w:val="single"/>
              </w:rPr>
              <w:t>受赡养人比率</w:t>
            </w:r>
          </w:p>
          <w:p w:rsidR="00000000" w:rsidRDefault="00000000">
            <w:pPr>
              <w:pStyle w:val="a2"/>
              <w:spacing w:before="80" w:after="80" w:line="300" w:lineRule="exact"/>
              <w:jc w:val="center"/>
              <w:rPr>
                <w:snapToGrid/>
                <w:spacing w:val="0"/>
                <w:sz w:val="20"/>
                <w:szCs w:val="16"/>
                <w:u w:val="single"/>
              </w:rPr>
            </w:pPr>
            <w:r>
              <w:rPr>
                <w:snapToGrid/>
                <w:spacing w:val="0"/>
                <w:sz w:val="20"/>
                <w:szCs w:val="16"/>
              </w:rPr>
              <w:t>(</w:t>
            </w:r>
            <w:r>
              <w:rPr>
                <w:rFonts w:hint="eastAsia"/>
                <w:snapToGrid/>
                <w:spacing w:val="0"/>
                <w:sz w:val="20"/>
                <w:szCs w:val="16"/>
                <w:u w:val="single"/>
              </w:rPr>
              <w:t>百分比</w:t>
            </w:r>
            <w:r>
              <w:rPr>
                <w:snapToGrid/>
                <w:spacing w:val="0"/>
                <w:sz w:val="20"/>
                <w:szCs w:val="16"/>
              </w:rPr>
              <w:t>)</w:t>
            </w:r>
          </w:p>
        </w:tc>
      </w:tr>
      <w:tr w:rsidR="00000000">
        <w:tblPrEx>
          <w:tblCellMar>
            <w:top w:w="0" w:type="dxa"/>
            <w:bottom w:w="0" w:type="dxa"/>
          </w:tblCellMar>
        </w:tblPrEx>
        <w:trPr>
          <w:cantSplit/>
        </w:trPr>
        <w:tc>
          <w:tcPr>
            <w:tcW w:w="1402" w:type="dxa"/>
            <w:tcBorders>
              <w:top w:val="single" w:sz="6" w:space="0" w:color="auto"/>
            </w:tcBorders>
            <w:shd w:val="clear" w:color="auto" w:fill="FFFFFF"/>
          </w:tcPr>
          <w:p w:rsidR="00000000" w:rsidRDefault="00000000">
            <w:pPr>
              <w:pStyle w:val="a2"/>
              <w:spacing w:before="40" w:after="40" w:line="300" w:lineRule="exact"/>
              <w:jc w:val="center"/>
              <w:rPr>
                <w:snapToGrid/>
                <w:spacing w:val="0"/>
                <w:sz w:val="20"/>
              </w:rPr>
            </w:pPr>
            <w:r>
              <w:rPr>
                <w:snapToGrid/>
                <w:spacing w:val="0"/>
                <w:sz w:val="20"/>
              </w:rPr>
              <w:t>1980</w:t>
            </w:r>
          </w:p>
        </w:tc>
        <w:tc>
          <w:tcPr>
            <w:tcW w:w="1820" w:type="dxa"/>
            <w:tcBorders>
              <w:top w:val="single" w:sz="6" w:space="0" w:color="auto"/>
            </w:tcBorders>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34.0</w:t>
            </w:r>
          </w:p>
        </w:tc>
        <w:tc>
          <w:tcPr>
            <w:tcW w:w="1820" w:type="dxa"/>
            <w:tcBorders>
              <w:top w:val="single" w:sz="6" w:space="0" w:color="auto"/>
            </w:tcBorders>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62.2</w:t>
            </w:r>
          </w:p>
        </w:tc>
        <w:tc>
          <w:tcPr>
            <w:tcW w:w="2018" w:type="dxa"/>
            <w:tcBorders>
              <w:top w:val="single" w:sz="6" w:space="0" w:color="auto"/>
            </w:tcBorders>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3.8</w:t>
            </w:r>
          </w:p>
        </w:tc>
        <w:tc>
          <w:tcPr>
            <w:tcW w:w="2268" w:type="dxa"/>
            <w:tcBorders>
              <w:top w:val="single" w:sz="6" w:space="0" w:color="auto"/>
            </w:tcBorders>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60.7</w:t>
            </w:r>
          </w:p>
        </w:tc>
      </w:tr>
      <w:tr w:rsidR="00000000">
        <w:tblPrEx>
          <w:tblCellMar>
            <w:top w:w="0" w:type="dxa"/>
            <w:bottom w:w="0" w:type="dxa"/>
          </w:tblCellMar>
        </w:tblPrEx>
        <w:trPr>
          <w:cantSplit/>
        </w:trPr>
        <w:tc>
          <w:tcPr>
            <w:tcW w:w="1402" w:type="dxa"/>
            <w:shd w:val="clear" w:color="auto" w:fill="FFFFFF"/>
          </w:tcPr>
          <w:p w:rsidR="00000000" w:rsidRDefault="00000000">
            <w:pPr>
              <w:pStyle w:val="a2"/>
              <w:spacing w:before="40" w:after="40" w:line="300" w:lineRule="exact"/>
              <w:jc w:val="center"/>
              <w:rPr>
                <w:snapToGrid/>
                <w:spacing w:val="0"/>
                <w:sz w:val="20"/>
              </w:rPr>
            </w:pPr>
            <w:r>
              <w:rPr>
                <w:snapToGrid/>
                <w:spacing w:val="0"/>
                <w:sz w:val="20"/>
              </w:rPr>
              <w:t>1985</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30.2</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65.6</w:t>
            </w:r>
          </w:p>
        </w:tc>
        <w:tc>
          <w:tcPr>
            <w:tcW w:w="201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4.3</w:t>
            </w:r>
          </w:p>
        </w:tc>
        <w:tc>
          <w:tcPr>
            <w:tcW w:w="226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52.5</w:t>
            </w:r>
          </w:p>
        </w:tc>
      </w:tr>
      <w:tr w:rsidR="00000000">
        <w:tblPrEx>
          <w:tblCellMar>
            <w:top w:w="0" w:type="dxa"/>
            <w:bottom w:w="0" w:type="dxa"/>
          </w:tblCellMar>
        </w:tblPrEx>
        <w:trPr>
          <w:cantSplit/>
        </w:trPr>
        <w:tc>
          <w:tcPr>
            <w:tcW w:w="1402" w:type="dxa"/>
            <w:shd w:val="clear" w:color="auto" w:fill="FFFFFF"/>
          </w:tcPr>
          <w:p w:rsidR="00000000" w:rsidRDefault="00000000">
            <w:pPr>
              <w:pStyle w:val="a2"/>
              <w:spacing w:before="40" w:after="40" w:line="300" w:lineRule="exact"/>
              <w:jc w:val="center"/>
              <w:rPr>
                <w:snapToGrid/>
                <w:spacing w:val="0"/>
                <w:sz w:val="20"/>
              </w:rPr>
            </w:pPr>
            <w:r>
              <w:rPr>
                <w:snapToGrid/>
                <w:spacing w:val="0"/>
                <w:sz w:val="20"/>
              </w:rPr>
              <w:t>1990</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25.6</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69.3</w:t>
            </w:r>
          </w:p>
        </w:tc>
        <w:tc>
          <w:tcPr>
            <w:tcW w:w="201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5.1</w:t>
            </w:r>
          </w:p>
        </w:tc>
        <w:tc>
          <w:tcPr>
            <w:tcW w:w="226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44.3</w:t>
            </w:r>
          </w:p>
        </w:tc>
      </w:tr>
      <w:tr w:rsidR="00000000">
        <w:tblPrEx>
          <w:tblCellMar>
            <w:top w:w="0" w:type="dxa"/>
            <w:bottom w:w="0" w:type="dxa"/>
          </w:tblCellMar>
        </w:tblPrEx>
        <w:trPr>
          <w:cantSplit/>
        </w:trPr>
        <w:tc>
          <w:tcPr>
            <w:tcW w:w="1402" w:type="dxa"/>
            <w:shd w:val="clear" w:color="auto" w:fill="FFFFFF"/>
          </w:tcPr>
          <w:p w:rsidR="00000000" w:rsidRDefault="00000000">
            <w:pPr>
              <w:pStyle w:val="a2"/>
              <w:spacing w:before="40" w:after="40" w:line="300" w:lineRule="exact"/>
              <w:jc w:val="center"/>
              <w:rPr>
                <w:snapToGrid/>
                <w:spacing w:val="0"/>
                <w:sz w:val="20"/>
              </w:rPr>
            </w:pPr>
            <w:r>
              <w:rPr>
                <w:snapToGrid/>
                <w:spacing w:val="0"/>
                <w:sz w:val="20"/>
              </w:rPr>
              <w:t>1995</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23.4</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70.7</w:t>
            </w:r>
          </w:p>
        </w:tc>
        <w:tc>
          <w:tcPr>
            <w:tcW w:w="201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5.9</w:t>
            </w:r>
          </w:p>
        </w:tc>
        <w:tc>
          <w:tcPr>
            <w:tcW w:w="226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41.4</w:t>
            </w:r>
          </w:p>
        </w:tc>
      </w:tr>
      <w:tr w:rsidR="00000000">
        <w:tblPrEx>
          <w:tblCellMar>
            <w:top w:w="0" w:type="dxa"/>
            <w:bottom w:w="0" w:type="dxa"/>
          </w:tblCellMar>
        </w:tblPrEx>
        <w:trPr>
          <w:cantSplit/>
        </w:trPr>
        <w:tc>
          <w:tcPr>
            <w:tcW w:w="1402" w:type="dxa"/>
            <w:shd w:val="clear" w:color="auto" w:fill="FFFFFF"/>
          </w:tcPr>
          <w:p w:rsidR="00000000" w:rsidRDefault="00000000">
            <w:pPr>
              <w:pStyle w:val="a2"/>
              <w:spacing w:before="40" w:after="40" w:line="300" w:lineRule="exact"/>
              <w:jc w:val="center"/>
              <w:rPr>
                <w:snapToGrid/>
                <w:spacing w:val="0"/>
                <w:sz w:val="20"/>
              </w:rPr>
            </w:pPr>
            <w:r>
              <w:rPr>
                <w:snapToGrid/>
                <w:spacing w:val="0"/>
                <w:sz w:val="20"/>
              </w:rPr>
              <w:t>1996</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22.9</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71.0</w:t>
            </w:r>
          </w:p>
        </w:tc>
        <w:tc>
          <w:tcPr>
            <w:tcW w:w="201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6.1</w:t>
            </w:r>
          </w:p>
        </w:tc>
        <w:tc>
          <w:tcPr>
            <w:tcW w:w="226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40.8</w:t>
            </w:r>
          </w:p>
        </w:tc>
      </w:tr>
      <w:tr w:rsidR="00000000">
        <w:tblPrEx>
          <w:tblCellMar>
            <w:top w:w="0" w:type="dxa"/>
            <w:bottom w:w="0" w:type="dxa"/>
          </w:tblCellMar>
        </w:tblPrEx>
        <w:trPr>
          <w:cantSplit/>
        </w:trPr>
        <w:tc>
          <w:tcPr>
            <w:tcW w:w="1402" w:type="dxa"/>
            <w:shd w:val="clear" w:color="auto" w:fill="FFFFFF"/>
          </w:tcPr>
          <w:p w:rsidR="00000000" w:rsidRDefault="00000000">
            <w:pPr>
              <w:pStyle w:val="a2"/>
              <w:spacing w:before="40" w:after="40" w:line="300" w:lineRule="exact"/>
              <w:jc w:val="center"/>
              <w:rPr>
                <w:snapToGrid/>
                <w:spacing w:val="0"/>
                <w:sz w:val="20"/>
              </w:rPr>
            </w:pPr>
            <w:r>
              <w:rPr>
                <w:snapToGrid/>
                <w:spacing w:val="0"/>
                <w:sz w:val="20"/>
              </w:rPr>
              <w:t>1997</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22.3</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71.4</w:t>
            </w:r>
          </w:p>
        </w:tc>
        <w:tc>
          <w:tcPr>
            <w:tcW w:w="201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6.4</w:t>
            </w:r>
          </w:p>
        </w:tc>
        <w:tc>
          <w:tcPr>
            <w:tcW w:w="226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40.1</w:t>
            </w:r>
          </w:p>
        </w:tc>
      </w:tr>
      <w:tr w:rsidR="00000000">
        <w:tblPrEx>
          <w:tblCellMar>
            <w:top w:w="0" w:type="dxa"/>
            <w:bottom w:w="0" w:type="dxa"/>
          </w:tblCellMar>
        </w:tblPrEx>
        <w:trPr>
          <w:cantSplit/>
        </w:trPr>
        <w:tc>
          <w:tcPr>
            <w:tcW w:w="1402" w:type="dxa"/>
            <w:shd w:val="clear" w:color="auto" w:fill="FFFFFF"/>
          </w:tcPr>
          <w:p w:rsidR="00000000" w:rsidRDefault="00000000">
            <w:pPr>
              <w:pStyle w:val="a2"/>
              <w:spacing w:before="40" w:after="40" w:line="300" w:lineRule="exact"/>
              <w:jc w:val="center"/>
              <w:rPr>
                <w:snapToGrid/>
                <w:spacing w:val="0"/>
                <w:sz w:val="20"/>
              </w:rPr>
            </w:pPr>
            <w:r>
              <w:rPr>
                <w:snapToGrid/>
                <w:spacing w:val="0"/>
                <w:sz w:val="20"/>
              </w:rPr>
              <w:t>1998</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21.8</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71.6</w:t>
            </w:r>
          </w:p>
        </w:tc>
        <w:tc>
          <w:tcPr>
            <w:tcW w:w="201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6.6</w:t>
            </w:r>
          </w:p>
        </w:tc>
        <w:tc>
          <w:tcPr>
            <w:tcW w:w="226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39.7</w:t>
            </w:r>
          </w:p>
        </w:tc>
      </w:tr>
      <w:tr w:rsidR="00000000">
        <w:tblPrEx>
          <w:tblCellMar>
            <w:top w:w="0" w:type="dxa"/>
            <w:bottom w:w="0" w:type="dxa"/>
          </w:tblCellMar>
        </w:tblPrEx>
        <w:trPr>
          <w:cantSplit/>
        </w:trPr>
        <w:tc>
          <w:tcPr>
            <w:tcW w:w="1402" w:type="dxa"/>
            <w:shd w:val="clear" w:color="auto" w:fill="FFFFFF"/>
          </w:tcPr>
          <w:p w:rsidR="00000000" w:rsidRDefault="00000000">
            <w:pPr>
              <w:pStyle w:val="a2"/>
              <w:spacing w:before="40" w:after="40" w:line="300" w:lineRule="exact"/>
              <w:jc w:val="center"/>
              <w:rPr>
                <w:snapToGrid/>
                <w:spacing w:val="0"/>
                <w:sz w:val="20"/>
              </w:rPr>
            </w:pPr>
            <w:r>
              <w:rPr>
                <w:snapToGrid/>
                <w:spacing w:val="0"/>
                <w:sz w:val="20"/>
              </w:rPr>
              <w:t>1999</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21.4</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71.7</w:t>
            </w:r>
          </w:p>
        </w:tc>
        <w:tc>
          <w:tcPr>
            <w:tcW w:w="201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6.9</w:t>
            </w:r>
          </w:p>
        </w:tc>
        <w:tc>
          <w:tcPr>
            <w:tcW w:w="226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39.5</w:t>
            </w:r>
          </w:p>
        </w:tc>
      </w:tr>
      <w:tr w:rsidR="00000000">
        <w:tblPrEx>
          <w:tblCellMar>
            <w:top w:w="0" w:type="dxa"/>
            <w:bottom w:w="0" w:type="dxa"/>
          </w:tblCellMar>
        </w:tblPrEx>
        <w:trPr>
          <w:cantSplit/>
        </w:trPr>
        <w:tc>
          <w:tcPr>
            <w:tcW w:w="1402" w:type="dxa"/>
            <w:shd w:val="clear" w:color="auto" w:fill="FFFFFF"/>
          </w:tcPr>
          <w:p w:rsidR="00000000" w:rsidRDefault="00000000">
            <w:pPr>
              <w:pStyle w:val="a2"/>
              <w:spacing w:before="40" w:after="40" w:line="300" w:lineRule="exact"/>
              <w:jc w:val="center"/>
              <w:rPr>
                <w:snapToGrid/>
                <w:spacing w:val="0"/>
                <w:sz w:val="20"/>
              </w:rPr>
            </w:pPr>
            <w:r>
              <w:rPr>
                <w:snapToGrid/>
                <w:spacing w:val="0"/>
                <w:sz w:val="20"/>
              </w:rPr>
              <w:t>2000</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21.1</w:t>
            </w:r>
          </w:p>
        </w:tc>
        <w:tc>
          <w:tcPr>
            <w:tcW w:w="1820"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71.7</w:t>
            </w:r>
          </w:p>
        </w:tc>
        <w:tc>
          <w:tcPr>
            <w:tcW w:w="201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7.2</w:t>
            </w:r>
          </w:p>
        </w:tc>
        <w:tc>
          <w:tcPr>
            <w:tcW w:w="2268" w:type="dxa"/>
            <w:shd w:val="clear" w:color="auto" w:fill="FFFFFF"/>
          </w:tcPr>
          <w:p w:rsidR="00000000" w:rsidRDefault="00000000">
            <w:pPr>
              <w:pStyle w:val="a2"/>
              <w:tabs>
                <w:tab w:val="decimal" w:pos="984"/>
              </w:tabs>
              <w:spacing w:before="40" w:after="40" w:line="300" w:lineRule="exact"/>
              <w:rPr>
                <w:snapToGrid/>
                <w:spacing w:val="0"/>
                <w:sz w:val="20"/>
              </w:rPr>
            </w:pPr>
            <w:r>
              <w:rPr>
                <w:snapToGrid/>
                <w:spacing w:val="0"/>
                <w:sz w:val="20"/>
              </w:rPr>
              <w:t>39.5</w:t>
            </w:r>
          </w:p>
        </w:tc>
      </w:tr>
    </w:tbl>
    <w:p w:rsidR="00000000" w:rsidRDefault="00000000">
      <w:pPr>
        <w:rPr>
          <w:rFonts w:hint="eastAsia"/>
          <w:snapToGrid/>
        </w:rPr>
      </w:pPr>
    </w:p>
    <w:p w:rsidR="00000000" w:rsidRDefault="00000000">
      <w:pPr>
        <w:jc w:val="center"/>
        <w:rPr>
          <w:rFonts w:hint="eastAsia"/>
          <w:snapToGrid/>
        </w:rPr>
      </w:pPr>
    </w:p>
    <w:p w:rsidR="00000000" w:rsidRDefault="00000000">
      <w:pPr>
        <w:jc w:val="center"/>
        <w:rPr>
          <w:rFonts w:hint="eastAsia"/>
          <w:snapToGrid/>
        </w:rPr>
      </w:pPr>
      <w:r>
        <w:rPr>
          <w:rFonts w:hint="eastAsia"/>
          <w:snapToGrid/>
        </w:rPr>
        <w:t>预期寿命：</w:t>
      </w:r>
      <w:r>
        <w:rPr>
          <w:snapToGrid/>
        </w:rPr>
        <w:t>1973-2000</w:t>
      </w:r>
    </w:p>
    <w:tbl>
      <w:tblPr>
        <w:tblW w:w="0" w:type="auto"/>
        <w:tblInd w:w="84" w:type="dxa"/>
        <w:tblBorders>
          <w:top w:val="single" w:sz="6" w:space="0" w:color="auto"/>
          <w:left w:val="single" w:sz="6" w:space="0" w:color="auto"/>
          <w:bottom w:val="single" w:sz="6" w:space="0" w:color="auto"/>
          <w:right w:val="single" w:sz="6" w:space="0" w:color="auto"/>
          <w:insideV w:val="single" w:sz="6" w:space="0" w:color="auto"/>
        </w:tblBorders>
        <w:shd w:val="clear" w:color="auto" w:fill="FFFFFF"/>
        <w:tblCellMar>
          <w:left w:w="56" w:type="dxa"/>
          <w:right w:w="56" w:type="dxa"/>
        </w:tblCellMar>
        <w:tblLook w:val="0000" w:firstRow="0" w:lastRow="0" w:firstColumn="0" w:lastColumn="0" w:noHBand="0" w:noVBand="0"/>
      </w:tblPr>
      <w:tblGrid>
        <w:gridCol w:w="1292"/>
        <w:gridCol w:w="1348"/>
        <w:gridCol w:w="1348"/>
        <w:gridCol w:w="1348"/>
        <w:gridCol w:w="1348"/>
        <w:gridCol w:w="1348"/>
        <w:gridCol w:w="1296"/>
      </w:tblGrid>
      <w:tr w:rsidR="00000000">
        <w:tblPrEx>
          <w:tblCellMar>
            <w:top w:w="0" w:type="dxa"/>
            <w:bottom w:w="0" w:type="dxa"/>
          </w:tblCellMar>
        </w:tblPrEx>
        <w:trPr>
          <w:cantSplit/>
          <w:tblHeader/>
        </w:trPr>
        <w:tc>
          <w:tcPr>
            <w:tcW w:w="1292" w:type="dxa"/>
            <w:tcBorders>
              <w:top w:val="single" w:sz="6" w:space="0" w:color="auto"/>
              <w:bottom w:val="single" w:sz="6" w:space="0" w:color="auto"/>
            </w:tcBorders>
            <w:shd w:val="clear" w:color="auto" w:fill="FFFFFF"/>
            <w:vAlign w:val="center"/>
          </w:tcPr>
          <w:p w:rsidR="00000000" w:rsidRDefault="00000000">
            <w:pPr>
              <w:spacing w:before="120" w:after="80" w:line="300" w:lineRule="exact"/>
              <w:jc w:val="center"/>
              <w:rPr>
                <w:snapToGrid/>
                <w:spacing w:val="0"/>
                <w:sz w:val="20"/>
                <w:u w:val="single"/>
              </w:rPr>
            </w:pPr>
          </w:p>
        </w:tc>
        <w:tc>
          <w:tcPr>
            <w:tcW w:w="1348" w:type="dxa"/>
            <w:tcBorders>
              <w:top w:val="single" w:sz="6" w:space="0" w:color="auto"/>
              <w:bottom w:val="single" w:sz="6" w:space="0" w:color="auto"/>
            </w:tcBorders>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1973</w:t>
            </w:r>
          </w:p>
        </w:tc>
        <w:tc>
          <w:tcPr>
            <w:tcW w:w="1348" w:type="dxa"/>
            <w:tcBorders>
              <w:top w:val="single" w:sz="6" w:space="0" w:color="auto"/>
              <w:bottom w:val="single" w:sz="6" w:space="0" w:color="auto"/>
            </w:tcBorders>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1983</w:t>
            </w:r>
          </w:p>
        </w:tc>
        <w:tc>
          <w:tcPr>
            <w:tcW w:w="1348" w:type="dxa"/>
            <w:tcBorders>
              <w:top w:val="single" w:sz="6" w:space="0" w:color="auto"/>
              <w:bottom w:val="single" w:sz="6" w:space="0" w:color="auto"/>
            </w:tcBorders>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1993</w:t>
            </w:r>
          </w:p>
        </w:tc>
        <w:tc>
          <w:tcPr>
            <w:tcW w:w="1348" w:type="dxa"/>
            <w:tcBorders>
              <w:top w:val="single" w:sz="6" w:space="0" w:color="auto"/>
              <w:bottom w:val="single" w:sz="6" w:space="0" w:color="auto"/>
            </w:tcBorders>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1995</w:t>
            </w:r>
          </w:p>
        </w:tc>
        <w:tc>
          <w:tcPr>
            <w:tcW w:w="1348" w:type="dxa"/>
            <w:tcBorders>
              <w:top w:val="single" w:sz="6" w:space="0" w:color="auto"/>
              <w:bottom w:val="single" w:sz="6" w:space="0" w:color="auto"/>
            </w:tcBorders>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1997</w:t>
            </w:r>
          </w:p>
        </w:tc>
        <w:tc>
          <w:tcPr>
            <w:tcW w:w="1296" w:type="dxa"/>
            <w:tcBorders>
              <w:top w:val="single" w:sz="6" w:space="0" w:color="auto"/>
              <w:bottom w:val="single" w:sz="6" w:space="0" w:color="auto"/>
            </w:tcBorders>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2000</w:t>
            </w:r>
          </w:p>
        </w:tc>
      </w:tr>
      <w:tr w:rsidR="00000000">
        <w:tblPrEx>
          <w:tblCellMar>
            <w:top w:w="0" w:type="dxa"/>
            <w:bottom w:w="0" w:type="dxa"/>
          </w:tblCellMar>
        </w:tblPrEx>
        <w:trPr>
          <w:cantSplit/>
        </w:trPr>
        <w:tc>
          <w:tcPr>
            <w:tcW w:w="1292" w:type="dxa"/>
            <w:tcBorders>
              <w:top w:val="single" w:sz="6" w:space="0" w:color="auto"/>
            </w:tcBorders>
            <w:shd w:val="clear" w:color="auto" w:fill="FFFFFF"/>
          </w:tcPr>
          <w:p w:rsidR="00000000" w:rsidRDefault="00000000">
            <w:pPr>
              <w:spacing w:before="120" w:after="40" w:line="300" w:lineRule="exact"/>
              <w:ind w:left="113"/>
              <w:rPr>
                <w:rFonts w:hint="eastAsia"/>
                <w:snapToGrid/>
                <w:spacing w:val="0"/>
                <w:sz w:val="20"/>
              </w:rPr>
            </w:pPr>
            <w:r>
              <w:rPr>
                <w:rFonts w:hint="eastAsia"/>
                <w:snapToGrid/>
                <w:spacing w:val="0"/>
                <w:sz w:val="20"/>
              </w:rPr>
              <w:t>平均</w:t>
            </w:r>
          </w:p>
        </w:tc>
        <w:tc>
          <w:tcPr>
            <w:tcW w:w="1348" w:type="dxa"/>
            <w:tcBorders>
              <w:top w:val="single" w:sz="6" w:space="0" w:color="auto"/>
            </w:tcBorders>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63.1</w:t>
            </w:r>
          </w:p>
        </w:tc>
        <w:tc>
          <w:tcPr>
            <w:tcW w:w="1348" w:type="dxa"/>
            <w:tcBorders>
              <w:top w:val="single" w:sz="6" w:space="0" w:color="auto"/>
            </w:tcBorders>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67.1</w:t>
            </w:r>
          </w:p>
        </w:tc>
        <w:tc>
          <w:tcPr>
            <w:tcW w:w="1348" w:type="dxa"/>
            <w:tcBorders>
              <w:top w:val="single" w:sz="6" w:space="0" w:color="auto"/>
            </w:tcBorders>
            <w:shd w:val="clear" w:color="auto" w:fill="FFFFFF"/>
          </w:tcPr>
          <w:p w:rsidR="00000000" w:rsidRDefault="00000000">
            <w:pPr>
              <w:tabs>
                <w:tab w:val="decimal" w:pos="704"/>
              </w:tabs>
              <w:spacing w:before="120" w:after="40" w:line="300" w:lineRule="exact"/>
              <w:rPr>
                <w:rFonts w:hint="eastAsia"/>
                <w:snapToGrid/>
                <w:spacing w:val="0"/>
                <w:sz w:val="20"/>
              </w:rPr>
            </w:pPr>
            <w:r>
              <w:rPr>
                <w:snapToGrid/>
                <w:spacing w:val="0"/>
                <w:sz w:val="20"/>
              </w:rPr>
              <w:t>72.8</w:t>
            </w:r>
          </w:p>
        </w:tc>
        <w:tc>
          <w:tcPr>
            <w:tcW w:w="1348" w:type="dxa"/>
            <w:tcBorders>
              <w:top w:val="single" w:sz="6" w:space="0" w:color="auto"/>
            </w:tcBorders>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73.5</w:t>
            </w:r>
          </w:p>
        </w:tc>
        <w:tc>
          <w:tcPr>
            <w:tcW w:w="1348" w:type="dxa"/>
            <w:tcBorders>
              <w:top w:val="single" w:sz="6" w:space="0" w:color="auto"/>
            </w:tcBorders>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74.4</w:t>
            </w:r>
          </w:p>
        </w:tc>
        <w:tc>
          <w:tcPr>
            <w:tcW w:w="1296" w:type="dxa"/>
            <w:tcBorders>
              <w:top w:val="single" w:sz="6" w:space="0" w:color="auto"/>
            </w:tcBorders>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75.9</w:t>
            </w:r>
          </w:p>
        </w:tc>
      </w:tr>
      <w:tr w:rsidR="00000000">
        <w:tblPrEx>
          <w:tblCellMar>
            <w:top w:w="0" w:type="dxa"/>
            <w:bottom w:w="0" w:type="dxa"/>
          </w:tblCellMar>
        </w:tblPrEx>
        <w:trPr>
          <w:cantSplit/>
        </w:trPr>
        <w:tc>
          <w:tcPr>
            <w:tcW w:w="1292" w:type="dxa"/>
            <w:shd w:val="clear" w:color="auto" w:fill="FFFFFF"/>
          </w:tcPr>
          <w:p w:rsidR="00000000" w:rsidRDefault="00000000">
            <w:pPr>
              <w:spacing w:before="120" w:after="40" w:line="300" w:lineRule="exact"/>
              <w:ind w:left="113"/>
              <w:rPr>
                <w:rFonts w:hint="eastAsia"/>
                <w:snapToGrid/>
                <w:spacing w:val="0"/>
                <w:sz w:val="20"/>
              </w:rPr>
            </w:pPr>
            <w:r>
              <w:rPr>
                <w:rFonts w:hint="eastAsia"/>
                <w:snapToGrid/>
                <w:spacing w:val="0"/>
                <w:sz w:val="20"/>
              </w:rPr>
              <w:t>男性</w:t>
            </w:r>
          </w:p>
        </w:tc>
        <w:tc>
          <w:tcPr>
            <w:tcW w:w="1348" w:type="dxa"/>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59.6</w:t>
            </w:r>
          </w:p>
        </w:tc>
        <w:tc>
          <w:tcPr>
            <w:tcW w:w="1348" w:type="dxa"/>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63.2</w:t>
            </w:r>
          </w:p>
        </w:tc>
        <w:tc>
          <w:tcPr>
            <w:tcW w:w="1348" w:type="dxa"/>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68.8</w:t>
            </w:r>
          </w:p>
        </w:tc>
        <w:tc>
          <w:tcPr>
            <w:tcW w:w="1348" w:type="dxa"/>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69.6</w:t>
            </w:r>
          </w:p>
        </w:tc>
        <w:tc>
          <w:tcPr>
            <w:tcW w:w="1348" w:type="dxa"/>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70.6</w:t>
            </w:r>
          </w:p>
        </w:tc>
        <w:tc>
          <w:tcPr>
            <w:tcW w:w="1296" w:type="dxa"/>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72.1</w:t>
            </w:r>
          </w:p>
        </w:tc>
      </w:tr>
      <w:tr w:rsidR="00000000">
        <w:tblPrEx>
          <w:tblCellMar>
            <w:top w:w="0" w:type="dxa"/>
            <w:bottom w:w="0" w:type="dxa"/>
          </w:tblCellMar>
        </w:tblPrEx>
        <w:trPr>
          <w:cantSplit/>
        </w:trPr>
        <w:tc>
          <w:tcPr>
            <w:tcW w:w="1292" w:type="dxa"/>
            <w:shd w:val="clear" w:color="auto" w:fill="FFFFFF"/>
          </w:tcPr>
          <w:p w:rsidR="00000000" w:rsidRDefault="00000000">
            <w:pPr>
              <w:spacing w:before="120" w:after="40" w:line="300" w:lineRule="exact"/>
              <w:ind w:left="113"/>
              <w:rPr>
                <w:rFonts w:hint="eastAsia"/>
                <w:snapToGrid/>
                <w:spacing w:val="0"/>
                <w:sz w:val="20"/>
              </w:rPr>
            </w:pPr>
            <w:r>
              <w:rPr>
                <w:rFonts w:hint="eastAsia"/>
                <w:snapToGrid/>
                <w:spacing w:val="0"/>
                <w:sz w:val="20"/>
              </w:rPr>
              <w:t>女性</w:t>
            </w:r>
          </w:p>
        </w:tc>
        <w:tc>
          <w:tcPr>
            <w:tcW w:w="1348" w:type="dxa"/>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67.0</w:t>
            </w:r>
          </w:p>
        </w:tc>
        <w:tc>
          <w:tcPr>
            <w:tcW w:w="1348" w:type="dxa"/>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71.5</w:t>
            </w:r>
          </w:p>
        </w:tc>
        <w:tc>
          <w:tcPr>
            <w:tcW w:w="1348" w:type="dxa"/>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76.8</w:t>
            </w:r>
          </w:p>
        </w:tc>
        <w:tc>
          <w:tcPr>
            <w:tcW w:w="1348" w:type="dxa"/>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77.4</w:t>
            </w:r>
          </w:p>
        </w:tc>
        <w:tc>
          <w:tcPr>
            <w:tcW w:w="1348" w:type="dxa"/>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78.1</w:t>
            </w:r>
          </w:p>
        </w:tc>
        <w:tc>
          <w:tcPr>
            <w:tcW w:w="1296" w:type="dxa"/>
            <w:shd w:val="clear" w:color="auto" w:fill="FFFFFF"/>
          </w:tcPr>
          <w:p w:rsidR="00000000" w:rsidRDefault="00000000">
            <w:pPr>
              <w:tabs>
                <w:tab w:val="decimal" w:pos="704"/>
              </w:tabs>
              <w:spacing w:before="120" w:after="40" w:line="300" w:lineRule="exact"/>
              <w:rPr>
                <w:snapToGrid/>
                <w:spacing w:val="0"/>
                <w:sz w:val="20"/>
              </w:rPr>
            </w:pPr>
            <w:r>
              <w:rPr>
                <w:snapToGrid/>
                <w:spacing w:val="0"/>
                <w:sz w:val="20"/>
              </w:rPr>
              <w:t>79.5</w:t>
            </w:r>
          </w:p>
        </w:tc>
      </w:tr>
    </w:tbl>
    <w:p w:rsidR="00000000" w:rsidRDefault="00000000">
      <w:pPr>
        <w:rPr>
          <w:rFonts w:hint="eastAsia"/>
          <w:snapToGrid/>
        </w:rPr>
      </w:pPr>
    </w:p>
    <w:p w:rsidR="00000000" w:rsidRDefault="00000000">
      <w:pPr>
        <w:jc w:val="center"/>
        <w:rPr>
          <w:rFonts w:hint="eastAsia"/>
          <w:snapToGrid/>
        </w:rPr>
      </w:pPr>
      <w:r>
        <w:rPr>
          <w:rFonts w:hint="eastAsia"/>
          <w:snapToGrid/>
        </w:rPr>
        <w:t>婴儿死亡率：</w:t>
      </w:r>
      <w:r>
        <w:rPr>
          <w:snapToGrid/>
        </w:rPr>
        <w:t>1965-1998</w:t>
      </w:r>
    </w:p>
    <w:tbl>
      <w:tblPr>
        <w:tblW w:w="9319" w:type="dxa"/>
        <w:tblInd w:w="84" w:type="dxa"/>
        <w:tblLayout w:type="fixed"/>
        <w:tblCellMar>
          <w:left w:w="56" w:type="dxa"/>
          <w:right w:w="56" w:type="dxa"/>
        </w:tblCellMar>
        <w:tblLook w:val="0000" w:firstRow="0" w:lastRow="0" w:firstColumn="0" w:lastColumn="0" w:noHBand="0" w:noVBand="0"/>
      </w:tblPr>
      <w:tblGrid>
        <w:gridCol w:w="931"/>
        <w:gridCol w:w="932"/>
        <w:gridCol w:w="932"/>
        <w:gridCol w:w="932"/>
        <w:gridCol w:w="932"/>
        <w:gridCol w:w="932"/>
        <w:gridCol w:w="932"/>
        <w:gridCol w:w="932"/>
        <w:gridCol w:w="932"/>
        <w:gridCol w:w="932"/>
      </w:tblGrid>
      <w:tr w:rsidR="00000000">
        <w:tblPrEx>
          <w:tblCellMar>
            <w:top w:w="0" w:type="dxa"/>
            <w:bottom w:w="0" w:type="dxa"/>
          </w:tblCellMar>
        </w:tblPrEx>
        <w:trPr>
          <w:cantSplit/>
        </w:trPr>
        <w:tc>
          <w:tcPr>
            <w:tcW w:w="931"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120" w:after="80" w:line="300" w:lineRule="exact"/>
              <w:jc w:val="center"/>
              <w:rPr>
                <w:snapToGrid/>
                <w:spacing w:val="0"/>
                <w:sz w:val="20"/>
                <w:u w:val="single"/>
              </w:rPr>
            </w:pPr>
            <w:r>
              <w:rPr>
                <w:snapToGrid/>
                <w:spacing w:val="0"/>
                <w:sz w:val="20"/>
                <w:u w:val="single"/>
              </w:rPr>
              <w:t>1965</w:t>
            </w:r>
          </w:p>
        </w:tc>
        <w:tc>
          <w:tcPr>
            <w:tcW w:w="932"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120" w:after="80" w:line="300" w:lineRule="exact"/>
              <w:jc w:val="center"/>
              <w:rPr>
                <w:snapToGrid/>
                <w:spacing w:val="0"/>
                <w:sz w:val="20"/>
                <w:u w:val="single"/>
              </w:rPr>
            </w:pPr>
            <w:r>
              <w:rPr>
                <w:snapToGrid/>
                <w:spacing w:val="0"/>
                <w:sz w:val="20"/>
                <w:u w:val="single"/>
              </w:rPr>
              <w:t>1970</w:t>
            </w:r>
          </w:p>
        </w:tc>
        <w:tc>
          <w:tcPr>
            <w:tcW w:w="932"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120" w:after="80" w:line="300" w:lineRule="exact"/>
              <w:jc w:val="center"/>
              <w:rPr>
                <w:snapToGrid/>
                <w:spacing w:val="0"/>
                <w:sz w:val="20"/>
                <w:u w:val="single"/>
              </w:rPr>
            </w:pPr>
            <w:r>
              <w:rPr>
                <w:snapToGrid/>
                <w:spacing w:val="0"/>
                <w:sz w:val="20"/>
                <w:u w:val="single"/>
              </w:rPr>
              <w:t>1975</w:t>
            </w:r>
          </w:p>
        </w:tc>
        <w:tc>
          <w:tcPr>
            <w:tcW w:w="932"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120" w:after="80" w:line="300" w:lineRule="exact"/>
              <w:jc w:val="center"/>
              <w:rPr>
                <w:snapToGrid/>
                <w:spacing w:val="0"/>
                <w:sz w:val="20"/>
                <w:u w:val="single"/>
              </w:rPr>
            </w:pPr>
            <w:r>
              <w:rPr>
                <w:snapToGrid/>
                <w:spacing w:val="0"/>
                <w:sz w:val="20"/>
                <w:u w:val="single"/>
              </w:rPr>
              <w:t>1980</w:t>
            </w:r>
          </w:p>
        </w:tc>
        <w:tc>
          <w:tcPr>
            <w:tcW w:w="932"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120" w:after="80" w:line="300" w:lineRule="exact"/>
              <w:jc w:val="center"/>
              <w:rPr>
                <w:snapToGrid/>
                <w:spacing w:val="0"/>
                <w:sz w:val="20"/>
                <w:u w:val="single"/>
              </w:rPr>
            </w:pPr>
            <w:r>
              <w:rPr>
                <w:snapToGrid/>
                <w:spacing w:val="0"/>
                <w:sz w:val="20"/>
                <w:u w:val="single"/>
              </w:rPr>
              <w:t>1985</w:t>
            </w:r>
          </w:p>
        </w:tc>
        <w:tc>
          <w:tcPr>
            <w:tcW w:w="932"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120" w:after="80" w:line="300" w:lineRule="exact"/>
              <w:jc w:val="center"/>
              <w:rPr>
                <w:snapToGrid/>
                <w:spacing w:val="0"/>
                <w:sz w:val="20"/>
                <w:u w:val="single"/>
              </w:rPr>
            </w:pPr>
            <w:r>
              <w:rPr>
                <w:snapToGrid/>
                <w:spacing w:val="0"/>
                <w:sz w:val="20"/>
                <w:u w:val="single"/>
              </w:rPr>
              <w:t>1990</w:t>
            </w:r>
          </w:p>
        </w:tc>
        <w:tc>
          <w:tcPr>
            <w:tcW w:w="932"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120" w:after="80" w:line="300" w:lineRule="exact"/>
              <w:jc w:val="center"/>
              <w:rPr>
                <w:snapToGrid/>
                <w:spacing w:val="0"/>
                <w:sz w:val="20"/>
                <w:u w:val="single"/>
              </w:rPr>
            </w:pPr>
            <w:r>
              <w:rPr>
                <w:snapToGrid/>
                <w:spacing w:val="0"/>
                <w:sz w:val="20"/>
                <w:u w:val="single"/>
              </w:rPr>
              <w:t>1995</w:t>
            </w:r>
          </w:p>
        </w:tc>
        <w:tc>
          <w:tcPr>
            <w:tcW w:w="932"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120" w:after="80" w:line="300" w:lineRule="exact"/>
              <w:jc w:val="center"/>
              <w:rPr>
                <w:snapToGrid/>
                <w:spacing w:val="0"/>
                <w:sz w:val="20"/>
                <w:u w:val="single"/>
              </w:rPr>
            </w:pPr>
            <w:r>
              <w:rPr>
                <w:snapToGrid/>
                <w:spacing w:val="0"/>
                <w:sz w:val="20"/>
                <w:u w:val="single"/>
              </w:rPr>
              <w:t>1996</w:t>
            </w:r>
          </w:p>
        </w:tc>
        <w:tc>
          <w:tcPr>
            <w:tcW w:w="932"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120" w:after="80" w:line="300" w:lineRule="exact"/>
              <w:jc w:val="center"/>
              <w:rPr>
                <w:snapToGrid/>
                <w:spacing w:val="0"/>
                <w:sz w:val="20"/>
                <w:u w:val="single"/>
              </w:rPr>
            </w:pPr>
            <w:r>
              <w:rPr>
                <w:snapToGrid/>
                <w:spacing w:val="0"/>
                <w:sz w:val="20"/>
                <w:u w:val="single"/>
              </w:rPr>
              <w:t>1997</w:t>
            </w:r>
          </w:p>
        </w:tc>
        <w:tc>
          <w:tcPr>
            <w:tcW w:w="932" w:type="dxa"/>
            <w:tcBorders>
              <w:top w:val="single" w:sz="6" w:space="0" w:color="auto"/>
              <w:left w:val="single" w:sz="6" w:space="0" w:color="auto"/>
              <w:bottom w:val="single" w:sz="6" w:space="0" w:color="auto"/>
              <w:right w:val="single" w:sz="6" w:space="0" w:color="auto"/>
            </w:tcBorders>
            <w:vAlign w:val="center"/>
          </w:tcPr>
          <w:p w:rsidR="00000000" w:rsidRDefault="00000000">
            <w:pPr>
              <w:spacing w:before="120" w:after="80" w:line="300" w:lineRule="exact"/>
              <w:jc w:val="center"/>
              <w:rPr>
                <w:snapToGrid/>
                <w:spacing w:val="0"/>
                <w:sz w:val="20"/>
                <w:u w:val="single"/>
              </w:rPr>
            </w:pPr>
            <w:r>
              <w:rPr>
                <w:snapToGrid/>
                <w:spacing w:val="0"/>
                <w:sz w:val="20"/>
                <w:u w:val="single"/>
              </w:rPr>
              <w:t>1998</w:t>
            </w:r>
          </w:p>
        </w:tc>
      </w:tr>
      <w:tr w:rsidR="00000000">
        <w:tblPrEx>
          <w:tblCellMar>
            <w:top w:w="0" w:type="dxa"/>
            <w:bottom w:w="0" w:type="dxa"/>
          </w:tblCellMar>
        </w:tblPrEx>
        <w:trPr>
          <w:cantSplit/>
        </w:trPr>
        <w:tc>
          <w:tcPr>
            <w:tcW w:w="931" w:type="dxa"/>
            <w:tcBorders>
              <w:top w:val="single" w:sz="6" w:space="0" w:color="auto"/>
              <w:left w:val="single" w:sz="6" w:space="0" w:color="auto"/>
              <w:bottom w:val="single" w:sz="6" w:space="0" w:color="auto"/>
              <w:right w:val="single" w:sz="6" w:space="0" w:color="auto"/>
            </w:tcBorders>
          </w:tcPr>
          <w:p w:rsidR="00000000" w:rsidRDefault="00000000">
            <w:pPr>
              <w:spacing w:before="120" w:after="40" w:line="300" w:lineRule="exact"/>
              <w:jc w:val="center"/>
              <w:rPr>
                <w:snapToGrid/>
                <w:spacing w:val="0"/>
                <w:sz w:val="20"/>
              </w:rPr>
            </w:pPr>
            <w:r>
              <w:rPr>
                <w:snapToGrid/>
                <w:spacing w:val="0"/>
                <w:sz w:val="20"/>
              </w:rPr>
              <w:t>-</w:t>
            </w:r>
          </w:p>
        </w:tc>
        <w:tc>
          <w:tcPr>
            <w:tcW w:w="932" w:type="dxa"/>
            <w:tcBorders>
              <w:top w:val="single" w:sz="6" w:space="0" w:color="auto"/>
              <w:left w:val="single" w:sz="6" w:space="0" w:color="auto"/>
              <w:bottom w:val="single" w:sz="6" w:space="0" w:color="auto"/>
              <w:right w:val="single" w:sz="6" w:space="0" w:color="auto"/>
            </w:tcBorders>
          </w:tcPr>
          <w:p w:rsidR="00000000" w:rsidRDefault="00000000">
            <w:pPr>
              <w:tabs>
                <w:tab w:val="decimal" w:pos="415"/>
              </w:tabs>
              <w:spacing w:before="120" w:after="40" w:line="300" w:lineRule="exact"/>
              <w:rPr>
                <w:snapToGrid/>
                <w:spacing w:val="0"/>
                <w:sz w:val="20"/>
              </w:rPr>
            </w:pPr>
            <w:r>
              <w:rPr>
                <w:snapToGrid/>
                <w:spacing w:val="0"/>
                <w:sz w:val="20"/>
              </w:rPr>
              <w:t>45.0</w:t>
            </w:r>
          </w:p>
        </w:tc>
        <w:tc>
          <w:tcPr>
            <w:tcW w:w="932" w:type="dxa"/>
            <w:tcBorders>
              <w:top w:val="single" w:sz="6" w:space="0" w:color="auto"/>
              <w:left w:val="single" w:sz="6" w:space="0" w:color="auto"/>
              <w:bottom w:val="single" w:sz="6" w:space="0" w:color="auto"/>
              <w:right w:val="single" w:sz="6" w:space="0" w:color="auto"/>
            </w:tcBorders>
          </w:tcPr>
          <w:p w:rsidR="00000000" w:rsidRDefault="00000000">
            <w:pPr>
              <w:tabs>
                <w:tab w:val="decimal" w:pos="415"/>
              </w:tabs>
              <w:spacing w:before="120" w:after="40" w:line="300" w:lineRule="exact"/>
              <w:rPr>
                <w:snapToGrid/>
                <w:spacing w:val="0"/>
                <w:sz w:val="20"/>
              </w:rPr>
            </w:pPr>
            <w:r>
              <w:rPr>
                <w:snapToGrid/>
                <w:spacing w:val="0"/>
                <w:sz w:val="20"/>
              </w:rPr>
              <w:t>-</w:t>
            </w:r>
          </w:p>
        </w:tc>
        <w:tc>
          <w:tcPr>
            <w:tcW w:w="932" w:type="dxa"/>
            <w:tcBorders>
              <w:top w:val="single" w:sz="6" w:space="0" w:color="auto"/>
              <w:left w:val="single" w:sz="6" w:space="0" w:color="auto"/>
              <w:bottom w:val="single" w:sz="6" w:space="0" w:color="auto"/>
              <w:right w:val="single" w:sz="6" w:space="0" w:color="auto"/>
            </w:tcBorders>
          </w:tcPr>
          <w:p w:rsidR="00000000" w:rsidRDefault="00000000">
            <w:pPr>
              <w:tabs>
                <w:tab w:val="decimal" w:pos="415"/>
              </w:tabs>
              <w:spacing w:before="120" w:after="40" w:line="300" w:lineRule="exact"/>
              <w:rPr>
                <w:snapToGrid/>
                <w:spacing w:val="0"/>
                <w:sz w:val="20"/>
              </w:rPr>
            </w:pPr>
            <w:r>
              <w:rPr>
                <w:snapToGrid/>
                <w:spacing w:val="0"/>
                <w:sz w:val="20"/>
              </w:rPr>
              <w:t>-</w:t>
            </w:r>
          </w:p>
        </w:tc>
        <w:tc>
          <w:tcPr>
            <w:tcW w:w="932" w:type="dxa"/>
            <w:tcBorders>
              <w:top w:val="single" w:sz="6" w:space="0" w:color="auto"/>
              <w:left w:val="single" w:sz="6" w:space="0" w:color="auto"/>
              <w:bottom w:val="single" w:sz="6" w:space="0" w:color="auto"/>
              <w:right w:val="single" w:sz="6" w:space="0" w:color="auto"/>
            </w:tcBorders>
          </w:tcPr>
          <w:p w:rsidR="00000000" w:rsidRDefault="00000000">
            <w:pPr>
              <w:tabs>
                <w:tab w:val="decimal" w:pos="415"/>
              </w:tabs>
              <w:spacing w:before="120" w:after="40" w:line="300" w:lineRule="exact"/>
              <w:rPr>
                <w:snapToGrid/>
                <w:spacing w:val="0"/>
                <w:sz w:val="20"/>
              </w:rPr>
            </w:pPr>
            <w:r>
              <w:rPr>
                <w:snapToGrid/>
                <w:spacing w:val="0"/>
                <w:sz w:val="20"/>
              </w:rPr>
              <w:t>13.0</w:t>
            </w:r>
          </w:p>
        </w:tc>
        <w:tc>
          <w:tcPr>
            <w:tcW w:w="932" w:type="dxa"/>
            <w:tcBorders>
              <w:top w:val="single" w:sz="6" w:space="0" w:color="auto"/>
              <w:left w:val="single" w:sz="6" w:space="0" w:color="auto"/>
              <w:bottom w:val="single" w:sz="6" w:space="0" w:color="auto"/>
              <w:right w:val="single" w:sz="6" w:space="0" w:color="auto"/>
            </w:tcBorders>
          </w:tcPr>
          <w:p w:rsidR="00000000" w:rsidRDefault="00000000">
            <w:pPr>
              <w:tabs>
                <w:tab w:val="decimal" w:pos="415"/>
              </w:tabs>
              <w:spacing w:before="120" w:after="40" w:line="300" w:lineRule="exact"/>
              <w:rPr>
                <w:snapToGrid/>
                <w:spacing w:val="0"/>
                <w:sz w:val="20"/>
              </w:rPr>
            </w:pPr>
            <w:r>
              <w:rPr>
                <w:snapToGrid/>
                <w:spacing w:val="0"/>
                <w:sz w:val="20"/>
              </w:rPr>
              <w:t>-</w:t>
            </w:r>
          </w:p>
        </w:tc>
        <w:tc>
          <w:tcPr>
            <w:tcW w:w="932" w:type="dxa"/>
            <w:tcBorders>
              <w:top w:val="single" w:sz="6" w:space="0" w:color="auto"/>
              <w:left w:val="single" w:sz="6" w:space="0" w:color="auto"/>
              <w:bottom w:val="single" w:sz="6" w:space="0" w:color="auto"/>
              <w:right w:val="single" w:sz="6" w:space="0" w:color="auto"/>
            </w:tcBorders>
          </w:tcPr>
          <w:p w:rsidR="00000000" w:rsidRDefault="00000000">
            <w:pPr>
              <w:tabs>
                <w:tab w:val="decimal" w:pos="415"/>
              </w:tabs>
              <w:spacing w:before="120" w:after="40" w:line="300" w:lineRule="exact"/>
              <w:rPr>
                <w:snapToGrid/>
                <w:spacing w:val="0"/>
                <w:sz w:val="20"/>
              </w:rPr>
            </w:pPr>
            <w:r>
              <w:rPr>
                <w:snapToGrid/>
                <w:spacing w:val="0"/>
                <w:sz w:val="20"/>
              </w:rPr>
              <w:t>-</w:t>
            </w:r>
          </w:p>
        </w:tc>
        <w:tc>
          <w:tcPr>
            <w:tcW w:w="932" w:type="dxa"/>
            <w:tcBorders>
              <w:top w:val="single" w:sz="6" w:space="0" w:color="auto"/>
              <w:left w:val="single" w:sz="6" w:space="0" w:color="auto"/>
              <w:bottom w:val="single" w:sz="6" w:space="0" w:color="auto"/>
              <w:right w:val="single" w:sz="6" w:space="0" w:color="auto"/>
            </w:tcBorders>
          </w:tcPr>
          <w:p w:rsidR="00000000" w:rsidRDefault="00000000">
            <w:pPr>
              <w:tabs>
                <w:tab w:val="decimal" w:pos="415"/>
              </w:tabs>
              <w:spacing w:before="120" w:after="40" w:line="300" w:lineRule="exact"/>
              <w:rPr>
                <w:snapToGrid/>
                <w:spacing w:val="0"/>
                <w:sz w:val="20"/>
              </w:rPr>
            </w:pPr>
            <w:r>
              <w:rPr>
                <w:snapToGrid/>
                <w:spacing w:val="0"/>
                <w:sz w:val="20"/>
              </w:rPr>
              <w:t>7.7</w:t>
            </w:r>
          </w:p>
        </w:tc>
        <w:tc>
          <w:tcPr>
            <w:tcW w:w="932" w:type="dxa"/>
            <w:tcBorders>
              <w:top w:val="single" w:sz="6" w:space="0" w:color="auto"/>
              <w:left w:val="single" w:sz="6" w:space="0" w:color="auto"/>
              <w:bottom w:val="single" w:sz="6" w:space="0" w:color="auto"/>
              <w:right w:val="single" w:sz="6" w:space="0" w:color="auto"/>
            </w:tcBorders>
          </w:tcPr>
          <w:p w:rsidR="00000000" w:rsidRDefault="00000000">
            <w:pPr>
              <w:tabs>
                <w:tab w:val="decimal" w:pos="415"/>
              </w:tabs>
              <w:spacing w:before="120" w:after="40" w:line="300" w:lineRule="exact"/>
              <w:rPr>
                <w:snapToGrid/>
                <w:spacing w:val="0"/>
                <w:sz w:val="20"/>
              </w:rPr>
            </w:pPr>
            <w:r>
              <w:rPr>
                <w:snapToGrid/>
                <w:spacing w:val="0"/>
                <w:sz w:val="20"/>
              </w:rPr>
              <w:t>-</w:t>
            </w:r>
          </w:p>
        </w:tc>
        <w:tc>
          <w:tcPr>
            <w:tcW w:w="932" w:type="dxa"/>
            <w:tcBorders>
              <w:top w:val="single" w:sz="6" w:space="0" w:color="auto"/>
              <w:left w:val="single" w:sz="6" w:space="0" w:color="auto"/>
              <w:bottom w:val="single" w:sz="6" w:space="0" w:color="auto"/>
              <w:right w:val="single" w:sz="6" w:space="0" w:color="auto"/>
            </w:tcBorders>
          </w:tcPr>
          <w:p w:rsidR="00000000" w:rsidRDefault="00000000">
            <w:pPr>
              <w:tabs>
                <w:tab w:val="decimal" w:pos="415"/>
              </w:tabs>
              <w:spacing w:before="120" w:after="40" w:line="300" w:lineRule="exact"/>
              <w:rPr>
                <w:snapToGrid/>
                <w:spacing w:val="0"/>
                <w:sz w:val="20"/>
              </w:rPr>
            </w:pPr>
            <w:r>
              <w:rPr>
                <w:snapToGrid/>
                <w:spacing w:val="0"/>
                <w:sz w:val="20"/>
              </w:rPr>
              <w:t>-</w:t>
            </w:r>
          </w:p>
        </w:tc>
      </w:tr>
    </w:tbl>
    <w:p w:rsidR="00000000" w:rsidRDefault="00000000">
      <w:pPr>
        <w:rPr>
          <w:rFonts w:hint="eastAsia"/>
          <w:snapToGrid/>
        </w:rPr>
      </w:pPr>
    </w:p>
    <w:p w:rsidR="00000000" w:rsidRDefault="00000000">
      <w:pPr>
        <w:jc w:val="center"/>
        <w:rPr>
          <w:rFonts w:hint="eastAsia"/>
          <w:snapToGrid/>
        </w:rPr>
      </w:pPr>
      <w:r>
        <w:rPr>
          <w:rFonts w:hint="eastAsia"/>
          <w:snapToGrid/>
        </w:rPr>
        <w:t>生育率：</w:t>
      </w:r>
      <w:r>
        <w:rPr>
          <w:snapToGrid/>
        </w:rPr>
        <w:t>1991-2000</w:t>
      </w:r>
    </w:p>
    <w:tbl>
      <w:tblPr>
        <w:tblW w:w="0" w:type="auto"/>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56" w:type="dxa"/>
          <w:right w:w="56" w:type="dxa"/>
        </w:tblCellMar>
        <w:tblLook w:val="0000" w:firstRow="0" w:lastRow="0" w:firstColumn="0" w:lastColumn="0" w:noHBand="0" w:noVBand="0"/>
      </w:tblPr>
      <w:tblGrid>
        <w:gridCol w:w="932"/>
        <w:gridCol w:w="933"/>
        <w:gridCol w:w="933"/>
        <w:gridCol w:w="933"/>
        <w:gridCol w:w="933"/>
        <w:gridCol w:w="932"/>
        <w:gridCol w:w="933"/>
        <w:gridCol w:w="933"/>
        <w:gridCol w:w="933"/>
        <w:gridCol w:w="933"/>
      </w:tblGrid>
      <w:tr w:rsidR="00000000">
        <w:tblPrEx>
          <w:tblCellMar>
            <w:top w:w="0" w:type="dxa"/>
            <w:bottom w:w="0" w:type="dxa"/>
          </w:tblCellMar>
        </w:tblPrEx>
        <w:trPr>
          <w:cantSplit/>
          <w:tblHeader/>
        </w:trPr>
        <w:tc>
          <w:tcPr>
            <w:tcW w:w="932" w:type="dxa"/>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1991</w:t>
            </w:r>
          </w:p>
        </w:tc>
        <w:tc>
          <w:tcPr>
            <w:tcW w:w="933" w:type="dxa"/>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1992</w:t>
            </w:r>
          </w:p>
        </w:tc>
        <w:tc>
          <w:tcPr>
            <w:tcW w:w="933" w:type="dxa"/>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1993</w:t>
            </w:r>
          </w:p>
        </w:tc>
        <w:tc>
          <w:tcPr>
            <w:tcW w:w="933" w:type="dxa"/>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1994</w:t>
            </w:r>
          </w:p>
        </w:tc>
        <w:tc>
          <w:tcPr>
            <w:tcW w:w="933" w:type="dxa"/>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1995</w:t>
            </w:r>
          </w:p>
        </w:tc>
        <w:tc>
          <w:tcPr>
            <w:tcW w:w="932" w:type="dxa"/>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1996</w:t>
            </w:r>
          </w:p>
        </w:tc>
        <w:tc>
          <w:tcPr>
            <w:tcW w:w="933" w:type="dxa"/>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1997</w:t>
            </w:r>
          </w:p>
        </w:tc>
        <w:tc>
          <w:tcPr>
            <w:tcW w:w="933" w:type="dxa"/>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1998</w:t>
            </w:r>
          </w:p>
        </w:tc>
        <w:tc>
          <w:tcPr>
            <w:tcW w:w="933" w:type="dxa"/>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1999</w:t>
            </w:r>
          </w:p>
        </w:tc>
        <w:tc>
          <w:tcPr>
            <w:tcW w:w="933" w:type="dxa"/>
            <w:shd w:val="clear" w:color="auto" w:fill="FFFFFF"/>
            <w:vAlign w:val="center"/>
          </w:tcPr>
          <w:p w:rsidR="00000000" w:rsidRDefault="00000000">
            <w:pPr>
              <w:spacing w:before="120" w:after="80" w:line="300" w:lineRule="exact"/>
              <w:jc w:val="center"/>
              <w:rPr>
                <w:snapToGrid/>
                <w:spacing w:val="0"/>
                <w:sz w:val="20"/>
                <w:u w:val="single"/>
              </w:rPr>
            </w:pPr>
            <w:r>
              <w:rPr>
                <w:snapToGrid/>
                <w:spacing w:val="0"/>
                <w:sz w:val="20"/>
                <w:u w:val="single"/>
              </w:rPr>
              <w:t>2000</w:t>
            </w:r>
          </w:p>
        </w:tc>
      </w:tr>
      <w:tr w:rsidR="00000000">
        <w:tblPrEx>
          <w:tblCellMar>
            <w:top w:w="0" w:type="dxa"/>
            <w:bottom w:w="0" w:type="dxa"/>
          </w:tblCellMar>
        </w:tblPrEx>
        <w:trPr>
          <w:cantSplit/>
        </w:trPr>
        <w:tc>
          <w:tcPr>
            <w:tcW w:w="932" w:type="dxa"/>
            <w:shd w:val="clear" w:color="auto" w:fill="FFFFFF"/>
          </w:tcPr>
          <w:p w:rsidR="00000000" w:rsidRDefault="00000000">
            <w:pPr>
              <w:spacing w:before="120" w:after="40" w:line="300" w:lineRule="exact"/>
              <w:jc w:val="center"/>
              <w:rPr>
                <w:snapToGrid/>
                <w:spacing w:val="0"/>
                <w:sz w:val="20"/>
              </w:rPr>
            </w:pPr>
            <w:r>
              <w:rPr>
                <w:snapToGrid/>
                <w:spacing w:val="0"/>
                <w:sz w:val="20"/>
              </w:rPr>
              <w:t>1.74</w:t>
            </w:r>
          </w:p>
        </w:tc>
        <w:tc>
          <w:tcPr>
            <w:tcW w:w="933" w:type="dxa"/>
            <w:shd w:val="clear" w:color="auto" w:fill="FFFFFF"/>
          </w:tcPr>
          <w:p w:rsidR="00000000" w:rsidRDefault="00000000">
            <w:pPr>
              <w:spacing w:before="120" w:after="40" w:line="300" w:lineRule="exact"/>
              <w:jc w:val="center"/>
              <w:rPr>
                <w:snapToGrid/>
                <w:spacing w:val="0"/>
                <w:sz w:val="20"/>
              </w:rPr>
            </w:pPr>
            <w:r>
              <w:rPr>
                <w:snapToGrid/>
                <w:spacing w:val="0"/>
                <w:sz w:val="20"/>
              </w:rPr>
              <w:t>1.78</w:t>
            </w:r>
          </w:p>
        </w:tc>
        <w:tc>
          <w:tcPr>
            <w:tcW w:w="933" w:type="dxa"/>
            <w:shd w:val="clear" w:color="auto" w:fill="FFFFFF"/>
          </w:tcPr>
          <w:p w:rsidR="00000000" w:rsidRDefault="00000000">
            <w:pPr>
              <w:spacing w:before="120" w:after="40" w:line="300" w:lineRule="exact"/>
              <w:jc w:val="center"/>
              <w:rPr>
                <w:snapToGrid/>
                <w:spacing w:val="0"/>
                <w:sz w:val="20"/>
              </w:rPr>
            </w:pPr>
            <w:r>
              <w:rPr>
                <w:snapToGrid/>
                <w:spacing w:val="0"/>
                <w:sz w:val="20"/>
              </w:rPr>
              <w:t>1.67</w:t>
            </w:r>
          </w:p>
        </w:tc>
        <w:tc>
          <w:tcPr>
            <w:tcW w:w="933" w:type="dxa"/>
            <w:shd w:val="clear" w:color="auto" w:fill="FFFFFF"/>
          </w:tcPr>
          <w:p w:rsidR="00000000" w:rsidRDefault="00000000">
            <w:pPr>
              <w:spacing w:before="120" w:after="40" w:line="300" w:lineRule="exact"/>
              <w:jc w:val="center"/>
              <w:rPr>
                <w:snapToGrid/>
                <w:spacing w:val="0"/>
                <w:sz w:val="20"/>
              </w:rPr>
            </w:pPr>
            <w:r>
              <w:rPr>
                <w:snapToGrid/>
                <w:spacing w:val="0"/>
                <w:sz w:val="20"/>
              </w:rPr>
              <w:t>1.67</w:t>
            </w:r>
          </w:p>
        </w:tc>
        <w:tc>
          <w:tcPr>
            <w:tcW w:w="933" w:type="dxa"/>
            <w:shd w:val="clear" w:color="auto" w:fill="FFFFFF"/>
          </w:tcPr>
          <w:p w:rsidR="00000000" w:rsidRDefault="00000000">
            <w:pPr>
              <w:spacing w:before="120" w:after="40" w:line="300" w:lineRule="exact"/>
              <w:jc w:val="center"/>
              <w:rPr>
                <w:snapToGrid/>
                <w:spacing w:val="0"/>
                <w:sz w:val="20"/>
              </w:rPr>
            </w:pPr>
            <w:r>
              <w:rPr>
                <w:snapToGrid/>
                <w:spacing w:val="0"/>
                <w:sz w:val="20"/>
              </w:rPr>
              <w:t>1.65</w:t>
            </w:r>
          </w:p>
        </w:tc>
        <w:tc>
          <w:tcPr>
            <w:tcW w:w="932" w:type="dxa"/>
            <w:shd w:val="clear" w:color="auto" w:fill="FFFFFF"/>
          </w:tcPr>
          <w:p w:rsidR="00000000" w:rsidRDefault="00000000">
            <w:pPr>
              <w:spacing w:before="120" w:after="40" w:line="300" w:lineRule="exact"/>
              <w:jc w:val="center"/>
              <w:rPr>
                <w:snapToGrid/>
                <w:spacing w:val="0"/>
                <w:sz w:val="20"/>
              </w:rPr>
            </w:pPr>
            <w:r>
              <w:rPr>
                <w:snapToGrid/>
                <w:spacing w:val="0"/>
                <w:sz w:val="20"/>
              </w:rPr>
              <w:t>1.58</w:t>
            </w:r>
          </w:p>
        </w:tc>
        <w:tc>
          <w:tcPr>
            <w:tcW w:w="933" w:type="dxa"/>
            <w:shd w:val="clear" w:color="auto" w:fill="FFFFFF"/>
          </w:tcPr>
          <w:p w:rsidR="00000000" w:rsidRDefault="00000000">
            <w:pPr>
              <w:spacing w:before="120" w:after="40" w:line="300" w:lineRule="exact"/>
              <w:jc w:val="center"/>
              <w:rPr>
                <w:snapToGrid/>
                <w:spacing w:val="0"/>
                <w:sz w:val="20"/>
              </w:rPr>
            </w:pPr>
            <w:r>
              <w:rPr>
                <w:snapToGrid/>
                <w:spacing w:val="0"/>
                <w:sz w:val="20"/>
              </w:rPr>
              <w:t>1.54</w:t>
            </w:r>
          </w:p>
        </w:tc>
        <w:tc>
          <w:tcPr>
            <w:tcW w:w="933" w:type="dxa"/>
            <w:shd w:val="clear" w:color="auto" w:fill="FFFFFF"/>
          </w:tcPr>
          <w:p w:rsidR="00000000" w:rsidRDefault="00000000">
            <w:pPr>
              <w:spacing w:before="120" w:after="40" w:line="300" w:lineRule="exact"/>
              <w:jc w:val="center"/>
              <w:rPr>
                <w:snapToGrid/>
                <w:spacing w:val="0"/>
                <w:sz w:val="20"/>
              </w:rPr>
            </w:pPr>
            <w:r>
              <w:rPr>
                <w:snapToGrid/>
                <w:spacing w:val="0"/>
                <w:sz w:val="20"/>
              </w:rPr>
              <w:t>1.47</w:t>
            </w:r>
          </w:p>
        </w:tc>
        <w:tc>
          <w:tcPr>
            <w:tcW w:w="933" w:type="dxa"/>
            <w:shd w:val="clear" w:color="auto" w:fill="FFFFFF"/>
          </w:tcPr>
          <w:p w:rsidR="00000000" w:rsidRDefault="00000000">
            <w:pPr>
              <w:spacing w:before="120" w:after="40" w:line="300" w:lineRule="exact"/>
              <w:jc w:val="center"/>
              <w:rPr>
                <w:snapToGrid/>
                <w:spacing w:val="0"/>
                <w:sz w:val="20"/>
              </w:rPr>
            </w:pPr>
            <w:r>
              <w:rPr>
                <w:snapToGrid/>
                <w:spacing w:val="0"/>
                <w:sz w:val="20"/>
              </w:rPr>
              <w:t>1.42</w:t>
            </w:r>
          </w:p>
        </w:tc>
        <w:tc>
          <w:tcPr>
            <w:tcW w:w="933" w:type="dxa"/>
            <w:shd w:val="clear" w:color="auto" w:fill="FFFFFF"/>
          </w:tcPr>
          <w:p w:rsidR="00000000" w:rsidRDefault="00000000">
            <w:pPr>
              <w:spacing w:before="120" w:after="40" w:line="300" w:lineRule="exact"/>
              <w:jc w:val="center"/>
              <w:rPr>
                <w:snapToGrid/>
                <w:spacing w:val="0"/>
                <w:sz w:val="20"/>
              </w:rPr>
            </w:pPr>
            <w:r>
              <w:rPr>
                <w:snapToGrid/>
                <w:spacing w:val="0"/>
                <w:sz w:val="20"/>
              </w:rPr>
              <w:t>1.47</w:t>
            </w:r>
          </w:p>
        </w:tc>
      </w:tr>
    </w:tbl>
    <w:p w:rsidR="00000000" w:rsidRDefault="00000000">
      <w:pPr>
        <w:spacing w:before="240"/>
        <w:rPr>
          <w:rFonts w:eastAsia="KaiTi_GB2312" w:hint="eastAsia"/>
          <w:snapToGrid/>
          <w:sz w:val="22"/>
        </w:rPr>
      </w:pPr>
      <w:r>
        <w:rPr>
          <w:snapToGrid/>
        </w:rPr>
        <w:tab/>
      </w:r>
      <w:r>
        <w:rPr>
          <w:rFonts w:eastAsia="KaiTi_GB2312" w:hint="eastAsia"/>
          <w:snapToGrid/>
          <w:sz w:val="22"/>
        </w:rPr>
        <w:t>每千名妇女的生育率</w:t>
      </w:r>
    </w:p>
    <w:p w:rsidR="00000000" w:rsidRDefault="00000000">
      <w:pPr>
        <w:jc w:val="center"/>
        <w:rPr>
          <w:rFonts w:hint="eastAsia"/>
          <w:snapToGrid/>
        </w:rPr>
      </w:pPr>
      <w:r>
        <w:rPr>
          <w:rFonts w:hint="eastAsia"/>
          <w:snapToGrid/>
        </w:rPr>
        <w:t>女户主家庭：</w:t>
      </w:r>
      <w:r>
        <w:rPr>
          <w:rFonts w:hint="eastAsia"/>
          <w:snapToGrid/>
        </w:rPr>
        <w:t xml:space="preserve">  1975-2000</w:t>
      </w:r>
    </w:p>
    <w:tbl>
      <w:tblPr>
        <w:tblW w:w="0" w:type="auto"/>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56" w:type="dxa"/>
          <w:right w:w="56" w:type="dxa"/>
        </w:tblCellMar>
        <w:tblLook w:val="0000" w:firstRow="0" w:lastRow="0" w:firstColumn="0" w:lastColumn="0" w:noHBand="0" w:noVBand="0"/>
      </w:tblPr>
      <w:tblGrid>
        <w:gridCol w:w="1342"/>
        <w:gridCol w:w="3993"/>
        <w:gridCol w:w="3993"/>
      </w:tblGrid>
      <w:tr w:rsidR="00000000">
        <w:tblPrEx>
          <w:tblCellMar>
            <w:top w:w="0" w:type="dxa"/>
            <w:bottom w:w="0" w:type="dxa"/>
          </w:tblCellMar>
        </w:tblPrEx>
        <w:trPr>
          <w:cantSplit/>
          <w:tblHeader/>
        </w:trPr>
        <w:tc>
          <w:tcPr>
            <w:tcW w:w="1342" w:type="dxa"/>
            <w:tcBorders>
              <w:bottom w:val="single" w:sz="6" w:space="0" w:color="auto"/>
            </w:tcBorders>
            <w:shd w:val="clear" w:color="auto" w:fill="FFFFFF"/>
            <w:vAlign w:val="center"/>
          </w:tcPr>
          <w:p w:rsidR="00000000" w:rsidRDefault="00000000">
            <w:pPr>
              <w:spacing w:before="120" w:after="80" w:line="300" w:lineRule="exact"/>
              <w:jc w:val="center"/>
              <w:rPr>
                <w:rFonts w:hint="eastAsia"/>
                <w:snapToGrid/>
                <w:spacing w:val="0"/>
                <w:sz w:val="20"/>
                <w:u w:val="single"/>
              </w:rPr>
            </w:pPr>
          </w:p>
        </w:tc>
        <w:tc>
          <w:tcPr>
            <w:tcW w:w="3993" w:type="dxa"/>
            <w:tcBorders>
              <w:bottom w:val="single" w:sz="6" w:space="0" w:color="auto"/>
            </w:tcBorders>
            <w:shd w:val="clear" w:color="auto" w:fill="FFFFFF"/>
            <w:vAlign w:val="center"/>
          </w:tcPr>
          <w:p w:rsidR="00000000" w:rsidRDefault="00000000">
            <w:pPr>
              <w:spacing w:before="120" w:after="80" w:line="300" w:lineRule="exact"/>
              <w:jc w:val="center"/>
              <w:rPr>
                <w:snapToGrid/>
                <w:spacing w:val="0"/>
                <w:sz w:val="20"/>
                <w:szCs w:val="18"/>
                <w:u w:val="single"/>
              </w:rPr>
            </w:pPr>
            <w:r>
              <w:rPr>
                <w:rFonts w:hint="eastAsia"/>
                <w:snapToGrid/>
                <w:spacing w:val="0"/>
                <w:sz w:val="20"/>
                <w:szCs w:val="18"/>
                <w:u w:val="single"/>
              </w:rPr>
              <w:t>女户主家庭</w:t>
            </w:r>
            <w:r>
              <w:rPr>
                <w:snapToGrid/>
                <w:spacing w:val="0"/>
                <w:sz w:val="20"/>
                <w:szCs w:val="18"/>
                <w:u w:val="single"/>
              </w:rPr>
              <w:br/>
            </w:r>
            <w:r>
              <w:rPr>
                <w:snapToGrid/>
                <w:spacing w:val="0"/>
                <w:sz w:val="20"/>
                <w:szCs w:val="18"/>
              </w:rPr>
              <w:t>(</w:t>
            </w:r>
            <w:r>
              <w:rPr>
                <w:rFonts w:hint="eastAsia"/>
                <w:snapToGrid/>
                <w:spacing w:val="0"/>
                <w:sz w:val="20"/>
                <w:szCs w:val="18"/>
                <w:u w:val="single"/>
              </w:rPr>
              <w:t>以千为单位</w:t>
            </w:r>
            <w:r>
              <w:rPr>
                <w:snapToGrid/>
                <w:spacing w:val="0"/>
                <w:sz w:val="20"/>
                <w:szCs w:val="18"/>
              </w:rPr>
              <w:t>)</w:t>
            </w:r>
          </w:p>
        </w:tc>
        <w:tc>
          <w:tcPr>
            <w:tcW w:w="3993" w:type="dxa"/>
            <w:tcBorders>
              <w:bottom w:val="single" w:sz="6" w:space="0" w:color="auto"/>
            </w:tcBorders>
            <w:shd w:val="clear" w:color="auto" w:fill="FFFFFF"/>
            <w:vAlign w:val="center"/>
          </w:tcPr>
          <w:p w:rsidR="00000000" w:rsidRDefault="00000000">
            <w:pPr>
              <w:spacing w:before="120" w:after="80" w:line="300" w:lineRule="exact"/>
              <w:jc w:val="center"/>
              <w:rPr>
                <w:rFonts w:hint="eastAsia"/>
                <w:snapToGrid/>
                <w:spacing w:val="0"/>
                <w:sz w:val="20"/>
                <w:szCs w:val="16"/>
                <w:u w:val="single"/>
              </w:rPr>
            </w:pPr>
            <w:r>
              <w:rPr>
                <w:rFonts w:hint="eastAsia"/>
                <w:snapToGrid/>
                <w:spacing w:val="0"/>
                <w:sz w:val="20"/>
                <w:szCs w:val="16"/>
                <w:u w:val="single"/>
              </w:rPr>
              <w:t>女户主家庭</w:t>
            </w:r>
            <w:r>
              <w:rPr>
                <w:snapToGrid/>
                <w:spacing w:val="0"/>
                <w:sz w:val="20"/>
                <w:szCs w:val="16"/>
                <w:u w:val="single"/>
              </w:rPr>
              <w:br/>
            </w:r>
            <w:r>
              <w:rPr>
                <w:rFonts w:hint="eastAsia"/>
                <w:snapToGrid/>
                <w:spacing w:val="0"/>
                <w:sz w:val="20"/>
                <w:szCs w:val="16"/>
              </w:rPr>
              <w:t>(</w:t>
            </w:r>
            <w:r>
              <w:rPr>
                <w:rFonts w:hint="eastAsia"/>
                <w:snapToGrid/>
                <w:spacing w:val="0"/>
                <w:sz w:val="20"/>
                <w:szCs w:val="16"/>
                <w:u w:val="single"/>
              </w:rPr>
              <w:t>占普通家庭总数的百分比</w:t>
            </w:r>
            <w:r>
              <w:rPr>
                <w:rFonts w:hint="eastAsia"/>
                <w:snapToGrid/>
                <w:spacing w:val="0"/>
                <w:sz w:val="20"/>
                <w:szCs w:val="16"/>
              </w:rPr>
              <w:t>)</w:t>
            </w:r>
          </w:p>
        </w:tc>
      </w:tr>
      <w:tr w:rsidR="00000000">
        <w:tblPrEx>
          <w:tblCellMar>
            <w:top w:w="0" w:type="dxa"/>
            <w:bottom w:w="0" w:type="dxa"/>
          </w:tblCellMar>
        </w:tblPrEx>
        <w:trPr>
          <w:cantSplit/>
        </w:trPr>
        <w:tc>
          <w:tcPr>
            <w:tcW w:w="1342" w:type="dxa"/>
            <w:tcBorders>
              <w:bottom w:val="nil"/>
            </w:tcBorders>
            <w:shd w:val="clear" w:color="auto" w:fill="FFFFFF"/>
          </w:tcPr>
          <w:p w:rsidR="00000000" w:rsidRDefault="00000000">
            <w:pPr>
              <w:spacing w:before="120" w:after="40" w:line="300" w:lineRule="exact"/>
              <w:jc w:val="center"/>
              <w:rPr>
                <w:snapToGrid/>
                <w:spacing w:val="0"/>
                <w:sz w:val="20"/>
              </w:rPr>
            </w:pPr>
            <w:r>
              <w:rPr>
                <w:snapToGrid/>
                <w:spacing w:val="0"/>
                <w:sz w:val="20"/>
              </w:rPr>
              <w:t>1975</w:t>
            </w:r>
          </w:p>
        </w:tc>
        <w:tc>
          <w:tcPr>
            <w:tcW w:w="3993" w:type="dxa"/>
            <w:tcBorders>
              <w:bottom w:val="nil"/>
            </w:tcBorders>
            <w:shd w:val="clear" w:color="auto" w:fill="FFFFFF"/>
          </w:tcPr>
          <w:p w:rsidR="00000000" w:rsidRDefault="00000000">
            <w:pPr>
              <w:tabs>
                <w:tab w:val="decimal" w:pos="2214"/>
              </w:tabs>
              <w:spacing w:before="120" w:after="40" w:line="300" w:lineRule="exact"/>
              <w:rPr>
                <w:snapToGrid/>
                <w:spacing w:val="0"/>
                <w:sz w:val="20"/>
              </w:rPr>
            </w:pPr>
            <w:r>
              <w:rPr>
                <w:snapToGrid/>
                <w:spacing w:val="0"/>
                <w:sz w:val="20"/>
              </w:rPr>
              <w:t>850</w:t>
            </w:r>
          </w:p>
        </w:tc>
        <w:tc>
          <w:tcPr>
            <w:tcW w:w="3993" w:type="dxa"/>
            <w:tcBorders>
              <w:bottom w:val="nil"/>
            </w:tcBorders>
            <w:shd w:val="clear" w:color="auto" w:fill="FFFFFF"/>
          </w:tcPr>
          <w:p w:rsidR="00000000" w:rsidRDefault="00000000">
            <w:pPr>
              <w:tabs>
                <w:tab w:val="decimal" w:pos="2214"/>
              </w:tabs>
              <w:spacing w:before="120" w:after="40" w:line="300" w:lineRule="exact"/>
              <w:rPr>
                <w:snapToGrid/>
                <w:spacing w:val="0"/>
                <w:sz w:val="20"/>
              </w:rPr>
            </w:pPr>
            <w:r>
              <w:rPr>
                <w:snapToGrid/>
                <w:spacing w:val="0"/>
                <w:sz w:val="20"/>
              </w:rPr>
              <w:t>12.8</w:t>
            </w:r>
          </w:p>
        </w:tc>
      </w:tr>
      <w:tr w:rsidR="00000000">
        <w:tblPrEx>
          <w:tblCellMar>
            <w:top w:w="0" w:type="dxa"/>
            <w:bottom w:w="0" w:type="dxa"/>
          </w:tblCellMar>
        </w:tblPrEx>
        <w:trPr>
          <w:cantSplit/>
        </w:trPr>
        <w:tc>
          <w:tcPr>
            <w:tcW w:w="1342" w:type="dxa"/>
            <w:tcBorders>
              <w:top w:val="nil"/>
              <w:bottom w:val="nil"/>
            </w:tcBorders>
            <w:shd w:val="clear" w:color="auto" w:fill="FFFFFF"/>
          </w:tcPr>
          <w:p w:rsidR="00000000" w:rsidRDefault="00000000">
            <w:pPr>
              <w:spacing w:before="120" w:after="40" w:line="300" w:lineRule="exact"/>
              <w:jc w:val="center"/>
              <w:rPr>
                <w:snapToGrid/>
                <w:spacing w:val="0"/>
                <w:sz w:val="20"/>
              </w:rPr>
            </w:pPr>
            <w:r>
              <w:rPr>
                <w:snapToGrid/>
                <w:spacing w:val="0"/>
                <w:sz w:val="20"/>
              </w:rPr>
              <w:t>1980</w:t>
            </w:r>
          </w:p>
        </w:tc>
        <w:tc>
          <w:tcPr>
            <w:tcW w:w="3993" w:type="dxa"/>
            <w:tcBorders>
              <w:top w:val="nil"/>
              <w:bottom w:val="nil"/>
            </w:tcBorders>
            <w:shd w:val="clear" w:color="auto" w:fill="FFFFFF"/>
          </w:tcPr>
          <w:p w:rsidR="00000000" w:rsidRDefault="00000000">
            <w:pPr>
              <w:tabs>
                <w:tab w:val="decimal" w:pos="2214"/>
              </w:tabs>
              <w:spacing w:before="120" w:after="40" w:line="300" w:lineRule="exact"/>
              <w:rPr>
                <w:snapToGrid/>
                <w:spacing w:val="0"/>
                <w:sz w:val="20"/>
              </w:rPr>
            </w:pPr>
            <w:r>
              <w:rPr>
                <w:snapToGrid/>
                <w:spacing w:val="0"/>
                <w:sz w:val="20"/>
              </w:rPr>
              <w:t>1,169</w:t>
            </w:r>
          </w:p>
        </w:tc>
        <w:tc>
          <w:tcPr>
            <w:tcW w:w="3993" w:type="dxa"/>
            <w:tcBorders>
              <w:top w:val="nil"/>
              <w:bottom w:val="nil"/>
            </w:tcBorders>
            <w:shd w:val="clear" w:color="auto" w:fill="FFFFFF"/>
          </w:tcPr>
          <w:p w:rsidR="00000000" w:rsidRDefault="00000000">
            <w:pPr>
              <w:tabs>
                <w:tab w:val="decimal" w:pos="2214"/>
              </w:tabs>
              <w:spacing w:before="120" w:after="40" w:line="300" w:lineRule="exact"/>
              <w:rPr>
                <w:snapToGrid/>
                <w:spacing w:val="0"/>
                <w:sz w:val="20"/>
              </w:rPr>
            </w:pPr>
            <w:r>
              <w:rPr>
                <w:snapToGrid/>
                <w:spacing w:val="0"/>
                <w:sz w:val="20"/>
              </w:rPr>
              <w:t>14.7</w:t>
            </w:r>
          </w:p>
        </w:tc>
      </w:tr>
      <w:tr w:rsidR="00000000">
        <w:tblPrEx>
          <w:tblCellMar>
            <w:top w:w="0" w:type="dxa"/>
            <w:bottom w:w="0" w:type="dxa"/>
          </w:tblCellMar>
        </w:tblPrEx>
        <w:trPr>
          <w:cantSplit/>
        </w:trPr>
        <w:tc>
          <w:tcPr>
            <w:tcW w:w="1342" w:type="dxa"/>
            <w:tcBorders>
              <w:top w:val="nil"/>
              <w:bottom w:val="nil"/>
            </w:tcBorders>
            <w:shd w:val="clear" w:color="auto" w:fill="FFFFFF"/>
          </w:tcPr>
          <w:p w:rsidR="00000000" w:rsidRDefault="00000000">
            <w:pPr>
              <w:spacing w:before="120" w:after="40" w:line="300" w:lineRule="exact"/>
              <w:jc w:val="center"/>
              <w:rPr>
                <w:snapToGrid/>
                <w:spacing w:val="0"/>
                <w:sz w:val="20"/>
              </w:rPr>
            </w:pPr>
            <w:r>
              <w:rPr>
                <w:snapToGrid/>
                <w:spacing w:val="0"/>
                <w:sz w:val="20"/>
              </w:rPr>
              <w:t>1985</w:t>
            </w:r>
          </w:p>
        </w:tc>
        <w:tc>
          <w:tcPr>
            <w:tcW w:w="3993" w:type="dxa"/>
            <w:tcBorders>
              <w:top w:val="nil"/>
              <w:bottom w:val="nil"/>
            </w:tcBorders>
            <w:shd w:val="clear" w:color="auto" w:fill="FFFFFF"/>
          </w:tcPr>
          <w:p w:rsidR="00000000" w:rsidRDefault="00000000">
            <w:pPr>
              <w:tabs>
                <w:tab w:val="decimal" w:pos="2214"/>
              </w:tabs>
              <w:spacing w:before="120" w:after="40" w:line="300" w:lineRule="exact"/>
              <w:rPr>
                <w:snapToGrid/>
                <w:spacing w:val="0"/>
                <w:sz w:val="20"/>
              </w:rPr>
            </w:pPr>
            <w:r>
              <w:rPr>
                <w:snapToGrid/>
                <w:spacing w:val="0"/>
                <w:sz w:val="20"/>
              </w:rPr>
              <w:t>1,501</w:t>
            </w:r>
          </w:p>
        </w:tc>
        <w:tc>
          <w:tcPr>
            <w:tcW w:w="3993" w:type="dxa"/>
            <w:tcBorders>
              <w:top w:val="nil"/>
              <w:bottom w:val="nil"/>
            </w:tcBorders>
            <w:shd w:val="clear" w:color="auto" w:fill="FFFFFF"/>
          </w:tcPr>
          <w:p w:rsidR="00000000" w:rsidRDefault="00000000">
            <w:pPr>
              <w:tabs>
                <w:tab w:val="decimal" w:pos="2214"/>
              </w:tabs>
              <w:spacing w:before="120" w:after="40" w:line="300" w:lineRule="exact"/>
              <w:rPr>
                <w:snapToGrid/>
                <w:spacing w:val="0"/>
                <w:sz w:val="20"/>
              </w:rPr>
            </w:pPr>
            <w:r>
              <w:rPr>
                <w:snapToGrid/>
                <w:spacing w:val="0"/>
                <w:sz w:val="20"/>
              </w:rPr>
              <w:t>15.7</w:t>
            </w:r>
          </w:p>
        </w:tc>
      </w:tr>
      <w:tr w:rsidR="00000000">
        <w:tblPrEx>
          <w:tblCellMar>
            <w:top w:w="0" w:type="dxa"/>
            <w:bottom w:w="0" w:type="dxa"/>
          </w:tblCellMar>
        </w:tblPrEx>
        <w:trPr>
          <w:cantSplit/>
        </w:trPr>
        <w:tc>
          <w:tcPr>
            <w:tcW w:w="1342" w:type="dxa"/>
            <w:tcBorders>
              <w:top w:val="nil"/>
              <w:bottom w:val="nil"/>
            </w:tcBorders>
            <w:shd w:val="clear" w:color="auto" w:fill="FFFFFF"/>
          </w:tcPr>
          <w:p w:rsidR="00000000" w:rsidRDefault="00000000">
            <w:pPr>
              <w:spacing w:before="120" w:after="40" w:line="300" w:lineRule="exact"/>
              <w:jc w:val="center"/>
              <w:rPr>
                <w:snapToGrid/>
                <w:spacing w:val="0"/>
                <w:sz w:val="20"/>
              </w:rPr>
            </w:pPr>
            <w:r>
              <w:rPr>
                <w:snapToGrid/>
                <w:spacing w:val="0"/>
                <w:sz w:val="20"/>
              </w:rPr>
              <w:t>1990</w:t>
            </w:r>
          </w:p>
        </w:tc>
        <w:tc>
          <w:tcPr>
            <w:tcW w:w="3993" w:type="dxa"/>
            <w:tcBorders>
              <w:top w:val="nil"/>
              <w:bottom w:val="nil"/>
            </w:tcBorders>
            <w:shd w:val="clear" w:color="auto" w:fill="FFFFFF"/>
          </w:tcPr>
          <w:p w:rsidR="00000000" w:rsidRDefault="00000000">
            <w:pPr>
              <w:tabs>
                <w:tab w:val="decimal" w:pos="2214"/>
              </w:tabs>
              <w:spacing w:before="120" w:after="40" w:line="300" w:lineRule="exact"/>
              <w:rPr>
                <w:snapToGrid/>
                <w:spacing w:val="0"/>
                <w:sz w:val="20"/>
              </w:rPr>
            </w:pPr>
            <w:r>
              <w:rPr>
                <w:snapToGrid/>
                <w:spacing w:val="0"/>
                <w:sz w:val="20"/>
              </w:rPr>
              <w:t>1,787</w:t>
            </w:r>
          </w:p>
        </w:tc>
        <w:tc>
          <w:tcPr>
            <w:tcW w:w="3993" w:type="dxa"/>
            <w:tcBorders>
              <w:top w:val="nil"/>
              <w:bottom w:val="nil"/>
            </w:tcBorders>
            <w:shd w:val="clear" w:color="auto" w:fill="FFFFFF"/>
          </w:tcPr>
          <w:p w:rsidR="00000000" w:rsidRDefault="00000000">
            <w:pPr>
              <w:tabs>
                <w:tab w:val="decimal" w:pos="2214"/>
              </w:tabs>
              <w:spacing w:before="120" w:after="40" w:line="300" w:lineRule="exact"/>
              <w:rPr>
                <w:snapToGrid/>
                <w:spacing w:val="0"/>
                <w:sz w:val="20"/>
              </w:rPr>
            </w:pPr>
            <w:r>
              <w:rPr>
                <w:snapToGrid/>
                <w:spacing w:val="0"/>
                <w:sz w:val="20"/>
              </w:rPr>
              <w:t>15.7</w:t>
            </w:r>
          </w:p>
        </w:tc>
      </w:tr>
      <w:tr w:rsidR="00000000">
        <w:tblPrEx>
          <w:tblCellMar>
            <w:top w:w="0" w:type="dxa"/>
            <w:bottom w:w="0" w:type="dxa"/>
          </w:tblCellMar>
        </w:tblPrEx>
        <w:trPr>
          <w:cantSplit/>
        </w:trPr>
        <w:tc>
          <w:tcPr>
            <w:tcW w:w="1342" w:type="dxa"/>
            <w:tcBorders>
              <w:top w:val="nil"/>
              <w:bottom w:val="nil"/>
            </w:tcBorders>
            <w:shd w:val="clear" w:color="auto" w:fill="FFFFFF"/>
          </w:tcPr>
          <w:p w:rsidR="00000000" w:rsidRDefault="00000000">
            <w:pPr>
              <w:spacing w:before="120" w:after="40" w:line="300" w:lineRule="exact"/>
              <w:jc w:val="center"/>
              <w:rPr>
                <w:snapToGrid/>
                <w:spacing w:val="0"/>
                <w:sz w:val="20"/>
              </w:rPr>
            </w:pPr>
            <w:r>
              <w:rPr>
                <w:snapToGrid/>
                <w:spacing w:val="0"/>
                <w:sz w:val="20"/>
              </w:rPr>
              <w:t>1995</w:t>
            </w:r>
          </w:p>
        </w:tc>
        <w:tc>
          <w:tcPr>
            <w:tcW w:w="3993" w:type="dxa"/>
            <w:tcBorders>
              <w:top w:val="nil"/>
              <w:bottom w:val="nil"/>
            </w:tcBorders>
            <w:shd w:val="clear" w:color="auto" w:fill="FFFFFF"/>
          </w:tcPr>
          <w:p w:rsidR="00000000" w:rsidRDefault="00000000">
            <w:pPr>
              <w:tabs>
                <w:tab w:val="decimal" w:pos="2214"/>
              </w:tabs>
              <w:spacing w:before="120" w:after="40" w:line="300" w:lineRule="exact"/>
              <w:rPr>
                <w:snapToGrid/>
                <w:spacing w:val="0"/>
                <w:sz w:val="20"/>
              </w:rPr>
            </w:pPr>
            <w:r>
              <w:rPr>
                <w:snapToGrid/>
                <w:spacing w:val="0"/>
                <w:sz w:val="20"/>
              </w:rPr>
              <w:t>2,147</w:t>
            </w:r>
          </w:p>
        </w:tc>
        <w:tc>
          <w:tcPr>
            <w:tcW w:w="3993" w:type="dxa"/>
            <w:tcBorders>
              <w:top w:val="nil"/>
              <w:bottom w:val="nil"/>
            </w:tcBorders>
            <w:shd w:val="clear" w:color="auto" w:fill="FFFFFF"/>
          </w:tcPr>
          <w:p w:rsidR="00000000" w:rsidRDefault="00000000">
            <w:pPr>
              <w:tabs>
                <w:tab w:val="decimal" w:pos="2214"/>
              </w:tabs>
              <w:spacing w:before="120" w:after="40" w:line="300" w:lineRule="exact"/>
              <w:rPr>
                <w:snapToGrid/>
                <w:spacing w:val="0"/>
                <w:sz w:val="20"/>
              </w:rPr>
            </w:pPr>
            <w:r>
              <w:rPr>
                <w:snapToGrid/>
                <w:spacing w:val="0"/>
                <w:sz w:val="20"/>
              </w:rPr>
              <w:t>16.6</w:t>
            </w:r>
          </w:p>
        </w:tc>
      </w:tr>
      <w:tr w:rsidR="00000000">
        <w:tblPrEx>
          <w:tblCellMar>
            <w:top w:w="0" w:type="dxa"/>
            <w:bottom w:w="0" w:type="dxa"/>
          </w:tblCellMar>
        </w:tblPrEx>
        <w:trPr>
          <w:cantSplit/>
        </w:trPr>
        <w:tc>
          <w:tcPr>
            <w:tcW w:w="1342" w:type="dxa"/>
            <w:tcBorders>
              <w:top w:val="nil"/>
            </w:tcBorders>
            <w:shd w:val="clear" w:color="auto" w:fill="FFFFFF"/>
          </w:tcPr>
          <w:p w:rsidR="00000000" w:rsidRDefault="00000000">
            <w:pPr>
              <w:spacing w:before="120" w:after="40" w:line="300" w:lineRule="exact"/>
              <w:jc w:val="center"/>
              <w:rPr>
                <w:snapToGrid/>
                <w:spacing w:val="0"/>
                <w:sz w:val="20"/>
              </w:rPr>
            </w:pPr>
            <w:r>
              <w:rPr>
                <w:snapToGrid/>
                <w:spacing w:val="0"/>
                <w:sz w:val="20"/>
              </w:rPr>
              <w:t>2000</w:t>
            </w:r>
          </w:p>
        </w:tc>
        <w:tc>
          <w:tcPr>
            <w:tcW w:w="3993" w:type="dxa"/>
            <w:tcBorders>
              <w:top w:val="nil"/>
            </w:tcBorders>
            <w:shd w:val="clear" w:color="auto" w:fill="FFFFFF"/>
          </w:tcPr>
          <w:p w:rsidR="00000000" w:rsidRDefault="00000000">
            <w:pPr>
              <w:tabs>
                <w:tab w:val="decimal" w:pos="2214"/>
              </w:tabs>
              <w:spacing w:before="120" w:after="40" w:line="300" w:lineRule="exact"/>
              <w:rPr>
                <w:snapToGrid/>
                <w:spacing w:val="0"/>
                <w:sz w:val="20"/>
              </w:rPr>
            </w:pPr>
            <w:r>
              <w:rPr>
                <w:snapToGrid/>
                <w:spacing w:val="0"/>
                <w:sz w:val="20"/>
              </w:rPr>
              <w:t>2,653</w:t>
            </w:r>
          </w:p>
        </w:tc>
        <w:tc>
          <w:tcPr>
            <w:tcW w:w="3993" w:type="dxa"/>
            <w:tcBorders>
              <w:top w:val="nil"/>
            </w:tcBorders>
            <w:shd w:val="clear" w:color="auto" w:fill="FFFFFF"/>
          </w:tcPr>
          <w:p w:rsidR="00000000" w:rsidRDefault="00000000">
            <w:pPr>
              <w:tabs>
                <w:tab w:val="decimal" w:pos="2214"/>
              </w:tabs>
              <w:spacing w:before="120" w:after="40" w:line="300" w:lineRule="exact"/>
              <w:rPr>
                <w:snapToGrid/>
                <w:spacing w:val="0"/>
                <w:sz w:val="20"/>
              </w:rPr>
            </w:pPr>
            <w:r>
              <w:rPr>
                <w:snapToGrid/>
                <w:spacing w:val="0"/>
                <w:sz w:val="20"/>
              </w:rPr>
              <w:t>18.5</w:t>
            </w:r>
          </w:p>
        </w:tc>
      </w:tr>
    </w:tbl>
    <w:p w:rsidR="00000000" w:rsidRDefault="00000000">
      <w:pPr>
        <w:rPr>
          <w:snapToGrid/>
        </w:rPr>
      </w:pPr>
    </w:p>
    <w:p w:rsidR="00000000" w:rsidRDefault="00000000">
      <w:pPr>
        <w:rPr>
          <w:rFonts w:hint="eastAsia"/>
          <w:snapToGrid/>
        </w:rPr>
      </w:pPr>
      <w:r>
        <w:rPr>
          <w:snapToGrid/>
        </w:rPr>
        <w:br w:type="page"/>
      </w:r>
    </w:p>
    <w:p w:rsidR="00000000" w:rsidRDefault="00000000">
      <w:pPr>
        <w:jc w:val="center"/>
        <w:rPr>
          <w:snapToGrid/>
        </w:rPr>
      </w:pPr>
      <w:r>
        <w:rPr>
          <w:rFonts w:hint="eastAsia"/>
          <w:snapToGrid/>
        </w:rPr>
        <w:t>经济指标</w:t>
      </w:r>
    </w:p>
    <w:tbl>
      <w:tblPr>
        <w:tblW w:w="9328"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56" w:type="dxa"/>
          <w:right w:w="56" w:type="dxa"/>
        </w:tblCellMar>
        <w:tblLook w:val="0000" w:firstRow="0" w:lastRow="0" w:firstColumn="0" w:lastColumn="0" w:noHBand="0" w:noVBand="0"/>
      </w:tblPr>
      <w:tblGrid>
        <w:gridCol w:w="681"/>
        <w:gridCol w:w="1418"/>
        <w:gridCol w:w="1134"/>
        <w:gridCol w:w="1417"/>
        <w:gridCol w:w="1701"/>
        <w:gridCol w:w="1418"/>
        <w:gridCol w:w="1559"/>
      </w:tblGrid>
      <w:tr w:rsidR="00000000">
        <w:tblPrEx>
          <w:tblCellMar>
            <w:top w:w="0" w:type="dxa"/>
            <w:bottom w:w="0" w:type="dxa"/>
          </w:tblCellMar>
        </w:tblPrEx>
        <w:trPr>
          <w:cantSplit/>
          <w:tblHeader/>
        </w:trPr>
        <w:tc>
          <w:tcPr>
            <w:tcW w:w="681" w:type="dxa"/>
            <w:tcBorders>
              <w:bottom w:val="single" w:sz="6" w:space="0" w:color="auto"/>
            </w:tcBorders>
            <w:shd w:val="clear" w:color="auto" w:fill="FFFFFF"/>
            <w:vAlign w:val="center"/>
          </w:tcPr>
          <w:p w:rsidR="00000000" w:rsidRDefault="00000000">
            <w:pPr>
              <w:spacing w:before="80" w:after="80" w:line="260" w:lineRule="exact"/>
              <w:jc w:val="center"/>
              <w:rPr>
                <w:snapToGrid/>
                <w:spacing w:val="0"/>
                <w:sz w:val="20"/>
                <w:u w:val="single"/>
              </w:rPr>
            </w:pPr>
          </w:p>
        </w:tc>
        <w:tc>
          <w:tcPr>
            <w:tcW w:w="1418" w:type="dxa"/>
            <w:tcBorders>
              <w:bottom w:val="single" w:sz="6" w:space="0" w:color="auto"/>
            </w:tcBorders>
            <w:shd w:val="clear" w:color="auto" w:fill="FFFFFF"/>
            <w:vAlign w:val="center"/>
          </w:tcPr>
          <w:p w:rsidR="00000000" w:rsidRDefault="00000000">
            <w:pPr>
              <w:spacing w:before="80" w:after="80" w:line="260" w:lineRule="exact"/>
              <w:jc w:val="center"/>
              <w:rPr>
                <w:snapToGrid/>
                <w:spacing w:val="0"/>
                <w:sz w:val="20"/>
                <w:szCs w:val="16"/>
                <w:u w:val="single"/>
              </w:rPr>
            </w:pPr>
            <w:r>
              <w:rPr>
                <w:rFonts w:hint="eastAsia"/>
                <w:snapToGrid/>
                <w:spacing w:val="0"/>
                <w:sz w:val="20"/>
                <w:u w:val="single"/>
              </w:rPr>
              <w:t>国内生产总值</w:t>
            </w:r>
            <w:r>
              <w:rPr>
                <w:snapToGrid/>
                <w:spacing w:val="0"/>
                <w:sz w:val="20"/>
                <w:u w:val="single"/>
              </w:rPr>
              <w:br/>
            </w:r>
            <w:r>
              <w:rPr>
                <w:snapToGrid/>
                <w:spacing w:val="0"/>
                <w:sz w:val="20"/>
                <w:szCs w:val="16"/>
              </w:rPr>
              <w:t>(</w:t>
            </w:r>
            <w:r>
              <w:rPr>
                <w:rFonts w:hint="eastAsia"/>
                <w:snapToGrid/>
                <w:spacing w:val="0"/>
                <w:sz w:val="20"/>
                <w:szCs w:val="16"/>
                <w:u w:val="single"/>
              </w:rPr>
              <w:t>十亿美元</w:t>
            </w:r>
            <w:r>
              <w:rPr>
                <w:snapToGrid/>
                <w:spacing w:val="0"/>
                <w:sz w:val="20"/>
                <w:szCs w:val="16"/>
              </w:rPr>
              <w:t>)</w:t>
            </w:r>
          </w:p>
          <w:p w:rsidR="00000000" w:rsidRDefault="00000000">
            <w:pPr>
              <w:spacing w:before="80" w:after="80" w:line="260" w:lineRule="exact"/>
              <w:jc w:val="center"/>
              <w:rPr>
                <w:snapToGrid/>
                <w:spacing w:val="0"/>
                <w:sz w:val="20"/>
                <w:szCs w:val="16"/>
                <w:u w:val="single"/>
              </w:rPr>
            </w:pPr>
          </w:p>
        </w:tc>
        <w:tc>
          <w:tcPr>
            <w:tcW w:w="1134" w:type="dxa"/>
            <w:tcBorders>
              <w:bottom w:val="single" w:sz="6" w:space="0" w:color="auto"/>
            </w:tcBorders>
            <w:shd w:val="clear" w:color="auto" w:fill="FFFFFF"/>
            <w:vAlign w:val="center"/>
          </w:tcPr>
          <w:p w:rsidR="00000000" w:rsidRDefault="00000000">
            <w:pPr>
              <w:spacing w:before="80" w:after="80" w:line="260" w:lineRule="exact"/>
              <w:jc w:val="center"/>
              <w:rPr>
                <w:snapToGrid/>
                <w:spacing w:val="0"/>
                <w:sz w:val="20"/>
                <w:u w:val="single"/>
              </w:rPr>
            </w:pPr>
            <w:r>
              <w:rPr>
                <w:rFonts w:hint="eastAsia"/>
                <w:snapToGrid/>
                <w:spacing w:val="0"/>
                <w:sz w:val="20"/>
                <w:u w:val="single"/>
              </w:rPr>
              <w:t>人均国民总收入</w:t>
            </w:r>
            <w:r>
              <w:rPr>
                <w:snapToGrid/>
                <w:spacing w:val="0"/>
                <w:sz w:val="20"/>
                <w:szCs w:val="16"/>
                <w:u w:val="single"/>
              </w:rPr>
              <w:t>(</w:t>
            </w:r>
            <w:r>
              <w:rPr>
                <w:rFonts w:hint="eastAsia"/>
                <w:snapToGrid/>
                <w:spacing w:val="0"/>
                <w:sz w:val="20"/>
                <w:szCs w:val="16"/>
                <w:u w:val="single"/>
              </w:rPr>
              <w:t>美元</w:t>
            </w:r>
            <w:r>
              <w:rPr>
                <w:snapToGrid/>
                <w:spacing w:val="0"/>
                <w:sz w:val="20"/>
                <w:szCs w:val="16"/>
              </w:rPr>
              <w:t>)</w:t>
            </w:r>
          </w:p>
        </w:tc>
        <w:tc>
          <w:tcPr>
            <w:tcW w:w="1417" w:type="dxa"/>
            <w:tcBorders>
              <w:bottom w:val="single" w:sz="6" w:space="0" w:color="auto"/>
            </w:tcBorders>
            <w:shd w:val="clear" w:color="auto" w:fill="FFFFFF"/>
            <w:vAlign w:val="center"/>
          </w:tcPr>
          <w:p w:rsidR="00000000" w:rsidRDefault="00000000">
            <w:pPr>
              <w:spacing w:before="80" w:after="80" w:line="260" w:lineRule="exact"/>
              <w:jc w:val="center"/>
              <w:rPr>
                <w:snapToGrid/>
                <w:spacing w:val="0"/>
                <w:sz w:val="20"/>
                <w:u w:val="single"/>
              </w:rPr>
            </w:pPr>
            <w:r>
              <w:rPr>
                <w:rFonts w:hint="eastAsia"/>
                <w:snapToGrid/>
                <w:spacing w:val="0"/>
                <w:sz w:val="20"/>
                <w:u w:val="single"/>
              </w:rPr>
              <w:t>国内生产总值增长率</w:t>
            </w:r>
            <w:r>
              <w:rPr>
                <w:snapToGrid/>
                <w:spacing w:val="0"/>
                <w:sz w:val="20"/>
                <w:u w:val="single"/>
              </w:rPr>
              <w:br/>
            </w:r>
            <w:r>
              <w:rPr>
                <w:snapToGrid/>
                <w:spacing w:val="0"/>
                <w:sz w:val="20"/>
              </w:rPr>
              <w:t>(</w:t>
            </w:r>
            <w:r>
              <w:rPr>
                <w:rFonts w:hint="eastAsia"/>
                <w:snapToGrid/>
                <w:spacing w:val="0"/>
                <w:sz w:val="20"/>
                <w:u w:val="single"/>
              </w:rPr>
              <w:t>百分比</w:t>
            </w:r>
            <w:r>
              <w:rPr>
                <w:snapToGrid/>
                <w:spacing w:val="0"/>
                <w:sz w:val="20"/>
              </w:rPr>
              <w:t>)</w:t>
            </w:r>
          </w:p>
        </w:tc>
        <w:tc>
          <w:tcPr>
            <w:tcW w:w="1701" w:type="dxa"/>
            <w:tcBorders>
              <w:bottom w:val="single" w:sz="6" w:space="0" w:color="auto"/>
            </w:tcBorders>
            <w:shd w:val="clear" w:color="auto" w:fill="FFFFFF"/>
            <w:vAlign w:val="center"/>
          </w:tcPr>
          <w:p w:rsidR="00000000" w:rsidRDefault="00000000">
            <w:pPr>
              <w:spacing w:before="80" w:after="80" w:line="260" w:lineRule="exact"/>
              <w:jc w:val="center"/>
              <w:rPr>
                <w:rFonts w:hint="eastAsia"/>
                <w:snapToGrid/>
                <w:spacing w:val="0"/>
                <w:sz w:val="20"/>
                <w:u w:val="single"/>
              </w:rPr>
            </w:pPr>
            <w:r>
              <w:rPr>
                <w:rFonts w:hint="eastAsia"/>
                <w:snapToGrid/>
                <w:spacing w:val="0"/>
                <w:sz w:val="20"/>
                <w:u w:val="single"/>
              </w:rPr>
              <w:t>减缩后的国内生产总值增长率</w:t>
            </w:r>
          </w:p>
          <w:p w:rsidR="00000000" w:rsidRDefault="00000000">
            <w:pPr>
              <w:spacing w:before="80" w:after="80" w:line="260" w:lineRule="exact"/>
              <w:jc w:val="center"/>
              <w:rPr>
                <w:rFonts w:hint="eastAsia"/>
                <w:snapToGrid/>
                <w:spacing w:val="0"/>
                <w:sz w:val="20"/>
                <w:u w:val="single"/>
              </w:rPr>
            </w:pPr>
            <w:r>
              <w:rPr>
                <w:rFonts w:hint="eastAsia"/>
                <w:snapToGrid/>
                <w:spacing w:val="0"/>
                <w:sz w:val="20"/>
              </w:rPr>
              <w:t>(</w:t>
            </w:r>
            <w:r>
              <w:rPr>
                <w:rFonts w:hint="eastAsia"/>
                <w:snapToGrid/>
                <w:spacing w:val="0"/>
                <w:sz w:val="20"/>
                <w:u w:val="single"/>
              </w:rPr>
              <w:t>百分比</w:t>
            </w:r>
            <w:r>
              <w:rPr>
                <w:rFonts w:hint="eastAsia"/>
                <w:snapToGrid/>
                <w:spacing w:val="0"/>
                <w:sz w:val="20"/>
              </w:rPr>
              <w:t>)</w:t>
            </w:r>
          </w:p>
        </w:tc>
        <w:tc>
          <w:tcPr>
            <w:tcW w:w="1418" w:type="dxa"/>
            <w:tcBorders>
              <w:bottom w:val="single" w:sz="6" w:space="0" w:color="auto"/>
            </w:tcBorders>
            <w:shd w:val="clear" w:color="auto" w:fill="FFFFFF"/>
            <w:vAlign w:val="center"/>
          </w:tcPr>
          <w:p w:rsidR="00000000" w:rsidRDefault="00000000">
            <w:pPr>
              <w:spacing w:before="80" w:after="80" w:line="260" w:lineRule="exact"/>
              <w:jc w:val="center"/>
              <w:rPr>
                <w:rFonts w:hint="eastAsia"/>
                <w:snapToGrid/>
                <w:spacing w:val="0"/>
                <w:sz w:val="20"/>
                <w:u w:val="single"/>
              </w:rPr>
            </w:pPr>
            <w:r>
              <w:rPr>
                <w:rFonts w:hint="eastAsia"/>
                <w:snapToGrid/>
                <w:spacing w:val="0"/>
                <w:sz w:val="20"/>
                <w:u w:val="single"/>
              </w:rPr>
              <w:t>外债总值</w:t>
            </w:r>
          </w:p>
          <w:p w:rsidR="00000000" w:rsidRDefault="00000000">
            <w:pPr>
              <w:spacing w:before="80" w:after="80" w:line="260" w:lineRule="exact"/>
              <w:jc w:val="center"/>
              <w:rPr>
                <w:snapToGrid/>
                <w:spacing w:val="0"/>
                <w:sz w:val="20"/>
                <w:szCs w:val="16"/>
                <w:u w:val="single"/>
              </w:rPr>
            </w:pPr>
            <w:r>
              <w:rPr>
                <w:snapToGrid/>
                <w:spacing w:val="0"/>
                <w:sz w:val="20"/>
                <w:szCs w:val="16"/>
              </w:rPr>
              <w:t>(</w:t>
            </w:r>
            <w:r>
              <w:rPr>
                <w:rFonts w:hint="eastAsia"/>
                <w:snapToGrid/>
                <w:spacing w:val="0"/>
                <w:sz w:val="20"/>
                <w:szCs w:val="16"/>
                <w:u w:val="single"/>
              </w:rPr>
              <w:t>百万美元</w:t>
            </w:r>
            <w:r>
              <w:rPr>
                <w:snapToGrid/>
                <w:spacing w:val="0"/>
                <w:sz w:val="20"/>
                <w:szCs w:val="16"/>
              </w:rPr>
              <w:t>)</w:t>
            </w:r>
          </w:p>
        </w:tc>
        <w:tc>
          <w:tcPr>
            <w:tcW w:w="1559" w:type="dxa"/>
            <w:tcBorders>
              <w:bottom w:val="single" w:sz="6" w:space="0" w:color="auto"/>
            </w:tcBorders>
            <w:shd w:val="clear" w:color="auto" w:fill="FFFFFF"/>
            <w:vAlign w:val="center"/>
          </w:tcPr>
          <w:p w:rsidR="00000000" w:rsidRDefault="00000000">
            <w:pPr>
              <w:spacing w:before="80" w:after="80" w:line="260" w:lineRule="exact"/>
              <w:jc w:val="center"/>
              <w:rPr>
                <w:rFonts w:hint="eastAsia"/>
                <w:snapToGrid/>
                <w:spacing w:val="0"/>
                <w:sz w:val="20"/>
                <w:szCs w:val="18"/>
                <w:u w:val="single"/>
              </w:rPr>
            </w:pPr>
            <w:r>
              <w:rPr>
                <w:rFonts w:hint="eastAsia"/>
                <w:snapToGrid/>
                <w:spacing w:val="0"/>
                <w:sz w:val="20"/>
                <w:szCs w:val="18"/>
                <w:u w:val="single"/>
              </w:rPr>
              <w:t>失业率</w:t>
            </w:r>
          </w:p>
          <w:p w:rsidR="00000000" w:rsidRDefault="00000000">
            <w:pPr>
              <w:spacing w:before="80" w:after="80" w:line="260" w:lineRule="exact"/>
              <w:jc w:val="center"/>
              <w:rPr>
                <w:snapToGrid/>
                <w:spacing w:val="0"/>
                <w:sz w:val="20"/>
                <w:u w:val="single"/>
              </w:rPr>
            </w:pPr>
            <w:r>
              <w:rPr>
                <w:snapToGrid/>
                <w:spacing w:val="0"/>
                <w:sz w:val="20"/>
              </w:rPr>
              <w:t>(</w:t>
            </w:r>
            <w:r>
              <w:rPr>
                <w:rFonts w:hint="eastAsia"/>
                <w:snapToGrid/>
                <w:spacing w:val="0"/>
                <w:sz w:val="20"/>
                <w:u w:val="single"/>
              </w:rPr>
              <w:t>百分比</w:t>
            </w:r>
            <w:r>
              <w:rPr>
                <w:snapToGrid/>
                <w:spacing w:val="0"/>
                <w:sz w:val="20"/>
              </w:rPr>
              <w:t>)</w:t>
            </w:r>
          </w:p>
        </w:tc>
      </w:tr>
      <w:tr w:rsidR="00000000">
        <w:tblPrEx>
          <w:tblCellMar>
            <w:top w:w="0" w:type="dxa"/>
            <w:bottom w:w="0" w:type="dxa"/>
          </w:tblCellMar>
        </w:tblPrEx>
        <w:trPr>
          <w:cantSplit/>
        </w:trPr>
        <w:tc>
          <w:tcPr>
            <w:tcW w:w="681" w:type="dxa"/>
            <w:tcBorders>
              <w:bottom w:val="nil"/>
            </w:tcBorders>
            <w:shd w:val="clear" w:color="auto" w:fill="FFFFFF"/>
          </w:tcPr>
          <w:p w:rsidR="00000000" w:rsidRDefault="00000000">
            <w:pPr>
              <w:spacing w:before="40" w:after="40" w:line="260" w:lineRule="exact"/>
              <w:rPr>
                <w:snapToGrid/>
                <w:spacing w:val="0"/>
                <w:sz w:val="20"/>
              </w:rPr>
            </w:pPr>
            <w:r>
              <w:rPr>
                <w:snapToGrid/>
                <w:spacing w:val="0"/>
                <w:sz w:val="20"/>
              </w:rPr>
              <w:t>1961</w:t>
            </w:r>
          </w:p>
        </w:tc>
        <w:tc>
          <w:tcPr>
            <w:tcW w:w="1418" w:type="dxa"/>
            <w:tcBorders>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2.1</w:t>
            </w:r>
          </w:p>
        </w:tc>
        <w:tc>
          <w:tcPr>
            <w:tcW w:w="1134" w:type="dxa"/>
            <w:tcBorders>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82</w:t>
            </w:r>
          </w:p>
        </w:tc>
        <w:tc>
          <w:tcPr>
            <w:tcW w:w="1417" w:type="dxa"/>
            <w:tcBorders>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5.9</w:t>
            </w:r>
          </w:p>
        </w:tc>
        <w:tc>
          <w:tcPr>
            <w:tcW w:w="1701" w:type="dxa"/>
            <w:tcBorders>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w:t>
            </w:r>
          </w:p>
        </w:tc>
        <w:tc>
          <w:tcPr>
            <w:tcW w:w="1418" w:type="dxa"/>
            <w:tcBorders>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83</w:t>
            </w:r>
          </w:p>
        </w:tc>
        <w:tc>
          <w:tcPr>
            <w:tcW w:w="1559" w:type="dxa"/>
            <w:tcBorders>
              <w:bottom w:val="nil"/>
            </w:tcBorders>
            <w:shd w:val="clear" w:color="auto" w:fill="FFFFFF"/>
          </w:tcPr>
          <w:p w:rsidR="00000000" w:rsidRDefault="00000000">
            <w:pPr>
              <w:tabs>
                <w:tab w:val="decimal" w:pos="850"/>
              </w:tabs>
              <w:spacing w:before="40" w:after="40" w:line="260" w:lineRule="exact"/>
              <w:rPr>
                <w:snapToGrid/>
                <w:spacing w:val="0"/>
                <w:sz w:val="20"/>
              </w:rPr>
            </w:pPr>
          </w:p>
        </w:tc>
      </w:tr>
      <w:tr w:rsidR="00000000">
        <w:tblPrEx>
          <w:tblCellMar>
            <w:top w:w="0" w:type="dxa"/>
            <w:bottom w:w="0" w:type="dxa"/>
          </w:tblCellMar>
        </w:tblPrEx>
        <w:trPr>
          <w:cantSplit/>
          <w:trHeight w:val="487"/>
        </w:trPr>
        <w:tc>
          <w:tcPr>
            <w:tcW w:w="681" w:type="dxa"/>
            <w:tcBorders>
              <w:top w:val="nil"/>
              <w:bottom w:val="nil"/>
            </w:tcBorders>
            <w:shd w:val="clear" w:color="auto" w:fill="FFFFFF"/>
          </w:tcPr>
          <w:p w:rsidR="00000000" w:rsidRDefault="00000000">
            <w:pPr>
              <w:spacing w:before="40" w:after="40" w:line="260" w:lineRule="exact"/>
              <w:rPr>
                <w:snapToGrid/>
                <w:spacing w:val="0"/>
                <w:sz w:val="20"/>
              </w:rPr>
            </w:pPr>
            <w:r>
              <w:rPr>
                <w:snapToGrid/>
                <w:spacing w:val="0"/>
                <w:sz w:val="20"/>
              </w:rPr>
              <w:t>1971</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9.4</w:t>
            </w:r>
          </w:p>
        </w:tc>
        <w:tc>
          <w:tcPr>
            <w:tcW w:w="1134"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286</w:t>
            </w:r>
          </w:p>
        </w:tc>
        <w:tc>
          <w:tcPr>
            <w:tcW w:w="1417"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8.6</w:t>
            </w:r>
          </w:p>
        </w:tc>
        <w:tc>
          <w:tcPr>
            <w:tcW w:w="1701"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14.6</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2,922</w:t>
            </w:r>
          </w:p>
        </w:tc>
        <w:tc>
          <w:tcPr>
            <w:tcW w:w="1559"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before="40" w:after="40" w:line="260" w:lineRule="exact"/>
              <w:rPr>
                <w:snapToGrid/>
                <w:spacing w:val="0"/>
                <w:sz w:val="20"/>
              </w:rPr>
            </w:pPr>
            <w:r>
              <w:rPr>
                <w:snapToGrid/>
                <w:spacing w:val="0"/>
                <w:sz w:val="20"/>
              </w:rPr>
              <w:t>1976</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28.9</w:t>
            </w:r>
          </w:p>
        </w:tc>
        <w:tc>
          <w:tcPr>
            <w:tcW w:w="1134"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799</w:t>
            </w:r>
          </w:p>
        </w:tc>
        <w:tc>
          <w:tcPr>
            <w:tcW w:w="1417"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11.2</w:t>
            </w:r>
          </w:p>
        </w:tc>
        <w:tc>
          <w:tcPr>
            <w:tcW w:w="1701"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23.4</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10,520</w:t>
            </w:r>
          </w:p>
        </w:tc>
        <w:tc>
          <w:tcPr>
            <w:tcW w:w="1559"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before="40" w:after="40" w:line="260" w:lineRule="exact"/>
              <w:rPr>
                <w:snapToGrid/>
                <w:spacing w:val="0"/>
                <w:sz w:val="20"/>
              </w:rPr>
            </w:pPr>
            <w:r>
              <w:rPr>
                <w:snapToGrid/>
                <w:spacing w:val="0"/>
                <w:sz w:val="20"/>
              </w:rPr>
              <w:t>1981</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69.6</w:t>
            </w:r>
          </w:p>
        </w:tc>
        <w:tc>
          <w:tcPr>
            <w:tcW w:w="1134"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1,749</w:t>
            </w:r>
          </w:p>
        </w:tc>
        <w:tc>
          <w:tcPr>
            <w:tcW w:w="1417"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6.5</w:t>
            </w:r>
          </w:p>
        </w:tc>
        <w:tc>
          <w:tcPr>
            <w:tcW w:w="1701"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17.6</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32,433</w:t>
            </w:r>
          </w:p>
        </w:tc>
        <w:tc>
          <w:tcPr>
            <w:tcW w:w="1559"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before="40" w:after="40" w:line="260" w:lineRule="exact"/>
              <w:rPr>
                <w:snapToGrid/>
                <w:spacing w:val="0"/>
                <w:sz w:val="20"/>
              </w:rPr>
            </w:pPr>
            <w:r>
              <w:rPr>
                <w:snapToGrid/>
                <w:spacing w:val="0"/>
                <w:sz w:val="20"/>
              </w:rPr>
              <w:t>1986</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107.6</w:t>
            </w:r>
          </w:p>
        </w:tc>
        <w:tc>
          <w:tcPr>
            <w:tcW w:w="1134"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2,550</w:t>
            </w:r>
          </w:p>
        </w:tc>
        <w:tc>
          <w:tcPr>
            <w:tcW w:w="1417"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11.0</w:t>
            </w:r>
          </w:p>
        </w:tc>
        <w:tc>
          <w:tcPr>
            <w:tcW w:w="1701"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5.2</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44,510</w:t>
            </w:r>
          </w:p>
        </w:tc>
        <w:tc>
          <w:tcPr>
            <w:tcW w:w="1559"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before="40" w:after="40" w:line="260" w:lineRule="exact"/>
              <w:rPr>
                <w:snapToGrid/>
                <w:spacing w:val="0"/>
                <w:sz w:val="20"/>
              </w:rPr>
            </w:pPr>
            <w:r>
              <w:rPr>
                <w:snapToGrid/>
                <w:spacing w:val="0"/>
                <w:sz w:val="20"/>
              </w:rPr>
              <w:t>1991</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295.1</w:t>
            </w:r>
          </w:p>
        </w:tc>
        <w:tc>
          <w:tcPr>
            <w:tcW w:w="1134"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6,810</w:t>
            </w:r>
          </w:p>
        </w:tc>
        <w:tc>
          <w:tcPr>
            <w:tcW w:w="1417"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9.2</w:t>
            </w:r>
          </w:p>
        </w:tc>
        <w:tc>
          <w:tcPr>
            <w:tcW w:w="1701"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10.8</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39,135</w:t>
            </w:r>
          </w:p>
        </w:tc>
        <w:tc>
          <w:tcPr>
            <w:tcW w:w="1559"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2.3</w:t>
            </w: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before="40" w:after="40" w:line="260" w:lineRule="exact"/>
              <w:rPr>
                <w:snapToGrid/>
                <w:spacing w:val="0"/>
                <w:sz w:val="20"/>
              </w:rPr>
            </w:pPr>
            <w:r>
              <w:rPr>
                <w:snapToGrid/>
                <w:spacing w:val="0"/>
                <w:sz w:val="20"/>
              </w:rPr>
              <w:t>1996</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520.0</w:t>
            </w:r>
          </w:p>
        </w:tc>
        <w:tc>
          <w:tcPr>
            <w:tcW w:w="1134" w:type="dxa"/>
            <w:tcBorders>
              <w:top w:val="nil"/>
              <w:bottom w:val="nil"/>
            </w:tcBorders>
            <w:shd w:val="clear" w:color="auto" w:fill="FFFFFF"/>
          </w:tcPr>
          <w:p w:rsidR="00000000" w:rsidRDefault="00000000">
            <w:pPr>
              <w:tabs>
                <w:tab w:val="decimal" w:pos="850"/>
              </w:tabs>
              <w:spacing w:before="40" w:after="40" w:line="260" w:lineRule="exact"/>
              <w:rPr>
                <w:rFonts w:hint="eastAsia"/>
                <w:snapToGrid/>
                <w:spacing w:val="0"/>
                <w:sz w:val="20"/>
              </w:rPr>
            </w:pPr>
            <w:r>
              <w:rPr>
                <w:snapToGrid/>
                <w:spacing w:val="0"/>
                <w:sz w:val="20"/>
              </w:rPr>
              <w:t>11,38</w:t>
            </w:r>
            <w:r>
              <w:rPr>
                <w:rFonts w:hint="eastAsia"/>
                <w:snapToGrid/>
                <w:spacing w:val="0"/>
                <w:sz w:val="20"/>
              </w:rPr>
              <w:t>5</w:t>
            </w:r>
          </w:p>
        </w:tc>
        <w:tc>
          <w:tcPr>
            <w:tcW w:w="1417"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6.8</w:t>
            </w:r>
          </w:p>
        </w:tc>
        <w:tc>
          <w:tcPr>
            <w:tcW w:w="1701"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3.9</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163,489</w:t>
            </w:r>
          </w:p>
        </w:tc>
        <w:tc>
          <w:tcPr>
            <w:tcW w:w="1559"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2.0</w:t>
            </w: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before="40" w:after="40" w:line="260" w:lineRule="exact"/>
              <w:rPr>
                <w:snapToGrid/>
                <w:spacing w:val="0"/>
                <w:sz w:val="20"/>
              </w:rPr>
            </w:pPr>
            <w:r>
              <w:rPr>
                <w:snapToGrid/>
                <w:spacing w:val="0"/>
                <w:sz w:val="20"/>
              </w:rPr>
              <w:t>1997</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476.6</w:t>
            </w:r>
          </w:p>
        </w:tc>
        <w:tc>
          <w:tcPr>
            <w:tcW w:w="1134" w:type="dxa"/>
            <w:tcBorders>
              <w:top w:val="nil"/>
              <w:bottom w:val="nil"/>
            </w:tcBorders>
            <w:shd w:val="clear" w:color="auto" w:fill="FFFFFF"/>
          </w:tcPr>
          <w:p w:rsidR="00000000" w:rsidRDefault="00000000">
            <w:pPr>
              <w:tabs>
                <w:tab w:val="decimal" w:pos="850"/>
              </w:tabs>
              <w:spacing w:before="40" w:after="40" w:line="260" w:lineRule="exact"/>
              <w:rPr>
                <w:rFonts w:hint="eastAsia"/>
                <w:snapToGrid/>
                <w:spacing w:val="0"/>
                <w:sz w:val="20"/>
              </w:rPr>
            </w:pPr>
            <w:r>
              <w:rPr>
                <w:snapToGrid/>
                <w:spacing w:val="0"/>
                <w:sz w:val="20"/>
              </w:rPr>
              <w:t>10,3</w:t>
            </w:r>
            <w:r>
              <w:rPr>
                <w:rFonts w:hint="eastAsia"/>
                <w:snapToGrid/>
                <w:spacing w:val="0"/>
                <w:sz w:val="20"/>
              </w:rPr>
              <w:t>15</w:t>
            </w:r>
          </w:p>
        </w:tc>
        <w:tc>
          <w:tcPr>
            <w:tcW w:w="1417"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5.0</w:t>
            </w:r>
          </w:p>
        </w:tc>
        <w:tc>
          <w:tcPr>
            <w:tcW w:w="1701"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3.2</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159,237</w:t>
            </w:r>
          </w:p>
        </w:tc>
        <w:tc>
          <w:tcPr>
            <w:tcW w:w="1559"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2.6</w:t>
            </w: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before="40" w:after="40" w:line="260" w:lineRule="exact"/>
              <w:rPr>
                <w:snapToGrid/>
                <w:spacing w:val="0"/>
                <w:sz w:val="20"/>
              </w:rPr>
            </w:pPr>
            <w:r>
              <w:rPr>
                <w:snapToGrid/>
                <w:spacing w:val="0"/>
                <w:sz w:val="20"/>
              </w:rPr>
              <w:t>1998</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317.7</w:t>
            </w:r>
          </w:p>
        </w:tc>
        <w:tc>
          <w:tcPr>
            <w:tcW w:w="1134" w:type="dxa"/>
            <w:tcBorders>
              <w:top w:val="nil"/>
              <w:bottom w:val="nil"/>
            </w:tcBorders>
            <w:shd w:val="clear" w:color="auto" w:fill="FFFFFF"/>
          </w:tcPr>
          <w:p w:rsidR="00000000" w:rsidRDefault="00000000">
            <w:pPr>
              <w:tabs>
                <w:tab w:val="decimal" w:pos="850"/>
              </w:tabs>
              <w:spacing w:before="40" w:after="40" w:line="260" w:lineRule="exact"/>
              <w:rPr>
                <w:rFonts w:hint="eastAsia"/>
                <w:snapToGrid/>
                <w:spacing w:val="0"/>
                <w:sz w:val="20"/>
              </w:rPr>
            </w:pPr>
            <w:r>
              <w:rPr>
                <w:snapToGrid/>
                <w:spacing w:val="0"/>
                <w:sz w:val="20"/>
              </w:rPr>
              <w:t>6,7</w:t>
            </w:r>
            <w:r>
              <w:rPr>
                <w:rFonts w:hint="eastAsia"/>
                <w:snapToGrid/>
                <w:spacing w:val="0"/>
                <w:sz w:val="20"/>
              </w:rPr>
              <w:t>44</w:t>
            </w:r>
          </w:p>
        </w:tc>
        <w:tc>
          <w:tcPr>
            <w:tcW w:w="1417"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-6.7</w:t>
            </w:r>
          </w:p>
        </w:tc>
        <w:tc>
          <w:tcPr>
            <w:tcW w:w="1701"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5.0</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148,705</w:t>
            </w:r>
          </w:p>
        </w:tc>
        <w:tc>
          <w:tcPr>
            <w:tcW w:w="1559"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6.8</w:t>
            </w:r>
          </w:p>
        </w:tc>
      </w:tr>
      <w:tr w:rsidR="00000000">
        <w:tblPrEx>
          <w:tblCellMar>
            <w:top w:w="0" w:type="dxa"/>
            <w:bottom w:w="0" w:type="dxa"/>
          </w:tblCellMar>
        </w:tblPrEx>
        <w:trPr>
          <w:cantSplit/>
        </w:trPr>
        <w:tc>
          <w:tcPr>
            <w:tcW w:w="681" w:type="dxa"/>
            <w:tcBorders>
              <w:top w:val="nil"/>
              <w:bottom w:val="nil"/>
            </w:tcBorders>
            <w:shd w:val="clear" w:color="auto" w:fill="FFFFFF"/>
          </w:tcPr>
          <w:p w:rsidR="00000000" w:rsidRDefault="00000000">
            <w:pPr>
              <w:spacing w:before="40" w:after="40" w:line="260" w:lineRule="exact"/>
              <w:rPr>
                <w:snapToGrid/>
                <w:spacing w:val="0"/>
                <w:sz w:val="20"/>
              </w:rPr>
            </w:pPr>
            <w:r>
              <w:rPr>
                <w:snapToGrid/>
                <w:spacing w:val="0"/>
                <w:sz w:val="20"/>
              </w:rPr>
              <w:t>1999</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405.8</w:t>
            </w:r>
          </w:p>
        </w:tc>
        <w:tc>
          <w:tcPr>
            <w:tcW w:w="1134" w:type="dxa"/>
            <w:tcBorders>
              <w:top w:val="nil"/>
              <w:bottom w:val="nil"/>
            </w:tcBorders>
            <w:shd w:val="clear" w:color="auto" w:fill="FFFFFF"/>
          </w:tcPr>
          <w:p w:rsidR="00000000" w:rsidRDefault="00000000">
            <w:pPr>
              <w:tabs>
                <w:tab w:val="decimal" w:pos="850"/>
              </w:tabs>
              <w:spacing w:before="40" w:after="40" w:line="260" w:lineRule="exact"/>
              <w:rPr>
                <w:rFonts w:hint="eastAsia"/>
                <w:snapToGrid/>
                <w:spacing w:val="0"/>
                <w:sz w:val="20"/>
              </w:rPr>
            </w:pPr>
            <w:r>
              <w:rPr>
                <w:snapToGrid/>
                <w:spacing w:val="0"/>
                <w:sz w:val="20"/>
              </w:rPr>
              <w:t>8,5</w:t>
            </w:r>
            <w:r>
              <w:rPr>
                <w:rFonts w:hint="eastAsia"/>
                <w:snapToGrid/>
                <w:spacing w:val="0"/>
                <w:sz w:val="20"/>
              </w:rPr>
              <w:t>95</w:t>
            </w:r>
          </w:p>
        </w:tc>
        <w:tc>
          <w:tcPr>
            <w:tcW w:w="1417"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10.9</w:t>
            </w:r>
          </w:p>
        </w:tc>
        <w:tc>
          <w:tcPr>
            <w:tcW w:w="1701"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-2.0</w:t>
            </w:r>
          </w:p>
        </w:tc>
        <w:tc>
          <w:tcPr>
            <w:tcW w:w="1418"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137,069</w:t>
            </w:r>
          </w:p>
        </w:tc>
        <w:tc>
          <w:tcPr>
            <w:tcW w:w="1559" w:type="dxa"/>
            <w:tcBorders>
              <w:top w:val="nil"/>
              <w:bottom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6.3</w:t>
            </w:r>
          </w:p>
        </w:tc>
      </w:tr>
      <w:tr w:rsidR="00000000">
        <w:tblPrEx>
          <w:tblCellMar>
            <w:top w:w="0" w:type="dxa"/>
            <w:bottom w:w="0" w:type="dxa"/>
          </w:tblCellMar>
        </w:tblPrEx>
        <w:trPr>
          <w:cantSplit/>
        </w:trPr>
        <w:tc>
          <w:tcPr>
            <w:tcW w:w="681" w:type="dxa"/>
            <w:tcBorders>
              <w:top w:val="nil"/>
            </w:tcBorders>
            <w:shd w:val="clear" w:color="auto" w:fill="FFFFFF"/>
          </w:tcPr>
          <w:p w:rsidR="00000000" w:rsidRDefault="00000000">
            <w:pPr>
              <w:spacing w:before="40" w:after="40" w:line="260" w:lineRule="exact"/>
              <w:rPr>
                <w:rFonts w:hint="eastAsia"/>
                <w:snapToGrid/>
                <w:spacing w:val="0"/>
                <w:sz w:val="20"/>
              </w:rPr>
            </w:pPr>
            <w:r>
              <w:rPr>
                <w:snapToGrid/>
                <w:spacing w:val="0"/>
                <w:sz w:val="20"/>
              </w:rPr>
              <w:t>200</w:t>
            </w:r>
            <w:r>
              <w:rPr>
                <w:rFonts w:hint="eastAsia"/>
                <w:snapToGrid/>
                <w:spacing w:val="0"/>
                <w:sz w:val="20"/>
              </w:rPr>
              <w:t>0</w:t>
            </w:r>
          </w:p>
        </w:tc>
        <w:tc>
          <w:tcPr>
            <w:tcW w:w="1418" w:type="dxa"/>
            <w:tcBorders>
              <w:top w:val="nil"/>
            </w:tcBorders>
            <w:shd w:val="clear" w:color="auto" w:fill="FFFFFF"/>
          </w:tcPr>
          <w:p w:rsidR="00000000" w:rsidRDefault="00000000">
            <w:pPr>
              <w:tabs>
                <w:tab w:val="decimal" w:pos="850"/>
              </w:tabs>
              <w:spacing w:before="40" w:after="40" w:line="260" w:lineRule="exact"/>
              <w:rPr>
                <w:rFonts w:hint="eastAsia"/>
                <w:snapToGrid/>
                <w:spacing w:val="0"/>
                <w:sz w:val="20"/>
              </w:rPr>
            </w:pPr>
            <w:r>
              <w:rPr>
                <w:rFonts w:hint="eastAsia"/>
                <w:snapToGrid/>
                <w:spacing w:val="0"/>
                <w:sz w:val="20"/>
              </w:rPr>
              <w:t>461.7</w:t>
            </w:r>
          </w:p>
        </w:tc>
        <w:tc>
          <w:tcPr>
            <w:tcW w:w="1134" w:type="dxa"/>
            <w:tcBorders>
              <w:top w:val="nil"/>
            </w:tcBorders>
            <w:shd w:val="clear" w:color="auto" w:fill="FFFFFF"/>
          </w:tcPr>
          <w:p w:rsidR="00000000" w:rsidRDefault="00000000">
            <w:pPr>
              <w:tabs>
                <w:tab w:val="decimal" w:pos="850"/>
              </w:tabs>
              <w:spacing w:before="40" w:after="40" w:line="260" w:lineRule="exact"/>
              <w:rPr>
                <w:rFonts w:hint="eastAsia"/>
                <w:snapToGrid/>
                <w:spacing w:val="0"/>
                <w:sz w:val="20"/>
              </w:rPr>
            </w:pPr>
            <w:r>
              <w:rPr>
                <w:snapToGrid/>
                <w:spacing w:val="0"/>
                <w:sz w:val="20"/>
              </w:rPr>
              <w:t>9,</w:t>
            </w:r>
            <w:r>
              <w:rPr>
                <w:rFonts w:hint="eastAsia"/>
                <w:snapToGrid/>
                <w:spacing w:val="0"/>
                <w:sz w:val="20"/>
              </w:rPr>
              <w:t>770</w:t>
            </w:r>
          </w:p>
        </w:tc>
        <w:tc>
          <w:tcPr>
            <w:tcW w:w="1417" w:type="dxa"/>
            <w:tcBorders>
              <w:top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8.8</w:t>
            </w:r>
          </w:p>
        </w:tc>
        <w:tc>
          <w:tcPr>
            <w:tcW w:w="1701" w:type="dxa"/>
            <w:tcBorders>
              <w:top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-1.5</w:t>
            </w:r>
          </w:p>
        </w:tc>
        <w:tc>
          <w:tcPr>
            <w:tcW w:w="1418" w:type="dxa"/>
            <w:tcBorders>
              <w:top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131,668</w:t>
            </w:r>
          </w:p>
        </w:tc>
        <w:tc>
          <w:tcPr>
            <w:tcW w:w="1559" w:type="dxa"/>
            <w:tcBorders>
              <w:top w:val="nil"/>
            </w:tcBorders>
            <w:shd w:val="clear" w:color="auto" w:fill="FFFFFF"/>
          </w:tcPr>
          <w:p w:rsidR="00000000" w:rsidRDefault="00000000">
            <w:pPr>
              <w:tabs>
                <w:tab w:val="decimal" w:pos="850"/>
              </w:tabs>
              <w:spacing w:before="40" w:after="40" w:line="260" w:lineRule="exact"/>
              <w:rPr>
                <w:snapToGrid/>
                <w:spacing w:val="0"/>
                <w:sz w:val="20"/>
              </w:rPr>
            </w:pPr>
            <w:r>
              <w:rPr>
                <w:snapToGrid/>
                <w:spacing w:val="0"/>
                <w:sz w:val="20"/>
              </w:rPr>
              <w:t>4.1</w:t>
            </w:r>
          </w:p>
        </w:tc>
      </w:tr>
    </w:tbl>
    <w:p w:rsidR="00000000" w:rsidRDefault="00000000">
      <w:pPr>
        <w:rPr>
          <w:rFonts w:hint="eastAsia"/>
          <w:snapToGrid/>
        </w:rPr>
      </w:pPr>
    </w:p>
    <w:p w:rsidR="00000000" w:rsidRDefault="00000000">
      <w:pPr>
        <w:rPr>
          <w:snapToGrid/>
        </w:rPr>
      </w:pPr>
    </w:p>
    <w:p w:rsidR="00000000" w:rsidRDefault="00000000">
      <w:pPr>
        <w:jc w:val="center"/>
      </w:pPr>
      <w:r>
        <w:t>--  --  --  --  --</w:t>
      </w:r>
    </w:p>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3</w:t>
          </w:r>
          <w:r>
            <w:t>-</w:t>
          </w:r>
          <w:r>
            <w:rPr>
              <w:rFonts w:hint="eastAsia"/>
            </w:rPr>
            <w:t>43894</w:t>
          </w:r>
          <w:r>
            <w:t xml:space="preserve"> (C)</w:t>
          </w:r>
        </w:p>
      </w:tc>
      <w:tc>
        <w:tcPr>
          <w:tcW w:w="1050" w:type="dxa"/>
        </w:tcPr>
        <w:p w:rsidR="00000000" w:rsidRDefault="00000000">
          <w:pPr>
            <w:pStyle w:val="Footer"/>
            <w:rPr>
              <w:rFonts w:hint="eastAsia"/>
            </w:rPr>
          </w:pPr>
          <w:r>
            <w:rPr>
              <w:rFonts w:hint="eastAsia"/>
            </w:rPr>
            <w:t>041103</w:t>
          </w:r>
        </w:p>
      </w:tc>
      <w:tc>
        <w:tcPr>
          <w:tcW w:w="6061" w:type="dxa"/>
        </w:tcPr>
        <w:p w:rsidR="00000000" w:rsidRDefault="00000000">
          <w:pPr>
            <w:pStyle w:val="Footer"/>
            <w:rPr>
              <w:rFonts w:hint="eastAsia"/>
            </w:rPr>
          </w:pPr>
          <w:r>
            <w:rPr>
              <w:rFonts w:hint="eastAsia"/>
            </w:rPr>
            <w:t>0</w:t>
          </w:r>
          <w:r>
            <w:t>7</w:t>
          </w:r>
          <w:r>
            <w:rPr>
              <w:rFonts w:hint="eastAsia"/>
            </w:rPr>
            <w:t>1103</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w:t>
    </w:r>
    <w:r>
      <w:rPr>
        <w:rFonts w:hint="eastAsia"/>
      </w:rPr>
      <w:t>CORE/1/</w:t>
    </w:r>
    <w:r>
      <w:t>Add.1</w:t>
    </w:r>
    <w:r>
      <w:rPr>
        <w:rFonts w:hint="eastAsia"/>
      </w:rPr>
      <w:t>25</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t>HRI/</w:t>
    </w:r>
    <w:r>
      <w:rPr>
        <w:rFonts w:hint="eastAsia"/>
      </w:rPr>
      <w:t>CORE/1/</w:t>
    </w:r>
    <w:r>
      <w:t>Add.1</w:t>
    </w:r>
    <w:r>
      <w:rPr>
        <w:rFonts w:hint="eastAsia"/>
      </w:rPr>
      <w:t>25</w:t>
    </w:r>
  </w:p>
  <w:p w:rsidR="00000000" w:rsidRDefault="00000000">
    <w:pPr>
      <w:pStyle w:val="Header"/>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8" w:wrap="around"/>
    </w:pPr>
    <w:r>
      <w:rPr>
        <w:noProof/>
        <w:snapToGrid/>
        <w:sz w:val="20"/>
        <w:lang w:eastAsia="zh-TW"/>
      </w:rPr>
      <w:pict>
        <v:rect id="_x0000_s1031" style="position:absolute;left:0;text-align:left;margin-left:499.05pt;margin-top:57.65pt;width:66.05pt;height:31.25pt;z-index:-3;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33" type="#_x0000_t202" style="position:absolute;left:0;text-align:left;margin-left:325pt;margin-top:15.25pt;width:149.5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HRI/</w:t>
                </w:r>
                <w:r>
                  <w:rPr>
                    <w:rFonts w:hint="eastAsia"/>
                  </w:rPr>
                  <w:t>CORE/1/</w:t>
                </w:r>
                <w:r>
                  <w:t>Add.1</w:t>
                </w:r>
                <w:r>
                  <w:rPr>
                    <w:rFonts w:hint="eastAsia"/>
                  </w:rPr>
                  <w:t>25</w:t>
                </w:r>
              </w:p>
              <w:p w:rsidR="00000000" w:rsidRDefault="00000000">
                <w:pPr>
                  <w:pStyle w:val="Header"/>
                  <w:rPr>
                    <w:rFonts w:hint="eastAsia"/>
                  </w:rPr>
                </w:pPr>
                <w:r>
                  <w:rPr>
                    <w:rFonts w:hint="eastAsia"/>
                  </w:rPr>
                  <w:t xml:space="preserve">5 </w:t>
                </w:r>
                <w:r>
                  <w:t>September 200</w:t>
                </w:r>
                <w:r>
                  <w:rPr>
                    <w:rFonts w:hint="eastAsia"/>
                  </w:rPr>
                  <w:t>3</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r>
      <w:rPr>
        <w:noProof/>
        <w:snapToGrid/>
        <w:lang w:eastAsia="zh-TW"/>
      </w:rPr>
      <w:pict>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32" style="position:absolute;left:0;text-align:left;margin-left:151.05pt;margin-top:120.05pt;width:156.05pt;height:31.25pt;z-index:-2;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8">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2">
    <w:nsid w:val="12335EB2"/>
    <w:multiLevelType w:val="hybridMultilevel"/>
    <w:tmpl w:val="9B488180"/>
    <w:lvl w:ilvl="0" w:tplc="9CB8B4B8">
      <w:start w:val="1"/>
      <w:numFmt w:val="taiwaneseCountingThousand"/>
      <w:lvlText w:val="%1、"/>
      <w:lvlJc w:val="left"/>
      <w:pPr>
        <w:tabs>
          <w:tab w:val="num" w:pos="720"/>
        </w:tabs>
        <w:ind w:left="720" w:hanging="720"/>
      </w:pPr>
      <w:rPr>
        <w:rFonts w:hint="eastAsia"/>
      </w:rPr>
    </w:lvl>
    <w:lvl w:ilvl="1" w:tplc="C45E0540">
      <w:start w:val="1"/>
      <w:numFmt w:val="upperLetter"/>
      <w:lvlText w:val="%2．"/>
      <w:lvlJc w:val="left"/>
      <w:pPr>
        <w:tabs>
          <w:tab w:val="num" w:pos="1200"/>
        </w:tabs>
        <w:ind w:left="1200" w:hanging="720"/>
      </w:pPr>
      <w:rPr>
        <w:rFonts w:hint="eastAsia"/>
      </w:rPr>
    </w:lvl>
    <w:lvl w:ilvl="2" w:tplc="92C04BC6">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4">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7">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8">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0">
    <w:nsid w:val="21C36D08"/>
    <w:multiLevelType w:val="hybridMultilevel"/>
    <w:tmpl w:val="21B0D750"/>
    <w:lvl w:ilvl="0" w:tplc="1F6E0A72">
      <w:start w:val="53"/>
      <w:numFmt w:val="decimal"/>
      <w:lvlText w:val="%1．"/>
      <w:lvlJc w:val="left"/>
      <w:pPr>
        <w:tabs>
          <w:tab w:val="num" w:pos="795"/>
        </w:tabs>
        <w:ind w:left="795" w:hanging="7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2">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4">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
    <w:nsid w:val="29C93AB0"/>
    <w:multiLevelType w:val="hybridMultilevel"/>
    <w:tmpl w:val="533217C6"/>
    <w:lvl w:ilvl="0" w:tplc="975E9DE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8">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29">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30">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32">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3">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4">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5">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6">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37">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38">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39">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2">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3">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4">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45">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46">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48">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49">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50">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51">
    <w:nsid w:val="53A072C6"/>
    <w:multiLevelType w:val="hybridMultilevel"/>
    <w:tmpl w:val="A7969024"/>
    <w:lvl w:ilvl="0" w:tplc="975E9DE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53">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4">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56">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57">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9">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61">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62">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3">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4">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5">
    <w:nsid w:val="6697075F"/>
    <w:multiLevelType w:val="hybridMultilevel"/>
    <w:tmpl w:val="7E748D4C"/>
    <w:lvl w:ilvl="0" w:tplc="B23064C0">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67">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69">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70">
    <w:nsid w:val="6BBA050F"/>
    <w:multiLevelType w:val="hybridMultilevel"/>
    <w:tmpl w:val="6B90CC7E"/>
    <w:lvl w:ilvl="0" w:tplc="975E9DE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2">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6">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77">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9">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80">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81">
    <w:nsid w:val="7B6E06C6"/>
    <w:multiLevelType w:val="hybridMultilevel"/>
    <w:tmpl w:val="03089E8C"/>
    <w:lvl w:ilvl="0" w:tplc="2A22A83C">
      <w:start w:val="1"/>
      <w:numFmt w:val="decimal"/>
      <w:lvlText w:val="%1."/>
      <w:lvlJc w:val="left"/>
      <w:pPr>
        <w:tabs>
          <w:tab w:val="num" w:pos="984"/>
        </w:tabs>
        <w:ind w:left="0" w:firstLine="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83">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4">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48"/>
  </w:num>
  <w:num w:numId="2">
    <w:abstractNumId w:val="32"/>
  </w:num>
  <w:num w:numId="3">
    <w:abstractNumId w:val="12"/>
  </w:num>
  <w:num w:numId="4">
    <w:abstractNumId w:val="20"/>
  </w:num>
  <w:num w:numId="5">
    <w:abstractNumId w:val="81"/>
  </w:num>
  <w:num w:numId="6">
    <w:abstractNumId w:val="65"/>
  </w:num>
  <w:num w:numId="7">
    <w:abstractNumId w:val="27"/>
  </w:num>
  <w:num w:numId="8">
    <w:abstractNumId w:val="28"/>
  </w:num>
  <w:num w:numId="9">
    <w:abstractNumId w:val="78"/>
  </w:num>
  <w:num w:numId="10">
    <w:abstractNumId w:val="0"/>
  </w:num>
  <w:num w:numId="11">
    <w:abstractNumId w:val="41"/>
  </w:num>
  <w:num w:numId="12">
    <w:abstractNumId w:val="24"/>
  </w:num>
  <w:num w:numId="13">
    <w:abstractNumId w:val="8"/>
  </w:num>
  <w:num w:numId="14">
    <w:abstractNumId w:val="14"/>
  </w:num>
  <w:num w:numId="15">
    <w:abstractNumId w:val="72"/>
  </w:num>
  <w:num w:numId="16">
    <w:abstractNumId w:val="17"/>
  </w:num>
  <w:num w:numId="17">
    <w:abstractNumId w:val="76"/>
  </w:num>
  <w:num w:numId="18">
    <w:abstractNumId w:val="45"/>
  </w:num>
  <w:num w:numId="19">
    <w:abstractNumId w:val="49"/>
  </w:num>
  <w:num w:numId="20">
    <w:abstractNumId w:val="4"/>
  </w:num>
  <w:num w:numId="21">
    <w:abstractNumId w:val="83"/>
  </w:num>
  <w:num w:numId="22">
    <w:abstractNumId w:val="71"/>
  </w:num>
  <w:num w:numId="23">
    <w:abstractNumId w:val="67"/>
  </w:num>
  <w:num w:numId="24">
    <w:abstractNumId w:val="6"/>
  </w:num>
  <w:num w:numId="25">
    <w:abstractNumId w:val="47"/>
  </w:num>
  <w:num w:numId="26">
    <w:abstractNumId w:val="52"/>
  </w:num>
  <w:num w:numId="27">
    <w:abstractNumId w:val="80"/>
  </w:num>
  <w:num w:numId="28">
    <w:abstractNumId w:val="60"/>
  </w:num>
  <w:num w:numId="29">
    <w:abstractNumId w:val="58"/>
  </w:num>
  <w:num w:numId="30">
    <w:abstractNumId w:val="40"/>
  </w:num>
  <w:num w:numId="31">
    <w:abstractNumId w:val="10"/>
  </w:num>
  <w:num w:numId="32">
    <w:abstractNumId w:val="7"/>
  </w:num>
  <w:num w:numId="33">
    <w:abstractNumId w:val="84"/>
  </w:num>
  <w:num w:numId="34">
    <w:abstractNumId w:val="1"/>
  </w:num>
  <w:num w:numId="35">
    <w:abstractNumId w:val="16"/>
  </w:num>
  <w:num w:numId="36">
    <w:abstractNumId w:val="75"/>
  </w:num>
  <w:num w:numId="37">
    <w:abstractNumId w:val="25"/>
  </w:num>
  <w:num w:numId="38">
    <w:abstractNumId w:val="66"/>
  </w:num>
  <w:num w:numId="39">
    <w:abstractNumId w:val="64"/>
  </w:num>
  <w:num w:numId="40">
    <w:abstractNumId w:val="33"/>
  </w:num>
  <w:num w:numId="41">
    <w:abstractNumId w:val="53"/>
  </w:num>
  <w:num w:numId="42">
    <w:abstractNumId w:val="57"/>
  </w:num>
  <w:num w:numId="43">
    <w:abstractNumId w:val="73"/>
  </w:num>
  <w:num w:numId="44">
    <w:abstractNumId w:val="5"/>
  </w:num>
  <w:num w:numId="45">
    <w:abstractNumId w:val="30"/>
  </w:num>
  <w:num w:numId="46">
    <w:abstractNumId w:val="82"/>
  </w:num>
  <w:num w:numId="47">
    <w:abstractNumId w:val="56"/>
  </w:num>
  <w:num w:numId="48">
    <w:abstractNumId w:val="68"/>
  </w:num>
  <w:num w:numId="49">
    <w:abstractNumId w:val="23"/>
  </w:num>
  <w:num w:numId="50">
    <w:abstractNumId w:val="31"/>
  </w:num>
  <w:num w:numId="51">
    <w:abstractNumId w:val="13"/>
  </w:num>
  <w:num w:numId="52">
    <w:abstractNumId w:val="61"/>
  </w:num>
  <w:num w:numId="53">
    <w:abstractNumId w:val="54"/>
  </w:num>
  <w:num w:numId="54">
    <w:abstractNumId w:val="35"/>
  </w:num>
  <w:num w:numId="55">
    <w:abstractNumId w:val="15"/>
  </w:num>
  <w:num w:numId="56">
    <w:abstractNumId w:val="55"/>
  </w:num>
  <w:num w:numId="57">
    <w:abstractNumId w:val="11"/>
  </w:num>
  <w:num w:numId="58">
    <w:abstractNumId w:val="34"/>
  </w:num>
  <w:num w:numId="59">
    <w:abstractNumId w:val="43"/>
  </w:num>
  <w:num w:numId="60">
    <w:abstractNumId w:val="79"/>
  </w:num>
  <w:num w:numId="61">
    <w:abstractNumId w:val="50"/>
  </w:num>
  <w:num w:numId="62">
    <w:abstractNumId w:val="36"/>
  </w:num>
  <w:num w:numId="63">
    <w:abstractNumId w:val="29"/>
  </w:num>
  <w:num w:numId="64">
    <w:abstractNumId w:val="3"/>
  </w:num>
  <w:num w:numId="65">
    <w:abstractNumId w:val="44"/>
  </w:num>
  <w:num w:numId="66">
    <w:abstractNumId w:val="19"/>
  </w:num>
  <w:num w:numId="67">
    <w:abstractNumId w:val="63"/>
  </w:num>
  <w:num w:numId="68">
    <w:abstractNumId w:val="62"/>
  </w:num>
  <w:num w:numId="69">
    <w:abstractNumId w:val="2"/>
  </w:num>
  <w:num w:numId="70">
    <w:abstractNumId w:val="46"/>
  </w:num>
  <w:num w:numId="71">
    <w:abstractNumId w:val="18"/>
  </w:num>
  <w:num w:numId="72">
    <w:abstractNumId w:val="42"/>
  </w:num>
  <w:num w:numId="73">
    <w:abstractNumId w:val="9"/>
  </w:num>
  <w:num w:numId="74">
    <w:abstractNumId w:val="59"/>
  </w:num>
  <w:num w:numId="75">
    <w:abstractNumId w:val="39"/>
  </w:num>
  <w:num w:numId="76">
    <w:abstractNumId w:val="74"/>
  </w:num>
  <w:num w:numId="77">
    <w:abstractNumId w:val="69"/>
  </w:num>
  <w:num w:numId="78">
    <w:abstractNumId w:val="21"/>
  </w:num>
  <w:num w:numId="79">
    <w:abstractNumId w:val="37"/>
  </w:num>
  <w:num w:numId="80">
    <w:abstractNumId w:val="38"/>
  </w:num>
  <w:num w:numId="81">
    <w:abstractNumId w:val="22"/>
  </w:num>
  <w:num w:numId="82">
    <w:abstractNumId w:val="77"/>
  </w:num>
  <w:num w:numId="83">
    <w:abstractNumId w:val="70"/>
  </w:num>
  <w:num w:numId="84">
    <w:abstractNumId w:val="51"/>
  </w:num>
  <w:num w:numId="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1694</Words>
  <Characters>9659</Characters>
  <Application>Microsoft Office Word</Application>
  <DocSecurity>4</DocSecurity>
  <Lines>80</Lines>
  <Paragraphs>19</Paragraphs>
  <ScaleCrop>false</ScaleCrop>
  <HeadingPairs>
    <vt:vector size="4" baseType="variant">
      <vt:variant>
        <vt:lpstr>题目</vt:lpstr>
      </vt:variant>
      <vt:variant>
        <vt:i4>1</vt:i4>
      </vt:variant>
      <vt:variant>
        <vt:lpstr>标题</vt:lpstr>
      </vt:variant>
      <vt:variant>
        <vt:i4>23</vt:i4>
      </vt:variant>
    </vt:vector>
  </HeadingPairs>
  <TitlesOfParts>
    <vt:vector size="24" baseType="lpstr">
      <vt:lpstr>作为签约国报告组成部分的核心文件</vt:lpstr>
      <vt:lpstr>    </vt:lpstr>
      <vt:lpstr>    作为签约国报告组成部分的核心文件</vt:lpstr>
      <vt:lpstr>    大 韩 民 国</vt:lpstr>
      <vt:lpstr>    一、土地和人口</vt:lpstr>
      <vt:lpstr>        A.  地理概况</vt:lpstr>
      <vt:lpstr>        B.  人口、语言和宗教</vt:lpstr>
      <vt:lpstr>        C.  其他社会经济指标</vt:lpstr>
      <vt:lpstr>    二、一般政治结构</vt:lpstr>
      <vt:lpstr>        A.  现代政治史</vt:lpstr>
      <vt:lpstr>        B.  政府的类型</vt:lpstr>
      <vt:lpstr>        C.  政治组织</vt:lpstr>
      <vt:lpstr>        1.  总  统</vt:lpstr>
      <vt:lpstr>        2.  总理、国务会议和行政部门</vt:lpstr>
      <vt:lpstr>        3.  立法机构</vt:lpstr>
      <vt:lpstr>        4.  司法机构</vt:lpstr>
      <vt:lpstr>    三、保护人权的一般法律框架</vt:lpstr>
      <vt:lpstr>        A.  负责人权事务的国家系统</vt:lpstr>
      <vt:lpstr>        B.  针对个人权利受到损害者的赔偿措施</vt:lpstr>
      <vt:lpstr>        C.  《宪法》和其他法律中对保护人权的规定</vt:lpstr>
      <vt:lpstr>        D.  国家法律制度中的人权文书</vt:lpstr>
      <vt:lpstr>    四、新闻与宣传</vt:lpstr>
      <vt:lpstr>    附  件</vt:lpstr>
      <vt:lpstr>    主要统计资料(韩国国家统计局)</vt:lpstr>
    </vt:vector>
  </TitlesOfParts>
  <Company>Chinese Unit - GE</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作为签约国报告组成部分的核心文件</dc:title>
  <dc:subject/>
  <dc:creator>C02</dc:creator>
  <cp:keywords/>
  <dc:description>国际人权文书</dc:description>
  <cp:lastModifiedBy>CSD</cp:lastModifiedBy>
  <cp:revision>2</cp:revision>
  <cp:lastPrinted>2003-11-07T11:38:00Z</cp:lastPrinted>
  <dcterms:created xsi:type="dcterms:W3CDTF">2003-11-07T11:39:00Z</dcterms:created>
  <dcterms:modified xsi:type="dcterms:W3CDTF">2003-11-07T11:39:00Z</dcterms:modified>
  <cp:category>HRI</cp:category>
</cp:coreProperties>
</file>