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2" w:rightFromText="142" w:vertAnchor="page" w:horzAnchor="page" w:tblpX="1135" w:tblpY="568"/>
        <w:tblOverlap w:val="never"/>
        <w:bidiVisual/>
        <w:tblW w:w="9639" w:type="dxa"/>
        <w:tblBorders>
          <w:top w:val="none" w:sz="0" w:space="0" w:color="auto"/>
          <w:left w:val="none" w:sz="0" w:space="0" w:color="auto"/>
          <w:right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74"/>
        <w:gridCol w:w="4537"/>
        <w:gridCol w:w="3828"/>
      </w:tblGrid>
      <w:tr w:rsidR="006B3E27" w:rsidRPr="00DB7679" w:rsidTr="00354CC2">
        <w:trPr>
          <w:trHeight w:hRule="exact" w:val="851"/>
        </w:trPr>
        <w:tc>
          <w:tcPr>
            <w:tcW w:w="1274" w:type="dxa"/>
            <w:tcBorders>
              <w:bottom w:val="single" w:sz="4" w:space="0" w:color="auto"/>
            </w:tcBorders>
          </w:tcPr>
          <w:p w:rsidR="006B3E27" w:rsidRPr="00983870" w:rsidRDefault="006B3E27" w:rsidP="00E76499">
            <w:pPr>
              <w:bidi w:val="0"/>
              <w:jc w:val="right"/>
            </w:pPr>
          </w:p>
        </w:tc>
        <w:tc>
          <w:tcPr>
            <w:tcW w:w="4537" w:type="dxa"/>
            <w:tcBorders>
              <w:bottom w:val="single" w:sz="4" w:space="0" w:color="auto"/>
            </w:tcBorders>
            <w:vAlign w:val="bottom"/>
          </w:tcPr>
          <w:p w:rsidR="006B3E27" w:rsidRPr="00DB7679" w:rsidRDefault="006B3E27" w:rsidP="00E70E04">
            <w:pPr>
              <w:spacing w:after="80" w:line="480" w:lineRule="exact"/>
              <w:jc w:val="left"/>
              <w:rPr>
                <w:szCs w:val="40"/>
                <w:rtl/>
              </w:rPr>
            </w:pPr>
            <w:r w:rsidRPr="00DB7679">
              <w:rPr>
                <w:rFonts w:hint="cs"/>
                <w:szCs w:val="40"/>
                <w:rtl/>
              </w:rPr>
              <w:t>الأمم المتحدة</w:t>
            </w:r>
          </w:p>
        </w:tc>
        <w:tc>
          <w:tcPr>
            <w:tcW w:w="3828" w:type="dxa"/>
            <w:tcBorders>
              <w:bottom w:val="single" w:sz="4" w:space="0" w:color="auto"/>
            </w:tcBorders>
            <w:vAlign w:val="bottom"/>
          </w:tcPr>
          <w:p w:rsidR="006B3E27" w:rsidRPr="00243C8A" w:rsidRDefault="00225595" w:rsidP="00225595">
            <w:pPr>
              <w:bidi w:val="0"/>
              <w:spacing w:after="20"/>
              <w:jc w:val="left"/>
              <w:rPr>
                <w:szCs w:val="20"/>
              </w:rPr>
            </w:pPr>
            <w:r w:rsidRPr="00225595">
              <w:rPr>
                <w:sz w:val="40"/>
                <w:szCs w:val="20"/>
              </w:rPr>
              <w:t>HRI</w:t>
            </w:r>
            <w:r>
              <w:rPr>
                <w:szCs w:val="20"/>
              </w:rPr>
              <w:t>/CORE/UGA/2015</w:t>
            </w:r>
          </w:p>
        </w:tc>
      </w:tr>
      <w:tr w:rsidR="006B3E27" w:rsidRPr="00DB7679" w:rsidTr="00354CC2">
        <w:trPr>
          <w:trHeight w:hRule="exact" w:val="2835"/>
        </w:trPr>
        <w:tc>
          <w:tcPr>
            <w:tcW w:w="1274" w:type="dxa"/>
            <w:tcBorders>
              <w:top w:val="single" w:sz="4" w:space="0" w:color="auto"/>
              <w:bottom w:val="single" w:sz="12" w:space="0" w:color="auto"/>
            </w:tcBorders>
          </w:tcPr>
          <w:p w:rsidR="006B3E27" w:rsidRPr="00DB7679" w:rsidRDefault="0059622A" w:rsidP="00B477A4">
            <w:pPr>
              <w:jc w:val="center"/>
              <w:rPr>
                <w:rtl/>
              </w:rPr>
            </w:pPr>
            <w:r>
              <w:rPr>
                <w:noProof/>
              </w:rPr>
              <w:drawing>
                <wp:inline distT="0" distB="0" distL="0" distR="0" wp14:anchorId="7D0F70DC" wp14:editId="5469A55A">
                  <wp:extent cx="630000" cy="61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52" t="-1387" r="-52" b="-1387"/>
                          <a:stretch/>
                        </pic:blipFill>
                        <pic:spPr bwMode="auto">
                          <a:xfrm>
                            <a:off x="0" y="0"/>
                            <a:ext cx="630000"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tcBorders>
              <w:top w:val="single" w:sz="4" w:space="0" w:color="auto"/>
              <w:bottom w:val="single" w:sz="12" w:space="0" w:color="auto"/>
            </w:tcBorders>
          </w:tcPr>
          <w:p w:rsidR="006B3E27" w:rsidRPr="00354CC2" w:rsidRDefault="00354CC2" w:rsidP="00354CC2">
            <w:pPr>
              <w:spacing w:before="120" w:after="40" w:line="640" w:lineRule="exact"/>
              <w:jc w:val="left"/>
              <w:rPr>
                <w:b/>
                <w:bCs/>
                <w:sz w:val="52"/>
                <w:szCs w:val="52"/>
              </w:rPr>
            </w:pPr>
            <w:r w:rsidRPr="00354CC2">
              <w:rPr>
                <w:rFonts w:hint="cs"/>
                <w:b/>
                <w:bCs/>
                <w:sz w:val="52"/>
                <w:szCs w:val="52"/>
                <w:rtl/>
              </w:rPr>
              <w:t>الصكوك الدولية لحقوق الإنسان</w:t>
            </w:r>
          </w:p>
        </w:tc>
        <w:tc>
          <w:tcPr>
            <w:tcW w:w="3828" w:type="dxa"/>
            <w:tcBorders>
              <w:top w:val="single" w:sz="4" w:space="0" w:color="auto"/>
              <w:bottom w:val="single" w:sz="12" w:space="0" w:color="auto"/>
            </w:tcBorders>
          </w:tcPr>
          <w:p w:rsidR="006B3E27" w:rsidRDefault="00225595" w:rsidP="00225595">
            <w:pPr>
              <w:bidi w:val="0"/>
              <w:spacing w:before="240"/>
              <w:jc w:val="left"/>
            </w:pPr>
            <w:r>
              <w:t>Distr.: General</w:t>
            </w:r>
          </w:p>
          <w:p w:rsidR="00225595" w:rsidRDefault="00E72584" w:rsidP="00225595">
            <w:pPr>
              <w:bidi w:val="0"/>
              <w:jc w:val="left"/>
            </w:pPr>
            <w:r>
              <w:t>11 May 2015</w:t>
            </w:r>
          </w:p>
          <w:p w:rsidR="00225595" w:rsidRDefault="00225595" w:rsidP="00225595">
            <w:pPr>
              <w:bidi w:val="0"/>
              <w:jc w:val="left"/>
            </w:pPr>
            <w:r>
              <w:t>Arabic</w:t>
            </w:r>
          </w:p>
          <w:p w:rsidR="00225595" w:rsidRPr="008B4BC6" w:rsidRDefault="00225595" w:rsidP="00225595">
            <w:pPr>
              <w:bidi w:val="0"/>
              <w:jc w:val="left"/>
            </w:pPr>
            <w:r>
              <w:t>Original: English</w:t>
            </w:r>
          </w:p>
        </w:tc>
      </w:tr>
    </w:tbl>
    <w:p w:rsidR="00225595" w:rsidRDefault="00225595" w:rsidP="009E2388">
      <w:pPr>
        <w:pStyle w:val="HMGA"/>
        <w:spacing w:before="600"/>
        <w:rPr>
          <w:rtl/>
        </w:rPr>
      </w:pPr>
      <w:r>
        <w:rPr>
          <w:rFonts w:hint="cs"/>
          <w:rtl/>
        </w:rPr>
        <w:tab/>
      </w:r>
      <w:r>
        <w:rPr>
          <w:rFonts w:hint="cs"/>
          <w:rtl/>
        </w:rPr>
        <w:tab/>
        <w:t>وثيقة أساسية مشتركة تشك</w:t>
      </w:r>
      <w:r w:rsidR="002B7D62">
        <w:rPr>
          <w:rFonts w:hint="cs"/>
          <w:rtl/>
        </w:rPr>
        <w:t>ل جزءاً من تقارير الدول الأطراف</w:t>
      </w:r>
    </w:p>
    <w:p w:rsidR="00225595" w:rsidRDefault="00225595" w:rsidP="00225595">
      <w:pPr>
        <w:pStyle w:val="HMGA"/>
        <w:rPr>
          <w:rFonts w:hint="cs"/>
          <w:rtl/>
        </w:rPr>
      </w:pPr>
      <w:r>
        <w:rPr>
          <w:rFonts w:hint="cs"/>
          <w:rtl/>
        </w:rPr>
        <w:tab/>
      </w:r>
      <w:r>
        <w:rPr>
          <w:rFonts w:hint="cs"/>
          <w:rtl/>
        </w:rPr>
        <w:tab/>
        <w:t>أوغندا</w:t>
      </w:r>
      <w:r w:rsidRPr="009E2388">
        <w:rPr>
          <w:rStyle w:val="FootnoteReference"/>
          <w:position w:val="6"/>
          <w:sz w:val="20"/>
          <w:vertAlign w:val="baseline"/>
          <w:rtl/>
        </w:rPr>
        <w:footnoteReference w:customMarkFollows="1" w:id="1"/>
        <w:t>*</w:t>
      </w:r>
    </w:p>
    <w:p w:rsidR="00225595" w:rsidRDefault="00225595" w:rsidP="00225595">
      <w:pPr>
        <w:pStyle w:val="SingleTxtGA"/>
        <w:jc w:val="right"/>
        <w:rPr>
          <w:rtl/>
        </w:rPr>
      </w:pPr>
      <w:r>
        <w:rPr>
          <w:rFonts w:hint="cs"/>
          <w:rtl/>
        </w:rPr>
        <w:t>[تاريخ الاستلام: 1 نيسان/أبريل 2015]</w:t>
      </w:r>
    </w:p>
    <w:p w:rsidR="007409EC" w:rsidRPr="00982D8B" w:rsidRDefault="00225595" w:rsidP="00441F02">
      <w:pPr>
        <w:spacing w:line="360" w:lineRule="exact"/>
        <w:rPr>
          <w:sz w:val="36"/>
          <w:szCs w:val="36"/>
          <w:rtl/>
        </w:rPr>
      </w:pPr>
      <w:r>
        <w:rPr>
          <w:sz w:val="30"/>
          <w:rtl/>
        </w:rPr>
        <w:br w:type="page"/>
      </w:r>
      <w:r w:rsidR="007409EC">
        <w:rPr>
          <w:rFonts w:hint="cs"/>
          <w:sz w:val="36"/>
          <w:szCs w:val="36"/>
          <w:rtl/>
        </w:rPr>
        <w:lastRenderedPageBreak/>
        <w:t>المحتويات</w:t>
      </w:r>
    </w:p>
    <w:p w:rsidR="007409EC" w:rsidRPr="00E64ED3" w:rsidRDefault="007409EC">
      <w:pPr>
        <w:tabs>
          <w:tab w:val="left" w:pos="7917"/>
          <w:tab w:val="right" w:pos="9638"/>
        </w:tabs>
        <w:spacing w:before="120" w:after="120" w:line="240" w:lineRule="exact"/>
        <w:ind w:left="284"/>
        <w:rPr>
          <w:iCs/>
          <w:szCs w:val="28"/>
          <w:rtl/>
        </w:rPr>
      </w:pPr>
      <w:r w:rsidRPr="00E64ED3">
        <w:rPr>
          <w:i/>
        </w:rPr>
        <w:tab/>
      </w:r>
      <w:r w:rsidRPr="00E64ED3">
        <w:rPr>
          <w:rFonts w:hint="cs"/>
          <w:iCs/>
          <w:szCs w:val="28"/>
          <w:rtl/>
        </w:rPr>
        <w:t>الفقـرات</w:t>
      </w:r>
      <w:r w:rsidRPr="00E64ED3">
        <w:rPr>
          <w:i/>
        </w:rPr>
        <w:tab/>
      </w:r>
      <w:r w:rsidRPr="00E64ED3">
        <w:rPr>
          <w:rFonts w:hint="cs"/>
          <w:iCs/>
          <w:szCs w:val="28"/>
          <w:rtl/>
        </w:rPr>
        <w:t>الصفحة</w:t>
      </w:r>
    </w:p>
    <w:p w:rsidR="009D4FC6" w:rsidRPr="009D4FC6" w:rsidRDefault="007409EC" w:rsidP="00441F02">
      <w:pPr>
        <w:tabs>
          <w:tab w:val="right" w:pos="1021"/>
          <w:tab w:val="left" w:pos="1077"/>
          <w:tab w:val="left" w:pos="1525"/>
          <w:tab w:val="left" w:pos="1842"/>
          <w:tab w:val="left" w:pos="2206"/>
          <w:tab w:val="left" w:pos="2681"/>
          <w:tab w:val="left" w:leader="dot" w:pos="7469"/>
          <w:tab w:val="left" w:pos="7972"/>
          <w:tab w:val="right" w:pos="9638"/>
        </w:tabs>
        <w:spacing w:after="60" w:line="360" w:lineRule="exact"/>
        <w:rPr>
          <w:szCs w:val="28"/>
          <w:rtl/>
          <w:lang w:val="fr-CH"/>
        </w:rPr>
      </w:pPr>
      <w:r>
        <w:rPr>
          <w:rFonts w:hint="cs"/>
          <w:szCs w:val="28"/>
          <w:rtl/>
          <w:lang w:val="fr-CH"/>
        </w:rPr>
        <w:tab/>
      </w:r>
      <w:r w:rsidR="009D4FC6" w:rsidRPr="009D4FC6">
        <w:rPr>
          <w:szCs w:val="28"/>
          <w:rtl/>
          <w:lang w:val="fr-CH"/>
        </w:rPr>
        <w:t>أولاً</w:t>
      </w:r>
      <w:r>
        <w:rPr>
          <w:rFonts w:hint="cs"/>
          <w:szCs w:val="28"/>
          <w:rtl/>
          <w:lang w:val="fr-CH"/>
        </w:rPr>
        <w:tab/>
      </w:r>
      <w:r w:rsidR="009D4FC6" w:rsidRPr="009D4FC6">
        <w:rPr>
          <w:szCs w:val="28"/>
          <w:rtl/>
          <w:lang w:val="fr-CH"/>
        </w:rPr>
        <w:t>-</w:t>
      </w:r>
      <w:r w:rsidR="009D4FC6" w:rsidRPr="009D4FC6">
        <w:rPr>
          <w:szCs w:val="28"/>
          <w:rtl/>
          <w:lang w:val="fr-CH"/>
        </w:rPr>
        <w:tab/>
        <w:t>وقائع ومعلومات إحصائية عامة عن أوغندا</w:t>
      </w:r>
      <w:r w:rsidR="009D4FC6" w:rsidRPr="009D4FC6">
        <w:rPr>
          <w:szCs w:val="28"/>
          <w:rtl/>
          <w:lang w:val="fr-CH"/>
        </w:rPr>
        <w:tab/>
      </w:r>
      <w:r>
        <w:rPr>
          <w:rFonts w:hint="cs"/>
          <w:szCs w:val="28"/>
          <w:rtl/>
          <w:lang w:val="fr-CH"/>
        </w:rPr>
        <w:tab/>
        <w:t>1-42</w:t>
      </w:r>
      <w:r>
        <w:rPr>
          <w:szCs w:val="28"/>
          <w:rtl/>
          <w:lang w:val="fr-CH"/>
        </w:rPr>
        <w:tab/>
      </w:r>
      <w:r w:rsidR="009D4FC6" w:rsidRPr="009D4FC6">
        <w:rPr>
          <w:szCs w:val="28"/>
          <w:rtl/>
          <w:lang w:val="fr-CH"/>
        </w:rPr>
        <w:t>4</w:t>
      </w:r>
    </w:p>
    <w:p w:rsidR="009D4FC6" w:rsidRPr="007409EC" w:rsidRDefault="007409EC" w:rsidP="00441F02">
      <w:pPr>
        <w:tabs>
          <w:tab w:val="right" w:pos="1021"/>
          <w:tab w:val="left" w:pos="1077"/>
          <w:tab w:val="left" w:pos="1525"/>
          <w:tab w:val="left" w:pos="1842"/>
          <w:tab w:val="left" w:pos="2206"/>
          <w:tab w:val="left" w:pos="2681"/>
          <w:tab w:val="left" w:leader="dot" w:pos="7469"/>
          <w:tab w:val="left" w:pos="7972"/>
          <w:tab w:val="right" w:pos="9638"/>
        </w:tabs>
        <w:spacing w:after="60" w:line="360" w:lineRule="exact"/>
        <w:ind w:left="2189" w:right="2200" w:hanging="2189"/>
        <w:rPr>
          <w:szCs w:val="28"/>
          <w:rtl/>
          <w:lang w:val="fr-CH"/>
        </w:rPr>
      </w:pPr>
      <w:r w:rsidRPr="007409EC">
        <w:rPr>
          <w:rFonts w:hint="cs"/>
          <w:szCs w:val="28"/>
          <w:rtl/>
          <w:lang w:val="fr-CH"/>
        </w:rPr>
        <w:tab/>
      </w:r>
      <w:r w:rsidRPr="007409EC">
        <w:rPr>
          <w:szCs w:val="28"/>
          <w:rtl/>
          <w:lang w:val="fr-CH"/>
        </w:rPr>
        <w:tab/>
      </w:r>
      <w:r w:rsidRPr="007409EC">
        <w:rPr>
          <w:rFonts w:hint="cs"/>
          <w:szCs w:val="28"/>
          <w:rtl/>
          <w:lang w:val="fr-CH"/>
        </w:rPr>
        <w:tab/>
      </w:r>
      <w:r w:rsidR="009D4FC6" w:rsidRPr="007409EC">
        <w:rPr>
          <w:szCs w:val="28"/>
          <w:rtl/>
          <w:lang w:val="fr-CH"/>
        </w:rPr>
        <w:t>ألف</w:t>
      </w:r>
      <w:r w:rsidRPr="007409EC">
        <w:rPr>
          <w:rFonts w:hint="cs"/>
          <w:szCs w:val="28"/>
          <w:rtl/>
          <w:lang w:val="fr-CH"/>
        </w:rPr>
        <w:tab/>
      </w:r>
      <w:r w:rsidR="009D4FC6" w:rsidRPr="007409EC">
        <w:rPr>
          <w:szCs w:val="28"/>
          <w:rtl/>
          <w:lang w:val="fr-CH"/>
        </w:rPr>
        <w:t>-</w:t>
      </w:r>
      <w:r w:rsidR="009D4FC6" w:rsidRPr="007409EC">
        <w:rPr>
          <w:szCs w:val="28"/>
          <w:rtl/>
          <w:lang w:val="fr-CH"/>
        </w:rPr>
        <w:tab/>
        <w:t>سكان أوغندا</w:t>
      </w:r>
      <w:r w:rsidR="009D4FC6" w:rsidRPr="007409EC">
        <w:rPr>
          <w:szCs w:val="28"/>
          <w:rtl/>
          <w:lang w:val="fr-CH"/>
        </w:rPr>
        <w:tab/>
      </w:r>
      <w:r w:rsidRPr="007409EC">
        <w:rPr>
          <w:rFonts w:hint="cs"/>
          <w:szCs w:val="28"/>
          <w:rtl/>
          <w:lang w:val="fr-CH"/>
        </w:rPr>
        <w:tab/>
      </w:r>
      <w:r>
        <w:rPr>
          <w:rFonts w:hint="cs"/>
          <w:szCs w:val="28"/>
          <w:rtl/>
          <w:lang w:val="fr-CH"/>
        </w:rPr>
        <w:t>2-5</w:t>
      </w:r>
      <w:r w:rsidRPr="007409EC">
        <w:rPr>
          <w:rFonts w:hint="cs"/>
          <w:szCs w:val="28"/>
          <w:rtl/>
          <w:lang w:val="fr-CH"/>
        </w:rPr>
        <w:tab/>
      </w:r>
      <w:r w:rsidR="009D4FC6" w:rsidRPr="007409EC">
        <w:rPr>
          <w:szCs w:val="28"/>
          <w:rtl/>
          <w:lang w:val="fr-CH"/>
        </w:rPr>
        <w:t>4</w:t>
      </w:r>
    </w:p>
    <w:p w:rsidR="009D4FC6" w:rsidRPr="007409EC" w:rsidRDefault="007409EC" w:rsidP="00441F02">
      <w:pPr>
        <w:tabs>
          <w:tab w:val="right" w:pos="1021"/>
          <w:tab w:val="left" w:pos="1077"/>
          <w:tab w:val="left" w:pos="1525"/>
          <w:tab w:val="left" w:pos="1842"/>
          <w:tab w:val="left" w:pos="2206"/>
          <w:tab w:val="left" w:pos="2681"/>
          <w:tab w:val="left" w:leader="dot" w:pos="7469"/>
          <w:tab w:val="left" w:pos="7972"/>
          <w:tab w:val="right" w:pos="9638"/>
        </w:tabs>
        <w:spacing w:after="60" w:line="360" w:lineRule="exact"/>
        <w:ind w:left="2189" w:right="2200" w:hanging="2189"/>
        <w:rPr>
          <w:szCs w:val="28"/>
          <w:rtl/>
          <w:lang w:val="fr-CH"/>
        </w:rPr>
      </w:pPr>
      <w:r>
        <w:rPr>
          <w:rFonts w:hint="cs"/>
          <w:szCs w:val="28"/>
          <w:rtl/>
          <w:lang w:val="fr-CH"/>
        </w:rPr>
        <w:tab/>
      </w:r>
      <w:r>
        <w:rPr>
          <w:rFonts w:hint="cs"/>
          <w:szCs w:val="28"/>
          <w:rtl/>
          <w:lang w:val="fr-CH"/>
        </w:rPr>
        <w:tab/>
      </w:r>
      <w:r>
        <w:rPr>
          <w:rFonts w:hint="cs"/>
          <w:szCs w:val="28"/>
          <w:rtl/>
          <w:lang w:val="fr-CH"/>
        </w:rPr>
        <w:tab/>
      </w:r>
      <w:r w:rsidR="009D4FC6" w:rsidRPr="007409EC">
        <w:rPr>
          <w:szCs w:val="28"/>
          <w:rtl/>
          <w:lang w:val="fr-CH"/>
        </w:rPr>
        <w:t>باء</w:t>
      </w:r>
      <w:r>
        <w:rPr>
          <w:rFonts w:hint="cs"/>
          <w:szCs w:val="28"/>
          <w:rtl/>
          <w:lang w:val="fr-CH"/>
        </w:rPr>
        <w:tab/>
      </w:r>
      <w:r w:rsidR="009D4FC6" w:rsidRPr="007409EC">
        <w:rPr>
          <w:szCs w:val="28"/>
          <w:rtl/>
          <w:lang w:val="fr-CH"/>
        </w:rPr>
        <w:t>-</w:t>
      </w:r>
      <w:r w:rsidR="009D4FC6" w:rsidRPr="007409EC">
        <w:rPr>
          <w:szCs w:val="28"/>
          <w:rtl/>
          <w:lang w:val="fr-CH"/>
        </w:rPr>
        <w:tab/>
        <w:t>اتجاهات الهجرة</w:t>
      </w:r>
      <w:r w:rsidR="009D4FC6" w:rsidRPr="007409EC">
        <w:rPr>
          <w:szCs w:val="28"/>
          <w:rtl/>
          <w:lang w:val="fr-CH"/>
        </w:rPr>
        <w:tab/>
      </w:r>
      <w:r>
        <w:rPr>
          <w:rFonts w:hint="cs"/>
          <w:szCs w:val="28"/>
          <w:rtl/>
          <w:lang w:val="fr-CH"/>
        </w:rPr>
        <w:tab/>
        <w:t>6-11</w:t>
      </w:r>
      <w:r>
        <w:rPr>
          <w:szCs w:val="28"/>
          <w:rtl/>
          <w:lang w:val="fr-CH"/>
        </w:rPr>
        <w:tab/>
      </w:r>
      <w:r w:rsidR="009D4FC6" w:rsidRPr="007409EC">
        <w:rPr>
          <w:szCs w:val="28"/>
          <w:rtl/>
          <w:lang w:val="fr-CH"/>
        </w:rPr>
        <w:t>6</w:t>
      </w:r>
    </w:p>
    <w:p w:rsidR="009D4FC6" w:rsidRPr="007409EC" w:rsidRDefault="007409EC" w:rsidP="007409EC">
      <w:pPr>
        <w:tabs>
          <w:tab w:val="right" w:pos="1021"/>
          <w:tab w:val="left" w:pos="1077"/>
          <w:tab w:val="left" w:pos="1525"/>
          <w:tab w:val="left" w:pos="1842"/>
          <w:tab w:val="left" w:pos="2206"/>
          <w:tab w:val="left" w:pos="2681"/>
          <w:tab w:val="left" w:leader="dot" w:pos="7469"/>
          <w:tab w:val="left" w:pos="7972"/>
          <w:tab w:val="right" w:pos="9638"/>
        </w:tabs>
        <w:spacing w:after="120" w:line="360" w:lineRule="exact"/>
        <w:ind w:left="2189" w:right="2200" w:hanging="2189"/>
        <w:rPr>
          <w:szCs w:val="28"/>
          <w:rtl/>
          <w:lang w:val="fr-CH"/>
        </w:rPr>
      </w:pPr>
      <w:r>
        <w:rPr>
          <w:rFonts w:hint="cs"/>
          <w:szCs w:val="28"/>
          <w:rtl/>
          <w:lang w:val="fr-CH"/>
        </w:rPr>
        <w:tab/>
      </w:r>
      <w:r>
        <w:rPr>
          <w:szCs w:val="28"/>
          <w:rtl/>
          <w:lang w:val="fr-CH"/>
        </w:rPr>
        <w:tab/>
      </w:r>
      <w:r>
        <w:rPr>
          <w:rFonts w:hint="cs"/>
          <w:szCs w:val="28"/>
          <w:rtl/>
          <w:lang w:val="fr-CH"/>
        </w:rPr>
        <w:tab/>
      </w:r>
      <w:r w:rsidR="009D4FC6" w:rsidRPr="007409EC">
        <w:rPr>
          <w:szCs w:val="28"/>
          <w:rtl/>
          <w:lang w:val="fr-CH"/>
        </w:rPr>
        <w:t>جيم</w:t>
      </w:r>
      <w:r>
        <w:rPr>
          <w:rFonts w:hint="cs"/>
          <w:szCs w:val="28"/>
          <w:rtl/>
          <w:lang w:val="fr-CH"/>
        </w:rPr>
        <w:tab/>
      </w:r>
      <w:r w:rsidR="009D4FC6" w:rsidRPr="007409EC">
        <w:rPr>
          <w:szCs w:val="28"/>
          <w:rtl/>
          <w:lang w:val="fr-CH"/>
        </w:rPr>
        <w:t>-</w:t>
      </w:r>
      <w:r w:rsidR="009D4FC6" w:rsidRPr="007409EC">
        <w:rPr>
          <w:szCs w:val="28"/>
          <w:rtl/>
          <w:lang w:val="fr-CH"/>
        </w:rPr>
        <w:tab/>
        <w:t>الحالة الاقتصادية والاجتماعية والثقافية</w:t>
      </w:r>
      <w:r w:rsidR="009D4FC6" w:rsidRPr="007409EC">
        <w:rPr>
          <w:szCs w:val="28"/>
          <w:rtl/>
          <w:lang w:val="fr-CH"/>
        </w:rPr>
        <w:tab/>
      </w:r>
      <w:r>
        <w:rPr>
          <w:rFonts w:hint="cs"/>
          <w:szCs w:val="28"/>
          <w:rtl/>
          <w:lang w:val="fr-CH"/>
        </w:rPr>
        <w:tab/>
        <w:t>12-42</w:t>
      </w:r>
      <w:r>
        <w:rPr>
          <w:szCs w:val="28"/>
          <w:rtl/>
          <w:lang w:val="fr-CH"/>
        </w:rPr>
        <w:tab/>
      </w:r>
      <w:r w:rsidR="009D4FC6" w:rsidRPr="007409EC">
        <w:rPr>
          <w:szCs w:val="28"/>
          <w:rtl/>
          <w:lang w:val="fr-CH"/>
        </w:rPr>
        <w:t>8</w:t>
      </w:r>
    </w:p>
    <w:p w:rsidR="009D4FC6" w:rsidRPr="007409EC" w:rsidRDefault="007409EC" w:rsidP="007409EC">
      <w:pPr>
        <w:tabs>
          <w:tab w:val="right" w:pos="1021"/>
          <w:tab w:val="left" w:pos="1077"/>
          <w:tab w:val="left" w:pos="1525"/>
          <w:tab w:val="left" w:pos="1842"/>
          <w:tab w:val="left" w:pos="2206"/>
          <w:tab w:val="left" w:pos="2681"/>
          <w:tab w:val="left" w:leader="dot" w:pos="7469"/>
          <w:tab w:val="left" w:pos="7972"/>
          <w:tab w:val="right" w:pos="9638"/>
        </w:tabs>
        <w:spacing w:after="120" w:line="360" w:lineRule="exact"/>
        <w:rPr>
          <w:szCs w:val="28"/>
          <w:rtl/>
          <w:lang w:val="fr-CH"/>
        </w:rPr>
      </w:pPr>
      <w:r w:rsidRPr="007409EC">
        <w:rPr>
          <w:rFonts w:hint="cs"/>
          <w:szCs w:val="28"/>
          <w:rtl/>
          <w:lang w:val="fr-CH"/>
        </w:rPr>
        <w:tab/>
      </w:r>
      <w:r w:rsidR="009D4FC6" w:rsidRPr="007409EC">
        <w:rPr>
          <w:szCs w:val="28"/>
          <w:rtl/>
          <w:lang w:val="fr-CH"/>
        </w:rPr>
        <w:t>ثانياً</w:t>
      </w:r>
      <w:r w:rsidRPr="007409EC">
        <w:rPr>
          <w:rFonts w:hint="cs"/>
          <w:szCs w:val="28"/>
          <w:rtl/>
          <w:lang w:val="fr-CH"/>
        </w:rPr>
        <w:tab/>
      </w:r>
      <w:r w:rsidR="009D4FC6" w:rsidRPr="007409EC">
        <w:rPr>
          <w:szCs w:val="28"/>
          <w:rtl/>
          <w:lang w:val="fr-CH"/>
        </w:rPr>
        <w:t>-</w:t>
      </w:r>
      <w:r w:rsidR="009D4FC6" w:rsidRPr="007409EC">
        <w:rPr>
          <w:szCs w:val="28"/>
          <w:rtl/>
          <w:lang w:val="fr-CH"/>
        </w:rPr>
        <w:tab/>
        <w:t>الهيكل القانوني والسياسي للدولة</w:t>
      </w:r>
      <w:r w:rsidR="009D4FC6" w:rsidRPr="007409EC">
        <w:rPr>
          <w:szCs w:val="28"/>
          <w:rtl/>
          <w:lang w:val="fr-CH"/>
        </w:rPr>
        <w:tab/>
      </w:r>
      <w:r w:rsidRPr="007409EC">
        <w:rPr>
          <w:rFonts w:hint="cs"/>
          <w:szCs w:val="28"/>
          <w:rtl/>
          <w:lang w:val="fr-CH"/>
        </w:rPr>
        <w:tab/>
      </w:r>
      <w:r>
        <w:rPr>
          <w:rFonts w:hint="cs"/>
          <w:szCs w:val="28"/>
          <w:rtl/>
          <w:lang w:val="fr-CH"/>
        </w:rPr>
        <w:t>43-49</w:t>
      </w:r>
      <w:r w:rsidRPr="007409EC">
        <w:rPr>
          <w:rFonts w:hint="cs"/>
          <w:szCs w:val="28"/>
          <w:rtl/>
          <w:lang w:val="fr-CH"/>
        </w:rPr>
        <w:tab/>
      </w:r>
      <w:r w:rsidR="009D4FC6" w:rsidRPr="007409EC">
        <w:rPr>
          <w:szCs w:val="28"/>
          <w:rtl/>
          <w:lang w:val="fr-CH"/>
        </w:rPr>
        <w:t>18</w:t>
      </w:r>
    </w:p>
    <w:p w:rsidR="009D4FC6" w:rsidRPr="007409EC" w:rsidRDefault="007409EC" w:rsidP="007409EC">
      <w:pPr>
        <w:tabs>
          <w:tab w:val="right" w:pos="1021"/>
          <w:tab w:val="left" w:pos="1077"/>
          <w:tab w:val="left" w:pos="1525"/>
          <w:tab w:val="left" w:pos="1842"/>
          <w:tab w:val="left" w:pos="2206"/>
          <w:tab w:val="left" w:pos="2681"/>
          <w:tab w:val="left" w:leader="dot" w:pos="7469"/>
          <w:tab w:val="left" w:pos="7972"/>
          <w:tab w:val="right" w:pos="9638"/>
        </w:tabs>
        <w:spacing w:after="120" w:line="360" w:lineRule="exact"/>
        <w:rPr>
          <w:szCs w:val="28"/>
          <w:rtl/>
          <w:lang w:val="fr-CH"/>
        </w:rPr>
      </w:pPr>
      <w:r>
        <w:rPr>
          <w:rFonts w:hint="cs"/>
          <w:szCs w:val="28"/>
          <w:rtl/>
          <w:lang w:val="fr-CH"/>
        </w:rPr>
        <w:tab/>
      </w:r>
      <w:r w:rsidR="009D4FC6" w:rsidRPr="007409EC">
        <w:rPr>
          <w:szCs w:val="28"/>
          <w:rtl/>
          <w:lang w:val="fr-CH"/>
        </w:rPr>
        <w:t>ثالثاً</w:t>
      </w:r>
      <w:r>
        <w:rPr>
          <w:rFonts w:hint="cs"/>
          <w:szCs w:val="28"/>
          <w:rtl/>
          <w:lang w:val="fr-CH"/>
        </w:rPr>
        <w:tab/>
      </w:r>
      <w:r w:rsidR="009D4FC6" w:rsidRPr="007409EC">
        <w:rPr>
          <w:szCs w:val="28"/>
          <w:rtl/>
          <w:lang w:val="fr-CH"/>
        </w:rPr>
        <w:t>-</w:t>
      </w:r>
      <w:r w:rsidR="009D4FC6" w:rsidRPr="007409EC">
        <w:rPr>
          <w:szCs w:val="28"/>
          <w:rtl/>
          <w:lang w:val="fr-CH"/>
        </w:rPr>
        <w:tab/>
        <w:t>الإطار العام لحماية حقوق الإنسان</w:t>
      </w:r>
      <w:r w:rsidR="009D4FC6" w:rsidRPr="007409EC">
        <w:rPr>
          <w:szCs w:val="28"/>
          <w:rtl/>
          <w:lang w:val="fr-CH"/>
        </w:rPr>
        <w:tab/>
      </w:r>
      <w:r>
        <w:rPr>
          <w:rFonts w:hint="cs"/>
          <w:szCs w:val="28"/>
          <w:rtl/>
          <w:lang w:val="fr-CH"/>
        </w:rPr>
        <w:tab/>
        <w:t>50-53</w:t>
      </w:r>
      <w:r>
        <w:rPr>
          <w:szCs w:val="28"/>
          <w:rtl/>
          <w:lang w:val="fr-CH"/>
        </w:rPr>
        <w:tab/>
      </w:r>
      <w:r w:rsidR="009D4FC6" w:rsidRPr="007409EC">
        <w:rPr>
          <w:szCs w:val="28"/>
          <w:rtl/>
          <w:lang w:val="fr-CH"/>
        </w:rPr>
        <w:t>21</w:t>
      </w:r>
    </w:p>
    <w:p w:rsidR="009D4FC6" w:rsidRPr="007409EC" w:rsidRDefault="007409EC" w:rsidP="007409EC">
      <w:pPr>
        <w:tabs>
          <w:tab w:val="right" w:pos="1021"/>
          <w:tab w:val="left" w:pos="1077"/>
          <w:tab w:val="left" w:pos="1525"/>
          <w:tab w:val="left" w:pos="1842"/>
          <w:tab w:val="left" w:pos="2206"/>
          <w:tab w:val="left" w:pos="2681"/>
          <w:tab w:val="left" w:leader="dot" w:pos="7469"/>
          <w:tab w:val="left" w:pos="7972"/>
          <w:tab w:val="right" w:pos="9638"/>
        </w:tabs>
        <w:spacing w:after="120" w:line="360" w:lineRule="exact"/>
        <w:rPr>
          <w:szCs w:val="28"/>
          <w:rtl/>
          <w:lang w:val="fr-CH"/>
        </w:rPr>
      </w:pPr>
      <w:r>
        <w:rPr>
          <w:rFonts w:hint="cs"/>
          <w:szCs w:val="28"/>
          <w:rtl/>
          <w:lang w:val="fr-CH"/>
        </w:rPr>
        <w:tab/>
      </w:r>
      <w:r w:rsidR="009D4FC6" w:rsidRPr="007409EC">
        <w:rPr>
          <w:szCs w:val="28"/>
          <w:rtl/>
          <w:lang w:val="fr-CH"/>
        </w:rPr>
        <w:t>رابعاً</w:t>
      </w:r>
      <w:r>
        <w:rPr>
          <w:rFonts w:hint="cs"/>
          <w:szCs w:val="28"/>
          <w:rtl/>
          <w:lang w:val="fr-CH"/>
        </w:rPr>
        <w:tab/>
      </w:r>
      <w:r w:rsidR="009D4FC6" w:rsidRPr="007409EC">
        <w:rPr>
          <w:szCs w:val="28"/>
          <w:rtl/>
          <w:lang w:val="fr-CH"/>
        </w:rPr>
        <w:t>-</w:t>
      </w:r>
      <w:r w:rsidR="009D4FC6" w:rsidRPr="007409EC">
        <w:rPr>
          <w:szCs w:val="28"/>
          <w:rtl/>
          <w:lang w:val="fr-CH"/>
        </w:rPr>
        <w:tab/>
        <w:t>الإطار الوطني لحماية حقوق الإنسان</w:t>
      </w:r>
      <w:r w:rsidR="009D4FC6" w:rsidRPr="007409EC">
        <w:rPr>
          <w:szCs w:val="28"/>
          <w:rtl/>
          <w:lang w:val="fr-CH"/>
        </w:rPr>
        <w:tab/>
      </w:r>
      <w:r>
        <w:rPr>
          <w:rFonts w:hint="cs"/>
          <w:szCs w:val="28"/>
          <w:rtl/>
          <w:lang w:val="fr-CH"/>
        </w:rPr>
        <w:tab/>
        <w:t>54-59</w:t>
      </w:r>
      <w:r>
        <w:rPr>
          <w:szCs w:val="28"/>
          <w:rtl/>
          <w:lang w:val="fr-CH"/>
        </w:rPr>
        <w:tab/>
      </w:r>
      <w:r w:rsidR="009D4FC6" w:rsidRPr="007409EC">
        <w:rPr>
          <w:szCs w:val="28"/>
          <w:rtl/>
          <w:lang w:val="fr-CH"/>
        </w:rPr>
        <w:t>23</w:t>
      </w:r>
    </w:p>
    <w:p w:rsidR="009D4FC6" w:rsidRPr="007409EC" w:rsidRDefault="007409EC" w:rsidP="007409EC">
      <w:pPr>
        <w:tabs>
          <w:tab w:val="right" w:pos="1021"/>
          <w:tab w:val="left" w:pos="1077"/>
          <w:tab w:val="left" w:pos="1525"/>
          <w:tab w:val="left" w:pos="1842"/>
          <w:tab w:val="left" w:pos="2206"/>
          <w:tab w:val="left" w:pos="2681"/>
          <w:tab w:val="left" w:leader="dot" w:pos="7469"/>
          <w:tab w:val="left" w:pos="7972"/>
          <w:tab w:val="right" w:pos="9638"/>
        </w:tabs>
        <w:spacing w:after="120" w:line="360" w:lineRule="exact"/>
        <w:rPr>
          <w:szCs w:val="28"/>
          <w:rtl/>
          <w:lang w:val="fr-CH"/>
        </w:rPr>
      </w:pPr>
      <w:r>
        <w:rPr>
          <w:rFonts w:hint="cs"/>
          <w:szCs w:val="28"/>
          <w:rtl/>
          <w:lang w:val="fr-CH"/>
        </w:rPr>
        <w:tab/>
      </w:r>
      <w:r w:rsidR="009D4FC6" w:rsidRPr="007409EC">
        <w:rPr>
          <w:szCs w:val="28"/>
          <w:rtl/>
          <w:lang w:val="fr-CH"/>
        </w:rPr>
        <w:t>خامساً</w:t>
      </w:r>
      <w:r>
        <w:rPr>
          <w:rFonts w:hint="cs"/>
          <w:szCs w:val="28"/>
          <w:rtl/>
          <w:lang w:val="fr-CH"/>
        </w:rPr>
        <w:tab/>
      </w:r>
      <w:r w:rsidR="009D4FC6" w:rsidRPr="007409EC">
        <w:rPr>
          <w:szCs w:val="28"/>
          <w:rtl/>
          <w:lang w:val="fr-CH"/>
        </w:rPr>
        <w:t>-</w:t>
      </w:r>
      <w:r w:rsidR="009D4FC6" w:rsidRPr="007409EC">
        <w:rPr>
          <w:szCs w:val="28"/>
          <w:rtl/>
          <w:lang w:val="fr-CH"/>
        </w:rPr>
        <w:tab/>
        <w:t>عدم التمييز والمساواة وسبل الانتصاف الفعالة</w:t>
      </w:r>
      <w:r w:rsidR="009D4FC6" w:rsidRPr="007409EC">
        <w:rPr>
          <w:szCs w:val="28"/>
          <w:rtl/>
          <w:lang w:val="fr-CH"/>
        </w:rPr>
        <w:tab/>
      </w:r>
      <w:r>
        <w:rPr>
          <w:rFonts w:hint="cs"/>
          <w:szCs w:val="28"/>
          <w:rtl/>
          <w:lang w:val="fr-CH"/>
        </w:rPr>
        <w:tab/>
        <w:t>60-62</w:t>
      </w:r>
      <w:r>
        <w:rPr>
          <w:szCs w:val="28"/>
          <w:rtl/>
          <w:lang w:val="fr-CH"/>
        </w:rPr>
        <w:tab/>
      </w:r>
      <w:r w:rsidR="009D4FC6" w:rsidRPr="007409EC">
        <w:rPr>
          <w:szCs w:val="28"/>
          <w:rtl/>
          <w:lang w:val="fr-CH"/>
        </w:rPr>
        <w:t>26</w:t>
      </w:r>
    </w:p>
    <w:p w:rsidR="009D4FC6" w:rsidRPr="009D4FC6" w:rsidRDefault="007409EC" w:rsidP="000241CD">
      <w:pPr>
        <w:rPr>
          <w:sz w:val="30"/>
          <w:rtl/>
        </w:rPr>
      </w:pPr>
      <w:r>
        <w:rPr>
          <w:rFonts w:hint="cs"/>
          <w:sz w:val="30"/>
          <w:rtl/>
        </w:rPr>
        <w:tab/>
      </w:r>
      <w:r w:rsidR="009D4FC6" w:rsidRPr="009D4FC6">
        <w:rPr>
          <w:sz w:val="30"/>
          <w:rtl/>
        </w:rPr>
        <w:t>المرفق</w:t>
      </w:r>
      <w:r w:rsidRPr="007409EC">
        <w:rPr>
          <w:rStyle w:val="FootnoteReference"/>
          <w:sz w:val="20"/>
          <w:vertAlign w:val="baseline"/>
          <w:rtl/>
        </w:rPr>
        <w:footnoteReference w:customMarkFollows="1" w:id="2"/>
        <w:t>**</w:t>
      </w:r>
    </w:p>
    <w:p w:rsidR="009D4FC6" w:rsidRPr="007409EC" w:rsidRDefault="007409EC" w:rsidP="007409EC">
      <w:pPr>
        <w:tabs>
          <w:tab w:val="right" w:pos="1021"/>
          <w:tab w:val="left" w:pos="1077"/>
          <w:tab w:val="left" w:pos="1525"/>
          <w:tab w:val="left" w:pos="1842"/>
          <w:tab w:val="left" w:pos="2206"/>
          <w:tab w:val="left" w:pos="2681"/>
          <w:tab w:val="left" w:leader="dot" w:pos="9009"/>
          <w:tab w:val="right" w:pos="9638"/>
        </w:tabs>
        <w:spacing w:after="120" w:line="360" w:lineRule="exact"/>
        <w:rPr>
          <w:szCs w:val="28"/>
          <w:rtl/>
          <w:lang w:val="fr-CH"/>
        </w:rPr>
      </w:pPr>
      <w:r w:rsidRPr="007409EC">
        <w:rPr>
          <w:rFonts w:hint="cs"/>
          <w:szCs w:val="28"/>
          <w:rtl/>
          <w:lang w:val="fr-CH"/>
        </w:rPr>
        <w:tab/>
      </w:r>
      <w:r>
        <w:rPr>
          <w:rFonts w:hint="cs"/>
          <w:szCs w:val="28"/>
          <w:rtl/>
          <w:lang w:val="fr-CH"/>
        </w:rPr>
        <w:tab/>
      </w:r>
      <w:r w:rsidRPr="007409EC">
        <w:rPr>
          <w:rFonts w:hint="cs"/>
          <w:szCs w:val="28"/>
          <w:rtl/>
          <w:lang w:val="fr-CH"/>
        </w:rPr>
        <w:tab/>
      </w:r>
      <w:r w:rsidR="009D4FC6" w:rsidRPr="007409EC">
        <w:rPr>
          <w:szCs w:val="28"/>
          <w:rtl/>
          <w:lang w:val="fr-CH"/>
        </w:rPr>
        <w:t>حالة التصديق على الصكوك الأخرى لحقوق الإنسان</w:t>
      </w:r>
      <w:r w:rsidR="009D4FC6" w:rsidRPr="007409EC">
        <w:rPr>
          <w:szCs w:val="28"/>
          <w:rtl/>
          <w:lang w:val="fr-CH"/>
        </w:rPr>
        <w:tab/>
      </w:r>
      <w:r>
        <w:rPr>
          <w:rFonts w:hint="cs"/>
          <w:szCs w:val="28"/>
          <w:rtl/>
          <w:lang w:val="fr-CH"/>
        </w:rPr>
        <w:tab/>
      </w:r>
      <w:r w:rsidR="009D4FC6" w:rsidRPr="007409EC">
        <w:rPr>
          <w:szCs w:val="28"/>
          <w:rtl/>
          <w:lang w:val="fr-CH"/>
        </w:rPr>
        <w:t>28</w:t>
      </w:r>
    </w:p>
    <w:p w:rsidR="00225595" w:rsidRDefault="00225595" w:rsidP="00225595">
      <w:pPr>
        <w:rPr>
          <w:sz w:val="30"/>
          <w:rtl/>
        </w:rPr>
      </w:pPr>
    </w:p>
    <w:p w:rsidR="00225595" w:rsidRDefault="00225595" w:rsidP="00461417">
      <w:pPr>
        <w:bidi w:val="0"/>
        <w:spacing w:line="240" w:lineRule="auto"/>
        <w:jc w:val="center"/>
        <w:rPr>
          <w:sz w:val="30"/>
        </w:rPr>
      </w:pPr>
      <w:r>
        <w:rPr>
          <w:sz w:val="30"/>
          <w:rtl/>
        </w:rPr>
        <w:br w:type="page"/>
      </w:r>
      <w:r w:rsidR="00461417">
        <w:rPr>
          <w:noProof/>
        </w:rPr>
        <w:lastRenderedPageBreak/>
        <w:drawing>
          <wp:inline distT="0" distB="0" distL="0" distR="0" wp14:anchorId="520FF549" wp14:editId="4941CEF4">
            <wp:extent cx="4686300" cy="5876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300" cy="5876925"/>
                    </a:xfrm>
                    <a:prstGeom prst="rect">
                      <a:avLst/>
                    </a:prstGeom>
                    <a:noFill/>
                    <a:ln>
                      <a:noFill/>
                    </a:ln>
                  </pic:spPr>
                </pic:pic>
              </a:graphicData>
            </a:graphic>
          </wp:inline>
        </w:drawing>
      </w:r>
    </w:p>
    <w:p w:rsidR="00225595" w:rsidRDefault="00225595" w:rsidP="00C43876">
      <w:pPr>
        <w:pStyle w:val="HChGA"/>
        <w:spacing w:before="120"/>
        <w:rPr>
          <w:rtl/>
        </w:rPr>
      </w:pPr>
      <w:r>
        <w:rPr>
          <w:rtl/>
        </w:rPr>
        <w:br w:type="page"/>
      </w:r>
      <w:r>
        <w:rPr>
          <w:rFonts w:hint="cs"/>
          <w:rtl/>
        </w:rPr>
        <w:lastRenderedPageBreak/>
        <w:tab/>
      </w:r>
      <w:bookmarkStart w:id="1" w:name="_Toc421870475"/>
      <w:r>
        <w:rPr>
          <w:rFonts w:hint="cs"/>
          <w:rtl/>
        </w:rPr>
        <w:t>أولاً-</w:t>
      </w:r>
      <w:r>
        <w:rPr>
          <w:rFonts w:hint="cs"/>
          <w:rtl/>
        </w:rPr>
        <w:tab/>
        <w:t>وقائع ومعلومات إحصائية عامة عن أوغندا</w:t>
      </w:r>
      <w:bookmarkEnd w:id="1"/>
    </w:p>
    <w:p w:rsidR="00225595" w:rsidRPr="00C43876" w:rsidRDefault="00225595" w:rsidP="00F03BEA">
      <w:pPr>
        <w:pStyle w:val="SingleTxtGA"/>
        <w:rPr>
          <w:spacing w:val="-4"/>
          <w:rtl/>
        </w:rPr>
      </w:pPr>
      <w:r w:rsidRPr="00C43876">
        <w:rPr>
          <w:rFonts w:hint="cs"/>
          <w:spacing w:val="-4"/>
          <w:rtl/>
        </w:rPr>
        <w:t>1-</w:t>
      </w:r>
      <w:r w:rsidRPr="00C43876">
        <w:rPr>
          <w:rFonts w:hint="cs"/>
          <w:spacing w:val="-4"/>
          <w:rtl/>
        </w:rPr>
        <w:tab/>
        <w:t>أوغندا بلد غير ساحلي يقع على خط الاستواء في الجزء الشرقي/الأوسط من القارة الأفريقية. ويحدها من الشمال جنوب السودان، ومن الغرب جمهورية الكونغو الديمقراطية، ومن الجنوب الغربي رواندا، ومن الجنوب جمهورية تنزانيا المتحدة، ومن الشرق كينيا. وتغطي البحيرات الداخلية 20 في المائة من مساحة البلد بينما تتوزع بقية المساحة على الغابات المطيرة والسافانا إضافة إلى سلاسل الجبال على حدودها الغربية والشرقية. ومناخ أوغندا استوائي يتسم بفصلي أمطار في السنة على معظم أجزاء البلد (آذار/مارس - حزيران/يونيه وآب/أغسطس - تشرين الثاني/نوفمبر).</w:t>
      </w:r>
    </w:p>
    <w:p w:rsidR="00225595" w:rsidRPr="00236A78" w:rsidRDefault="00F03BEA" w:rsidP="00F03BEA">
      <w:pPr>
        <w:pStyle w:val="H1GA"/>
        <w:rPr>
          <w:rtl/>
        </w:rPr>
      </w:pPr>
      <w:r>
        <w:rPr>
          <w:rFonts w:hint="cs"/>
          <w:rtl/>
        </w:rPr>
        <w:tab/>
      </w:r>
      <w:bookmarkStart w:id="2" w:name="_Toc421870476"/>
      <w:r w:rsidR="00225595" w:rsidRPr="00236A78">
        <w:rPr>
          <w:rFonts w:hint="cs"/>
          <w:rtl/>
        </w:rPr>
        <w:t>ألف-</w:t>
      </w:r>
      <w:r w:rsidR="00225595" w:rsidRPr="00236A78">
        <w:rPr>
          <w:rFonts w:hint="cs"/>
          <w:rtl/>
        </w:rPr>
        <w:tab/>
        <w:t>سكان أوغندا</w:t>
      </w:r>
      <w:bookmarkEnd w:id="2"/>
    </w:p>
    <w:p w:rsidR="00225595" w:rsidRDefault="00225595" w:rsidP="00F03BEA">
      <w:pPr>
        <w:pStyle w:val="SingleTxtGA"/>
        <w:rPr>
          <w:rtl/>
        </w:rPr>
      </w:pPr>
      <w:r>
        <w:rPr>
          <w:rFonts w:hint="cs"/>
          <w:rtl/>
        </w:rPr>
        <w:t>2-</w:t>
      </w:r>
      <w:r>
        <w:rPr>
          <w:rFonts w:hint="cs"/>
          <w:rtl/>
        </w:rPr>
        <w:tab/>
        <w:t xml:space="preserve">زاد عدد سكان أوغندا زيادة كبيرة خلال السنوات العشرين الماضية. ووفقاً للنتائج </w:t>
      </w:r>
      <w:r w:rsidRPr="00C43876">
        <w:rPr>
          <w:rFonts w:hint="cs"/>
          <w:spacing w:val="-2"/>
          <w:rtl/>
        </w:rPr>
        <w:t>الأولية للتعداد الوطني للسكان والمساكن الذي أجراه مكتب الإحصاءات الأوغندي عام 2014،</w:t>
      </w:r>
      <w:r>
        <w:rPr>
          <w:rFonts w:hint="cs"/>
          <w:rtl/>
        </w:rPr>
        <w:t xml:space="preserve"> زاد عدد سكان أوغندا من 24.2 مليون نسمة عام 2002 إلى حوالي 34.8 مليون نسمة عام 2014</w:t>
      </w:r>
      <w:r>
        <w:rPr>
          <w:vertAlign w:val="superscript"/>
          <w:rtl/>
        </w:rPr>
        <w:t>(</w:t>
      </w:r>
      <w:r>
        <w:rPr>
          <w:rStyle w:val="FootnoteReference"/>
          <w:rtl/>
        </w:rPr>
        <w:footnoteReference w:id="3"/>
      </w:r>
      <w:r>
        <w:rPr>
          <w:vertAlign w:val="superscript"/>
          <w:rtl/>
        </w:rPr>
        <w:t>)</w:t>
      </w:r>
      <w:r>
        <w:rPr>
          <w:rFonts w:hint="cs"/>
          <w:rtl/>
        </w:rPr>
        <w:t>. ومن المتوقع أن يصل هذا العدد إلى 35.8 مليون نسمة عام 2015</w:t>
      </w:r>
      <w:r>
        <w:rPr>
          <w:vertAlign w:val="superscript"/>
          <w:rtl/>
        </w:rPr>
        <w:t>(</w:t>
      </w:r>
      <w:r>
        <w:rPr>
          <w:rStyle w:val="FootnoteReference"/>
          <w:rtl/>
        </w:rPr>
        <w:footnoteReference w:id="4"/>
      </w:r>
      <w:r>
        <w:rPr>
          <w:vertAlign w:val="superscript"/>
          <w:rtl/>
        </w:rPr>
        <w:t>)</w:t>
      </w:r>
      <w:r>
        <w:rPr>
          <w:rFonts w:hint="cs"/>
          <w:rtl/>
        </w:rPr>
        <w:t>. وبذلك يكون عدد السكان قد زاد بمعدل 3.03 في المائة سنوياً بين عامي 2002 و2014</w:t>
      </w:r>
      <w:r>
        <w:rPr>
          <w:vertAlign w:val="superscript"/>
          <w:rtl/>
        </w:rPr>
        <w:t>(</w:t>
      </w:r>
      <w:r>
        <w:rPr>
          <w:rStyle w:val="FootnoteReference"/>
          <w:rtl/>
        </w:rPr>
        <w:footnoteReference w:id="5"/>
      </w:r>
      <w:r>
        <w:rPr>
          <w:vertAlign w:val="superscript"/>
          <w:rtl/>
        </w:rPr>
        <w:t>)</w:t>
      </w:r>
      <w:r>
        <w:rPr>
          <w:rFonts w:hint="cs"/>
          <w:rtl/>
        </w:rPr>
        <w:t>. وقد أدى ذلك بدوره إلى زيادة في الكثافة السكانية من 123 شخصاً في الكيلومتر المربع عام 2002 إلى 174 شخصاً في الكيلومتر المربع عام 2014</w:t>
      </w:r>
      <w:r>
        <w:rPr>
          <w:vertAlign w:val="superscript"/>
          <w:rtl/>
        </w:rPr>
        <w:t>(</w:t>
      </w:r>
      <w:r>
        <w:rPr>
          <w:rStyle w:val="FootnoteReference"/>
          <w:rtl/>
        </w:rPr>
        <w:footnoteReference w:id="6"/>
      </w:r>
      <w:r>
        <w:rPr>
          <w:vertAlign w:val="superscript"/>
          <w:rtl/>
        </w:rPr>
        <w:t>)</w:t>
      </w:r>
      <w:r>
        <w:rPr>
          <w:rFonts w:hint="cs"/>
          <w:rtl/>
        </w:rPr>
        <w:t>. ويشكل الإناث 52 في المائة تقريباً من السكان. أما نسبة الذكور إلى الإناث فهي 94.5 لكل 100 أنثى</w:t>
      </w:r>
      <w:r>
        <w:rPr>
          <w:vertAlign w:val="superscript"/>
          <w:rtl/>
        </w:rPr>
        <w:t>(</w:t>
      </w:r>
      <w:r>
        <w:rPr>
          <w:rStyle w:val="FootnoteReference"/>
          <w:rtl/>
        </w:rPr>
        <w:footnoteReference w:id="7"/>
      </w:r>
      <w:r>
        <w:rPr>
          <w:vertAlign w:val="superscript"/>
          <w:rtl/>
        </w:rPr>
        <w:t>)</w:t>
      </w:r>
      <w:r>
        <w:rPr>
          <w:rFonts w:hint="cs"/>
          <w:rtl/>
        </w:rPr>
        <w:t>. وقد تراجعت هذه النسبة تراجعاً طفيفاً عن النتائج التي سُجلت عامي 2002 و1999 عندما بلغ عدد الذكور 95.3 و96.5 لكل 100 أنثى على التوالي</w:t>
      </w:r>
      <w:r>
        <w:rPr>
          <w:vertAlign w:val="superscript"/>
          <w:rtl/>
        </w:rPr>
        <w:t>(</w:t>
      </w:r>
      <w:r>
        <w:rPr>
          <w:rStyle w:val="FootnoteReference"/>
          <w:rtl/>
        </w:rPr>
        <w:footnoteReference w:id="8"/>
      </w:r>
      <w:r>
        <w:rPr>
          <w:vertAlign w:val="superscript"/>
          <w:rtl/>
        </w:rPr>
        <w:t>)</w:t>
      </w:r>
      <w:r>
        <w:rPr>
          <w:rFonts w:hint="cs"/>
          <w:rtl/>
        </w:rPr>
        <w:t>. وتجدر الإشارة إلى أن 24.8 مليون شخص في أوغندا يعيشون في المناطق الريفية وأن 6.4 ملايين شخص فقط يعيشون في المراكز الحضرية بينهم 1.5 مليون يعيشون في العاصمة كمبالا.</w:t>
      </w:r>
    </w:p>
    <w:p w:rsidR="00225595" w:rsidRPr="00C43876" w:rsidRDefault="00225595" w:rsidP="00F03BEA">
      <w:pPr>
        <w:pStyle w:val="SingleTxtGA"/>
        <w:rPr>
          <w:spacing w:val="-5"/>
          <w:rtl/>
        </w:rPr>
      </w:pPr>
      <w:r w:rsidRPr="00C43876">
        <w:rPr>
          <w:rFonts w:hint="cs"/>
          <w:spacing w:val="-5"/>
          <w:rtl/>
        </w:rPr>
        <w:t>3-</w:t>
      </w:r>
      <w:r w:rsidRPr="00C43876">
        <w:rPr>
          <w:rFonts w:hint="cs"/>
          <w:spacing w:val="-5"/>
          <w:rtl/>
        </w:rPr>
        <w:tab/>
        <w:t>ومع أن النتائج الأولية لتعداد عام 2014 لا تقدم معلومات عن توزّع أعمار سكان أوغندا، فإن الدراسة الاستقصائية الصحية والديمغرافية لأوغندا لعام 2011 المطبّقة على عدد السكان المتوقع لعام 2015 تقدم تقديراً في هذا المجال</w:t>
      </w:r>
      <w:r w:rsidRPr="00C43876">
        <w:rPr>
          <w:spacing w:val="-5"/>
          <w:vertAlign w:val="superscript"/>
          <w:rtl/>
        </w:rPr>
        <w:t>(</w:t>
      </w:r>
      <w:r w:rsidRPr="00C43876">
        <w:rPr>
          <w:rStyle w:val="FootnoteReference"/>
          <w:spacing w:val="-5"/>
          <w:rtl/>
        </w:rPr>
        <w:footnoteReference w:id="9"/>
      </w:r>
      <w:r w:rsidRPr="00C43876">
        <w:rPr>
          <w:spacing w:val="-5"/>
          <w:vertAlign w:val="superscript"/>
          <w:rtl/>
        </w:rPr>
        <w:t>)</w:t>
      </w:r>
      <w:r w:rsidRPr="00C43876">
        <w:rPr>
          <w:rFonts w:hint="cs"/>
          <w:spacing w:val="-5"/>
          <w:rtl/>
        </w:rPr>
        <w:t>. إذ تشير تقديرات عام 2011 إلى ما يلي:</w:t>
      </w:r>
    </w:p>
    <w:p w:rsidR="00225595" w:rsidRDefault="00225595" w:rsidP="00C43876">
      <w:pPr>
        <w:pStyle w:val="Bullet1GA"/>
        <w:bidi/>
      </w:pPr>
      <w:r>
        <w:rPr>
          <w:rFonts w:hint="cs"/>
          <w:rtl/>
        </w:rPr>
        <w:lastRenderedPageBreak/>
        <w:t>يُقدر عدد السكان الذين تقل أعمارهم عن خمس سنوات بحوالي 6.6 ملايين (19 في المائة)؛</w:t>
      </w:r>
    </w:p>
    <w:p w:rsidR="00225595" w:rsidRDefault="00225595" w:rsidP="0058053B">
      <w:pPr>
        <w:pStyle w:val="Bullet1GA"/>
        <w:bidi/>
      </w:pPr>
      <w:r>
        <w:rPr>
          <w:rFonts w:hint="cs"/>
          <w:rtl/>
        </w:rPr>
        <w:t>يُقدر عدد السكان الذين تتراوح أعمارهم بين ست</w:t>
      </w:r>
      <w:r w:rsidR="00C43876">
        <w:rPr>
          <w:rFonts w:hint="cs"/>
          <w:rtl/>
        </w:rPr>
        <w:t xml:space="preserve"> </w:t>
      </w:r>
      <w:r>
        <w:rPr>
          <w:rFonts w:hint="cs"/>
          <w:rtl/>
        </w:rPr>
        <w:t>سنوات و12 سنة بحوالي</w:t>
      </w:r>
      <w:r w:rsidR="0058053B">
        <w:rPr>
          <w:rFonts w:hint="eastAsia"/>
          <w:rtl/>
        </w:rPr>
        <w:t> </w:t>
      </w:r>
      <w:r>
        <w:rPr>
          <w:rFonts w:hint="cs"/>
          <w:rtl/>
        </w:rPr>
        <w:t>8.2 ملايين (23.7 في المائة)؛</w:t>
      </w:r>
    </w:p>
    <w:p w:rsidR="00225595" w:rsidRDefault="00225595" w:rsidP="0058053B">
      <w:pPr>
        <w:pStyle w:val="Bullet1GA"/>
        <w:bidi/>
        <w:rPr>
          <w:rtl/>
        </w:rPr>
      </w:pPr>
      <w:r>
        <w:rPr>
          <w:rFonts w:hint="cs"/>
          <w:rtl/>
        </w:rPr>
        <w:t>يُقدر عدد السكان الذين تتراوح أعمارهم بين 10 سنوات و24 سنة بحوالي</w:t>
      </w:r>
      <w:r w:rsidR="0058053B">
        <w:rPr>
          <w:rFonts w:hint="eastAsia"/>
          <w:rtl/>
        </w:rPr>
        <w:t> </w:t>
      </w:r>
      <w:r>
        <w:rPr>
          <w:rFonts w:hint="cs"/>
          <w:rtl/>
        </w:rPr>
        <w:t>11.2 مليون، أي أغلبية السكان (32.4 في المائة)</w:t>
      </w:r>
      <w:r>
        <w:rPr>
          <w:vertAlign w:val="superscript"/>
          <w:rtl/>
        </w:rPr>
        <w:t>(</w:t>
      </w:r>
      <w:r>
        <w:rPr>
          <w:rStyle w:val="FootnoteReference"/>
          <w:rtl/>
        </w:rPr>
        <w:footnoteReference w:id="10"/>
      </w:r>
      <w:r>
        <w:rPr>
          <w:vertAlign w:val="superscript"/>
          <w:rtl/>
        </w:rPr>
        <w:t>)</w:t>
      </w:r>
      <w:r>
        <w:rPr>
          <w:rFonts w:hint="cs"/>
          <w:rtl/>
        </w:rPr>
        <w:t>. ويعني ذلك أن أكثر من 75 في المائة من سكان أوغندا تقل أعمارهم عن 25 سنة. وتبلغ نسبة السكان الذين تقل أعمارهم عن 18 سنة 56.7 في المائة.</w:t>
      </w:r>
    </w:p>
    <w:p w:rsidR="00225595" w:rsidRDefault="00225595" w:rsidP="00F03BEA">
      <w:pPr>
        <w:pStyle w:val="SingleTxtGA"/>
        <w:rPr>
          <w:rtl/>
        </w:rPr>
      </w:pPr>
      <w:r>
        <w:rPr>
          <w:rFonts w:hint="cs"/>
          <w:rtl/>
        </w:rPr>
        <w:t>4-</w:t>
      </w:r>
      <w:r>
        <w:rPr>
          <w:rFonts w:hint="cs"/>
          <w:rtl/>
        </w:rPr>
        <w:tab/>
        <w:t>ويبيّن الجدول 1 أدناه بوضوح التركيبة العمرية للسكان.</w:t>
      </w:r>
    </w:p>
    <w:p w:rsidR="00225595" w:rsidRDefault="00225595" w:rsidP="00F03BEA">
      <w:pPr>
        <w:pStyle w:val="SingleTxtGA"/>
        <w:rPr>
          <w:b/>
          <w:bCs/>
          <w:rtl/>
        </w:rPr>
      </w:pPr>
      <w:r>
        <w:rPr>
          <w:rFonts w:hint="cs"/>
          <w:rtl/>
        </w:rPr>
        <w:t>الجدول 1</w:t>
      </w:r>
      <w:r>
        <w:rPr>
          <w:rFonts w:hint="cs"/>
          <w:rtl/>
        </w:rPr>
        <w:tab/>
      </w:r>
      <w:r>
        <w:rPr>
          <w:rtl/>
        </w:rPr>
        <w:br/>
      </w:r>
      <w:r w:rsidRPr="00F03BEA">
        <w:rPr>
          <w:rFonts w:hint="cs"/>
          <w:b/>
          <w:bCs/>
          <w:rtl/>
        </w:rPr>
        <w:t>عدد السكان المتوقع لأوغندا بحسب الفئة العمرية، 2015</w:t>
      </w:r>
    </w:p>
    <w:tbl>
      <w:tblPr>
        <w:bidiVisual/>
        <w:tblW w:w="8505"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693"/>
        <w:gridCol w:w="1134"/>
        <w:gridCol w:w="1134"/>
        <w:gridCol w:w="1220"/>
        <w:gridCol w:w="1331"/>
        <w:gridCol w:w="993"/>
      </w:tblGrid>
      <w:tr w:rsidR="00461417" w:rsidRPr="005023C9" w:rsidTr="0058053B">
        <w:trPr>
          <w:cantSplit/>
          <w:tblHeader/>
        </w:trPr>
        <w:tc>
          <w:tcPr>
            <w:tcW w:w="2693" w:type="dxa"/>
            <w:tcBorders>
              <w:top w:val="single" w:sz="4" w:space="0" w:color="auto"/>
              <w:bottom w:val="single" w:sz="12" w:space="0" w:color="auto"/>
            </w:tcBorders>
            <w:shd w:val="clear" w:color="auto" w:fill="auto"/>
            <w:vAlign w:val="bottom"/>
          </w:tcPr>
          <w:p w:rsidR="00461417" w:rsidRPr="005023C9" w:rsidRDefault="00461417" w:rsidP="0058053B">
            <w:pPr>
              <w:pStyle w:val="SingleTxtGA"/>
              <w:spacing w:before="40" w:after="40" w:line="280" w:lineRule="exact"/>
              <w:ind w:left="57" w:right="0"/>
              <w:jc w:val="left"/>
              <w:rPr>
                <w:i/>
                <w:iCs/>
                <w:sz w:val="18"/>
                <w:szCs w:val="26"/>
                <w:rtl/>
              </w:rPr>
            </w:pPr>
            <w:r w:rsidRPr="005023C9">
              <w:rPr>
                <w:rFonts w:hint="cs"/>
                <w:i/>
                <w:iCs/>
                <w:sz w:val="18"/>
                <w:szCs w:val="26"/>
                <w:rtl/>
              </w:rPr>
              <w:t>العمر (السنوات)</w:t>
            </w:r>
          </w:p>
        </w:tc>
        <w:tc>
          <w:tcPr>
            <w:tcW w:w="1134" w:type="dxa"/>
            <w:tcBorders>
              <w:top w:val="single" w:sz="4" w:space="0" w:color="auto"/>
              <w:bottom w:val="single" w:sz="12" w:space="0" w:color="auto"/>
            </w:tcBorders>
            <w:shd w:val="clear" w:color="auto" w:fill="auto"/>
            <w:vAlign w:val="bottom"/>
          </w:tcPr>
          <w:p w:rsidR="00461417" w:rsidRPr="005023C9" w:rsidRDefault="00461417" w:rsidP="0058053B">
            <w:pPr>
              <w:pStyle w:val="SingleTxtGA"/>
              <w:spacing w:before="40" w:after="40" w:line="280" w:lineRule="exact"/>
              <w:ind w:left="57" w:right="0"/>
              <w:jc w:val="left"/>
              <w:rPr>
                <w:i/>
                <w:iCs/>
                <w:sz w:val="18"/>
                <w:szCs w:val="26"/>
                <w:rtl/>
              </w:rPr>
            </w:pPr>
            <w:r w:rsidRPr="005023C9">
              <w:rPr>
                <w:rFonts w:hint="cs"/>
                <w:i/>
                <w:iCs/>
                <w:sz w:val="18"/>
                <w:szCs w:val="26"/>
                <w:rtl/>
              </w:rPr>
              <w:t>تعداد 2002</w:t>
            </w:r>
          </w:p>
        </w:tc>
        <w:tc>
          <w:tcPr>
            <w:tcW w:w="1134" w:type="dxa"/>
            <w:tcBorders>
              <w:top w:val="single" w:sz="4" w:space="0" w:color="auto"/>
              <w:bottom w:val="single" w:sz="12" w:space="0" w:color="auto"/>
            </w:tcBorders>
            <w:shd w:val="clear" w:color="auto" w:fill="auto"/>
            <w:vAlign w:val="bottom"/>
          </w:tcPr>
          <w:p w:rsidR="00461417" w:rsidRPr="005023C9" w:rsidRDefault="00461417" w:rsidP="0058053B">
            <w:pPr>
              <w:pStyle w:val="SingleTxtGA"/>
              <w:spacing w:before="40" w:after="40" w:line="280" w:lineRule="exact"/>
              <w:ind w:left="57" w:right="0"/>
              <w:jc w:val="left"/>
              <w:rPr>
                <w:i/>
                <w:iCs/>
                <w:sz w:val="18"/>
                <w:szCs w:val="26"/>
                <w:rtl/>
              </w:rPr>
            </w:pPr>
            <w:r w:rsidRPr="005023C9">
              <w:rPr>
                <w:rFonts w:hint="cs"/>
                <w:i/>
                <w:iCs/>
                <w:sz w:val="18"/>
                <w:szCs w:val="26"/>
                <w:rtl/>
              </w:rPr>
              <w:t>الذكور</w:t>
            </w:r>
          </w:p>
        </w:tc>
        <w:tc>
          <w:tcPr>
            <w:tcW w:w="1220" w:type="dxa"/>
            <w:tcBorders>
              <w:top w:val="single" w:sz="4" w:space="0" w:color="auto"/>
              <w:bottom w:val="single" w:sz="12" w:space="0" w:color="auto"/>
            </w:tcBorders>
            <w:shd w:val="clear" w:color="auto" w:fill="auto"/>
            <w:vAlign w:val="bottom"/>
          </w:tcPr>
          <w:p w:rsidR="00461417" w:rsidRPr="005023C9" w:rsidRDefault="00461417" w:rsidP="0058053B">
            <w:pPr>
              <w:pStyle w:val="SingleTxtGA"/>
              <w:spacing w:before="40" w:after="40" w:line="280" w:lineRule="exact"/>
              <w:ind w:left="57" w:right="0"/>
              <w:jc w:val="left"/>
              <w:rPr>
                <w:i/>
                <w:iCs/>
                <w:sz w:val="18"/>
                <w:szCs w:val="26"/>
                <w:rtl/>
              </w:rPr>
            </w:pPr>
            <w:r w:rsidRPr="005023C9">
              <w:rPr>
                <w:rFonts w:hint="cs"/>
                <w:i/>
                <w:iCs/>
                <w:sz w:val="18"/>
                <w:szCs w:val="26"/>
                <w:rtl/>
              </w:rPr>
              <w:t>الإناث</w:t>
            </w:r>
          </w:p>
        </w:tc>
        <w:tc>
          <w:tcPr>
            <w:tcW w:w="1331" w:type="dxa"/>
            <w:tcBorders>
              <w:top w:val="single" w:sz="4" w:space="0" w:color="auto"/>
              <w:bottom w:val="single" w:sz="12" w:space="0" w:color="auto"/>
            </w:tcBorders>
            <w:shd w:val="clear" w:color="auto" w:fill="auto"/>
            <w:vAlign w:val="bottom"/>
          </w:tcPr>
          <w:p w:rsidR="00461417" w:rsidRPr="005023C9" w:rsidRDefault="00461417" w:rsidP="0058053B">
            <w:pPr>
              <w:pStyle w:val="SingleTxtGA"/>
              <w:spacing w:before="40" w:after="40" w:line="280" w:lineRule="exact"/>
              <w:ind w:left="57" w:right="0"/>
              <w:jc w:val="left"/>
              <w:rPr>
                <w:b/>
                <w:bCs/>
                <w:i/>
                <w:iCs/>
                <w:sz w:val="18"/>
                <w:szCs w:val="26"/>
                <w:rtl/>
              </w:rPr>
            </w:pPr>
            <w:r w:rsidRPr="005023C9">
              <w:rPr>
                <w:rFonts w:hint="cs"/>
                <w:b/>
                <w:bCs/>
                <w:i/>
                <w:iCs/>
                <w:sz w:val="18"/>
                <w:szCs w:val="26"/>
                <w:rtl/>
              </w:rPr>
              <w:t>المجموع</w:t>
            </w:r>
          </w:p>
        </w:tc>
        <w:tc>
          <w:tcPr>
            <w:tcW w:w="993" w:type="dxa"/>
            <w:tcBorders>
              <w:top w:val="single" w:sz="4" w:space="0" w:color="auto"/>
              <w:bottom w:val="single" w:sz="12" w:space="0" w:color="auto"/>
            </w:tcBorders>
            <w:shd w:val="clear" w:color="auto" w:fill="auto"/>
          </w:tcPr>
          <w:p w:rsidR="00461417" w:rsidRPr="005023C9" w:rsidRDefault="00461417" w:rsidP="00461417">
            <w:pPr>
              <w:pStyle w:val="SingleTxtGA"/>
              <w:spacing w:before="40" w:after="40" w:line="280" w:lineRule="exact"/>
              <w:ind w:left="57" w:right="0"/>
              <w:rPr>
                <w:i/>
                <w:iCs/>
                <w:sz w:val="18"/>
                <w:szCs w:val="26"/>
                <w:rtl/>
              </w:rPr>
            </w:pPr>
            <w:r w:rsidRPr="005023C9">
              <w:rPr>
                <w:rFonts w:hint="cs"/>
                <w:i/>
                <w:iCs/>
                <w:sz w:val="18"/>
                <w:szCs w:val="26"/>
                <w:rtl/>
              </w:rPr>
              <w:t>النسبة المئوية من السكان</w:t>
            </w:r>
          </w:p>
        </w:tc>
      </w:tr>
      <w:tr w:rsidR="00461417" w:rsidRPr="005023C9" w:rsidTr="0058053B">
        <w:trPr>
          <w:cantSplit/>
        </w:trPr>
        <w:tc>
          <w:tcPr>
            <w:tcW w:w="2693" w:type="dxa"/>
            <w:tcBorders>
              <w:top w:val="single" w:sz="12" w:space="0" w:color="auto"/>
              <w:bottom w:val="nil"/>
            </w:tcBorders>
            <w:shd w:val="clear" w:color="auto" w:fill="auto"/>
          </w:tcPr>
          <w:p w:rsidR="00461417" w:rsidRPr="005023C9" w:rsidRDefault="00461417" w:rsidP="00461417">
            <w:pPr>
              <w:keepNext/>
              <w:spacing w:before="40" w:after="40" w:line="280" w:lineRule="exact"/>
              <w:ind w:left="57"/>
              <w:jc w:val="left"/>
              <w:rPr>
                <w:rFonts w:eastAsia="Times New Roman Bold"/>
                <w:sz w:val="18"/>
                <w:szCs w:val="26"/>
              </w:rPr>
            </w:pPr>
            <w:r w:rsidRPr="005023C9">
              <w:rPr>
                <w:rFonts w:hint="cs"/>
                <w:sz w:val="18"/>
                <w:szCs w:val="26"/>
                <w:rtl/>
              </w:rPr>
              <w:t>عدد الولادات المقدرة عام</w:t>
            </w:r>
            <w:r w:rsidRPr="005023C9">
              <w:rPr>
                <w:rFonts w:hint="eastAsia"/>
                <w:sz w:val="18"/>
                <w:szCs w:val="26"/>
                <w:rtl/>
              </w:rPr>
              <w:t> </w:t>
            </w:r>
            <w:r w:rsidRPr="005023C9">
              <w:rPr>
                <w:rFonts w:hint="cs"/>
                <w:sz w:val="18"/>
                <w:szCs w:val="26"/>
                <w:rtl/>
              </w:rPr>
              <w:t>2015</w:t>
            </w:r>
          </w:p>
        </w:tc>
        <w:tc>
          <w:tcPr>
            <w:tcW w:w="1134" w:type="dxa"/>
            <w:tcBorders>
              <w:top w:val="single" w:sz="12" w:space="0" w:color="auto"/>
              <w:bottom w:val="nil"/>
            </w:tcBorders>
            <w:shd w:val="clear" w:color="auto" w:fill="auto"/>
          </w:tcPr>
          <w:p w:rsidR="00461417" w:rsidRPr="005023C9" w:rsidRDefault="00461417" w:rsidP="00461417">
            <w:pPr>
              <w:keepNext/>
              <w:bidi w:val="0"/>
              <w:spacing w:before="40" w:after="40" w:line="220" w:lineRule="exact"/>
              <w:jc w:val="right"/>
              <w:rPr>
                <w:rFonts w:eastAsia="Times New Roman Bold"/>
                <w:sz w:val="18"/>
                <w:szCs w:val="26"/>
              </w:rPr>
            </w:pPr>
          </w:p>
        </w:tc>
        <w:tc>
          <w:tcPr>
            <w:tcW w:w="1134" w:type="dxa"/>
            <w:tcBorders>
              <w:top w:val="single" w:sz="12" w:space="0" w:color="auto"/>
              <w:bottom w:val="nil"/>
            </w:tcBorders>
            <w:shd w:val="clear" w:color="auto" w:fill="auto"/>
          </w:tcPr>
          <w:p w:rsidR="00461417" w:rsidRPr="005023C9" w:rsidRDefault="00461417" w:rsidP="00461417">
            <w:pPr>
              <w:keepNext/>
              <w:bidi w:val="0"/>
              <w:spacing w:before="40" w:after="40" w:line="220" w:lineRule="exact"/>
              <w:jc w:val="right"/>
              <w:rPr>
                <w:rFonts w:eastAsia="Times New Roman Bold"/>
                <w:sz w:val="18"/>
                <w:szCs w:val="26"/>
              </w:rPr>
            </w:pPr>
          </w:p>
        </w:tc>
        <w:tc>
          <w:tcPr>
            <w:tcW w:w="1220" w:type="dxa"/>
            <w:tcBorders>
              <w:top w:val="single" w:sz="12" w:space="0" w:color="auto"/>
              <w:bottom w:val="nil"/>
            </w:tcBorders>
            <w:shd w:val="clear" w:color="auto" w:fill="auto"/>
          </w:tcPr>
          <w:p w:rsidR="00461417" w:rsidRPr="005023C9" w:rsidRDefault="00461417" w:rsidP="00461417">
            <w:pPr>
              <w:keepNext/>
              <w:bidi w:val="0"/>
              <w:spacing w:before="40" w:after="40" w:line="220" w:lineRule="exact"/>
              <w:jc w:val="right"/>
              <w:rPr>
                <w:rFonts w:eastAsia="Times New Roman Bold"/>
                <w:sz w:val="18"/>
                <w:szCs w:val="26"/>
              </w:rPr>
            </w:pPr>
          </w:p>
        </w:tc>
        <w:tc>
          <w:tcPr>
            <w:tcW w:w="1331" w:type="dxa"/>
            <w:tcBorders>
              <w:top w:val="single" w:sz="12" w:space="0" w:color="auto"/>
              <w:bottom w:val="nil"/>
            </w:tcBorders>
            <w:shd w:val="clear" w:color="auto" w:fill="auto"/>
          </w:tcPr>
          <w:p w:rsidR="00461417" w:rsidRPr="005023C9" w:rsidRDefault="00461417" w:rsidP="00461417">
            <w:pPr>
              <w:keepNext/>
              <w:bidi w:val="0"/>
              <w:spacing w:before="40" w:after="40" w:line="220" w:lineRule="exact"/>
              <w:jc w:val="right"/>
              <w:rPr>
                <w:rFonts w:eastAsia="Times New Roman Bold"/>
                <w:b/>
                <w:bCs/>
                <w:sz w:val="18"/>
                <w:szCs w:val="26"/>
              </w:rPr>
            </w:pPr>
            <w:r w:rsidRPr="005023C9">
              <w:rPr>
                <w:rFonts w:eastAsia="Times New Roman Bold"/>
                <w:b/>
                <w:bCs/>
                <w:sz w:val="18"/>
                <w:szCs w:val="26"/>
                <w:rtl/>
              </w:rPr>
              <w:t>١</w:t>
            </w:r>
            <w:r w:rsidRPr="005023C9">
              <w:rPr>
                <w:rFonts w:eastAsia="Times New Roman Bold"/>
                <w:b/>
                <w:bCs/>
                <w:sz w:val="18"/>
                <w:szCs w:val="26"/>
              </w:rPr>
              <w:t xml:space="preserve"> </w:t>
            </w:r>
            <w:r w:rsidRPr="005023C9">
              <w:rPr>
                <w:rFonts w:eastAsia="Times New Roman Bold"/>
                <w:b/>
                <w:bCs/>
                <w:sz w:val="18"/>
                <w:szCs w:val="26"/>
                <w:rtl/>
              </w:rPr>
              <w:t>٤٧٠</w:t>
            </w:r>
            <w:r w:rsidRPr="005023C9">
              <w:rPr>
                <w:rFonts w:eastAsia="Times New Roman Bold"/>
                <w:b/>
                <w:bCs/>
                <w:sz w:val="18"/>
                <w:szCs w:val="26"/>
              </w:rPr>
              <w:t xml:space="preserve"> </w:t>
            </w:r>
            <w:r w:rsidRPr="005023C9">
              <w:rPr>
                <w:rFonts w:eastAsia="Times New Roman Bold"/>
                <w:b/>
                <w:bCs/>
                <w:sz w:val="18"/>
                <w:szCs w:val="26"/>
                <w:rtl/>
              </w:rPr>
              <w:t>٨٠٠</w:t>
            </w:r>
          </w:p>
        </w:tc>
        <w:tc>
          <w:tcPr>
            <w:tcW w:w="993" w:type="dxa"/>
            <w:tcBorders>
              <w:top w:val="single" w:sz="12" w:space="0" w:color="auto"/>
              <w:bottom w:val="nil"/>
            </w:tcBorders>
            <w:shd w:val="clear" w:color="auto" w:fill="auto"/>
          </w:tcPr>
          <w:p w:rsidR="00461417" w:rsidRPr="005023C9" w:rsidRDefault="00461417" w:rsidP="00461417">
            <w:pPr>
              <w:keepNext/>
              <w:bidi w:val="0"/>
              <w:spacing w:before="40" w:after="40" w:line="220" w:lineRule="exact"/>
              <w:jc w:val="right"/>
              <w:rPr>
                <w:rFonts w:eastAsia="Times New Roman Bold"/>
                <w:sz w:val="18"/>
                <w:szCs w:val="26"/>
              </w:rPr>
            </w:pPr>
          </w:p>
        </w:tc>
      </w:tr>
      <w:tr w:rsidR="00461417" w:rsidRPr="005023C9" w:rsidTr="0058053B">
        <w:trPr>
          <w:cantSplit/>
        </w:trPr>
        <w:tc>
          <w:tcPr>
            <w:tcW w:w="2693" w:type="dxa"/>
            <w:tcBorders>
              <w:top w:val="nil"/>
              <w:bottom w:val="single" w:sz="4" w:space="0" w:color="auto"/>
            </w:tcBorders>
            <w:shd w:val="clear" w:color="auto" w:fill="auto"/>
          </w:tcPr>
          <w:p w:rsidR="00461417" w:rsidRPr="005023C9" w:rsidRDefault="00461417" w:rsidP="00461417">
            <w:pPr>
              <w:spacing w:before="40" w:after="40" w:line="280" w:lineRule="exact"/>
              <w:ind w:left="57"/>
              <w:rPr>
                <w:rFonts w:eastAsia="Times New Roman Bold"/>
                <w:sz w:val="18"/>
                <w:szCs w:val="26"/>
              </w:rPr>
            </w:pPr>
            <w:r w:rsidRPr="005023C9">
              <w:rPr>
                <w:rFonts w:eastAsia="Times New Roman Bold"/>
                <w:sz w:val="18"/>
                <w:szCs w:val="26"/>
                <w:rtl/>
              </w:rPr>
              <w:t>١٠</w:t>
            </w:r>
            <w:r w:rsidRPr="005023C9">
              <w:rPr>
                <w:rFonts w:eastAsia="Times New Roman Bold"/>
                <w:sz w:val="18"/>
                <w:szCs w:val="26"/>
              </w:rPr>
              <w:t>–</w:t>
            </w:r>
            <w:r w:rsidRPr="005023C9">
              <w:rPr>
                <w:rFonts w:eastAsia="Times New Roman Bold"/>
                <w:sz w:val="18"/>
                <w:szCs w:val="26"/>
                <w:rtl/>
              </w:rPr>
              <w:t>١٤</w:t>
            </w:r>
          </w:p>
        </w:tc>
        <w:tc>
          <w:tcPr>
            <w:tcW w:w="1134" w:type="dxa"/>
            <w:tcBorders>
              <w:top w:val="nil"/>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٣</w:t>
            </w:r>
            <w:r w:rsidRPr="005023C9">
              <w:rPr>
                <w:rFonts w:eastAsia="Times New Roman Bold"/>
                <w:sz w:val="18"/>
                <w:szCs w:val="26"/>
              </w:rPr>
              <w:t xml:space="preserve"> </w:t>
            </w:r>
            <w:r w:rsidRPr="005023C9">
              <w:rPr>
                <w:rFonts w:eastAsia="Times New Roman Bold"/>
                <w:sz w:val="18"/>
                <w:szCs w:val="26"/>
                <w:rtl/>
              </w:rPr>
              <w:t>٥٠٩</w:t>
            </w:r>
            <w:r w:rsidRPr="005023C9">
              <w:rPr>
                <w:rFonts w:eastAsia="Times New Roman Bold"/>
                <w:sz w:val="18"/>
                <w:szCs w:val="26"/>
              </w:rPr>
              <w:t xml:space="preserve"> </w:t>
            </w:r>
            <w:r w:rsidRPr="005023C9">
              <w:rPr>
                <w:rFonts w:eastAsia="Times New Roman Bold"/>
                <w:sz w:val="18"/>
                <w:szCs w:val="26"/>
                <w:rtl/>
              </w:rPr>
              <w:t>١٥١</w:t>
            </w:r>
          </w:p>
        </w:tc>
        <w:tc>
          <w:tcPr>
            <w:tcW w:w="1134" w:type="dxa"/>
            <w:tcBorders>
              <w:top w:val="nil"/>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٢</w:t>
            </w:r>
            <w:r w:rsidRPr="005023C9">
              <w:rPr>
                <w:rFonts w:eastAsia="Times New Roman Bold"/>
                <w:sz w:val="18"/>
                <w:szCs w:val="26"/>
              </w:rPr>
              <w:t xml:space="preserve"> </w:t>
            </w:r>
            <w:r w:rsidRPr="005023C9">
              <w:rPr>
                <w:rFonts w:eastAsia="Times New Roman Bold"/>
                <w:sz w:val="18"/>
                <w:szCs w:val="26"/>
                <w:rtl/>
              </w:rPr>
              <w:t>٧٠٧</w:t>
            </w:r>
            <w:r w:rsidRPr="005023C9">
              <w:rPr>
                <w:rFonts w:eastAsia="Times New Roman Bold"/>
                <w:sz w:val="18"/>
                <w:szCs w:val="26"/>
              </w:rPr>
              <w:t xml:space="preserve"> </w:t>
            </w:r>
            <w:r w:rsidRPr="005023C9">
              <w:rPr>
                <w:rFonts w:eastAsia="Times New Roman Bold"/>
                <w:sz w:val="18"/>
                <w:szCs w:val="26"/>
                <w:rtl/>
              </w:rPr>
              <w:t>٨٠٠</w:t>
            </w:r>
          </w:p>
        </w:tc>
        <w:tc>
          <w:tcPr>
            <w:tcW w:w="1220" w:type="dxa"/>
            <w:tcBorders>
              <w:top w:val="nil"/>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٢</w:t>
            </w:r>
            <w:r w:rsidRPr="005023C9">
              <w:rPr>
                <w:rFonts w:eastAsia="Times New Roman Bold"/>
                <w:sz w:val="18"/>
                <w:szCs w:val="26"/>
              </w:rPr>
              <w:t xml:space="preserve"> </w:t>
            </w:r>
            <w:r w:rsidRPr="005023C9">
              <w:rPr>
                <w:rFonts w:eastAsia="Times New Roman Bold"/>
                <w:sz w:val="18"/>
                <w:szCs w:val="26"/>
                <w:rtl/>
              </w:rPr>
              <w:t>٤٦٩</w:t>
            </w:r>
            <w:r w:rsidRPr="005023C9">
              <w:rPr>
                <w:rFonts w:eastAsia="Times New Roman Bold"/>
                <w:sz w:val="18"/>
                <w:szCs w:val="26"/>
              </w:rPr>
              <w:t xml:space="preserve"> </w:t>
            </w:r>
            <w:r w:rsidRPr="005023C9">
              <w:rPr>
                <w:rFonts w:eastAsia="Times New Roman Bold"/>
                <w:sz w:val="18"/>
                <w:szCs w:val="26"/>
                <w:rtl/>
              </w:rPr>
              <w:t>٣٠٠</w:t>
            </w:r>
          </w:p>
        </w:tc>
        <w:tc>
          <w:tcPr>
            <w:tcW w:w="1331" w:type="dxa"/>
            <w:tcBorders>
              <w:top w:val="nil"/>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b/>
                <w:bCs/>
                <w:sz w:val="18"/>
                <w:szCs w:val="26"/>
              </w:rPr>
            </w:pPr>
            <w:r w:rsidRPr="005023C9">
              <w:rPr>
                <w:rFonts w:eastAsia="Times New Roman Bold"/>
                <w:b/>
                <w:bCs/>
                <w:sz w:val="18"/>
                <w:szCs w:val="26"/>
                <w:rtl/>
              </w:rPr>
              <w:t>٥</w:t>
            </w:r>
            <w:r w:rsidRPr="005023C9">
              <w:rPr>
                <w:rFonts w:eastAsia="Times New Roman Bold"/>
                <w:b/>
                <w:bCs/>
                <w:sz w:val="18"/>
                <w:szCs w:val="26"/>
              </w:rPr>
              <w:t xml:space="preserve"> </w:t>
            </w:r>
            <w:r w:rsidRPr="005023C9">
              <w:rPr>
                <w:rFonts w:eastAsia="Times New Roman Bold"/>
                <w:b/>
                <w:bCs/>
                <w:sz w:val="18"/>
                <w:szCs w:val="26"/>
                <w:rtl/>
              </w:rPr>
              <w:t>١٧٧</w:t>
            </w:r>
            <w:r w:rsidRPr="005023C9">
              <w:rPr>
                <w:rFonts w:eastAsia="Times New Roman Bold"/>
                <w:b/>
                <w:bCs/>
                <w:sz w:val="18"/>
                <w:szCs w:val="26"/>
              </w:rPr>
              <w:t xml:space="preserve"> </w:t>
            </w:r>
            <w:r w:rsidRPr="005023C9">
              <w:rPr>
                <w:rFonts w:eastAsia="Times New Roman Bold"/>
                <w:b/>
                <w:bCs/>
                <w:sz w:val="18"/>
                <w:szCs w:val="26"/>
                <w:rtl/>
              </w:rPr>
              <w:t>١٠٠</w:t>
            </w:r>
          </w:p>
        </w:tc>
        <w:tc>
          <w:tcPr>
            <w:tcW w:w="993" w:type="dxa"/>
            <w:tcBorders>
              <w:top w:val="nil"/>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١٤</w:t>
            </w:r>
            <w:r w:rsidRPr="005023C9">
              <w:rPr>
                <w:rFonts w:eastAsia="Times New Roman Bold" w:cs="Times New Roman" w:hint="cs"/>
                <w:position w:val="-4"/>
                <w:sz w:val="18"/>
                <w:szCs w:val="26"/>
                <w:rtl/>
              </w:rPr>
              <w:t>٫</w:t>
            </w:r>
            <w:r w:rsidRPr="005023C9">
              <w:rPr>
                <w:rFonts w:eastAsia="Times New Roman Bold"/>
                <w:sz w:val="18"/>
                <w:szCs w:val="26"/>
                <w:rtl/>
              </w:rPr>
              <w:t>٨</w:t>
            </w:r>
          </w:p>
        </w:tc>
      </w:tr>
      <w:tr w:rsidR="00461417" w:rsidRPr="005023C9" w:rsidTr="0058053B">
        <w:trPr>
          <w:cantSplit/>
        </w:trPr>
        <w:tc>
          <w:tcPr>
            <w:tcW w:w="2693" w:type="dxa"/>
            <w:tcBorders>
              <w:top w:val="single" w:sz="4" w:space="0" w:color="auto"/>
              <w:bottom w:val="single" w:sz="4" w:space="0" w:color="auto"/>
            </w:tcBorders>
            <w:shd w:val="clear" w:color="auto" w:fill="auto"/>
          </w:tcPr>
          <w:p w:rsidR="00461417" w:rsidRPr="005023C9" w:rsidRDefault="00461417" w:rsidP="00461417">
            <w:pPr>
              <w:spacing w:before="40" w:after="40" w:line="280" w:lineRule="exact"/>
              <w:ind w:left="57"/>
              <w:rPr>
                <w:rFonts w:eastAsia="Times New Roman Bold"/>
                <w:sz w:val="18"/>
                <w:szCs w:val="26"/>
              </w:rPr>
            </w:pPr>
            <w:r w:rsidRPr="005023C9">
              <w:rPr>
                <w:rFonts w:eastAsia="Times New Roman Bold"/>
                <w:sz w:val="18"/>
                <w:szCs w:val="26"/>
                <w:rtl/>
              </w:rPr>
              <w:t>١٥</w:t>
            </w:r>
            <w:r w:rsidRPr="005023C9">
              <w:rPr>
                <w:rFonts w:eastAsia="Times New Roman Bold"/>
                <w:sz w:val="18"/>
                <w:szCs w:val="26"/>
              </w:rPr>
              <w:t>–</w:t>
            </w:r>
            <w:r w:rsidRPr="005023C9">
              <w:rPr>
                <w:rFonts w:eastAsia="Times New Roman Bold"/>
                <w:sz w:val="18"/>
                <w:szCs w:val="26"/>
                <w:rtl/>
              </w:rPr>
              <w:t>٢٤</w:t>
            </w:r>
          </w:p>
        </w:tc>
        <w:tc>
          <w:tcPr>
            <w:tcW w:w="1134"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٤</w:t>
            </w:r>
            <w:r w:rsidRPr="005023C9">
              <w:rPr>
                <w:rFonts w:eastAsia="Times New Roman Bold"/>
                <w:sz w:val="18"/>
                <w:szCs w:val="26"/>
              </w:rPr>
              <w:t xml:space="preserve"> </w:t>
            </w:r>
            <w:r w:rsidRPr="005023C9">
              <w:rPr>
                <w:rFonts w:eastAsia="Times New Roman Bold"/>
                <w:sz w:val="18"/>
                <w:szCs w:val="26"/>
                <w:rtl/>
              </w:rPr>
              <w:t>٨٨٣</w:t>
            </w:r>
            <w:r w:rsidRPr="005023C9">
              <w:rPr>
                <w:rFonts w:eastAsia="Times New Roman Bold"/>
                <w:sz w:val="18"/>
                <w:szCs w:val="26"/>
              </w:rPr>
              <w:t xml:space="preserve"> </w:t>
            </w:r>
            <w:r w:rsidRPr="005023C9">
              <w:rPr>
                <w:rFonts w:eastAsia="Times New Roman Bold"/>
                <w:sz w:val="18"/>
                <w:szCs w:val="26"/>
                <w:rtl/>
              </w:rPr>
              <w:t>٧٢٣</w:t>
            </w:r>
          </w:p>
        </w:tc>
        <w:tc>
          <w:tcPr>
            <w:tcW w:w="1134"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٢</w:t>
            </w:r>
            <w:r w:rsidRPr="005023C9">
              <w:rPr>
                <w:rFonts w:eastAsia="Times New Roman Bold"/>
                <w:sz w:val="18"/>
                <w:szCs w:val="26"/>
              </w:rPr>
              <w:t xml:space="preserve"> </w:t>
            </w:r>
            <w:r w:rsidRPr="005023C9">
              <w:rPr>
                <w:rFonts w:eastAsia="Times New Roman Bold"/>
                <w:sz w:val="18"/>
                <w:szCs w:val="26"/>
                <w:rtl/>
              </w:rPr>
              <w:t>٨٤٤</w:t>
            </w:r>
            <w:r w:rsidRPr="005023C9">
              <w:rPr>
                <w:rFonts w:eastAsia="Times New Roman Bold"/>
                <w:sz w:val="18"/>
                <w:szCs w:val="26"/>
              </w:rPr>
              <w:t xml:space="preserve"> </w:t>
            </w:r>
            <w:r w:rsidRPr="005023C9">
              <w:rPr>
                <w:rFonts w:eastAsia="Times New Roman Bold"/>
                <w:sz w:val="18"/>
                <w:szCs w:val="26"/>
                <w:rtl/>
              </w:rPr>
              <w:t>٠٠٠</w:t>
            </w:r>
          </w:p>
        </w:tc>
        <w:tc>
          <w:tcPr>
            <w:tcW w:w="1220"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٢</w:t>
            </w:r>
            <w:r w:rsidRPr="005023C9">
              <w:rPr>
                <w:rFonts w:eastAsia="Times New Roman Bold"/>
                <w:sz w:val="18"/>
                <w:szCs w:val="26"/>
              </w:rPr>
              <w:t xml:space="preserve"> </w:t>
            </w:r>
            <w:r w:rsidRPr="005023C9">
              <w:rPr>
                <w:rFonts w:eastAsia="Times New Roman Bold"/>
                <w:sz w:val="18"/>
                <w:szCs w:val="26"/>
                <w:rtl/>
              </w:rPr>
              <w:t>٩٦٣</w:t>
            </w:r>
            <w:r w:rsidRPr="005023C9">
              <w:rPr>
                <w:rFonts w:eastAsia="Times New Roman Bold"/>
                <w:sz w:val="18"/>
                <w:szCs w:val="26"/>
              </w:rPr>
              <w:t xml:space="preserve"> </w:t>
            </w:r>
            <w:r w:rsidRPr="005023C9">
              <w:rPr>
                <w:rFonts w:eastAsia="Times New Roman Bold"/>
                <w:sz w:val="18"/>
                <w:szCs w:val="26"/>
                <w:rtl/>
              </w:rPr>
              <w:t>٢٠٠</w:t>
            </w:r>
          </w:p>
        </w:tc>
        <w:tc>
          <w:tcPr>
            <w:tcW w:w="1331"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b/>
                <w:bCs/>
                <w:sz w:val="18"/>
                <w:szCs w:val="26"/>
              </w:rPr>
            </w:pPr>
            <w:r w:rsidRPr="005023C9">
              <w:rPr>
                <w:rFonts w:eastAsia="Times New Roman Bold"/>
                <w:b/>
                <w:bCs/>
                <w:sz w:val="18"/>
                <w:szCs w:val="26"/>
                <w:rtl/>
              </w:rPr>
              <w:t>٥</w:t>
            </w:r>
            <w:r w:rsidRPr="005023C9">
              <w:rPr>
                <w:rFonts w:eastAsia="Times New Roman Bold"/>
                <w:b/>
                <w:bCs/>
                <w:sz w:val="18"/>
                <w:szCs w:val="26"/>
              </w:rPr>
              <w:t xml:space="preserve"> </w:t>
            </w:r>
            <w:r w:rsidRPr="005023C9">
              <w:rPr>
                <w:rFonts w:eastAsia="Times New Roman Bold"/>
                <w:b/>
                <w:bCs/>
                <w:sz w:val="18"/>
                <w:szCs w:val="26"/>
                <w:rtl/>
              </w:rPr>
              <w:t>٨٠٧</w:t>
            </w:r>
            <w:r w:rsidRPr="005023C9">
              <w:rPr>
                <w:rFonts w:eastAsia="Times New Roman Bold"/>
                <w:b/>
                <w:bCs/>
                <w:sz w:val="18"/>
                <w:szCs w:val="26"/>
              </w:rPr>
              <w:t xml:space="preserve"> </w:t>
            </w:r>
            <w:r w:rsidRPr="005023C9">
              <w:rPr>
                <w:rFonts w:eastAsia="Times New Roman Bold"/>
                <w:b/>
                <w:bCs/>
                <w:sz w:val="18"/>
                <w:szCs w:val="26"/>
                <w:rtl/>
              </w:rPr>
              <w:t>٢٠٠</w:t>
            </w:r>
          </w:p>
        </w:tc>
        <w:tc>
          <w:tcPr>
            <w:tcW w:w="993"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١٦</w:t>
            </w:r>
            <w:r w:rsidRPr="005023C9">
              <w:rPr>
                <w:rFonts w:eastAsia="Times New Roman Bold" w:cs="Times New Roman" w:hint="cs"/>
                <w:position w:val="-4"/>
                <w:sz w:val="18"/>
                <w:szCs w:val="26"/>
                <w:rtl/>
              </w:rPr>
              <w:t>٫</w:t>
            </w:r>
            <w:r w:rsidRPr="005023C9">
              <w:rPr>
                <w:rFonts w:eastAsia="Times New Roman Bold"/>
                <w:sz w:val="18"/>
                <w:szCs w:val="26"/>
                <w:rtl/>
              </w:rPr>
              <w:t>٦</w:t>
            </w:r>
          </w:p>
        </w:tc>
      </w:tr>
      <w:tr w:rsidR="00461417" w:rsidRPr="005023C9" w:rsidTr="0058053B">
        <w:trPr>
          <w:cantSplit/>
        </w:trPr>
        <w:tc>
          <w:tcPr>
            <w:tcW w:w="2693" w:type="dxa"/>
            <w:tcBorders>
              <w:top w:val="single" w:sz="4" w:space="0" w:color="auto"/>
              <w:bottom w:val="single" w:sz="4" w:space="0" w:color="auto"/>
            </w:tcBorders>
            <w:shd w:val="clear" w:color="auto" w:fill="auto"/>
          </w:tcPr>
          <w:p w:rsidR="00461417" w:rsidRPr="005023C9" w:rsidRDefault="00461417" w:rsidP="00461417">
            <w:pPr>
              <w:spacing w:before="40" w:after="40" w:line="280" w:lineRule="exact"/>
              <w:ind w:left="57"/>
              <w:rPr>
                <w:rFonts w:eastAsia="Times New Roman Bold"/>
                <w:sz w:val="18"/>
                <w:szCs w:val="26"/>
              </w:rPr>
            </w:pPr>
          </w:p>
        </w:tc>
        <w:tc>
          <w:tcPr>
            <w:tcW w:w="1134"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p>
        </w:tc>
        <w:tc>
          <w:tcPr>
            <w:tcW w:w="1134"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p>
        </w:tc>
        <w:tc>
          <w:tcPr>
            <w:tcW w:w="1220"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p>
        </w:tc>
        <w:tc>
          <w:tcPr>
            <w:tcW w:w="1331"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b/>
                <w:bCs/>
                <w:sz w:val="18"/>
                <w:szCs w:val="26"/>
              </w:rPr>
            </w:pPr>
          </w:p>
        </w:tc>
        <w:tc>
          <w:tcPr>
            <w:tcW w:w="993"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p>
        </w:tc>
      </w:tr>
      <w:tr w:rsidR="00461417" w:rsidRPr="005023C9" w:rsidTr="0058053B">
        <w:trPr>
          <w:cantSplit/>
        </w:trPr>
        <w:tc>
          <w:tcPr>
            <w:tcW w:w="2693" w:type="dxa"/>
            <w:tcBorders>
              <w:top w:val="single" w:sz="4" w:space="0" w:color="auto"/>
              <w:bottom w:val="single" w:sz="4" w:space="0" w:color="auto"/>
            </w:tcBorders>
            <w:shd w:val="clear" w:color="auto" w:fill="auto"/>
          </w:tcPr>
          <w:p w:rsidR="00461417" w:rsidRPr="005023C9" w:rsidRDefault="00461417" w:rsidP="00461417">
            <w:pPr>
              <w:spacing w:before="40" w:after="40" w:line="280" w:lineRule="exact"/>
              <w:ind w:left="57"/>
              <w:rPr>
                <w:rFonts w:eastAsia="Times New Roman Bold"/>
                <w:sz w:val="18"/>
                <w:szCs w:val="26"/>
              </w:rPr>
            </w:pPr>
            <w:r w:rsidRPr="005023C9">
              <w:rPr>
                <w:rFonts w:eastAsia="Times New Roman Bold"/>
                <w:sz w:val="18"/>
                <w:szCs w:val="26"/>
                <w:rtl/>
              </w:rPr>
              <w:t>٣</w:t>
            </w:r>
            <w:r w:rsidRPr="005023C9">
              <w:rPr>
                <w:rFonts w:eastAsia="Times New Roman Bold"/>
                <w:sz w:val="18"/>
                <w:szCs w:val="26"/>
              </w:rPr>
              <w:t>–</w:t>
            </w:r>
            <w:r w:rsidRPr="005023C9">
              <w:rPr>
                <w:rFonts w:eastAsia="Times New Roman Bold"/>
                <w:sz w:val="18"/>
                <w:szCs w:val="26"/>
                <w:rtl/>
              </w:rPr>
              <w:t>٥</w:t>
            </w:r>
          </w:p>
        </w:tc>
        <w:tc>
          <w:tcPr>
            <w:tcW w:w="1134"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٢</w:t>
            </w:r>
            <w:r w:rsidRPr="005023C9">
              <w:rPr>
                <w:rFonts w:eastAsia="Times New Roman Bold"/>
                <w:sz w:val="18"/>
                <w:szCs w:val="26"/>
              </w:rPr>
              <w:t xml:space="preserve"> </w:t>
            </w:r>
            <w:r w:rsidRPr="005023C9">
              <w:rPr>
                <w:rFonts w:eastAsia="Times New Roman Bold"/>
                <w:sz w:val="18"/>
                <w:szCs w:val="26"/>
                <w:rtl/>
              </w:rPr>
              <w:t>٦٤٢</w:t>
            </w:r>
            <w:r w:rsidRPr="005023C9">
              <w:rPr>
                <w:rFonts w:eastAsia="Times New Roman Bold"/>
                <w:sz w:val="18"/>
                <w:szCs w:val="26"/>
              </w:rPr>
              <w:t xml:space="preserve"> </w:t>
            </w:r>
            <w:r w:rsidRPr="005023C9">
              <w:rPr>
                <w:rFonts w:eastAsia="Times New Roman Bold"/>
                <w:sz w:val="18"/>
                <w:szCs w:val="26"/>
                <w:rtl/>
              </w:rPr>
              <w:t>٤٠٧</w:t>
            </w:r>
          </w:p>
        </w:tc>
        <w:tc>
          <w:tcPr>
            <w:tcW w:w="1134"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١</w:t>
            </w:r>
            <w:r w:rsidRPr="005023C9">
              <w:rPr>
                <w:rFonts w:eastAsia="Times New Roman Bold"/>
                <w:sz w:val="18"/>
                <w:szCs w:val="26"/>
              </w:rPr>
              <w:t xml:space="preserve"> </w:t>
            </w:r>
            <w:r w:rsidRPr="005023C9">
              <w:rPr>
                <w:rFonts w:eastAsia="Times New Roman Bold"/>
                <w:sz w:val="18"/>
                <w:szCs w:val="26"/>
                <w:rtl/>
              </w:rPr>
              <w:t>٩٤١</w:t>
            </w:r>
            <w:r w:rsidRPr="005023C9">
              <w:rPr>
                <w:rFonts w:eastAsia="Times New Roman Bold"/>
                <w:sz w:val="18"/>
                <w:szCs w:val="26"/>
              </w:rPr>
              <w:t xml:space="preserve"> </w:t>
            </w:r>
            <w:r w:rsidRPr="005023C9">
              <w:rPr>
                <w:rFonts w:eastAsia="Times New Roman Bold"/>
                <w:sz w:val="18"/>
                <w:szCs w:val="26"/>
                <w:rtl/>
              </w:rPr>
              <w:t>٤٠٠</w:t>
            </w:r>
          </w:p>
        </w:tc>
        <w:tc>
          <w:tcPr>
            <w:tcW w:w="1220"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١</w:t>
            </w:r>
            <w:r w:rsidRPr="005023C9">
              <w:rPr>
                <w:rFonts w:eastAsia="Times New Roman Bold"/>
                <w:sz w:val="18"/>
                <w:szCs w:val="26"/>
              </w:rPr>
              <w:t xml:space="preserve"> </w:t>
            </w:r>
            <w:r w:rsidRPr="005023C9">
              <w:rPr>
                <w:rFonts w:eastAsia="Times New Roman Bold"/>
                <w:sz w:val="18"/>
                <w:szCs w:val="26"/>
                <w:rtl/>
              </w:rPr>
              <w:t>٨٠٥</w:t>
            </w:r>
            <w:r w:rsidRPr="005023C9">
              <w:rPr>
                <w:rFonts w:eastAsia="Times New Roman Bold"/>
                <w:sz w:val="18"/>
                <w:szCs w:val="26"/>
              </w:rPr>
              <w:t xml:space="preserve"> </w:t>
            </w:r>
            <w:r w:rsidRPr="005023C9">
              <w:rPr>
                <w:rFonts w:eastAsia="Times New Roman Bold"/>
                <w:sz w:val="18"/>
                <w:szCs w:val="26"/>
                <w:rtl/>
              </w:rPr>
              <w:t>٢٠٠</w:t>
            </w:r>
          </w:p>
        </w:tc>
        <w:tc>
          <w:tcPr>
            <w:tcW w:w="1331"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b/>
                <w:bCs/>
                <w:sz w:val="18"/>
                <w:szCs w:val="26"/>
              </w:rPr>
            </w:pPr>
            <w:r w:rsidRPr="005023C9">
              <w:rPr>
                <w:rFonts w:eastAsia="Times New Roman Bold"/>
                <w:b/>
                <w:bCs/>
                <w:sz w:val="18"/>
                <w:szCs w:val="26"/>
                <w:rtl/>
              </w:rPr>
              <w:t>٣</w:t>
            </w:r>
            <w:r w:rsidRPr="005023C9">
              <w:rPr>
                <w:rFonts w:eastAsia="Times New Roman Bold"/>
                <w:b/>
                <w:bCs/>
                <w:sz w:val="18"/>
                <w:szCs w:val="26"/>
              </w:rPr>
              <w:t xml:space="preserve"> </w:t>
            </w:r>
            <w:r w:rsidRPr="005023C9">
              <w:rPr>
                <w:rFonts w:eastAsia="Times New Roman Bold"/>
                <w:b/>
                <w:bCs/>
                <w:sz w:val="18"/>
                <w:szCs w:val="26"/>
                <w:rtl/>
              </w:rPr>
              <w:t>٧٤٦</w:t>
            </w:r>
            <w:r w:rsidRPr="005023C9">
              <w:rPr>
                <w:rFonts w:eastAsia="Times New Roman Bold"/>
                <w:b/>
                <w:bCs/>
                <w:sz w:val="18"/>
                <w:szCs w:val="26"/>
              </w:rPr>
              <w:t xml:space="preserve"> </w:t>
            </w:r>
            <w:r w:rsidRPr="005023C9">
              <w:rPr>
                <w:rFonts w:eastAsia="Times New Roman Bold"/>
                <w:b/>
                <w:bCs/>
                <w:sz w:val="18"/>
                <w:szCs w:val="26"/>
                <w:rtl/>
              </w:rPr>
              <w:t>٦٠٠</w:t>
            </w:r>
          </w:p>
        </w:tc>
        <w:tc>
          <w:tcPr>
            <w:tcW w:w="993"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١٠</w:t>
            </w:r>
            <w:r w:rsidRPr="005023C9">
              <w:rPr>
                <w:rFonts w:eastAsia="Times New Roman Bold" w:cs="Times New Roman" w:hint="cs"/>
                <w:position w:val="-4"/>
                <w:sz w:val="18"/>
                <w:szCs w:val="26"/>
                <w:rtl/>
              </w:rPr>
              <w:t>٫</w:t>
            </w:r>
            <w:r w:rsidRPr="005023C9">
              <w:rPr>
                <w:rFonts w:eastAsia="Times New Roman Bold"/>
                <w:sz w:val="18"/>
                <w:szCs w:val="26"/>
                <w:rtl/>
              </w:rPr>
              <w:t>٧</w:t>
            </w:r>
          </w:p>
        </w:tc>
      </w:tr>
      <w:tr w:rsidR="00461417" w:rsidRPr="005023C9" w:rsidTr="0058053B">
        <w:trPr>
          <w:cantSplit/>
        </w:trPr>
        <w:tc>
          <w:tcPr>
            <w:tcW w:w="2693" w:type="dxa"/>
            <w:tcBorders>
              <w:top w:val="single" w:sz="4" w:space="0" w:color="auto"/>
              <w:bottom w:val="single" w:sz="4" w:space="0" w:color="auto"/>
            </w:tcBorders>
            <w:shd w:val="clear" w:color="auto" w:fill="auto"/>
          </w:tcPr>
          <w:p w:rsidR="00461417" w:rsidRPr="005023C9" w:rsidRDefault="00461417" w:rsidP="00461417">
            <w:pPr>
              <w:spacing w:before="40" w:after="40" w:line="280" w:lineRule="exact"/>
              <w:ind w:left="57"/>
              <w:rPr>
                <w:rFonts w:eastAsia="Times New Roman Bold"/>
                <w:sz w:val="18"/>
                <w:szCs w:val="26"/>
              </w:rPr>
            </w:pPr>
            <w:r w:rsidRPr="005023C9">
              <w:rPr>
                <w:rFonts w:eastAsia="Times New Roman Bold"/>
                <w:sz w:val="18"/>
                <w:szCs w:val="26"/>
                <w:rtl/>
              </w:rPr>
              <w:t>٦</w:t>
            </w:r>
            <w:r w:rsidRPr="005023C9">
              <w:rPr>
                <w:rFonts w:eastAsia="Times New Roman Bold"/>
                <w:sz w:val="18"/>
                <w:szCs w:val="26"/>
              </w:rPr>
              <w:t>–</w:t>
            </w:r>
            <w:r w:rsidRPr="005023C9">
              <w:rPr>
                <w:rFonts w:eastAsia="Times New Roman Bold"/>
                <w:sz w:val="18"/>
                <w:szCs w:val="26"/>
                <w:rtl/>
              </w:rPr>
              <w:t>١٢</w:t>
            </w:r>
          </w:p>
        </w:tc>
        <w:tc>
          <w:tcPr>
            <w:tcW w:w="1134"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٥</w:t>
            </w:r>
            <w:r w:rsidRPr="005023C9">
              <w:rPr>
                <w:rFonts w:eastAsia="Times New Roman Bold"/>
                <w:sz w:val="18"/>
                <w:szCs w:val="26"/>
              </w:rPr>
              <w:t xml:space="preserve"> </w:t>
            </w:r>
            <w:r w:rsidRPr="005023C9">
              <w:rPr>
                <w:rFonts w:eastAsia="Times New Roman Bold"/>
                <w:sz w:val="18"/>
                <w:szCs w:val="26"/>
                <w:rtl/>
              </w:rPr>
              <w:t>٣٧٨</w:t>
            </w:r>
            <w:r w:rsidRPr="005023C9">
              <w:rPr>
                <w:rFonts w:eastAsia="Times New Roman Bold"/>
                <w:sz w:val="18"/>
                <w:szCs w:val="26"/>
              </w:rPr>
              <w:t xml:space="preserve"> </w:t>
            </w:r>
            <w:r w:rsidRPr="005023C9">
              <w:rPr>
                <w:rFonts w:eastAsia="Times New Roman Bold"/>
                <w:sz w:val="18"/>
                <w:szCs w:val="26"/>
                <w:rtl/>
              </w:rPr>
              <w:t>٦٧٨</w:t>
            </w:r>
          </w:p>
        </w:tc>
        <w:tc>
          <w:tcPr>
            <w:tcW w:w="1134"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٤</w:t>
            </w:r>
            <w:r w:rsidRPr="005023C9">
              <w:rPr>
                <w:rFonts w:eastAsia="Times New Roman Bold"/>
                <w:sz w:val="18"/>
                <w:szCs w:val="26"/>
              </w:rPr>
              <w:t xml:space="preserve"> </w:t>
            </w:r>
            <w:r w:rsidRPr="005023C9">
              <w:rPr>
                <w:rFonts w:eastAsia="Times New Roman Bold"/>
                <w:sz w:val="18"/>
                <w:szCs w:val="26"/>
                <w:rtl/>
              </w:rPr>
              <w:t>٢٠٦</w:t>
            </w:r>
            <w:r w:rsidRPr="005023C9">
              <w:rPr>
                <w:rFonts w:eastAsia="Times New Roman Bold"/>
                <w:sz w:val="18"/>
                <w:szCs w:val="26"/>
              </w:rPr>
              <w:t xml:space="preserve"> </w:t>
            </w:r>
            <w:r w:rsidRPr="005023C9">
              <w:rPr>
                <w:rFonts w:eastAsia="Times New Roman Bold"/>
                <w:sz w:val="18"/>
                <w:szCs w:val="26"/>
                <w:rtl/>
              </w:rPr>
              <w:t>٤٠٠</w:t>
            </w:r>
          </w:p>
        </w:tc>
        <w:tc>
          <w:tcPr>
            <w:tcW w:w="1220"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٣</w:t>
            </w:r>
            <w:r w:rsidRPr="005023C9">
              <w:rPr>
                <w:rFonts w:eastAsia="Times New Roman Bold"/>
                <w:sz w:val="18"/>
                <w:szCs w:val="26"/>
              </w:rPr>
              <w:t xml:space="preserve"> </w:t>
            </w:r>
            <w:r w:rsidRPr="005023C9">
              <w:rPr>
                <w:rFonts w:eastAsia="Times New Roman Bold"/>
                <w:sz w:val="18"/>
                <w:szCs w:val="26"/>
                <w:rtl/>
              </w:rPr>
              <w:t>٨٨٢</w:t>
            </w:r>
            <w:r w:rsidRPr="005023C9">
              <w:rPr>
                <w:rFonts w:eastAsia="Times New Roman Bold"/>
                <w:sz w:val="18"/>
                <w:szCs w:val="26"/>
              </w:rPr>
              <w:t xml:space="preserve"> </w:t>
            </w:r>
            <w:r w:rsidRPr="005023C9">
              <w:rPr>
                <w:rFonts w:eastAsia="Times New Roman Bold"/>
                <w:sz w:val="18"/>
                <w:szCs w:val="26"/>
                <w:rtl/>
              </w:rPr>
              <w:t>٨٠٠</w:t>
            </w:r>
          </w:p>
        </w:tc>
        <w:tc>
          <w:tcPr>
            <w:tcW w:w="1331"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b/>
                <w:bCs/>
                <w:sz w:val="18"/>
                <w:szCs w:val="26"/>
              </w:rPr>
            </w:pPr>
            <w:r w:rsidRPr="005023C9">
              <w:rPr>
                <w:rFonts w:eastAsia="Times New Roman Bold"/>
                <w:b/>
                <w:bCs/>
                <w:sz w:val="18"/>
                <w:szCs w:val="26"/>
                <w:rtl/>
              </w:rPr>
              <w:t>٨</w:t>
            </w:r>
            <w:r w:rsidRPr="005023C9">
              <w:rPr>
                <w:rFonts w:eastAsia="Times New Roman Bold"/>
                <w:b/>
                <w:bCs/>
                <w:sz w:val="18"/>
                <w:szCs w:val="26"/>
              </w:rPr>
              <w:t xml:space="preserve"> </w:t>
            </w:r>
            <w:r w:rsidRPr="005023C9">
              <w:rPr>
                <w:rFonts w:eastAsia="Times New Roman Bold"/>
                <w:b/>
                <w:bCs/>
                <w:sz w:val="18"/>
                <w:szCs w:val="26"/>
                <w:rtl/>
              </w:rPr>
              <w:t>٠٨٩</w:t>
            </w:r>
            <w:r w:rsidRPr="005023C9">
              <w:rPr>
                <w:rFonts w:eastAsia="Times New Roman Bold"/>
                <w:b/>
                <w:bCs/>
                <w:sz w:val="18"/>
                <w:szCs w:val="26"/>
              </w:rPr>
              <w:t xml:space="preserve"> </w:t>
            </w:r>
            <w:r w:rsidRPr="005023C9">
              <w:rPr>
                <w:rFonts w:eastAsia="Times New Roman Bold"/>
                <w:b/>
                <w:bCs/>
                <w:sz w:val="18"/>
                <w:szCs w:val="26"/>
                <w:rtl/>
              </w:rPr>
              <w:t>٢٠٠</w:t>
            </w:r>
          </w:p>
        </w:tc>
        <w:tc>
          <w:tcPr>
            <w:tcW w:w="993"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٢٣</w:t>
            </w:r>
            <w:r w:rsidRPr="005023C9">
              <w:rPr>
                <w:rFonts w:eastAsia="Times New Roman Bold" w:cs="Times New Roman" w:hint="cs"/>
                <w:position w:val="-4"/>
                <w:sz w:val="18"/>
                <w:szCs w:val="26"/>
                <w:rtl/>
              </w:rPr>
              <w:t>٫</w:t>
            </w:r>
            <w:r w:rsidRPr="005023C9">
              <w:rPr>
                <w:rFonts w:eastAsia="Times New Roman Bold"/>
                <w:sz w:val="18"/>
                <w:szCs w:val="26"/>
                <w:rtl/>
              </w:rPr>
              <w:t>١</w:t>
            </w:r>
          </w:p>
        </w:tc>
      </w:tr>
      <w:tr w:rsidR="00461417" w:rsidRPr="005023C9" w:rsidTr="0058053B">
        <w:trPr>
          <w:cantSplit/>
        </w:trPr>
        <w:tc>
          <w:tcPr>
            <w:tcW w:w="2693" w:type="dxa"/>
            <w:tcBorders>
              <w:top w:val="single" w:sz="4" w:space="0" w:color="auto"/>
              <w:bottom w:val="single" w:sz="4" w:space="0" w:color="auto"/>
            </w:tcBorders>
            <w:shd w:val="clear" w:color="auto" w:fill="auto"/>
          </w:tcPr>
          <w:p w:rsidR="00461417" w:rsidRPr="005023C9" w:rsidRDefault="00461417" w:rsidP="00461417">
            <w:pPr>
              <w:spacing w:before="40" w:after="40" w:line="280" w:lineRule="exact"/>
              <w:ind w:left="57"/>
              <w:rPr>
                <w:rFonts w:eastAsia="Times New Roman Bold"/>
                <w:sz w:val="18"/>
                <w:szCs w:val="26"/>
              </w:rPr>
            </w:pPr>
            <w:r w:rsidRPr="005023C9">
              <w:rPr>
                <w:rFonts w:eastAsia="Times New Roman Bold"/>
                <w:sz w:val="18"/>
                <w:szCs w:val="26"/>
                <w:rtl/>
              </w:rPr>
              <w:t>١٣</w:t>
            </w:r>
            <w:r w:rsidRPr="005023C9">
              <w:rPr>
                <w:rFonts w:eastAsia="Times New Roman Bold"/>
                <w:sz w:val="18"/>
                <w:szCs w:val="26"/>
              </w:rPr>
              <w:t>–</w:t>
            </w:r>
            <w:r w:rsidRPr="005023C9">
              <w:rPr>
                <w:rFonts w:eastAsia="Times New Roman Bold"/>
                <w:sz w:val="18"/>
                <w:szCs w:val="26"/>
                <w:rtl/>
              </w:rPr>
              <w:t>١٩</w:t>
            </w:r>
          </w:p>
        </w:tc>
        <w:tc>
          <w:tcPr>
            <w:tcW w:w="1134"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٣</w:t>
            </w:r>
            <w:r w:rsidRPr="005023C9">
              <w:rPr>
                <w:rFonts w:eastAsia="Times New Roman Bold"/>
                <w:sz w:val="18"/>
                <w:szCs w:val="26"/>
              </w:rPr>
              <w:t xml:space="preserve"> </w:t>
            </w:r>
            <w:r w:rsidRPr="005023C9">
              <w:rPr>
                <w:rFonts w:eastAsia="Times New Roman Bold"/>
                <w:sz w:val="18"/>
                <w:szCs w:val="26"/>
                <w:rtl/>
              </w:rPr>
              <w:t>٩٩٥</w:t>
            </w:r>
            <w:r w:rsidRPr="005023C9">
              <w:rPr>
                <w:rFonts w:eastAsia="Times New Roman Bold"/>
                <w:sz w:val="18"/>
                <w:szCs w:val="26"/>
              </w:rPr>
              <w:t xml:space="preserve"> </w:t>
            </w:r>
            <w:r w:rsidRPr="005023C9">
              <w:rPr>
                <w:rFonts w:eastAsia="Times New Roman Bold"/>
                <w:sz w:val="18"/>
                <w:szCs w:val="26"/>
                <w:rtl/>
              </w:rPr>
              <w:t>٨٨٤</w:t>
            </w:r>
          </w:p>
        </w:tc>
        <w:tc>
          <w:tcPr>
            <w:tcW w:w="1134"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٢</w:t>
            </w:r>
            <w:r w:rsidRPr="005023C9">
              <w:rPr>
                <w:rFonts w:eastAsia="Times New Roman Bold"/>
                <w:sz w:val="18"/>
                <w:szCs w:val="26"/>
              </w:rPr>
              <w:t xml:space="preserve"> </w:t>
            </w:r>
            <w:r w:rsidRPr="005023C9">
              <w:rPr>
                <w:rFonts w:eastAsia="Times New Roman Bold"/>
                <w:sz w:val="18"/>
                <w:szCs w:val="26"/>
                <w:rtl/>
              </w:rPr>
              <w:t>٧٢٤</w:t>
            </w:r>
            <w:r w:rsidRPr="005023C9">
              <w:rPr>
                <w:rFonts w:eastAsia="Times New Roman Bold"/>
                <w:sz w:val="18"/>
                <w:szCs w:val="26"/>
              </w:rPr>
              <w:t xml:space="preserve"> </w:t>
            </w:r>
            <w:r w:rsidRPr="005023C9">
              <w:rPr>
                <w:rFonts w:eastAsia="Times New Roman Bold"/>
                <w:sz w:val="18"/>
                <w:szCs w:val="26"/>
                <w:rtl/>
              </w:rPr>
              <w:t>٨٠٠</w:t>
            </w:r>
          </w:p>
        </w:tc>
        <w:tc>
          <w:tcPr>
            <w:tcW w:w="1220"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٢</w:t>
            </w:r>
            <w:r w:rsidRPr="005023C9">
              <w:rPr>
                <w:rFonts w:eastAsia="Times New Roman Bold"/>
                <w:sz w:val="18"/>
                <w:szCs w:val="26"/>
              </w:rPr>
              <w:t xml:space="preserve"> </w:t>
            </w:r>
            <w:r w:rsidRPr="005023C9">
              <w:rPr>
                <w:rFonts w:eastAsia="Times New Roman Bold"/>
                <w:sz w:val="18"/>
                <w:szCs w:val="26"/>
                <w:rtl/>
              </w:rPr>
              <w:t>٦٠٥</w:t>
            </w:r>
            <w:r w:rsidRPr="005023C9">
              <w:rPr>
                <w:rFonts w:eastAsia="Times New Roman Bold"/>
                <w:sz w:val="18"/>
                <w:szCs w:val="26"/>
              </w:rPr>
              <w:t xml:space="preserve"> </w:t>
            </w:r>
            <w:r w:rsidRPr="005023C9">
              <w:rPr>
                <w:rFonts w:eastAsia="Times New Roman Bold"/>
                <w:sz w:val="18"/>
                <w:szCs w:val="26"/>
                <w:rtl/>
              </w:rPr>
              <w:t>٦٠٠</w:t>
            </w:r>
          </w:p>
        </w:tc>
        <w:tc>
          <w:tcPr>
            <w:tcW w:w="1331"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b/>
                <w:bCs/>
                <w:sz w:val="18"/>
                <w:szCs w:val="26"/>
              </w:rPr>
            </w:pPr>
            <w:r w:rsidRPr="005023C9">
              <w:rPr>
                <w:rFonts w:eastAsia="Times New Roman Bold"/>
                <w:b/>
                <w:bCs/>
                <w:sz w:val="18"/>
                <w:szCs w:val="26"/>
                <w:rtl/>
              </w:rPr>
              <w:t>٥</w:t>
            </w:r>
            <w:r w:rsidRPr="005023C9">
              <w:rPr>
                <w:rFonts w:eastAsia="Times New Roman Bold"/>
                <w:b/>
                <w:bCs/>
                <w:sz w:val="18"/>
                <w:szCs w:val="26"/>
              </w:rPr>
              <w:t xml:space="preserve"> </w:t>
            </w:r>
            <w:r w:rsidRPr="005023C9">
              <w:rPr>
                <w:rFonts w:eastAsia="Times New Roman Bold"/>
                <w:b/>
                <w:bCs/>
                <w:sz w:val="18"/>
                <w:szCs w:val="26"/>
                <w:rtl/>
              </w:rPr>
              <w:t>٣٣٠</w:t>
            </w:r>
            <w:r w:rsidRPr="005023C9">
              <w:rPr>
                <w:rFonts w:eastAsia="Times New Roman Bold"/>
                <w:b/>
                <w:bCs/>
                <w:sz w:val="18"/>
                <w:szCs w:val="26"/>
              </w:rPr>
              <w:t xml:space="preserve"> </w:t>
            </w:r>
            <w:r w:rsidRPr="005023C9">
              <w:rPr>
                <w:rFonts w:eastAsia="Times New Roman Bold"/>
                <w:b/>
                <w:bCs/>
                <w:sz w:val="18"/>
                <w:szCs w:val="26"/>
                <w:rtl/>
              </w:rPr>
              <w:t>٤٠٠</w:t>
            </w:r>
          </w:p>
        </w:tc>
        <w:tc>
          <w:tcPr>
            <w:tcW w:w="993"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١٥</w:t>
            </w:r>
            <w:r w:rsidRPr="005023C9">
              <w:rPr>
                <w:rFonts w:eastAsia="Times New Roman Bold" w:cs="Times New Roman" w:hint="cs"/>
                <w:position w:val="-4"/>
                <w:sz w:val="18"/>
                <w:szCs w:val="26"/>
                <w:rtl/>
              </w:rPr>
              <w:t>٫</w:t>
            </w:r>
            <w:r w:rsidRPr="005023C9">
              <w:rPr>
                <w:rFonts w:eastAsia="Times New Roman Bold"/>
                <w:sz w:val="18"/>
                <w:szCs w:val="26"/>
                <w:rtl/>
              </w:rPr>
              <w:t>٢</w:t>
            </w:r>
          </w:p>
        </w:tc>
      </w:tr>
      <w:tr w:rsidR="00461417" w:rsidRPr="005023C9" w:rsidTr="0058053B">
        <w:trPr>
          <w:cantSplit/>
        </w:trPr>
        <w:tc>
          <w:tcPr>
            <w:tcW w:w="2693" w:type="dxa"/>
            <w:tcBorders>
              <w:top w:val="single" w:sz="4" w:space="0" w:color="auto"/>
              <w:bottom w:val="single" w:sz="4" w:space="0" w:color="auto"/>
            </w:tcBorders>
            <w:shd w:val="clear" w:color="auto" w:fill="auto"/>
          </w:tcPr>
          <w:p w:rsidR="00461417" w:rsidRPr="005023C9" w:rsidRDefault="00461417" w:rsidP="00461417">
            <w:pPr>
              <w:spacing w:before="40" w:after="40" w:line="280" w:lineRule="exact"/>
              <w:ind w:left="57"/>
              <w:rPr>
                <w:rFonts w:eastAsia="Times New Roman Bold"/>
                <w:sz w:val="18"/>
                <w:szCs w:val="26"/>
              </w:rPr>
            </w:pPr>
          </w:p>
        </w:tc>
        <w:tc>
          <w:tcPr>
            <w:tcW w:w="1134"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p>
        </w:tc>
        <w:tc>
          <w:tcPr>
            <w:tcW w:w="1134"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p>
        </w:tc>
        <w:tc>
          <w:tcPr>
            <w:tcW w:w="1220"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p>
        </w:tc>
        <w:tc>
          <w:tcPr>
            <w:tcW w:w="1331"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b/>
                <w:bCs/>
                <w:sz w:val="18"/>
                <w:szCs w:val="26"/>
              </w:rPr>
            </w:pPr>
          </w:p>
        </w:tc>
        <w:tc>
          <w:tcPr>
            <w:tcW w:w="993"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p>
        </w:tc>
      </w:tr>
      <w:tr w:rsidR="00461417" w:rsidRPr="005023C9" w:rsidTr="0058053B">
        <w:trPr>
          <w:cantSplit/>
        </w:trPr>
        <w:tc>
          <w:tcPr>
            <w:tcW w:w="2693" w:type="dxa"/>
            <w:tcBorders>
              <w:top w:val="single" w:sz="4" w:space="0" w:color="auto"/>
              <w:bottom w:val="single" w:sz="4" w:space="0" w:color="auto"/>
            </w:tcBorders>
            <w:shd w:val="clear" w:color="auto" w:fill="auto"/>
          </w:tcPr>
          <w:p w:rsidR="00461417" w:rsidRPr="005023C9" w:rsidRDefault="00461417" w:rsidP="00461417">
            <w:pPr>
              <w:spacing w:before="40" w:after="40" w:line="280" w:lineRule="exact"/>
              <w:ind w:left="57"/>
              <w:rPr>
                <w:rFonts w:eastAsia="Times New Roman Bold"/>
                <w:sz w:val="18"/>
                <w:szCs w:val="26"/>
              </w:rPr>
            </w:pPr>
            <w:r w:rsidRPr="005023C9">
              <w:rPr>
                <w:rFonts w:eastAsia="Times New Roman Bold"/>
                <w:sz w:val="18"/>
                <w:szCs w:val="26"/>
                <w:rtl/>
              </w:rPr>
              <w:t>١٥</w:t>
            </w:r>
            <w:r w:rsidRPr="005023C9">
              <w:rPr>
                <w:rFonts w:eastAsia="Times New Roman Bold"/>
                <w:sz w:val="18"/>
                <w:szCs w:val="26"/>
              </w:rPr>
              <w:t>–</w:t>
            </w:r>
            <w:r w:rsidRPr="005023C9">
              <w:rPr>
                <w:rFonts w:eastAsia="Times New Roman Bold"/>
                <w:sz w:val="18"/>
                <w:szCs w:val="26"/>
                <w:rtl/>
              </w:rPr>
              <w:t>٤٩</w:t>
            </w:r>
          </w:p>
        </w:tc>
        <w:tc>
          <w:tcPr>
            <w:tcW w:w="1134"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٥</w:t>
            </w:r>
            <w:r w:rsidRPr="005023C9">
              <w:rPr>
                <w:rFonts w:eastAsia="Times New Roman Bold"/>
                <w:sz w:val="18"/>
                <w:szCs w:val="26"/>
              </w:rPr>
              <w:t xml:space="preserve"> </w:t>
            </w:r>
            <w:r w:rsidRPr="005023C9">
              <w:rPr>
                <w:rFonts w:eastAsia="Times New Roman Bold"/>
                <w:sz w:val="18"/>
                <w:szCs w:val="26"/>
                <w:rtl/>
              </w:rPr>
              <w:t>٤٧٨</w:t>
            </w:r>
            <w:r w:rsidRPr="005023C9">
              <w:rPr>
                <w:rFonts w:eastAsia="Times New Roman Bold"/>
                <w:sz w:val="18"/>
                <w:szCs w:val="26"/>
              </w:rPr>
              <w:t xml:space="preserve"> </w:t>
            </w:r>
            <w:r w:rsidRPr="005023C9">
              <w:rPr>
                <w:rFonts w:eastAsia="Times New Roman Bold"/>
                <w:sz w:val="18"/>
                <w:szCs w:val="26"/>
                <w:rtl/>
              </w:rPr>
              <w:t>٥٠٢</w:t>
            </w:r>
          </w:p>
        </w:tc>
        <w:tc>
          <w:tcPr>
            <w:tcW w:w="1134"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p>
        </w:tc>
        <w:tc>
          <w:tcPr>
            <w:tcW w:w="1220"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٦</w:t>
            </w:r>
            <w:r w:rsidRPr="005023C9">
              <w:rPr>
                <w:rFonts w:eastAsia="Times New Roman Bold"/>
                <w:sz w:val="18"/>
                <w:szCs w:val="26"/>
              </w:rPr>
              <w:t xml:space="preserve"> </w:t>
            </w:r>
            <w:r w:rsidRPr="005023C9">
              <w:rPr>
                <w:rFonts w:eastAsia="Times New Roman Bold"/>
                <w:sz w:val="18"/>
                <w:szCs w:val="26"/>
                <w:rtl/>
              </w:rPr>
              <w:t>٩٥٦</w:t>
            </w:r>
            <w:r w:rsidRPr="005023C9">
              <w:rPr>
                <w:rFonts w:eastAsia="Times New Roman Bold"/>
                <w:sz w:val="18"/>
                <w:szCs w:val="26"/>
              </w:rPr>
              <w:t xml:space="preserve"> </w:t>
            </w:r>
            <w:r w:rsidRPr="005023C9">
              <w:rPr>
                <w:rFonts w:eastAsia="Times New Roman Bold"/>
                <w:sz w:val="18"/>
                <w:szCs w:val="26"/>
                <w:rtl/>
              </w:rPr>
              <w:t>٣٠٠</w:t>
            </w:r>
          </w:p>
        </w:tc>
        <w:tc>
          <w:tcPr>
            <w:tcW w:w="1331"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b/>
                <w:bCs/>
                <w:sz w:val="18"/>
                <w:szCs w:val="26"/>
              </w:rPr>
            </w:pPr>
          </w:p>
        </w:tc>
        <w:tc>
          <w:tcPr>
            <w:tcW w:w="993"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٣٨</w:t>
            </w:r>
            <w:r w:rsidRPr="005023C9">
              <w:rPr>
                <w:rFonts w:eastAsia="Times New Roman Bold" w:cs="Times New Roman" w:hint="cs"/>
                <w:position w:val="-4"/>
                <w:sz w:val="18"/>
                <w:szCs w:val="26"/>
                <w:rtl/>
              </w:rPr>
              <w:t>٫</w:t>
            </w:r>
            <w:r w:rsidRPr="005023C9">
              <w:rPr>
                <w:rFonts w:eastAsia="Times New Roman Bold"/>
                <w:sz w:val="18"/>
                <w:szCs w:val="26"/>
                <w:rtl/>
              </w:rPr>
              <w:t>٧</w:t>
            </w:r>
          </w:p>
        </w:tc>
      </w:tr>
      <w:tr w:rsidR="00461417" w:rsidRPr="005023C9" w:rsidTr="0058053B">
        <w:trPr>
          <w:cantSplit/>
        </w:trPr>
        <w:tc>
          <w:tcPr>
            <w:tcW w:w="2693" w:type="dxa"/>
            <w:tcBorders>
              <w:top w:val="single" w:sz="4" w:space="0" w:color="auto"/>
              <w:bottom w:val="single" w:sz="4" w:space="0" w:color="auto"/>
            </w:tcBorders>
            <w:shd w:val="clear" w:color="auto" w:fill="auto"/>
          </w:tcPr>
          <w:p w:rsidR="00461417" w:rsidRPr="005023C9" w:rsidRDefault="00461417" w:rsidP="00461417">
            <w:pPr>
              <w:spacing w:before="40" w:after="40" w:line="280" w:lineRule="exact"/>
              <w:ind w:left="57"/>
              <w:rPr>
                <w:rFonts w:eastAsia="Times New Roman Bold"/>
                <w:sz w:val="18"/>
                <w:szCs w:val="26"/>
              </w:rPr>
            </w:pPr>
          </w:p>
        </w:tc>
        <w:tc>
          <w:tcPr>
            <w:tcW w:w="1134"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p>
        </w:tc>
        <w:tc>
          <w:tcPr>
            <w:tcW w:w="1134"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p>
        </w:tc>
        <w:tc>
          <w:tcPr>
            <w:tcW w:w="1220"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p>
        </w:tc>
        <w:tc>
          <w:tcPr>
            <w:tcW w:w="1331"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b/>
                <w:bCs/>
                <w:sz w:val="18"/>
                <w:szCs w:val="26"/>
              </w:rPr>
            </w:pPr>
          </w:p>
        </w:tc>
        <w:tc>
          <w:tcPr>
            <w:tcW w:w="993"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p>
        </w:tc>
      </w:tr>
      <w:tr w:rsidR="00461417" w:rsidRPr="005023C9" w:rsidTr="0058053B">
        <w:trPr>
          <w:cantSplit/>
        </w:trPr>
        <w:tc>
          <w:tcPr>
            <w:tcW w:w="2693" w:type="dxa"/>
            <w:tcBorders>
              <w:top w:val="single" w:sz="4" w:space="0" w:color="auto"/>
              <w:bottom w:val="single" w:sz="4" w:space="0" w:color="auto"/>
            </w:tcBorders>
            <w:shd w:val="clear" w:color="auto" w:fill="auto"/>
          </w:tcPr>
          <w:p w:rsidR="00461417" w:rsidRPr="005023C9" w:rsidRDefault="0058053B" w:rsidP="00461417">
            <w:pPr>
              <w:spacing w:before="40" w:after="40" w:line="280" w:lineRule="exact"/>
              <w:ind w:left="57"/>
              <w:rPr>
                <w:rFonts w:eastAsia="Times New Roman Bold"/>
                <w:sz w:val="18"/>
                <w:szCs w:val="26"/>
              </w:rPr>
            </w:pPr>
            <w:r>
              <w:rPr>
                <w:rFonts w:eastAsia="Times New Roman Bold" w:cs="Times New Roman"/>
                <w:sz w:val="18"/>
                <w:szCs w:val="26"/>
              </w:rPr>
              <w:t>&gt;</w:t>
            </w:r>
            <w:r w:rsidR="00461417" w:rsidRPr="005023C9">
              <w:rPr>
                <w:rFonts w:eastAsia="Times New Roman Bold"/>
                <w:sz w:val="18"/>
                <w:szCs w:val="26"/>
                <w:rtl/>
              </w:rPr>
              <w:t>١٨</w:t>
            </w:r>
          </w:p>
        </w:tc>
        <w:tc>
          <w:tcPr>
            <w:tcW w:w="1134"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١٣</w:t>
            </w:r>
            <w:r w:rsidRPr="005023C9">
              <w:rPr>
                <w:rFonts w:eastAsia="Times New Roman Bold"/>
                <w:sz w:val="18"/>
                <w:szCs w:val="26"/>
              </w:rPr>
              <w:t xml:space="preserve"> </w:t>
            </w:r>
            <w:r w:rsidRPr="005023C9">
              <w:rPr>
                <w:rFonts w:eastAsia="Times New Roman Bold"/>
                <w:sz w:val="18"/>
                <w:szCs w:val="26"/>
                <w:rtl/>
              </w:rPr>
              <w:t>٧٠٨</w:t>
            </w:r>
            <w:r w:rsidRPr="005023C9">
              <w:rPr>
                <w:rFonts w:eastAsia="Times New Roman Bold"/>
                <w:sz w:val="18"/>
                <w:szCs w:val="26"/>
              </w:rPr>
              <w:t xml:space="preserve"> </w:t>
            </w:r>
            <w:r w:rsidRPr="005023C9">
              <w:rPr>
                <w:rFonts w:eastAsia="Times New Roman Bold"/>
                <w:sz w:val="18"/>
                <w:szCs w:val="26"/>
                <w:rtl/>
              </w:rPr>
              <w:t>٢٦٣</w:t>
            </w:r>
          </w:p>
        </w:tc>
        <w:tc>
          <w:tcPr>
            <w:tcW w:w="1134"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١٠</w:t>
            </w:r>
            <w:r w:rsidRPr="005023C9">
              <w:rPr>
                <w:rFonts w:eastAsia="Times New Roman Bold"/>
                <w:sz w:val="18"/>
                <w:szCs w:val="26"/>
              </w:rPr>
              <w:t xml:space="preserve"> </w:t>
            </w:r>
            <w:r w:rsidRPr="005023C9">
              <w:rPr>
                <w:rFonts w:eastAsia="Times New Roman Bold"/>
                <w:sz w:val="18"/>
                <w:szCs w:val="26"/>
                <w:rtl/>
              </w:rPr>
              <w:t>٣٢٠</w:t>
            </w:r>
            <w:r w:rsidRPr="005023C9">
              <w:rPr>
                <w:rFonts w:eastAsia="Times New Roman Bold"/>
                <w:sz w:val="18"/>
                <w:szCs w:val="26"/>
              </w:rPr>
              <w:t xml:space="preserve"> </w:t>
            </w:r>
            <w:r w:rsidRPr="005023C9">
              <w:rPr>
                <w:rFonts w:eastAsia="Times New Roman Bold"/>
                <w:sz w:val="18"/>
                <w:szCs w:val="26"/>
                <w:rtl/>
              </w:rPr>
              <w:t>٢٠٠</w:t>
            </w:r>
          </w:p>
        </w:tc>
        <w:tc>
          <w:tcPr>
            <w:tcW w:w="1220"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٩</w:t>
            </w:r>
            <w:r w:rsidRPr="005023C9">
              <w:rPr>
                <w:rFonts w:eastAsia="Times New Roman Bold"/>
                <w:sz w:val="18"/>
                <w:szCs w:val="26"/>
              </w:rPr>
              <w:t xml:space="preserve"> </w:t>
            </w:r>
            <w:r w:rsidRPr="005023C9">
              <w:rPr>
                <w:rFonts w:eastAsia="Times New Roman Bold"/>
                <w:sz w:val="18"/>
                <w:szCs w:val="26"/>
                <w:rtl/>
              </w:rPr>
              <w:t>٥٥٣</w:t>
            </w:r>
            <w:r w:rsidRPr="005023C9">
              <w:rPr>
                <w:rFonts w:eastAsia="Times New Roman Bold"/>
                <w:sz w:val="18"/>
                <w:szCs w:val="26"/>
              </w:rPr>
              <w:t xml:space="preserve"> </w:t>
            </w:r>
            <w:r w:rsidRPr="005023C9">
              <w:rPr>
                <w:rFonts w:eastAsia="Times New Roman Bold"/>
                <w:sz w:val="18"/>
                <w:szCs w:val="26"/>
                <w:rtl/>
              </w:rPr>
              <w:t>٨٠٠</w:t>
            </w:r>
          </w:p>
        </w:tc>
        <w:tc>
          <w:tcPr>
            <w:tcW w:w="1331"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b/>
                <w:bCs/>
                <w:sz w:val="18"/>
                <w:szCs w:val="26"/>
              </w:rPr>
            </w:pPr>
            <w:r w:rsidRPr="005023C9">
              <w:rPr>
                <w:rFonts w:eastAsia="Times New Roman Bold"/>
                <w:b/>
                <w:bCs/>
                <w:sz w:val="18"/>
                <w:szCs w:val="26"/>
                <w:rtl/>
              </w:rPr>
              <w:t>١٩</w:t>
            </w:r>
            <w:r w:rsidRPr="005023C9">
              <w:rPr>
                <w:rFonts w:eastAsia="Times New Roman Bold"/>
                <w:b/>
                <w:bCs/>
                <w:sz w:val="18"/>
                <w:szCs w:val="26"/>
              </w:rPr>
              <w:t xml:space="preserve"> </w:t>
            </w:r>
            <w:r w:rsidRPr="005023C9">
              <w:rPr>
                <w:rFonts w:eastAsia="Times New Roman Bold"/>
                <w:b/>
                <w:bCs/>
                <w:sz w:val="18"/>
                <w:szCs w:val="26"/>
                <w:rtl/>
              </w:rPr>
              <w:t>٨٧٤</w:t>
            </w:r>
            <w:r w:rsidRPr="005023C9">
              <w:rPr>
                <w:rFonts w:eastAsia="Times New Roman Bold"/>
                <w:b/>
                <w:bCs/>
                <w:sz w:val="18"/>
                <w:szCs w:val="26"/>
              </w:rPr>
              <w:t xml:space="preserve"> </w:t>
            </w:r>
            <w:r w:rsidRPr="005023C9">
              <w:rPr>
                <w:rFonts w:eastAsia="Times New Roman Bold"/>
                <w:b/>
                <w:bCs/>
                <w:sz w:val="18"/>
                <w:szCs w:val="26"/>
                <w:rtl/>
              </w:rPr>
              <w:t>٠٠٠</w:t>
            </w:r>
          </w:p>
        </w:tc>
        <w:tc>
          <w:tcPr>
            <w:tcW w:w="993" w:type="dxa"/>
            <w:tcBorders>
              <w:top w:val="single" w:sz="4" w:space="0" w:color="auto"/>
              <w:bottom w:val="single" w:sz="4" w:space="0" w:color="auto"/>
            </w:tcBorders>
            <w:shd w:val="clear" w:color="auto" w:fill="auto"/>
          </w:tcPr>
          <w:p w:rsidR="00461417" w:rsidRPr="005023C9" w:rsidRDefault="00461417" w:rsidP="00461417">
            <w:pPr>
              <w:bidi w:val="0"/>
              <w:spacing w:before="40" w:after="40" w:line="220" w:lineRule="exact"/>
              <w:jc w:val="right"/>
              <w:rPr>
                <w:rFonts w:eastAsia="Times New Roman Bold"/>
                <w:sz w:val="18"/>
                <w:szCs w:val="26"/>
              </w:rPr>
            </w:pPr>
            <w:r w:rsidRPr="005023C9">
              <w:rPr>
                <w:rFonts w:eastAsia="Times New Roman Bold"/>
                <w:sz w:val="18"/>
                <w:szCs w:val="26"/>
                <w:rtl/>
              </w:rPr>
              <w:t>٥٦</w:t>
            </w:r>
            <w:r w:rsidRPr="005023C9">
              <w:rPr>
                <w:rFonts w:eastAsia="Times New Roman Bold" w:cs="Times New Roman" w:hint="cs"/>
                <w:b/>
                <w:bCs/>
                <w:position w:val="-4"/>
                <w:sz w:val="18"/>
                <w:szCs w:val="26"/>
                <w:rtl/>
              </w:rPr>
              <w:t>٫</w:t>
            </w:r>
            <w:r w:rsidRPr="005023C9">
              <w:rPr>
                <w:rFonts w:eastAsia="Times New Roman Bold"/>
                <w:sz w:val="18"/>
                <w:szCs w:val="26"/>
                <w:rtl/>
              </w:rPr>
              <w:t>٧</w:t>
            </w:r>
          </w:p>
        </w:tc>
      </w:tr>
      <w:tr w:rsidR="00461417" w:rsidRPr="005023C9" w:rsidTr="0058053B">
        <w:trPr>
          <w:cantSplit/>
        </w:trPr>
        <w:tc>
          <w:tcPr>
            <w:tcW w:w="2693" w:type="dxa"/>
            <w:tcBorders>
              <w:top w:val="single" w:sz="4" w:space="0" w:color="auto"/>
              <w:bottom w:val="nil"/>
            </w:tcBorders>
            <w:shd w:val="clear" w:color="auto" w:fill="auto"/>
          </w:tcPr>
          <w:p w:rsidR="00461417" w:rsidRPr="005023C9" w:rsidRDefault="00461417" w:rsidP="00461417">
            <w:pPr>
              <w:keepNext/>
              <w:spacing w:before="40" w:after="40" w:line="280" w:lineRule="exact"/>
              <w:ind w:left="57"/>
              <w:rPr>
                <w:rFonts w:eastAsia="Times New Roman Bold"/>
                <w:sz w:val="18"/>
                <w:szCs w:val="26"/>
                <w:rtl/>
              </w:rPr>
            </w:pPr>
            <w:r w:rsidRPr="005023C9">
              <w:rPr>
                <w:rFonts w:eastAsia="Times New Roman Bold"/>
                <w:sz w:val="18"/>
                <w:szCs w:val="26"/>
                <w:rtl/>
              </w:rPr>
              <w:t>١٨</w:t>
            </w:r>
            <w:r w:rsidRPr="005023C9">
              <w:rPr>
                <w:rFonts w:eastAsia="Times New Roman Bold"/>
                <w:sz w:val="18"/>
                <w:szCs w:val="26"/>
              </w:rPr>
              <w:t>–</w:t>
            </w:r>
            <w:r w:rsidRPr="005023C9">
              <w:rPr>
                <w:rFonts w:eastAsia="Times New Roman Bold"/>
                <w:sz w:val="18"/>
                <w:szCs w:val="26"/>
                <w:rtl/>
              </w:rPr>
              <w:t>٣٠</w:t>
            </w:r>
          </w:p>
        </w:tc>
        <w:tc>
          <w:tcPr>
            <w:tcW w:w="1134" w:type="dxa"/>
            <w:tcBorders>
              <w:top w:val="single" w:sz="4" w:space="0" w:color="auto"/>
              <w:bottom w:val="nil"/>
            </w:tcBorders>
            <w:shd w:val="clear" w:color="auto" w:fill="auto"/>
          </w:tcPr>
          <w:p w:rsidR="00461417" w:rsidRPr="005023C9" w:rsidRDefault="00461417" w:rsidP="00461417">
            <w:pPr>
              <w:keepNext/>
              <w:bidi w:val="0"/>
              <w:spacing w:before="40" w:after="40" w:line="220" w:lineRule="exact"/>
              <w:jc w:val="right"/>
              <w:rPr>
                <w:rFonts w:eastAsia="Times New Roman Bold"/>
                <w:sz w:val="18"/>
                <w:szCs w:val="26"/>
              </w:rPr>
            </w:pPr>
            <w:r w:rsidRPr="005023C9">
              <w:rPr>
                <w:rFonts w:eastAsia="Times New Roman Bold"/>
                <w:sz w:val="18"/>
                <w:szCs w:val="26"/>
                <w:rtl/>
              </w:rPr>
              <w:t>٥</w:t>
            </w:r>
            <w:r w:rsidRPr="005023C9">
              <w:rPr>
                <w:rFonts w:eastAsia="Times New Roman Bold"/>
                <w:sz w:val="18"/>
                <w:szCs w:val="26"/>
              </w:rPr>
              <w:t xml:space="preserve"> </w:t>
            </w:r>
            <w:r w:rsidRPr="005023C9">
              <w:rPr>
                <w:rFonts w:eastAsia="Times New Roman Bold"/>
                <w:sz w:val="18"/>
                <w:szCs w:val="26"/>
                <w:rtl/>
              </w:rPr>
              <w:t>٤٧٢</w:t>
            </w:r>
            <w:r w:rsidRPr="005023C9">
              <w:rPr>
                <w:rFonts w:eastAsia="Times New Roman Bold"/>
                <w:sz w:val="18"/>
                <w:szCs w:val="26"/>
              </w:rPr>
              <w:t xml:space="preserve"> </w:t>
            </w:r>
            <w:r w:rsidRPr="005023C9">
              <w:rPr>
                <w:rFonts w:eastAsia="Times New Roman Bold"/>
                <w:sz w:val="18"/>
                <w:szCs w:val="26"/>
                <w:rtl/>
              </w:rPr>
              <w:t>٠٦٢</w:t>
            </w:r>
          </w:p>
        </w:tc>
        <w:tc>
          <w:tcPr>
            <w:tcW w:w="1134" w:type="dxa"/>
            <w:tcBorders>
              <w:top w:val="single" w:sz="4" w:space="0" w:color="auto"/>
              <w:bottom w:val="nil"/>
            </w:tcBorders>
            <w:shd w:val="clear" w:color="auto" w:fill="auto"/>
          </w:tcPr>
          <w:p w:rsidR="00461417" w:rsidRPr="005023C9" w:rsidRDefault="00461417" w:rsidP="00461417">
            <w:pPr>
              <w:keepNext/>
              <w:bidi w:val="0"/>
              <w:spacing w:before="40" w:after="40" w:line="220" w:lineRule="exact"/>
              <w:jc w:val="right"/>
              <w:rPr>
                <w:rFonts w:eastAsia="Times New Roman Bold"/>
                <w:sz w:val="18"/>
                <w:szCs w:val="26"/>
              </w:rPr>
            </w:pPr>
            <w:r w:rsidRPr="005023C9">
              <w:rPr>
                <w:rFonts w:eastAsia="Times New Roman Bold"/>
                <w:sz w:val="18"/>
                <w:szCs w:val="26"/>
                <w:rtl/>
              </w:rPr>
              <w:t>٢</w:t>
            </w:r>
            <w:r w:rsidRPr="005023C9">
              <w:rPr>
                <w:rFonts w:eastAsia="Times New Roman Bold"/>
                <w:sz w:val="18"/>
                <w:szCs w:val="26"/>
              </w:rPr>
              <w:t xml:space="preserve"> </w:t>
            </w:r>
            <w:r w:rsidRPr="005023C9">
              <w:rPr>
                <w:rFonts w:eastAsia="Times New Roman Bold"/>
                <w:sz w:val="18"/>
                <w:szCs w:val="26"/>
                <w:rtl/>
              </w:rPr>
              <w:t>٩٩٧</w:t>
            </w:r>
            <w:r w:rsidRPr="005023C9">
              <w:rPr>
                <w:rFonts w:eastAsia="Times New Roman Bold"/>
                <w:sz w:val="18"/>
                <w:szCs w:val="26"/>
              </w:rPr>
              <w:t xml:space="preserve"> </w:t>
            </w:r>
            <w:r w:rsidRPr="005023C9">
              <w:rPr>
                <w:rFonts w:eastAsia="Times New Roman Bold"/>
                <w:sz w:val="18"/>
                <w:szCs w:val="26"/>
                <w:rtl/>
              </w:rPr>
              <w:t>٣٠٠</w:t>
            </w:r>
          </w:p>
        </w:tc>
        <w:tc>
          <w:tcPr>
            <w:tcW w:w="1220" w:type="dxa"/>
            <w:tcBorders>
              <w:top w:val="single" w:sz="4" w:space="0" w:color="auto"/>
              <w:bottom w:val="nil"/>
            </w:tcBorders>
            <w:shd w:val="clear" w:color="auto" w:fill="auto"/>
          </w:tcPr>
          <w:p w:rsidR="00461417" w:rsidRPr="005023C9" w:rsidRDefault="00461417" w:rsidP="00461417">
            <w:pPr>
              <w:keepNext/>
              <w:bidi w:val="0"/>
              <w:spacing w:before="40" w:after="40" w:line="220" w:lineRule="exact"/>
              <w:jc w:val="right"/>
              <w:rPr>
                <w:rFonts w:eastAsia="Times New Roman Bold"/>
                <w:sz w:val="18"/>
                <w:szCs w:val="26"/>
              </w:rPr>
            </w:pPr>
            <w:r w:rsidRPr="005023C9">
              <w:rPr>
                <w:rFonts w:eastAsia="Times New Roman Bold"/>
                <w:sz w:val="18"/>
                <w:szCs w:val="26"/>
                <w:rtl/>
              </w:rPr>
              <w:t>٣</w:t>
            </w:r>
            <w:r w:rsidRPr="005023C9">
              <w:rPr>
                <w:rFonts w:eastAsia="Times New Roman Bold"/>
                <w:sz w:val="18"/>
                <w:szCs w:val="26"/>
              </w:rPr>
              <w:t xml:space="preserve"> </w:t>
            </w:r>
            <w:r w:rsidRPr="005023C9">
              <w:rPr>
                <w:rFonts w:eastAsia="Times New Roman Bold"/>
                <w:sz w:val="18"/>
                <w:szCs w:val="26"/>
                <w:rtl/>
              </w:rPr>
              <w:t>٤٤٠</w:t>
            </w:r>
            <w:r w:rsidRPr="005023C9">
              <w:rPr>
                <w:rFonts w:eastAsia="Times New Roman Bold"/>
                <w:sz w:val="18"/>
                <w:szCs w:val="26"/>
              </w:rPr>
              <w:t xml:space="preserve"> </w:t>
            </w:r>
            <w:r w:rsidRPr="005023C9">
              <w:rPr>
                <w:rFonts w:eastAsia="Times New Roman Bold"/>
                <w:sz w:val="18"/>
                <w:szCs w:val="26"/>
                <w:rtl/>
              </w:rPr>
              <w:t>١٠٠</w:t>
            </w:r>
          </w:p>
        </w:tc>
        <w:tc>
          <w:tcPr>
            <w:tcW w:w="1331" w:type="dxa"/>
            <w:tcBorders>
              <w:top w:val="single" w:sz="4" w:space="0" w:color="auto"/>
              <w:bottom w:val="nil"/>
            </w:tcBorders>
            <w:shd w:val="clear" w:color="auto" w:fill="auto"/>
          </w:tcPr>
          <w:p w:rsidR="00461417" w:rsidRPr="005023C9" w:rsidRDefault="00461417" w:rsidP="00461417">
            <w:pPr>
              <w:keepNext/>
              <w:bidi w:val="0"/>
              <w:spacing w:before="40" w:after="40" w:line="220" w:lineRule="exact"/>
              <w:jc w:val="right"/>
              <w:rPr>
                <w:rFonts w:eastAsia="Times New Roman Bold"/>
                <w:b/>
                <w:bCs/>
                <w:sz w:val="18"/>
                <w:szCs w:val="26"/>
              </w:rPr>
            </w:pPr>
            <w:r w:rsidRPr="005023C9">
              <w:rPr>
                <w:rFonts w:eastAsia="Times New Roman Bold"/>
                <w:b/>
                <w:bCs/>
                <w:sz w:val="18"/>
                <w:szCs w:val="26"/>
                <w:rtl/>
              </w:rPr>
              <w:t>٦</w:t>
            </w:r>
            <w:r w:rsidRPr="005023C9">
              <w:rPr>
                <w:rFonts w:eastAsia="Times New Roman Bold"/>
                <w:b/>
                <w:bCs/>
                <w:sz w:val="18"/>
                <w:szCs w:val="26"/>
              </w:rPr>
              <w:t xml:space="preserve"> </w:t>
            </w:r>
            <w:r w:rsidRPr="005023C9">
              <w:rPr>
                <w:rFonts w:eastAsia="Times New Roman Bold"/>
                <w:b/>
                <w:bCs/>
                <w:sz w:val="18"/>
                <w:szCs w:val="26"/>
                <w:rtl/>
              </w:rPr>
              <w:t>٤٣٧</w:t>
            </w:r>
            <w:r w:rsidRPr="005023C9">
              <w:rPr>
                <w:rFonts w:eastAsia="Times New Roman Bold"/>
                <w:b/>
                <w:bCs/>
                <w:sz w:val="18"/>
                <w:szCs w:val="26"/>
              </w:rPr>
              <w:t xml:space="preserve"> </w:t>
            </w:r>
            <w:r w:rsidRPr="005023C9">
              <w:rPr>
                <w:rFonts w:eastAsia="Times New Roman Bold"/>
                <w:b/>
                <w:bCs/>
                <w:sz w:val="18"/>
                <w:szCs w:val="26"/>
                <w:rtl/>
              </w:rPr>
              <w:t>٤٠٠</w:t>
            </w:r>
          </w:p>
        </w:tc>
        <w:tc>
          <w:tcPr>
            <w:tcW w:w="993" w:type="dxa"/>
            <w:tcBorders>
              <w:top w:val="single" w:sz="4" w:space="0" w:color="auto"/>
              <w:bottom w:val="nil"/>
            </w:tcBorders>
            <w:shd w:val="clear" w:color="auto" w:fill="auto"/>
          </w:tcPr>
          <w:p w:rsidR="00461417" w:rsidRPr="005023C9" w:rsidRDefault="00461417" w:rsidP="00461417">
            <w:pPr>
              <w:keepNext/>
              <w:bidi w:val="0"/>
              <w:spacing w:before="40" w:after="40" w:line="220" w:lineRule="exact"/>
              <w:jc w:val="right"/>
              <w:rPr>
                <w:rFonts w:eastAsia="Times New Roman Bold"/>
                <w:sz w:val="18"/>
                <w:szCs w:val="26"/>
              </w:rPr>
            </w:pPr>
            <w:r w:rsidRPr="005023C9">
              <w:rPr>
                <w:rFonts w:eastAsia="Times New Roman Bold"/>
                <w:sz w:val="18"/>
                <w:szCs w:val="26"/>
                <w:rtl/>
              </w:rPr>
              <w:t>١٨</w:t>
            </w:r>
            <w:r w:rsidRPr="005023C9">
              <w:rPr>
                <w:rFonts w:eastAsia="Times New Roman Bold" w:cs="Times New Roman" w:hint="cs"/>
                <w:position w:val="-4"/>
                <w:sz w:val="18"/>
                <w:szCs w:val="26"/>
                <w:rtl/>
              </w:rPr>
              <w:t>٫</w:t>
            </w:r>
            <w:r w:rsidRPr="005023C9">
              <w:rPr>
                <w:rFonts w:eastAsia="Times New Roman Bold"/>
                <w:sz w:val="18"/>
                <w:szCs w:val="26"/>
                <w:rtl/>
              </w:rPr>
              <w:t>٤</w:t>
            </w:r>
          </w:p>
        </w:tc>
      </w:tr>
      <w:tr w:rsidR="00461417" w:rsidRPr="005023C9" w:rsidTr="0058053B">
        <w:trPr>
          <w:cantSplit/>
        </w:trPr>
        <w:tc>
          <w:tcPr>
            <w:tcW w:w="2693" w:type="dxa"/>
            <w:tcBorders>
              <w:top w:val="nil"/>
            </w:tcBorders>
            <w:shd w:val="clear" w:color="auto" w:fill="auto"/>
          </w:tcPr>
          <w:p w:rsidR="00461417" w:rsidRPr="005023C9" w:rsidRDefault="00461417" w:rsidP="00461417">
            <w:pPr>
              <w:pStyle w:val="SingleTxtGA"/>
              <w:spacing w:before="40" w:after="40" w:line="280" w:lineRule="exact"/>
              <w:ind w:left="0" w:right="0"/>
              <w:rPr>
                <w:sz w:val="18"/>
                <w:szCs w:val="26"/>
                <w:rtl/>
              </w:rPr>
            </w:pPr>
            <w:r w:rsidRPr="005023C9">
              <w:rPr>
                <w:rFonts w:hint="cs"/>
                <w:sz w:val="18"/>
                <w:szCs w:val="26"/>
                <w:rtl/>
              </w:rPr>
              <w:t>60 وما فوق</w:t>
            </w:r>
          </w:p>
        </w:tc>
        <w:tc>
          <w:tcPr>
            <w:tcW w:w="1134" w:type="dxa"/>
            <w:tcBorders>
              <w:top w:val="nil"/>
            </w:tcBorders>
            <w:shd w:val="clear" w:color="auto" w:fill="auto"/>
          </w:tcPr>
          <w:p w:rsidR="00461417" w:rsidRPr="005023C9" w:rsidRDefault="00461417" w:rsidP="00461417">
            <w:pPr>
              <w:keepNext/>
              <w:bidi w:val="0"/>
              <w:spacing w:before="40" w:after="40" w:line="220" w:lineRule="exact"/>
              <w:jc w:val="right"/>
              <w:rPr>
                <w:rFonts w:eastAsia="Times New Roman Bold"/>
                <w:sz w:val="18"/>
                <w:szCs w:val="26"/>
              </w:rPr>
            </w:pPr>
            <w:r w:rsidRPr="005023C9">
              <w:rPr>
                <w:rFonts w:eastAsia="Times New Roman Bold"/>
                <w:sz w:val="18"/>
                <w:szCs w:val="26"/>
                <w:rtl/>
              </w:rPr>
              <w:t>١</w:t>
            </w:r>
            <w:r w:rsidRPr="005023C9">
              <w:rPr>
                <w:rFonts w:eastAsia="Times New Roman Bold"/>
                <w:sz w:val="18"/>
                <w:szCs w:val="26"/>
              </w:rPr>
              <w:t xml:space="preserve"> </w:t>
            </w:r>
            <w:r w:rsidRPr="005023C9">
              <w:rPr>
                <w:rFonts w:eastAsia="Times New Roman Bold"/>
                <w:sz w:val="18"/>
                <w:szCs w:val="26"/>
                <w:rtl/>
              </w:rPr>
              <w:t>١٠١</w:t>
            </w:r>
            <w:r w:rsidRPr="005023C9">
              <w:rPr>
                <w:rFonts w:eastAsia="Times New Roman Bold"/>
                <w:sz w:val="18"/>
                <w:szCs w:val="26"/>
              </w:rPr>
              <w:t xml:space="preserve"> </w:t>
            </w:r>
            <w:r w:rsidRPr="005023C9">
              <w:rPr>
                <w:rFonts w:eastAsia="Times New Roman Bold"/>
                <w:sz w:val="18"/>
                <w:szCs w:val="26"/>
                <w:rtl/>
              </w:rPr>
              <w:t>٠٣٩</w:t>
            </w:r>
          </w:p>
        </w:tc>
        <w:tc>
          <w:tcPr>
            <w:tcW w:w="1134" w:type="dxa"/>
            <w:tcBorders>
              <w:top w:val="nil"/>
            </w:tcBorders>
            <w:shd w:val="clear" w:color="auto" w:fill="auto"/>
          </w:tcPr>
          <w:p w:rsidR="00461417" w:rsidRPr="005023C9" w:rsidRDefault="00461417" w:rsidP="00461417">
            <w:pPr>
              <w:keepNext/>
              <w:bidi w:val="0"/>
              <w:spacing w:before="40" w:after="40" w:line="220" w:lineRule="exact"/>
              <w:jc w:val="right"/>
              <w:rPr>
                <w:rFonts w:eastAsia="Times New Roman Bold"/>
                <w:sz w:val="18"/>
                <w:szCs w:val="26"/>
              </w:rPr>
            </w:pPr>
            <w:r w:rsidRPr="005023C9">
              <w:rPr>
                <w:rFonts w:eastAsia="Times New Roman Bold"/>
                <w:sz w:val="18"/>
                <w:szCs w:val="26"/>
                <w:rtl/>
              </w:rPr>
              <w:t>٦٦٤</w:t>
            </w:r>
            <w:r w:rsidRPr="005023C9">
              <w:rPr>
                <w:rFonts w:eastAsia="Times New Roman Bold"/>
                <w:sz w:val="18"/>
                <w:szCs w:val="26"/>
              </w:rPr>
              <w:t xml:space="preserve"> </w:t>
            </w:r>
            <w:r w:rsidRPr="005023C9">
              <w:rPr>
                <w:rFonts w:eastAsia="Times New Roman Bold"/>
                <w:sz w:val="18"/>
                <w:szCs w:val="26"/>
                <w:rtl/>
              </w:rPr>
              <w:t>٢٠٠</w:t>
            </w:r>
          </w:p>
        </w:tc>
        <w:tc>
          <w:tcPr>
            <w:tcW w:w="1220" w:type="dxa"/>
            <w:tcBorders>
              <w:top w:val="nil"/>
            </w:tcBorders>
            <w:shd w:val="clear" w:color="auto" w:fill="auto"/>
          </w:tcPr>
          <w:p w:rsidR="00461417" w:rsidRPr="005023C9" w:rsidRDefault="00461417" w:rsidP="00461417">
            <w:pPr>
              <w:keepNext/>
              <w:bidi w:val="0"/>
              <w:spacing w:before="40" w:after="40" w:line="220" w:lineRule="exact"/>
              <w:jc w:val="right"/>
              <w:rPr>
                <w:rFonts w:eastAsia="Times New Roman Bold"/>
                <w:sz w:val="18"/>
                <w:szCs w:val="26"/>
              </w:rPr>
            </w:pPr>
            <w:r w:rsidRPr="005023C9">
              <w:rPr>
                <w:rFonts w:eastAsia="Times New Roman Bold"/>
                <w:sz w:val="18"/>
                <w:szCs w:val="26"/>
                <w:rtl/>
              </w:rPr>
              <w:t>٨١٧</w:t>
            </w:r>
            <w:r w:rsidRPr="005023C9">
              <w:rPr>
                <w:rFonts w:eastAsia="Times New Roman Bold"/>
                <w:sz w:val="18"/>
                <w:szCs w:val="26"/>
              </w:rPr>
              <w:t xml:space="preserve"> </w:t>
            </w:r>
            <w:r w:rsidRPr="005023C9">
              <w:rPr>
                <w:rFonts w:eastAsia="Times New Roman Bold"/>
                <w:sz w:val="18"/>
                <w:szCs w:val="26"/>
                <w:rtl/>
              </w:rPr>
              <w:t>٤٠٠</w:t>
            </w:r>
          </w:p>
        </w:tc>
        <w:tc>
          <w:tcPr>
            <w:tcW w:w="1331" w:type="dxa"/>
            <w:tcBorders>
              <w:top w:val="nil"/>
            </w:tcBorders>
            <w:shd w:val="clear" w:color="auto" w:fill="auto"/>
          </w:tcPr>
          <w:p w:rsidR="00461417" w:rsidRPr="005023C9" w:rsidRDefault="00461417" w:rsidP="00461417">
            <w:pPr>
              <w:keepNext/>
              <w:bidi w:val="0"/>
              <w:spacing w:before="40" w:after="40" w:line="220" w:lineRule="exact"/>
              <w:jc w:val="right"/>
              <w:rPr>
                <w:rFonts w:eastAsia="Times New Roman Bold"/>
                <w:b/>
                <w:bCs/>
                <w:sz w:val="18"/>
                <w:szCs w:val="26"/>
              </w:rPr>
            </w:pPr>
            <w:r w:rsidRPr="005023C9">
              <w:rPr>
                <w:rFonts w:eastAsia="Times New Roman Bold"/>
                <w:b/>
                <w:bCs/>
                <w:sz w:val="18"/>
                <w:szCs w:val="26"/>
                <w:rtl/>
              </w:rPr>
              <w:t>١</w:t>
            </w:r>
            <w:r w:rsidRPr="005023C9">
              <w:rPr>
                <w:rFonts w:eastAsia="Times New Roman Bold"/>
                <w:b/>
                <w:bCs/>
                <w:sz w:val="18"/>
                <w:szCs w:val="26"/>
              </w:rPr>
              <w:t xml:space="preserve"> </w:t>
            </w:r>
            <w:r w:rsidRPr="005023C9">
              <w:rPr>
                <w:rFonts w:eastAsia="Times New Roman Bold"/>
                <w:b/>
                <w:bCs/>
                <w:sz w:val="18"/>
                <w:szCs w:val="26"/>
                <w:rtl/>
              </w:rPr>
              <w:t>٤٨١</w:t>
            </w:r>
            <w:r w:rsidRPr="005023C9">
              <w:rPr>
                <w:rFonts w:eastAsia="Times New Roman Bold"/>
                <w:b/>
                <w:bCs/>
                <w:sz w:val="18"/>
                <w:szCs w:val="26"/>
              </w:rPr>
              <w:t xml:space="preserve"> </w:t>
            </w:r>
            <w:r w:rsidRPr="005023C9">
              <w:rPr>
                <w:rFonts w:eastAsia="Times New Roman Bold"/>
                <w:b/>
                <w:bCs/>
                <w:sz w:val="18"/>
                <w:szCs w:val="26"/>
                <w:rtl/>
              </w:rPr>
              <w:t>٦٠٠</w:t>
            </w:r>
          </w:p>
        </w:tc>
        <w:tc>
          <w:tcPr>
            <w:tcW w:w="993" w:type="dxa"/>
            <w:tcBorders>
              <w:top w:val="nil"/>
            </w:tcBorders>
            <w:shd w:val="clear" w:color="auto" w:fill="auto"/>
          </w:tcPr>
          <w:p w:rsidR="00461417" w:rsidRPr="005023C9" w:rsidRDefault="00461417" w:rsidP="00461417">
            <w:pPr>
              <w:keepNext/>
              <w:bidi w:val="0"/>
              <w:spacing w:before="40" w:after="40" w:line="220" w:lineRule="exact"/>
              <w:jc w:val="right"/>
              <w:rPr>
                <w:rFonts w:eastAsia="Times New Roman Bold"/>
                <w:sz w:val="18"/>
                <w:szCs w:val="26"/>
              </w:rPr>
            </w:pPr>
            <w:r w:rsidRPr="005023C9">
              <w:rPr>
                <w:rFonts w:eastAsia="Times New Roman Bold"/>
                <w:sz w:val="18"/>
                <w:szCs w:val="26"/>
                <w:rtl/>
              </w:rPr>
              <w:t>٤</w:t>
            </w:r>
            <w:r w:rsidRPr="005023C9">
              <w:rPr>
                <w:rFonts w:eastAsia="Times New Roman Bold" w:cs="Times New Roman" w:hint="cs"/>
                <w:position w:val="-4"/>
                <w:sz w:val="18"/>
                <w:szCs w:val="26"/>
                <w:rtl/>
              </w:rPr>
              <w:t>٫</w:t>
            </w:r>
            <w:r w:rsidRPr="005023C9">
              <w:rPr>
                <w:rFonts w:eastAsia="Times New Roman Bold"/>
                <w:sz w:val="18"/>
                <w:szCs w:val="26"/>
                <w:rtl/>
              </w:rPr>
              <w:t>٢</w:t>
            </w:r>
          </w:p>
        </w:tc>
      </w:tr>
    </w:tbl>
    <w:p w:rsidR="00225595" w:rsidRPr="00C43876" w:rsidRDefault="00225595" w:rsidP="0058053B">
      <w:pPr>
        <w:pStyle w:val="SingleTxtGA"/>
        <w:tabs>
          <w:tab w:val="clear" w:pos="1928"/>
        </w:tabs>
        <w:ind w:left="1134"/>
        <w:rPr>
          <w:sz w:val="16"/>
          <w:szCs w:val="26"/>
          <w:rtl/>
        </w:rPr>
      </w:pPr>
      <w:r w:rsidRPr="00C43876">
        <w:rPr>
          <w:rFonts w:hint="cs"/>
          <w:i/>
          <w:iCs/>
          <w:sz w:val="16"/>
          <w:szCs w:val="26"/>
          <w:rtl/>
        </w:rPr>
        <w:t>المصدر</w:t>
      </w:r>
      <w:r w:rsidRPr="00C43876">
        <w:rPr>
          <w:rFonts w:hint="cs"/>
          <w:sz w:val="16"/>
          <w:szCs w:val="26"/>
          <w:rtl/>
        </w:rPr>
        <w:t>: النتائج الأولية للتعداد الوطني للسكان والمساكن لعام 2014، 17.</w:t>
      </w:r>
    </w:p>
    <w:p w:rsidR="00225595" w:rsidRDefault="00225595" w:rsidP="00C43876">
      <w:pPr>
        <w:pStyle w:val="SingleTxtGA"/>
        <w:rPr>
          <w:rtl/>
        </w:rPr>
      </w:pPr>
      <w:r w:rsidRPr="009E203C">
        <w:rPr>
          <w:rFonts w:hint="cs"/>
          <w:rtl/>
        </w:rPr>
        <w:t>5-</w:t>
      </w:r>
      <w:r w:rsidRPr="009E203C">
        <w:rPr>
          <w:rFonts w:hint="cs"/>
          <w:rtl/>
        </w:rPr>
        <w:tab/>
        <w:t xml:space="preserve">وتبين النتائج </w:t>
      </w:r>
      <w:r>
        <w:rPr>
          <w:rFonts w:hint="cs"/>
          <w:rtl/>
        </w:rPr>
        <w:t>حقيقة جلية مفادها أن السكان الذين تقل أعمارهم عن 18 سنة يشكلون</w:t>
      </w:r>
      <w:r w:rsidR="00C43876">
        <w:rPr>
          <w:rFonts w:hint="cs"/>
          <w:rtl/>
        </w:rPr>
        <w:t xml:space="preserve"> </w:t>
      </w:r>
      <w:r>
        <w:rPr>
          <w:rFonts w:hint="cs"/>
          <w:rtl/>
        </w:rPr>
        <w:t xml:space="preserve">أغلبية السكان. وتبيّن أحدث المؤشرات الديمغرافية المتعلقة بالولادات (2011) أن معدل المواليد الأولي يبلغ 42.1؛ كما تبين أن معدل الخصوبة الإجمالي تراجع تراجعاً طفيفاً </w:t>
      </w:r>
      <w:r>
        <w:rPr>
          <w:rFonts w:hint="cs"/>
          <w:rtl/>
        </w:rPr>
        <w:lastRenderedPageBreak/>
        <w:t>ليبلغ 6.2 أطفال لكل امرأة عام 2014 مقارنة بـ 6.7 عام 2006؛ وأن نسبة الجنس عند الولادة تبلغ 103</w:t>
      </w:r>
      <w:r>
        <w:rPr>
          <w:vertAlign w:val="superscript"/>
          <w:rtl/>
        </w:rPr>
        <w:t>(</w:t>
      </w:r>
      <w:r>
        <w:rPr>
          <w:rStyle w:val="FootnoteReference"/>
          <w:rtl/>
        </w:rPr>
        <w:footnoteReference w:id="11"/>
      </w:r>
      <w:r>
        <w:rPr>
          <w:vertAlign w:val="superscript"/>
          <w:rtl/>
        </w:rPr>
        <w:t>)</w:t>
      </w:r>
      <w:r>
        <w:rPr>
          <w:rFonts w:hint="cs"/>
          <w:rtl/>
        </w:rPr>
        <w:t>. ومن ناحية أخرى، تراجعت نسبة المسنين (60 عاماً وما فوق)، تراجعاً طفيفاً من 4.6 في المائة عام 2002 إلى 4.2 في المائة عام 2014 رغم أن نسبة الإعالة زادت من 110 عام 2002 إلى 124 عام 2014 بسبب ارتفاع عدد السكان الشباب. ويقدر عدد الأسر المعيشية بـ 7.3 ملايين أسرة ويبلغ حجم الأسر المعيشية في المتوسط 4.7 أشخاص تقريباً</w:t>
      </w:r>
      <w:r>
        <w:rPr>
          <w:vertAlign w:val="superscript"/>
          <w:rtl/>
        </w:rPr>
        <w:t>(</w:t>
      </w:r>
      <w:r>
        <w:rPr>
          <w:rStyle w:val="FootnoteReference"/>
          <w:rtl/>
        </w:rPr>
        <w:footnoteReference w:id="12"/>
      </w:r>
      <w:r>
        <w:rPr>
          <w:vertAlign w:val="superscript"/>
          <w:rtl/>
        </w:rPr>
        <w:t>)</w:t>
      </w:r>
      <w:r>
        <w:rPr>
          <w:rFonts w:hint="cs"/>
          <w:rtl/>
        </w:rPr>
        <w:t>. وتعيل النساء حوالي 30 في المائة من الأسر المعيشية</w:t>
      </w:r>
      <w:r>
        <w:rPr>
          <w:vertAlign w:val="superscript"/>
          <w:rtl/>
        </w:rPr>
        <w:t>(</w:t>
      </w:r>
      <w:r>
        <w:rPr>
          <w:rStyle w:val="FootnoteReference"/>
          <w:rtl/>
        </w:rPr>
        <w:footnoteReference w:id="13"/>
      </w:r>
      <w:r>
        <w:rPr>
          <w:vertAlign w:val="superscript"/>
          <w:rtl/>
        </w:rPr>
        <w:t>)</w:t>
      </w:r>
      <w:r>
        <w:rPr>
          <w:rFonts w:hint="cs"/>
          <w:rtl/>
        </w:rPr>
        <w:t>.</w:t>
      </w:r>
    </w:p>
    <w:p w:rsidR="00225595" w:rsidRDefault="00F03BEA" w:rsidP="00C43876">
      <w:pPr>
        <w:pStyle w:val="H1GA"/>
        <w:rPr>
          <w:rtl/>
        </w:rPr>
      </w:pPr>
      <w:r>
        <w:rPr>
          <w:rFonts w:hint="cs"/>
          <w:rtl/>
        </w:rPr>
        <w:tab/>
      </w:r>
      <w:bookmarkStart w:id="3" w:name="_Toc421870477"/>
      <w:r w:rsidR="00225595">
        <w:rPr>
          <w:rFonts w:hint="cs"/>
          <w:rtl/>
        </w:rPr>
        <w:t>باء-</w:t>
      </w:r>
      <w:r w:rsidR="00225595">
        <w:rPr>
          <w:rFonts w:hint="cs"/>
          <w:rtl/>
        </w:rPr>
        <w:tab/>
        <w:t>اتجاهات الهجرة</w:t>
      </w:r>
      <w:bookmarkEnd w:id="3"/>
    </w:p>
    <w:p w:rsidR="00225595" w:rsidRDefault="00225595" w:rsidP="00C43876">
      <w:pPr>
        <w:pStyle w:val="SingleTxtGA"/>
        <w:rPr>
          <w:rtl/>
        </w:rPr>
      </w:pPr>
      <w:r>
        <w:rPr>
          <w:rFonts w:hint="cs"/>
          <w:rtl/>
        </w:rPr>
        <w:t>6-</w:t>
      </w:r>
      <w:r>
        <w:rPr>
          <w:rFonts w:hint="cs"/>
          <w:rtl/>
        </w:rPr>
        <w:tab/>
        <w:t>شهدت أوغندا جميع أنواع الهجرة التي مزجت أنماطها بين الهجرة الطوعية والقسرية وحركات الهجرة الداخلية والدولية. ويعود ذلك أساساً إلى موقعها في منطقة تشهد تقلبات كبيرة هي منطقة البحيرات الكبرى في القارة الأفريقية</w:t>
      </w:r>
      <w:r>
        <w:rPr>
          <w:vertAlign w:val="superscript"/>
          <w:rtl/>
        </w:rPr>
        <w:t>(</w:t>
      </w:r>
      <w:r>
        <w:rPr>
          <w:rStyle w:val="FootnoteReference"/>
          <w:rtl/>
        </w:rPr>
        <w:footnoteReference w:id="14"/>
      </w:r>
      <w:r>
        <w:rPr>
          <w:vertAlign w:val="superscript"/>
          <w:rtl/>
        </w:rPr>
        <w:t>)</w:t>
      </w:r>
      <w:r>
        <w:rPr>
          <w:rFonts w:hint="cs"/>
          <w:rtl/>
        </w:rPr>
        <w:t xml:space="preserve">. وتميزت الهجرة الداخلية الطوعية أساساً بالهجرة بين الأرياف والمدن وإلى درجة معينة بالهجرة بين الأرياف من القطاع التقليدي (زراعة الكفاف) إلى المناطق الريفية التي تزخر بالموارد حيث تتنوع الأنشطة بين الزراعة التجارية والتعدين والرعي المرتحل ومؤخراً استكشاف موارد النفط والغاز في منطقة </w:t>
      </w:r>
      <w:proofErr w:type="spellStart"/>
      <w:r>
        <w:rPr>
          <w:rFonts w:hint="cs"/>
          <w:rtl/>
        </w:rPr>
        <w:t>ألبرتين</w:t>
      </w:r>
      <w:proofErr w:type="spellEnd"/>
      <w:r>
        <w:rPr>
          <w:vertAlign w:val="superscript"/>
          <w:rtl/>
        </w:rPr>
        <w:t>(</w:t>
      </w:r>
      <w:r>
        <w:rPr>
          <w:rStyle w:val="FootnoteReference"/>
          <w:rtl/>
        </w:rPr>
        <w:footnoteReference w:id="15"/>
      </w:r>
      <w:r>
        <w:rPr>
          <w:vertAlign w:val="superscript"/>
          <w:rtl/>
        </w:rPr>
        <w:t>)</w:t>
      </w:r>
      <w:r>
        <w:rPr>
          <w:rFonts w:hint="cs"/>
          <w:rtl/>
        </w:rPr>
        <w:t>.</w:t>
      </w:r>
      <w:r w:rsidR="005023C9">
        <w:rPr>
          <w:rFonts w:hint="cs"/>
          <w:rtl/>
        </w:rPr>
        <w:t xml:space="preserve"> </w:t>
      </w:r>
      <w:r>
        <w:rPr>
          <w:rFonts w:hint="cs"/>
          <w:rtl/>
        </w:rPr>
        <w:t>وتُعزى الحركات الداخلية الأخرى إلى أوضاع طال أمدها أدت إلى حالات تشريد داخلي قسري لأسباب منها انعدام الأمن، في شمال أوغندا</w:t>
      </w:r>
      <w:r>
        <w:rPr>
          <w:vertAlign w:val="superscript"/>
          <w:rtl/>
        </w:rPr>
        <w:t>(</w:t>
      </w:r>
      <w:r>
        <w:rPr>
          <w:rStyle w:val="FootnoteReference"/>
          <w:rtl/>
        </w:rPr>
        <w:footnoteReference w:id="16"/>
      </w:r>
      <w:r>
        <w:rPr>
          <w:vertAlign w:val="superscript"/>
          <w:rtl/>
        </w:rPr>
        <w:t>)</w:t>
      </w:r>
      <w:r>
        <w:rPr>
          <w:rFonts w:hint="cs"/>
          <w:rtl/>
        </w:rPr>
        <w:t xml:space="preserve"> ومنطقة </w:t>
      </w:r>
      <w:proofErr w:type="spellStart"/>
      <w:r>
        <w:rPr>
          <w:rFonts w:hint="cs"/>
          <w:rtl/>
        </w:rPr>
        <w:t>كاراموجا</w:t>
      </w:r>
      <w:proofErr w:type="spellEnd"/>
      <w:r>
        <w:rPr>
          <w:vertAlign w:val="superscript"/>
          <w:rtl/>
        </w:rPr>
        <w:t>(</w:t>
      </w:r>
      <w:r>
        <w:rPr>
          <w:rStyle w:val="FootnoteReference"/>
          <w:rtl/>
        </w:rPr>
        <w:footnoteReference w:id="17"/>
      </w:r>
      <w:r>
        <w:rPr>
          <w:vertAlign w:val="superscript"/>
          <w:rtl/>
        </w:rPr>
        <w:t>)</w:t>
      </w:r>
      <w:r>
        <w:rPr>
          <w:rFonts w:hint="cs"/>
          <w:rtl/>
        </w:rPr>
        <w:t xml:space="preserve"> على سبيل المثال، والكوارث الإيكولوجية والطبيعية (على سبيل المثال في منطقة </w:t>
      </w:r>
      <w:proofErr w:type="spellStart"/>
      <w:r>
        <w:rPr>
          <w:rFonts w:hint="cs"/>
          <w:rtl/>
        </w:rPr>
        <w:t>بودودا</w:t>
      </w:r>
      <w:proofErr w:type="spellEnd"/>
      <w:r>
        <w:rPr>
          <w:rFonts w:hint="cs"/>
          <w:rtl/>
        </w:rPr>
        <w:t xml:space="preserve"> في مقاطعة مبالي في شرق أوغندا). أما حركات الهجرة من بلدان أخرى إلى أوغندا فقد تمثلت أساساً في حركات اللاجئين من جمهورية الكونغو الديمقراطية وبوروندي وإريتريا وإثيوبيا وغيرهم من الأشخاص والعمال المهاجرين الذين جاءوا إليها بحثاً عن العمل. وعلى غرار ذلك، يذهب الأوغنديون إلى بلدان أخرى بحثاً عن فرص عمل.</w:t>
      </w:r>
    </w:p>
    <w:p w:rsidR="00225595" w:rsidRPr="00F45701" w:rsidRDefault="00225595" w:rsidP="00F45701">
      <w:pPr>
        <w:pStyle w:val="SingleTxtGA"/>
        <w:rPr>
          <w:spacing w:val="-2"/>
          <w:rtl/>
        </w:rPr>
      </w:pPr>
      <w:r w:rsidRPr="00F45701">
        <w:rPr>
          <w:rFonts w:hint="cs"/>
          <w:spacing w:val="-2"/>
          <w:rtl/>
        </w:rPr>
        <w:lastRenderedPageBreak/>
        <w:t>7-</w:t>
      </w:r>
      <w:r w:rsidRPr="00F45701">
        <w:rPr>
          <w:rFonts w:hint="cs"/>
          <w:spacing w:val="-2"/>
          <w:rtl/>
        </w:rPr>
        <w:tab/>
        <w:t xml:space="preserve">ويشمل العمال المهاجرون وأفراد أسرهم الذين يأتون إلى أوغندا أو يغادرونها طوعاً لممارسة أنشطة/وظائف بأجر </w:t>
      </w:r>
      <w:r w:rsidR="00C43876" w:rsidRPr="00F45701">
        <w:rPr>
          <w:rFonts w:hint="cs"/>
          <w:spacing w:val="-2"/>
          <w:rtl/>
        </w:rPr>
        <w:t>الأشخاص</w:t>
      </w:r>
      <w:r w:rsidRPr="00F45701">
        <w:rPr>
          <w:rFonts w:hint="cs"/>
          <w:spacing w:val="-2"/>
          <w:rtl/>
        </w:rPr>
        <w:t xml:space="preserve"> الذين يأتون إلى البلد أو يغادرونه قانونياً أو الأشخاص المقيمين بصورة غير قانونية لكنهم يأتون إلى البلد أو يغادرونه بحثاً عن عمل/أنشطة بأجر. ومن</w:t>
      </w:r>
      <w:r w:rsidR="00F45701">
        <w:rPr>
          <w:rFonts w:hint="eastAsia"/>
          <w:spacing w:val="-2"/>
          <w:rtl/>
        </w:rPr>
        <w:t> </w:t>
      </w:r>
      <w:r w:rsidRPr="00F45701">
        <w:rPr>
          <w:rFonts w:hint="cs"/>
          <w:spacing w:val="-2"/>
          <w:rtl/>
        </w:rPr>
        <w:t xml:space="preserve">الواضح أن الهجرة المدارة إدارة جيدة يمكن أن تفضي إلى فوائد كبيرة لبلدان المصدر والمقصد. فقد أدت هجرة العمال على سبيل المثال دوراً هاماً في تلبية احتياجات العمل في الزراعة والبناء والصحة والقطاعات الأخرى، ما يسهم في التنمية الاقتصادية للعديد من بلدان المقصد في أفريقيا. وفي المقابل، أسهمت العوائد المفيدة للهجرة، كالتحويلات ونقل المعارف والمهارات وتشجيع عودة المهاجرين، في بعض الحالات، إسهامات كبيرة في اقتصادات بلدان المصدر. </w:t>
      </w:r>
    </w:p>
    <w:p w:rsidR="00225595" w:rsidRDefault="00225595" w:rsidP="004937A6">
      <w:pPr>
        <w:pStyle w:val="SingleTxtGA"/>
        <w:rPr>
          <w:rtl/>
        </w:rPr>
      </w:pPr>
      <w:r>
        <w:rPr>
          <w:rFonts w:hint="cs"/>
          <w:rtl/>
        </w:rPr>
        <w:t>8-</w:t>
      </w:r>
      <w:r>
        <w:rPr>
          <w:rFonts w:hint="cs"/>
          <w:rtl/>
        </w:rPr>
        <w:tab/>
        <w:t>وتستضيف أوغندا عمالاً مهاجرين أكثرهم من البلدان المجاورة مثل كينيا وجمهورية تنزانيا المتحدة ورواندا وجمهورية الكونغو الديمقراطية وجنوب السودان، رغم أنها شهدت في الماضي تدفقاً للعمال المهاجرين من البلدان الآسيوية (الهند وباكستان وكوريا وإندونيسيا والصين)</w:t>
      </w:r>
      <w:r>
        <w:rPr>
          <w:vertAlign w:val="superscript"/>
          <w:rtl/>
        </w:rPr>
        <w:t>(</w:t>
      </w:r>
      <w:r>
        <w:rPr>
          <w:rStyle w:val="FootnoteReference"/>
          <w:rtl/>
        </w:rPr>
        <w:footnoteReference w:id="18"/>
      </w:r>
      <w:r>
        <w:rPr>
          <w:vertAlign w:val="superscript"/>
          <w:rtl/>
        </w:rPr>
        <w:t>)</w:t>
      </w:r>
      <w:r>
        <w:rPr>
          <w:rFonts w:hint="cs"/>
          <w:rtl/>
        </w:rPr>
        <w:t xml:space="preserve">. وقد سُجِّلت كذلك زيادة في تدفق الأوغنديين إلى الخارج أيضاً. وهاجر أغلبية الأوغنديين اعتباراً من بداية السبعينيات، خلال الاضطرابات السياسية التي شهدها البلد عقب استلام النظام العسكري لعيدي أمين السلطة السياسية. وشملت مجموعة المهاجرين الأوغنديين في السبعينات من القرن الماضي الأوغنديين من أصل آسيوي الذين طُردوا سريعاً عام 1972. وهاجر أوغنديون آخرون على مر السنوات لأسباب متنوعة، رغم أن الهدف الأساسي لهجرتهم كان البحث عن فرص اقتصادية. وثمة ظاهرة جديدة هي </w:t>
      </w:r>
      <w:proofErr w:type="spellStart"/>
      <w:r>
        <w:rPr>
          <w:rFonts w:hint="cs"/>
          <w:rtl/>
        </w:rPr>
        <w:t>الخرجنة</w:t>
      </w:r>
      <w:proofErr w:type="spellEnd"/>
      <w:r>
        <w:rPr>
          <w:rFonts w:hint="cs"/>
          <w:rtl/>
        </w:rPr>
        <w:t xml:space="preserve"> النظامية للعمال. فحتى كانون الأول/ديسمبر 2014، صدرت تراخيص لـ 30 وكالة توظيف خارجية، وقد وُظف أكثر من</w:t>
      </w:r>
      <w:r w:rsidR="004937A6">
        <w:rPr>
          <w:rFonts w:hint="eastAsia"/>
          <w:rtl/>
        </w:rPr>
        <w:t> </w:t>
      </w:r>
      <w:r>
        <w:rPr>
          <w:rFonts w:hint="cs"/>
          <w:rtl/>
        </w:rPr>
        <w:t xml:space="preserve">175 46 أوغنديا على نحو نظامي، وأرسلوا </w:t>
      </w:r>
      <w:r w:rsidR="004937A6">
        <w:rPr>
          <w:rFonts w:hint="cs"/>
          <w:rtl/>
        </w:rPr>
        <w:t>إ</w:t>
      </w:r>
      <w:r>
        <w:rPr>
          <w:rFonts w:hint="cs"/>
          <w:rtl/>
        </w:rPr>
        <w:t>لى الخارج، لا سيما في الشرق الأوسط (وزارة شؤون الجنسين والعمل والتنمية الاجتماعية، 2015).</w:t>
      </w:r>
    </w:p>
    <w:p w:rsidR="00225595" w:rsidRDefault="00225595" w:rsidP="00F03BEA">
      <w:pPr>
        <w:pStyle w:val="SingleTxtGA"/>
        <w:rPr>
          <w:rtl/>
        </w:rPr>
      </w:pPr>
      <w:r>
        <w:rPr>
          <w:rFonts w:hint="cs"/>
          <w:rtl/>
        </w:rPr>
        <w:t>9-</w:t>
      </w:r>
      <w:r>
        <w:rPr>
          <w:rFonts w:hint="cs"/>
          <w:rtl/>
        </w:rPr>
        <w:tab/>
        <w:t xml:space="preserve">والسياحة شكل آخر من الهجرة يفتح البلد أمام مواطني البلدان الأخرى لزيارة المواقع </w:t>
      </w:r>
      <w:r w:rsidRPr="004937A6">
        <w:rPr>
          <w:rFonts w:hint="cs"/>
          <w:spacing w:val="-2"/>
          <w:rtl/>
        </w:rPr>
        <w:t>السياحية المختلفة في البلد. ووفقاً للتقرير الإحصائي الذي أعده مكتب الإحصاءات الأوغندي،</w:t>
      </w:r>
      <w:r>
        <w:rPr>
          <w:rFonts w:hint="cs"/>
          <w:rtl/>
        </w:rPr>
        <w:t xml:space="preserve"> سجلت أوغندا ما مجموعه 1.5 مليون وصول و1.4 مليون مغادرة ما يعني أن الحركة الصافية (عدد الواصلين ناقص عدد المغادرين) بلغت 000</w:t>
      </w:r>
      <w:r>
        <w:rPr>
          <w:rFonts w:hint="eastAsia"/>
          <w:rtl/>
        </w:rPr>
        <w:t> </w:t>
      </w:r>
      <w:r>
        <w:rPr>
          <w:rFonts w:hint="cs"/>
          <w:rtl/>
        </w:rPr>
        <w:t>159 عام</w:t>
      </w:r>
      <w:r>
        <w:rPr>
          <w:rFonts w:hint="eastAsia"/>
          <w:rtl/>
        </w:rPr>
        <w:t> </w:t>
      </w:r>
      <w:r>
        <w:rPr>
          <w:rFonts w:hint="cs"/>
          <w:rtl/>
        </w:rPr>
        <w:t>2011. وزاد عدد الواصلين من المقيمين بنسبة 57 في المائة عام 2011.</w:t>
      </w:r>
    </w:p>
    <w:p w:rsidR="00225595" w:rsidRDefault="00225595" w:rsidP="00F03BEA">
      <w:pPr>
        <w:pStyle w:val="SingleTxtGA"/>
        <w:rPr>
          <w:rtl/>
        </w:rPr>
      </w:pPr>
      <w:r>
        <w:rPr>
          <w:rFonts w:hint="cs"/>
          <w:rtl/>
        </w:rPr>
        <w:t>10-</w:t>
      </w:r>
      <w:r>
        <w:rPr>
          <w:rFonts w:hint="cs"/>
          <w:rtl/>
        </w:rPr>
        <w:tab/>
        <w:t xml:space="preserve">ونالت أوغندا حصتها من الفرصتين (من حيث تحويلات الأوغنديين العاملين في الخارج، على سبيل المثال) ومن التحديات (المذكورة أدناه) كنتيجة للهجرة. ومن منظور اقتصادي، تسعى الحكومة إلى تحقيق توازن دقيق بين المبادرات الرامية إلى جذب الاستثمار الأجنبي المباشر والعمال الأجانب المهرة دون تقويض سوق العمل المحلي والفرص التجارية المتاحة للمواطنين. ولا وجود في أوغندا للأيدي العاملة الماهرة المطلوبة في بعض القطاعات </w:t>
      </w:r>
      <w:r>
        <w:rPr>
          <w:rFonts w:hint="cs"/>
          <w:rtl/>
        </w:rPr>
        <w:lastRenderedPageBreak/>
        <w:t xml:space="preserve">كالنفط والغاز، وبعض المجالات الصحية والتكنولوجية المتقدمة، وبالتالي فهي تحتاج إلى عمال مهاجرين مهرة لسد هذه الثغرة. </w:t>
      </w:r>
    </w:p>
    <w:p w:rsidR="00225595" w:rsidRDefault="00225595" w:rsidP="004937A6">
      <w:pPr>
        <w:pStyle w:val="SingleTxtGA"/>
        <w:rPr>
          <w:rtl/>
        </w:rPr>
      </w:pPr>
      <w:r>
        <w:rPr>
          <w:rFonts w:hint="cs"/>
          <w:rtl/>
        </w:rPr>
        <w:t>11-</w:t>
      </w:r>
      <w:r>
        <w:rPr>
          <w:rFonts w:hint="cs"/>
          <w:rtl/>
        </w:rPr>
        <w:tab/>
      </w:r>
      <w:r w:rsidRPr="00EA0418">
        <w:rPr>
          <w:rFonts w:hint="cs"/>
          <w:b/>
          <w:bCs/>
          <w:rtl/>
        </w:rPr>
        <w:t>الهجرة الحضرية</w:t>
      </w:r>
      <w:r>
        <w:rPr>
          <w:rFonts w:hint="cs"/>
          <w:rtl/>
        </w:rPr>
        <w:t>: أدت مع مرور الزمن إلى زيادة كبيرة في أعداد سكان المناطق الحضرية من 000 600 عام</w:t>
      </w:r>
      <w:r>
        <w:rPr>
          <w:rFonts w:hint="eastAsia"/>
          <w:rtl/>
        </w:rPr>
        <w:t> </w:t>
      </w:r>
      <w:r>
        <w:rPr>
          <w:rFonts w:hint="cs"/>
          <w:rtl/>
        </w:rPr>
        <w:t>1969 إلى ثلاثة ملايين عام 2002. وبين عامي 2002 و2014، تضاعف عدد سكان المناطق الحضرية بحسب التقديرات ليتجاوز ستة ملايين نسمة. ويرجع هذا النمو إلى الزيادة الطبيعية في عدد السكان وإعادة تصنيف بعض المناطق التي ما</w:t>
      </w:r>
      <w:r w:rsidR="004937A6">
        <w:rPr>
          <w:rFonts w:hint="eastAsia"/>
          <w:rtl/>
        </w:rPr>
        <w:t> </w:t>
      </w:r>
      <w:r>
        <w:rPr>
          <w:rFonts w:hint="cs"/>
          <w:rtl/>
        </w:rPr>
        <w:t>زالت مصنفة مناطق ريفية حتى الآن، ما أدى إلى زيادة عدد المراكز الحضرية من 75 عام</w:t>
      </w:r>
      <w:r w:rsidR="004937A6">
        <w:rPr>
          <w:rFonts w:hint="eastAsia"/>
          <w:rtl/>
        </w:rPr>
        <w:t> </w:t>
      </w:r>
      <w:r>
        <w:rPr>
          <w:rFonts w:hint="cs"/>
          <w:rtl/>
        </w:rPr>
        <w:t>2002 إلى 194 عام 2014، وإلى توسيع المساحة الجغرافية لبعض المراكز الحضرية الموجودة. وفي عام 2000 أُلغيت</w:t>
      </w:r>
      <w:r w:rsidR="00C43876">
        <w:rPr>
          <w:rFonts w:hint="cs"/>
          <w:rtl/>
        </w:rPr>
        <w:t xml:space="preserve"> </w:t>
      </w:r>
      <w:r>
        <w:rPr>
          <w:rFonts w:hint="cs"/>
          <w:rtl/>
        </w:rPr>
        <w:t>ضريبة الرأس المفروضة على العمال الذكور، التي كانت</w:t>
      </w:r>
      <w:r w:rsidR="00C43876">
        <w:rPr>
          <w:rFonts w:hint="cs"/>
          <w:rtl/>
        </w:rPr>
        <w:t xml:space="preserve"> </w:t>
      </w:r>
      <w:r>
        <w:rPr>
          <w:rFonts w:hint="cs"/>
          <w:rtl/>
        </w:rPr>
        <w:t>تشكل عائقاً أمام الحركة من المناطق الريفية إلى المناطق الحضرية، فزاد عدد العمال الذكور الذين انتقلوا إلى المراكز الحضرية. وما زال الكثير من الأشخاص حتى اليوم يرسلون أطفالهم من مناطقهم الأصلية إلى المناطق الحضرية لتمكينهم من نيل تعليم ذي نوعية أفضل. ويُلاحَظ أن الكثير من هؤلاء الأطفال يستقرون هناك ويسعون للحصول على عمل بأجر في المناطق الحضرية. وقد</w:t>
      </w:r>
      <w:r w:rsidR="004937A6">
        <w:rPr>
          <w:rFonts w:hint="eastAsia"/>
          <w:rtl/>
        </w:rPr>
        <w:t> </w:t>
      </w:r>
      <w:r>
        <w:rPr>
          <w:rFonts w:hint="cs"/>
          <w:rtl/>
        </w:rPr>
        <w:t>تدفق الشباب العاطلون عن العمل إلى المراكز الحضرية وشبه الحضرية بحثاً عن فرص عمل، وقد باع بعضهم أملاكاً عقارية،</w:t>
      </w:r>
      <w:r w:rsidR="00C43876">
        <w:rPr>
          <w:rFonts w:hint="cs"/>
          <w:rtl/>
        </w:rPr>
        <w:t xml:space="preserve"> </w:t>
      </w:r>
      <w:r>
        <w:rPr>
          <w:rFonts w:hint="cs"/>
          <w:rtl/>
        </w:rPr>
        <w:t>من قبيل مصلحة في أرض، للمجيء إلى المدينة ومباشرة أعمال صغيرة بينها العمل في نقل الركاب على متن دراجات نارية (ما يسمى بسائقي بودا بودا) أو</w:t>
      </w:r>
      <w:r w:rsidR="004937A6">
        <w:rPr>
          <w:rFonts w:hint="eastAsia"/>
          <w:rtl/>
        </w:rPr>
        <w:t> </w:t>
      </w:r>
      <w:r>
        <w:rPr>
          <w:rFonts w:hint="cs"/>
          <w:rtl/>
        </w:rPr>
        <w:t>كمالكين لعدد من هذه الدراجات.</w:t>
      </w:r>
    </w:p>
    <w:p w:rsidR="00225595" w:rsidRPr="0064171B" w:rsidRDefault="00F03BEA" w:rsidP="00F03BEA">
      <w:pPr>
        <w:pStyle w:val="H1GA"/>
        <w:rPr>
          <w:rtl/>
        </w:rPr>
      </w:pPr>
      <w:r>
        <w:rPr>
          <w:rFonts w:hint="cs"/>
          <w:rtl/>
        </w:rPr>
        <w:tab/>
      </w:r>
      <w:bookmarkStart w:id="4" w:name="_Toc421870478"/>
      <w:r w:rsidR="00225595">
        <w:rPr>
          <w:rFonts w:hint="cs"/>
          <w:rtl/>
        </w:rPr>
        <w:t>جيم-</w:t>
      </w:r>
      <w:r w:rsidR="00225595">
        <w:rPr>
          <w:rFonts w:hint="cs"/>
          <w:rtl/>
        </w:rPr>
        <w:tab/>
        <w:t>الحالة الاقتصادية والاجتماعية والثقافية</w:t>
      </w:r>
      <w:bookmarkEnd w:id="4"/>
    </w:p>
    <w:p w:rsidR="00225595" w:rsidRPr="004937A6" w:rsidRDefault="00225595" w:rsidP="00F03BEA">
      <w:pPr>
        <w:pStyle w:val="SingleTxtGA"/>
        <w:rPr>
          <w:spacing w:val="-4"/>
          <w:rtl/>
        </w:rPr>
      </w:pPr>
      <w:r w:rsidRPr="004937A6">
        <w:rPr>
          <w:rFonts w:hint="cs"/>
          <w:spacing w:val="-4"/>
          <w:rtl/>
        </w:rPr>
        <w:t>12-</w:t>
      </w:r>
      <w:r w:rsidRPr="004937A6">
        <w:rPr>
          <w:rFonts w:hint="cs"/>
          <w:spacing w:val="-4"/>
          <w:rtl/>
        </w:rPr>
        <w:tab/>
      </w:r>
      <w:r w:rsidRPr="004937A6">
        <w:rPr>
          <w:rFonts w:hint="cs"/>
          <w:b/>
          <w:bCs/>
          <w:spacing w:val="-4"/>
          <w:rtl/>
        </w:rPr>
        <w:t>الحالة الاقتصادية:</w:t>
      </w:r>
      <w:r w:rsidRPr="004937A6">
        <w:rPr>
          <w:rFonts w:hint="cs"/>
          <w:spacing w:val="-4"/>
          <w:rtl/>
        </w:rPr>
        <w:t xml:space="preserve"> حسب رؤية أوغندا لعام 2040، يتمثل الهدف الجامع لأوغندا في التحول إلى بلد عصري ومزدهر بحلول منتصف القرن. ومن المقرر أن يتحقق هذا الهدف من خلال تنفيذ ست خطط إنمائية وطنية خمسية متتالية - أُطلقت الخطة الأولى منها في نيسان/أبريل 2010. وصيغت رؤية أوغندا لعام 2040 وخطط التنمية الوطنية (2010/11-2014/15) في ظل تقدم اجتماعي اقتصادي كبير خصوصاً في فترة السلام والأمن النسبيين منذ عام 1986. وبالإضافة إلى ذلك، يطمح الأوغنديون إلى تحقيق تنمية متوازنة تعزز تكافؤ الفرص وتمتع النساء والرجال وجميع الأشخاص المقيمين على الأراضي الأوغندية إقامةً شرعيةً بحقوق الإنسان. وقد كان تعميم مراعاة نوع الجنس والإعاقة وحقوق الإنسان في صلب عمليات تخطيط التنمية في أوغندا والهدف هو تحقيق التطلعات الواردة في رؤية عام 2040 ومختلف الأطر السياساتية وخطط الاستثمار الاستراتيجية القطاعية الموضوعة في إطار الرؤية الأوغندية للتنمية الشاملة.</w:t>
      </w:r>
    </w:p>
    <w:p w:rsidR="00225595" w:rsidRDefault="00225595" w:rsidP="00F03BEA">
      <w:pPr>
        <w:pStyle w:val="SingleTxtGA"/>
        <w:rPr>
          <w:rtl/>
        </w:rPr>
      </w:pPr>
      <w:r>
        <w:rPr>
          <w:rFonts w:hint="cs"/>
          <w:rtl/>
        </w:rPr>
        <w:t>13-</w:t>
      </w:r>
      <w:r>
        <w:rPr>
          <w:rFonts w:hint="cs"/>
          <w:rtl/>
        </w:rPr>
        <w:tab/>
        <w:t xml:space="preserve">وقد نفذت الحكومة الأوغندية منذ عام 1986 عدة إصلاحات في مجالي الاقتصاد </w:t>
      </w:r>
      <w:proofErr w:type="spellStart"/>
      <w:r>
        <w:rPr>
          <w:rFonts w:hint="cs"/>
          <w:rtl/>
        </w:rPr>
        <w:t>والحوكمة</w:t>
      </w:r>
      <w:proofErr w:type="spellEnd"/>
      <w:r>
        <w:rPr>
          <w:rFonts w:hint="cs"/>
          <w:rtl/>
        </w:rPr>
        <w:t xml:space="preserve"> أفضت إلى النتائج التالية: عودة استقرار الاقتصاد الكلي والثقة في الاقتصاد الوطني؛ تحسن في تقديم الخدمات عن طريق نظام حكم يعتمد اللامركزية؛ إصلاحات دستورية أدت إلى </w:t>
      </w:r>
      <w:r>
        <w:rPr>
          <w:rFonts w:hint="cs"/>
          <w:rtl/>
        </w:rPr>
        <w:lastRenderedPageBreak/>
        <w:t>تحسن أداء المؤسسات في الأذرع الثلاث للحكومة - السلطة التشريعية والسلطة التنفيذية والسلطة القضائية؛ إعادة تطبيق التعددية السياسية منذ عام 2005؛ إعادة بسط السلام والأمن في البلد، بما في ذلك في شمال أوغندا وشرقها وهما المنطقتان اللتان تأثرتا تأثراً شديداً بالحروب الأهلية وانعدام الأمن بسبب عمليات سرقة رؤوس الماشية،</w:t>
      </w:r>
      <w:r w:rsidRPr="007C26ED">
        <w:rPr>
          <w:rFonts w:hint="cs"/>
          <w:rtl/>
        </w:rPr>
        <w:t xml:space="preserve"> </w:t>
      </w:r>
      <w:r>
        <w:rPr>
          <w:rFonts w:hint="cs"/>
          <w:rtl/>
        </w:rPr>
        <w:t>على التوالي، وذلك بين عامي 1986 و2005.</w:t>
      </w:r>
    </w:p>
    <w:p w:rsidR="00225595" w:rsidRDefault="00225595" w:rsidP="00F03BEA">
      <w:pPr>
        <w:pStyle w:val="SingleTxtGA"/>
        <w:rPr>
          <w:rtl/>
        </w:rPr>
      </w:pPr>
      <w:r>
        <w:rPr>
          <w:rFonts w:hint="cs"/>
          <w:rtl/>
        </w:rPr>
        <w:t>14-</w:t>
      </w:r>
      <w:r>
        <w:rPr>
          <w:rFonts w:hint="cs"/>
          <w:rtl/>
        </w:rPr>
        <w:tab/>
        <w:t>وتبين خطة التنمية الوطنية الأولى (2010/11-2014/15) أولويات الحكومة في السنوات الخمس الماضية</w:t>
      </w:r>
      <w:r>
        <w:rPr>
          <w:rFonts w:hint="eastAsia"/>
          <w:rtl/>
        </w:rPr>
        <w:t> </w:t>
      </w:r>
      <w:r>
        <w:rPr>
          <w:rFonts w:hint="cs"/>
          <w:rtl/>
        </w:rPr>
        <w:t>-</w:t>
      </w:r>
      <w:r>
        <w:rPr>
          <w:rFonts w:hint="eastAsia"/>
          <w:rtl/>
        </w:rPr>
        <w:t> </w:t>
      </w:r>
      <w:r>
        <w:rPr>
          <w:rFonts w:hint="cs"/>
          <w:rtl/>
        </w:rPr>
        <w:t>وهي خطة التنمية الأولى من أصل ست خطط تهدف إلى تيسير تحقيق أهداف رؤية أوغندا لعام 2040. وتركز الخطة على الحفاظ على الأمن والدفاع الوطنيين؛ وتطوير البنى التحتية المادية والمؤسسية؛ وتعزيز الإنتاج الزراعي والقيمة المضافة؛ وبناء قوة عاملة تنافسية؛ وتعزيز التكامل الإقليمي في سياق جماعة شرق أفريقيا</w:t>
      </w:r>
      <w:r>
        <w:rPr>
          <w:vertAlign w:val="superscript"/>
          <w:rtl/>
        </w:rPr>
        <w:t>(</w:t>
      </w:r>
      <w:r>
        <w:rPr>
          <w:rStyle w:val="FootnoteReference"/>
          <w:rtl/>
        </w:rPr>
        <w:footnoteReference w:id="19"/>
      </w:r>
      <w:r>
        <w:rPr>
          <w:vertAlign w:val="superscript"/>
          <w:rtl/>
        </w:rPr>
        <w:t>)</w:t>
      </w:r>
      <w:r>
        <w:rPr>
          <w:rFonts w:hint="cs"/>
          <w:rtl/>
        </w:rPr>
        <w:t xml:space="preserve"> والسوق المشتركة لدول شرق أفريقيا والجنوب الأفريقي.</w:t>
      </w:r>
    </w:p>
    <w:p w:rsidR="00225595" w:rsidRDefault="00225595" w:rsidP="00F03BEA">
      <w:pPr>
        <w:pStyle w:val="SingleTxtGA"/>
        <w:rPr>
          <w:rtl/>
        </w:rPr>
      </w:pPr>
      <w:r>
        <w:rPr>
          <w:rFonts w:hint="cs"/>
          <w:rtl/>
        </w:rPr>
        <w:t>15-</w:t>
      </w:r>
      <w:r>
        <w:rPr>
          <w:rFonts w:hint="cs"/>
          <w:rtl/>
        </w:rPr>
        <w:tab/>
        <w:t xml:space="preserve">وقبل اعتماد خطة التنمية الوطنية الأولى، نفذت أوغندا خطة العمل للقضاء على الفقر التي اعتُمدت في بادئ الأمر عام 1997 في إطار شامل لتخطيط التنمية الوطنية وُضع لتوجيه السياسات العامة الرامية إلى القضاء على الفقر. واعتُمدت خطة العمل للقضاء على الفقر جزئياً لتيسير تنفيذ دستور أوغندا لعام 1995 الذي سُنّ حديثاً. ونُقحت الخطة في ثلاث مناسبات في الأعوام 2000 و2004 و2007. وشملت الأهداف الاستراتيجية الطويلة الأجل للخطة ما يلي: الحد من الفقر الناجم عن تدني الدخل ومن التفاوتات، وتحسين التنمية البشرية، وتعزيز نمو الناتج المحلي الإجمالي. وقد كان تعميم مراعاة المنظور الجنساني أحد القضايا الشاملة لعدة قطاعات في خطة العمل للقضاء على الفقر. </w:t>
      </w:r>
    </w:p>
    <w:p w:rsidR="00225595" w:rsidRDefault="00225595" w:rsidP="004937A6">
      <w:pPr>
        <w:pStyle w:val="SingleTxtGA"/>
        <w:rPr>
          <w:rtl/>
        </w:rPr>
      </w:pPr>
      <w:r>
        <w:rPr>
          <w:rFonts w:hint="cs"/>
          <w:rtl/>
        </w:rPr>
        <w:t>16-</w:t>
      </w:r>
      <w:r>
        <w:rPr>
          <w:rFonts w:hint="cs"/>
          <w:rtl/>
        </w:rPr>
        <w:tab/>
        <w:t>لكن هناك عقبات عديدة تعيق التحول الاجتماعي</w:t>
      </w:r>
      <w:r w:rsidR="004937A6">
        <w:rPr>
          <w:rFonts w:hint="cs"/>
          <w:rtl/>
        </w:rPr>
        <w:t xml:space="preserve"> </w:t>
      </w:r>
      <w:r>
        <w:rPr>
          <w:rFonts w:hint="cs"/>
          <w:rtl/>
        </w:rPr>
        <w:t>-</w:t>
      </w:r>
      <w:r w:rsidR="004937A6">
        <w:rPr>
          <w:rFonts w:hint="cs"/>
          <w:rtl/>
        </w:rPr>
        <w:t xml:space="preserve"> </w:t>
      </w:r>
      <w:r>
        <w:rPr>
          <w:rFonts w:hint="cs"/>
          <w:rtl/>
        </w:rPr>
        <w:t>الاقتصادي، منها عدم تطور</w:t>
      </w:r>
      <w:r w:rsidR="004937A6">
        <w:rPr>
          <w:rFonts w:hint="eastAsia"/>
          <w:rtl/>
        </w:rPr>
        <w:t> </w:t>
      </w:r>
      <w:r>
        <w:rPr>
          <w:rFonts w:hint="cs"/>
          <w:rtl/>
        </w:rPr>
        <w:t>الموارد البشرية؛ وعدم كفاية البنى التحتية المادية؛ وتخلف القطاع الخاص؛ وضعف إنتاج</w:t>
      </w:r>
      <w:r w:rsidR="004937A6">
        <w:rPr>
          <w:rFonts w:hint="eastAsia"/>
          <w:rtl/>
        </w:rPr>
        <w:t> </w:t>
      </w:r>
      <w:r>
        <w:rPr>
          <w:rFonts w:hint="cs"/>
          <w:rtl/>
        </w:rPr>
        <w:t>الزراعة وإنتاجيتها. وعلى هذا الأساس، يجري وضع خطة التنمية الوطنية الثانية (2015/2016</w:t>
      </w:r>
      <w:r w:rsidR="004937A6">
        <w:rPr>
          <w:rFonts w:hint="cs"/>
          <w:rtl/>
        </w:rPr>
        <w:t>-</w:t>
      </w:r>
      <w:r>
        <w:rPr>
          <w:rFonts w:hint="cs"/>
          <w:rtl/>
        </w:rPr>
        <w:t>2019/2020)، وقد خُفض عدد فرص النمو وأسس التنمية ذات الأولوية إلى ثلاث فرص وأساسين وذلك من أجل زيادة الأثر وإيجاد زخم نمو أسرع.</w:t>
      </w:r>
    </w:p>
    <w:p w:rsidR="00225595" w:rsidRDefault="00225595" w:rsidP="00F03BEA">
      <w:pPr>
        <w:pStyle w:val="SingleTxtGA"/>
        <w:rPr>
          <w:rtl/>
        </w:rPr>
      </w:pPr>
      <w:r>
        <w:rPr>
          <w:rFonts w:hint="cs"/>
          <w:rtl/>
        </w:rPr>
        <w:t>17-</w:t>
      </w:r>
      <w:r>
        <w:rPr>
          <w:rFonts w:hint="cs"/>
          <w:rtl/>
        </w:rPr>
        <w:tab/>
        <w:t xml:space="preserve">وتشمل فرص النمو وأسس التنمية التي تحظى بالأولوية الزراعة؛ والسياحة؛ والمعادن؛ والنفط والغاز والبنى التحتية وتطوير رأس المال البشري. وتشدد خطة التنمية الوطنية الثانية على تصنيف التدخلات حسب الأولوية من خلال إجراء تحليل لسلاسل القيمة؛ ووضع إطار مكاني؛ ومواءمة أولويات وميزانية الوزارات والإدارات والوكالات القطاعية/الحكومية، وكذا مواءمة أولويات وميزانية الحكومات المحلية مع أولويات خطة التنمية الوطنية الثانية؛ ووضع أساليب </w:t>
      </w:r>
      <w:r>
        <w:rPr>
          <w:rFonts w:hint="cs"/>
          <w:rtl/>
        </w:rPr>
        <w:lastRenderedPageBreak/>
        <w:t>تمويل ملائمة للتدخلات ذات الأولوية؛ وإجراء تحليل وتخطيط مكانيين لتحقيق التآزر؛ ومعالجة التحديات التي تواجه النظم الضعيفة في القطاع العام وغير ذلك من التحديات.</w:t>
      </w:r>
    </w:p>
    <w:p w:rsidR="00225595" w:rsidRDefault="00225595" w:rsidP="009229EC">
      <w:pPr>
        <w:pStyle w:val="SingleTxtGA"/>
        <w:rPr>
          <w:rtl/>
        </w:rPr>
      </w:pPr>
      <w:r>
        <w:rPr>
          <w:rFonts w:hint="cs"/>
          <w:rtl/>
        </w:rPr>
        <w:t>18-</w:t>
      </w:r>
      <w:r>
        <w:rPr>
          <w:rFonts w:hint="cs"/>
          <w:rtl/>
        </w:rPr>
        <w:tab/>
        <w:t>ووفقاً لتقرير أوغندا المتعلق بالأهداف الإنمائية للألفية (2013)، بلغ متوسط النمو الحقيقي لإجمالي الناتج المحلي 7 في المائة في السنة بين عامي 2000 و2012، ما يعني زيادة في الدخل الوطني بمعامل 2.25. لكن السنوات الخمس الماضية شهدت تباطؤاً في النمو، إذ</w:t>
      </w:r>
      <w:r w:rsidR="009229EC">
        <w:rPr>
          <w:rFonts w:hint="eastAsia"/>
          <w:rtl/>
        </w:rPr>
        <w:t> </w:t>
      </w:r>
      <w:r>
        <w:rPr>
          <w:rFonts w:hint="cs"/>
          <w:rtl/>
        </w:rPr>
        <w:t>بلغ النمو الاقتصادي في أوغندا 5.04 في المائة خلال السنة المالية 2012-2013. ومع</w:t>
      </w:r>
      <w:r w:rsidR="009229EC">
        <w:rPr>
          <w:rFonts w:hint="eastAsia"/>
          <w:rtl/>
        </w:rPr>
        <w:t> </w:t>
      </w:r>
      <w:r>
        <w:rPr>
          <w:rFonts w:hint="cs"/>
          <w:rtl/>
        </w:rPr>
        <w:t>مرور السنوات، تغيرت مساهمة القطاعات الرئيسية في الاقتصاد، أي الزراعة والغابات والصيد؛ والصناعة؛ والخدمات</w:t>
      </w:r>
      <w:r w:rsidR="00C43876">
        <w:rPr>
          <w:rFonts w:hint="cs"/>
          <w:rtl/>
        </w:rPr>
        <w:t>،</w:t>
      </w:r>
      <w:r>
        <w:rPr>
          <w:rFonts w:hint="cs"/>
          <w:rtl/>
        </w:rPr>
        <w:t xml:space="preserve"> ما يعكس تغيراً في هيكل الاقتصاد.</w:t>
      </w:r>
    </w:p>
    <w:p w:rsidR="00225595" w:rsidRDefault="00225595" w:rsidP="004937A6">
      <w:pPr>
        <w:pStyle w:val="SingleTxtGA"/>
        <w:rPr>
          <w:rtl/>
        </w:rPr>
      </w:pPr>
      <w:r>
        <w:rPr>
          <w:rFonts w:hint="cs"/>
          <w:rtl/>
        </w:rPr>
        <w:t>19-</w:t>
      </w:r>
      <w:r>
        <w:rPr>
          <w:rFonts w:hint="cs"/>
          <w:rtl/>
        </w:rPr>
        <w:tab/>
        <w:t>والتغيرات الهيكلية في الاقتصاد هي التالية: تراجعت مساهمة القطاع الزراعي في الناتج المحلي الإجمالي من 32 في المائة عام 1990 إلى 15 في المائة عام 2012</w:t>
      </w:r>
      <w:r>
        <w:rPr>
          <w:vertAlign w:val="superscript"/>
          <w:rtl/>
        </w:rPr>
        <w:t>(</w:t>
      </w:r>
      <w:r>
        <w:rPr>
          <w:rStyle w:val="FootnoteReference"/>
          <w:rtl/>
        </w:rPr>
        <w:footnoteReference w:id="20"/>
      </w:r>
      <w:r>
        <w:rPr>
          <w:vertAlign w:val="superscript"/>
          <w:rtl/>
        </w:rPr>
        <w:t>)</w:t>
      </w:r>
      <w:r w:rsidRPr="00ED61E8">
        <w:rPr>
          <w:rFonts w:hint="cs"/>
          <w:rtl/>
        </w:rPr>
        <w:t>.</w:t>
      </w:r>
      <w:r>
        <w:rPr>
          <w:rFonts w:hint="cs"/>
          <w:rtl/>
        </w:rPr>
        <w:t xml:space="preserve"> وفي المقابل، زادت القيمة المضافة الزراعية في المتوسط بأقل من 2 في المائة سنوياً منذ عام 2000 - وهي نسبة تقل بكثير عن معدل نمو السكان. وبين عامي 2009/2010 و2012/2013، تراجع </w:t>
      </w:r>
      <w:r w:rsidRPr="004937A6">
        <w:rPr>
          <w:rFonts w:hint="cs"/>
          <w:spacing w:val="-4"/>
          <w:rtl/>
        </w:rPr>
        <w:t>الإنفاق الشهري للأسر المعيشية بنسبة 2.4 في المائة</w:t>
      </w:r>
      <w:r w:rsidRPr="004937A6">
        <w:rPr>
          <w:spacing w:val="-4"/>
          <w:vertAlign w:val="superscript"/>
          <w:rtl/>
        </w:rPr>
        <w:t>(</w:t>
      </w:r>
      <w:r w:rsidRPr="004937A6">
        <w:rPr>
          <w:rStyle w:val="FootnoteReference"/>
          <w:spacing w:val="-4"/>
          <w:rtl/>
        </w:rPr>
        <w:footnoteReference w:id="21"/>
      </w:r>
      <w:r w:rsidRPr="004937A6">
        <w:rPr>
          <w:spacing w:val="-4"/>
          <w:vertAlign w:val="superscript"/>
          <w:rtl/>
        </w:rPr>
        <w:t>)</w:t>
      </w:r>
      <w:r w:rsidRPr="004937A6">
        <w:rPr>
          <w:rFonts w:hint="cs"/>
          <w:spacing w:val="-4"/>
          <w:rtl/>
        </w:rPr>
        <w:t>. وشكلت الأغذية والمشروبات والتبغ 46</w:t>
      </w:r>
      <w:r>
        <w:rPr>
          <w:rFonts w:hint="cs"/>
          <w:rtl/>
        </w:rPr>
        <w:t xml:space="preserve"> في المائة من إنفاق الأسر المعيشية</w:t>
      </w:r>
      <w:r>
        <w:rPr>
          <w:vertAlign w:val="superscript"/>
          <w:rtl/>
        </w:rPr>
        <w:t>(</w:t>
      </w:r>
      <w:r>
        <w:rPr>
          <w:rStyle w:val="FootnoteReference"/>
          <w:rtl/>
        </w:rPr>
        <w:footnoteReference w:id="22"/>
      </w:r>
      <w:r>
        <w:rPr>
          <w:vertAlign w:val="superscript"/>
          <w:rtl/>
        </w:rPr>
        <w:t>)</w:t>
      </w:r>
      <w:r w:rsidRPr="00ED61E8">
        <w:rPr>
          <w:rFonts w:hint="cs"/>
          <w:rtl/>
        </w:rPr>
        <w:t>.</w:t>
      </w:r>
      <w:r>
        <w:rPr>
          <w:rFonts w:hint="cs"/>
          <w:rtl/>
        </w:rPr>
        <w:t xml:space="preserve"> ورغم أن نسبة الفقراء تراجعت من 24.5 في المائة إلى</w:t>
      </w:r>
      <w:r w:rsidR="004937A6">
        <w:rPr>
          <w:rFonts w:hint="eastAsia"/>
          <w:rtl/>
        </w:rPr>
        <w:t> </w:t>
      </w:r>
      <w:r>
        <w:rPr>
          <w:rFonts w:hint="cs"/>
          <w:rtl/>
        </w:rPr>
        <w:t>19.6 في المائة، أي ما يساوي حوالي 6.7 ملايين نسمة</w:t>
      </w:r>
      <w:r>
        <w:rPr>
          <w:vertAlign w:val="superscript"/>
          <w:rtl/>
        </w:rPr>
        <w:t>(</w:t>
      </w:r>
      <w:r>
        <w:rPr>
          <w:rStyle w:val="FootnoteReference"/>
          <w:rtl/>
        </w:rPr>
        <w:footnoteReference w:id="23"/>
      </w:r>
      <w:r>
        <w:rPr>
          <w:vertAlign w:val="superscript"/>
          <w:rtl/>
        </w:rPr>
        <w:t>)</w:t>
      </w:r>
      <w:r>
        <w:rPr>
          <w:rFonts w:hint="cs"/>
          <w:rtl/>
        </w:rPr>
        <w:t>، الأمر الذي يعكس انخفاضاً في متوسط التفاوتات من 0.426 إلى 0.395</w:t>
      </w:r>
      <w:r>
        <w:rPr>
          <w:vertAlign w:val="superscript"/>
          <w:rtl/>
        </w:rPr>
        <w:t>(</w:t>
      </w:r>
      <w:r>
        <w:rPr>
          <w:rStyle w:val="FootnoteReference"/>
          <w:rtl/>
        </w:rPr>
        <w:footnoteReference w:id="24"/>
      </w:r>
      <w:r>
        <w:rPr>
          <w:vertAlign w:val="superscript"/>
          <w:rtl/>
        </w:rPr>
        <w:t>)</w:t>
      </w:r>
      <w:r>
        <w:rPr>
          <w:rFonts w:hint="cs"/>
          <w:rtl/>
        </w:rPr>
        <w:t>، لم تتحسن نوعية حياة أغلبية الأوغنديين تحسناً</w:t>
      </w:r>
      <w:r w:rsidR="00C43876">
        <w:rPr>
          <w:rFonts w:hint="cs"/>
          <w:rtl/>
        </w:rPr>
        <w:t xml:space="preserve"> </w:t>
      </w:r>
      <w:r>
        <w:rPr>
          <w:rFonts w:hint="cs"/>
          <w:rtl/>
        </w:rPr>
        <w:t>كبيراً بسبب تواصل الأداء السيء للقطاع الزراعي، بشكل أساسي.</w:t>
      </w:r>
    </w:p>
    <w:p w:rsidR="00225595" w:rsidRDefault="00225595" w:rsidP="00F03BEA">
      <w:pPr>
        <w:pStyle w:val="SingleTxtGA"/>
        <w:rPr>
          <w:rtl/>
        </w:rPr>
      </w:pPr>
      <w:r>
        <w:rPr>
          <w:rFonts w:hint="cs"/>
          <w:rtl/>
        </w:rPr>
        <w:t>20-</w:t>
      </w:r>
      <w:r>
        <w:rPr>
          <w:rFonts w:hint="cs"/>
          <w:rtl/>
        </w:rPr>
        <w:tab/>
        <w:t>ويُعزى الأداء المتواضع للقطاع الزراعي إلى الجفاف الذي ضرب البلد بضع سنوات، وتفشي الأمراض، وسوء نوعية المدخلات، وارتفاع تكاليف النقل، وتراجع خصوبة التربة، وممارسات زراعة الكفاف، والنزاعات حول الأراضي، وكلها عوامل اجتمعت لتسهم جزئياً في ارتفاع أسعار الأغذية المحلية في السنوات الأخيرة، ما أثر تأثيراً سلبياً على القدرة الشرائية للأسر المعيشية. ومن ناحية أخرى، سجل قطاعا الصناعة والخدمات نمواً قوياً يرتبط بارتفاع المداخيل، ما يتيح للأسر المعيشية إنفاق المزيد على المنتجات غير الزراعية.</w:t>
      </w:r>
    </w:p>
    <w:p w:rsidR="00225595" w:rsidRDefault="00225595" w:rsidP="00F03BEA">
      <w:pPr>
        <w:pStyle w:val="SingleTxtGA"/>
        <w:rPr>
          <w:rtl/>
        </w:rPr>
      </w:pPr>
      <w:r>
        <w:rPr>
          <w:rFonts w:hint="cs"/>
          <w:rtl/>
        </w:rPr>
        <w:t>21-</w:t>
      </w:r>
      <w:r>
        <w:rPr>
          <w:rFonts w:hint="cs"/>
          <w:rtl/>
        </w:rPr>
        <w:tab/>
        <w:t xml:space="preserve">ويزداد وضوح التغير الهيكلي في التركيبة القطاعية والمهنية للقوى العاملة. فرغم أن معظم السكان يعملون في الأنشطة الزراعية، يعتمد 42 في المائة من الأسر المعيشية فقط على زراعة الكفاف كأهم مصدر من مصادر دخلها، بينما تنمو العمالة المدفوعة الأجر في المجالات غير الزراعية في القطاع الخاص بحوالي 12 في المائة في السنة، وهو ثاني أعلى معدل في الاقتصادات </w:t>
      </w:r>
      <w:r>
        <w:rPr>
          <w:rFonts w:hint="cs"/>
          <w:rtl/>
        </w:rPr>
        <w:lastRenderedPageBreak/>
        <w:t>الأفريقية، بعد غانا</w:t>
      </w:r>
      <w:r>
        <w:rPr>
          <w:vertAlign w:val="superscript"/>
          <w:rtl/>
        </w:rPr>
        <w:t>(</w:t>
      </w:r>
      <w:r>
        <w:rPr>
          <w:rStyle w:val="FootnoteReference"/>
          <w:rtl/>
        </w:rPr>
        <w:footnoteReference w:id="25"/>
      </w:r>
      <w:r>
        <w:rPr>
          <w:vertAlign w:val="superscript"/>
          <w:rtl/>
        </w:rPr>
        <w:t>)</w:t>
      </w:r>
      <w:r w:rsidRPr="00ED61E8">
        <w:rPr>
          <w:rFonts w:hint="cs"/>
          <w:rtl/>
        </w:rPr>
        <w:t>.</w:t>
      </w:r>
      <w:r>
        <w:rPr>
          <w:rFonts w:hint="cs"/>
          <w:rtl/>
        </w:rPr>
        <w:t xml:space="preserve"> وتُقدر مساهمة القطاع الزراعي في الناتج المحلي الإجمالي بحوالي 20.9 في المائة فقط عام 2014 رغم أن هذا القطاع يوظف أغلبية القوى العاملة</w:t>
      </w:r>
      <w:r>
        <w:rPr>
          <w:vertAlign w:val="superscript"/>
          <w:rtl/>
        </w:rPr>
        <w:t>(</w:t>
      </w:r>
      <w:r>
        <w:rPr>
          <w:rStyle w:val="FootnoteReference"/>
          <w:rtl/>
        </w:rPr>
        <w:footnoteReference w:id="26"/>
      </w:r>
      <w:r>
        <w:rPr>
          <w:vertAlign w:val="superscript"/>
          <w:rtl/>
        </w:rPr>
        <w:t>)</w:t>
      </w:r>
      <w:r w:rsidRPr="00ED61E8">
        <w:rPr>
          <w:rFonts w:hint="cs"/>
          <w:rtl/>
        </w:rPr>
        <w:t>.</w:t>
      </w:r>
    </w:p>
    <w:p w:rsidR="00225595" w:rsidRPr="004937A6" w:rsidRDefault="00225595" w:rsidP="00F61077">
      <w:pPr>
        <w:pStyle w:val="SingleTxtGA"/>
        <w:spacing w:line="360" w:lineRule="exact"/>
        <w:rPr>
          <w:spacing w:val="-2"/>
          <w:rtl/>
        </w:rPr>
      </w:pPr>
      <w:r w:rsidRPr="004937A6">
        <w:rPr>
          <w:rFonts w:hint="cs"/>
          <w:spacing w:val="-2"/>
          <w:rtl/>
        </w:rPr>
        <w:t>22-</w:t>
      </w:r>
      <w:r w:rsidRPr="004937A6">
        <w:rPr>
          <w:rFonts w:hint="cs"/>
          <w:spacing w:val="-2"/>
          <w:rtl/>
        </w:rPr>
        <w:tab/>
        <w:t>وتزداد مساهمة قطاعي البناء، والخدمات - لا سيما الاتصالات السلكية واللاسلكية، والعقارات، والخدمات المالية، في النمو الاقتصادي. فهذه الأنشطة هي أنشطة ذات إنتاجية عالية تعتمد على عدد صغير نسبياً للعمال المهرة، وهي بالتالي لا تولد عدداً كبيراً من فرص العمل. وقد زاد التوظيف في الصناعات التحويلية النظامية لكنه ظل منخفضاً نسبياً. واستُحدثت أغلبية فرص العمل الجديدة في القطاعات الفرعية المنخفضة الإنتاجية، كتجارة التجزئة والضيافة. ورغم أن الإدارة القوية للاقتصاد الكلي منذ التسعينات من القرن الماضي ضمنت نمواً سريعاً وشاملاً نسبياً، لا تزال القاعدة الإنتاجية للاقتصاد متخلفة. ويمثل تزايد الطلب المحلي والإقليمي على بعض المنتجات المحلية والتحسينات الكبيرة في تنمية القطاع المالي فرصاً كبيرة لخلق المزيد من النمو وفرص العمل. وهذا هو أحد أسباب تركيز خطة التنمية الوطنية الثانية على معالجة القيود في جانب العرض - وأهمها ضرورة زيادة الاستثمارات في البنى التحتية المادية للنقل والطاقة.</w:t>
      </w:r>
    </w:p>
    <w:p w:rsidR="00225595" w:rsidRDefault="00225595" w:rsidP="00F61077">
      <w:pPr>
        <w:pStyle w:val="SingleTxtGA"/>
        <w:spacing w:line="360" w:lineRule="exact"/>
        <w:rPr>
          <w:rtl/>
        </w:rPr>
      </w:pPr>
      <w:r>
        <w:rPr>
          <w:rFonts w:hint="cs"/>
          <w:rtl/>
        </w:rPr>
        <w:t>23-</w:t>
      </w:r>
      <w:r>
        <w:rPr>
          <w:rFonts w:hint="cs"/>
          <w:rtl/>
        </w:rPr>
        <w:tab/>
        <w:t>وتشمل العوامل الأخرى التي أبقت الاقتصاد الأوغندي في وضعية هشة ما يلي: الأحوال الجوية غير المواتية التي لا يمكن التنبؤ بها، والتي تؤثر أساساً على الإنتاج الزراعي؛ ومحدودية خيارات تمويل التنمية؛ والاعتماد على مجموعة صغيرة من الأنشطة ذات القيمة المضافة المتدنية والموارد الطبيعية غير المتجددة؛ وعدم كفاية إمدادات الطاقة؛ والتغيرات في البيئة الدولية ومن بينها على وجه الخصوص استمرار ضعف الطلب في الاقتصادات المتقدمة، ما أدى إلى انخفاض صادرات أوغندا.</w:t>
      </w:r>
    </w:p>
    <w:p w:rsidR="00225595" w:rsidRDefault="00225595" w:rsidP="00F61077">
      <w:pPr>
        <w:pStyle w:val="SingleTxtGA"/>
        <w:spacing w:line="360" w:lineRule="exact"/>
        <w:rPr>
          <w:rtl/>
        </w:rPr>
      </w:pPr>
      <w:r>
        <w:rPr>
          <w:rFonts w:hint="cs"/>
          <w:rtl/>
        </w:rPr>
        <w:t>24-</w:t>
      </w:r>
      <w:r>
        <w:rPr>
          <w:rFonts w:hint="cs"/>
          <w:rtl/>
        </w:rPr>
        <w:tab/>
      </w:r>
      <w:r w:rsidRPr="00EA0418">
        <w:rPr>
          <w:rFonts w:hint="cs"/>
          <w:b/>
          <w:bCs/>
          <w:rtl/>
        </w:rPr>
        <w:t>الحالة الصحية</w:t>
      </w:r>
      <w:r>
        <w:rPr>
          <w:rFonts w:hint="cs"/>
          <w:rtl/>
        </w:rPr>
        <w:t>: وفقاً للدراسة الاستقصائية الصحية والديمغرافية لأوغندا (2011)، تبلغ نسبة انتشار نقص الوزن بين الأطفال دون سن الخامسة 12.7 في المائة للإناث و14.9 في المائة للذكور، أي بمجموع قدره 13.8 في المائة</w:t>
      </w:r>
      <w:r>
        <w:rPr>
          <w:vertAlign w:val="superscript"/>
          <w:rtl/>
        </w:rPr>
        <w:t>(</w:t>
      </w:r>
      <w:r>
        <w:rPr>
          <w:rStyle w:val="FootnoteReference"/>
          <w:rtl/>
        </w:rPr>
        <w:footnoteReference w:id="27"/>
      </w:r>
      <w:r>
        <w:rPr>
          <w:vertAlign w:val="superscript"/>
          <w:rtl/>
        </w:rPr>
        <w:t>)</w:t>
      </w:r>
      <w:r w:rsidRPr="00ED61E8">
        <w:rPr>
          <w:rFonts w:hint="cs"/>
          <w:rtl/>
        </w:rPr>
        <w:t>.</w:t>
      </w:r>
      <w:r>
        <w:rPr>
          <w:rFonts w:hint="cs"/>
          <w:rtl/>
        </w:rPr>
        <w:t xml:space="preserve"> ويبلغ معدل وفيات الرضع 54 لكل</w:t>
      </w:r>
      <w:r w:rsidR="004937A6">
        <w:rPr>
          <w:rFonts w:hint="eastAsia"/>
          <w:rtl/>
        </w:rPr>
        <w:t> </w:t>
      </w:r>
      <w:r>
        <w:rPr>
          <w:rFonts w:hint="cs"/>
          <w:rtl/>
        </w:rPr>
        <w:t xml:space="preserve">000 1 ولادة حية ومعدل الوفيات </w:t>
      </w:r>
      <w:proofErr w:type="spellStart"/>
      <w:r>
        <w:rPr>
          <w:rFonts w:hint="cs"/>
          <w:rtl/>
        </w:rPr>
        <w:t>النفاسية</w:t>
      </w:r>
      <w:proofErr w:type="spellEnd"/>
      <w:r>
        <w:rPr>
          <w:rFonts w:hint="cs"/>
          <w:rtl/>
        </w:rPr>
        <w:t xml:space="preserve"> 438 لكل 000 1 ولادة حية</w:t>
      </w:r>
      <w:r>
        <w:rPr>
          <w:vertAlign w:val="superscript"/>
          <w:rtl/>
        </w:rPr>
        <w:t>(</w:t>
      </w:r>
      <w:r>
        <w:rPr>
          <w:rStyle w:val="FootnoteReference"/>
          <w:rtl/>
        </w:rPr>
        <w:footnoteReference w:id="28"/>
      </w:r>
      <w:r>
        <w:rPr>
          <w:vertAlign w:val="superscript"/>
          <w:rtl/>
        </w:rPr>
        <w:t>)</w:t>
      </w:r>
      <w:r w:rsidRPr="00ED61E8">
        <w:rPr>
          <w:rFonts w:hint="cs"/>
          <w:rtl/>
        </w:rPr>
        <w:t>.</w:t>
      </w:r>
      <w:r>
        <w:rPr>
          <w:rFonts w:hint="cs"/>
          <w:rtl/>
        </w:rPr>
        <w:t xml:space="preserve"> وقد أثر وباء فيروس نقص المناعة البشرية/الإيدز تأثيراً كبيراً على السكان ولا يزال عبء هذا المرض مرتفعاً على نحو غير مقبول. وتبلغ نسبة انتشار هذا المرض بين الأشخاص الذين تتراوح أعمارهم بين 15 و49 عاماً 7.3 في المائة وما زالت هناك تفاوتات في نسبة انتشاره بين النساء والرجال إذ </w:t>
      </w:r>
      <w:r w:rsidRPr="0016009B">
        <w:rPr>
          <w:rFonts w:hint="cs"/>
          <w:rtl/>
        </w:rPr>
        <w:t>تبلغ نسبة انتشاره بين النساء 8.3 في المائة مقارنة ب‍ 6.1 في المائة بين الرجال.</w:t>
      </w:r>
      <w:r>
        <w:rPr>
          <w:rFonts w:hint="cs"/>
          <w:rtl/>
        </w:rPr>
        <w:t xml:space="preserve"> وهناك أيضاً زيادة بين المراهقين من 0.3 إلى 1.7 في المائة للفتيان في الفئة العمرية من</w:t>
      </w:r>
      <w:r w:rsidR="004937A6">
        <w:rPr>
          <w:rFonts w:hint="eastAsia"/>
          <w:rtl/>
        </w:rPr>
        <w:t> </w:t>
      </w:r>
      <w:r>
        <w:rPr>
          <w:rFonts w:hint="cs"/>
          <w:rtl/>
        </w:rPr>
        <w:t>15 إلى 19 عاماً ومن 2.6 إلى3 في المائة للفتيات.</w:t>
      </w:r>
    </w:p>
    <w:p w:rsidR="00225595" w:rsidRDefault="00225595" w:rsidP="009229EC">
      <w:pPr>
        <w:pStyle w:val="SingleTxtGA"/>
        <w:spacing w:line="360" w:lineRule="exact"/>
        <w:rPr>
          <w:rtl/>
        </w:rPr>
      </w:pPr>
      <w:r>
        <w:rPr>
          <w:rFonts w:hint="cs"/>
          <w:rtl/>
        </w:rPr>
        <w:lastRenderedPageBreak/>
        <w:t>25-</w:t>
      </w:r>
      <w:r>
        <w:rPr>
          <w:rFonts w:hint="cs"/>
          <w:rtl/>
        </w:rPr>
        <w:tab/>
        <w:t xml:space="preserve">وحوالي ربع (24 في المائة) الشابات اللواتي تتراوح أعمارهن بين 15 و19 عاماً بدأن بالإنجاب (الدراسة الاستقصائية الصحية والديمغرافية لأوغندا لعام 2011). ورغم أن استخدام موانع الحمل العصرية زاد من 18 في المائة عام 2006 إلى 26 في المائة عام 2011، فإن هذا الاستخدام لا يزال متدنياً بحيث لا يفضي إلى تخفيض كبير في معدلات الخصوبة. ومع ذلك، </w:t>
      </w:r>
      <w:r w:rsidRPr="004937A6">
        <w:rPr>
          <w:rFonts w:hint="cs"/>
          <w:spacing w:val="-4"/>
          <w:rtl/>
        </w:rPr>
        <w:t xml:space="preserve">تراجعت الحاجة غير </w:t>
      </w:r>
      <w:proofErr w:type="spellStart"/>
      <w:r w:rsidRPr="004937A6">
        <w:rPr>
          <w:rFonts w:hint="cs"/>
          <w:spacing w:val="-4"/>
          <w:rtl/>
        </w:rPr>
        <w:t>الملباة</w:t>
      </w:r>
      <w:proofErr w:type="spellEnd"/>
      <w:r w:rsidRPr="004937A6">
        <w:rPr>
          <w:rFonts w:hint="cs"/>
          <w:spacing w:val="-4"/>
          <w:rtl/>
        </w:rPr>
        <w:t xml:space="preserve"> لتنظيم الأسرة تراجعاً طفيفاً من 38 في المائة عام 2006 إلى 34 في المائة في عام 2011. ويبين تخصيص الموارد في القطاع الصحي زيادة معدلها 20 في المائة في السنة من حيث القيم المطلقة خلال السنوات الأربع الماضية لتنفيذ خطة الاستثمار الاستراتيجي في قطاع الصحة</w:t>
      </w:r>
      <w:r w:rsidRPr="004937A6">
        <w:rPr>
          <w:spacing w:val="-4"/>
          <w:vertAlign w:val="superscript"/>
          <w:rtl/>
        </w:rPr>
        <w:t>(</w:t>
      </w:r>
      <w:r w:rsidRPr="004937A6">
        <w:rPr>
          <w:rStyle w:val="FootnoteReference"/>
          <w:spacing w:val="-4"/>
          <w:rtl/>
        </w:rPr>
        <w:footnoteReference w:id="29"/>
      </w:r>
      <w:r w:rsidRPr="004937A6">
        <w:rPr>
          <w:spacing w:val="-4"/>
          <w:vertAlign w:val="superscript"/>
          <w:rtl/>
        </w:rPr>
        <w:t>)</w:t>
      </w:r>
      <w:r w:rsidRPr="004937A6">
        <w:rPr>
          <w:rFonts w:hint="cs"/>
          <w:spacing w:val="-4"/>
          <w:rtl/>
        </w:rPr>
        <w:t>. لكن مخصصات الميزانية لقطاع الصحة من مجمل الميزانية الحكومية تراجعت</w:t>
      </w:r>
      <w:r>
        <w:rPr>
          <w:rFonts w:hint="cs"/>
          <w:rtl/>
        </w:rPr>
        <w:t xml:space="preserve"> من 9.6 في المائة في الفترة 2003/2004 (التقرير السنوي عن أداء قطاع الصحة، 2013-2014) إلى 8.6 في المائة في الفترة 2014-2015 من مجمل الميزانية الحكومية، وهي نسبة تقل بكثير عن الهدف الذي حدده إعلان أبوجا وهو 15 في المائة. وجاء هذا التخفيض بالتزامن مع تزايد تكاليف ومتطلبات الرعاية الصحية بسبب الزيادة الكبيرة في عدد السكان. ونتيجةً لذلك، يتوقف تمويل الرعاية الصحية بنسبة كبيرة على ما تدفعه الأسر المعيشية (43 في المائة)، والمانحون (34 في المائة) فيما لا تدفع الحكومة وأرباب العمل إلا 23 في المائة (الحسابات الصحية الوطنية، 2013). ويقلص الاعتماد الكبير على ما تدفعه الأسر المعيشية فرص الوصول إلى الخدمات الصحية والاستفادة منها بينما يؤثر الاعتماد الكبير على ما يدفعه المانحون على مدى استدامة التمويل الصحي وتقديم الخدمات الصحية في أوغندا.</w:t>
      </w:r>
    </w:p>
    <w:p w:rsidR="00225595" w:rsidRDefault="00225595" w:rsidP="009229EC">
      <w:pPr>
        <w:pStyle w:val="SingleTxtGA"/>
        <w:spacing w:line="360" w:lineRule="exact"/>
        <w:rPr>
          <w:rtl/>
        </w:rPr>
      </w:pPr>
      <w:r>
        <w:rPr>
          <w:rFonts w:hint="cs"/>
          <w:rtl/>
        </w:rPr>
        <w:t>26-</w:t>
      </w:r>
      <w:r>
        <w:rPr>
          <w:rFonts w:hint="cs"/>
          <w:rtl/>
        </w:rPr>
        <w:tab/>
        <w:t>وهناك جانب هام آخر يتعين بحثه فيما يتعلق بهذا التقرير وهو نقص الموظفين في القطاع الصحي الأوغندي. ورغم أن نسبة الوظائف الشاغرة التي تمّ ملؤها زادت من 56 في المائة في الفترة 2009-2010 (استعراض منتصف المدة، 2013) إلى 68 في المائة (مراجعة حسابات الموارد البشرية في القطاع الصحي، 2014) لا تزال هناك تفاوتات كبيرة بين البيئات الريفية والحضرية، وفي جميع المقاطعات خصوصاً فيما يتعلق بالقابلات والأطباء. لكن ثمة إنجازاً يستحق الثناء وهو أن السكان الذين يعيشون في منطقة تبعد خمسة كيلومترات عن أحد المرافق الصحية تبلغ نسبتهم حالياً 72 في المائة.</w:t>
      </w:r>
    </w:p>
    <w:p w:rsidR="00225595" w:rsidRDefault="00225595" w:rsidP="009229EC">
      <w:pPr>
        <w:pStyle w:val="SingleTxtGA"/>
        <w:spacing w:line="360" w:lineRule="exact"/>
        <w:rPr>
          <w:rtl/>
        </w:rPr>
      </w:pPr>
      <w:r>
        <w:rPr>
          <w:rFonts w:hint="cs"/>
          <w:rtl/>
        </w:rPr>
        <w:t>27-</w:t>
      </w:r>
      <w:r>
        <w:rPr>
          <w:rFonts w:hint="cs"/>
          <w:rtl/>
        </w:rPr>
        <w:tab/>
      </w:r>
      <w:r w:rsidRPr="008A347B">
        <w:rPr>
          <w:rFonts w:hint="cs"/>
          <w:b/>
          <w:bCs/>
          <w:rtl/>
        </w:rPr>
        <w:t>حالة التعليم:</w:t>
      </w:r>
      <w:r>
        <w:rPr>
          <w:rFonts w:hint="cs"/>
          <w:rtl/>
        </w:rPr>
        <w:t xml:space="preserve"> أسهمت خطط التعليم الابتدائي الشامل والتعليم الثانوي الشامل اللتان بدأتا عامي 1997 و2007 على التوالي في زيادة فرص وصول الفتيان والفتيات إلى التعليم، </w:t>
      </w:r>
      <w:r w:rsidRPr="009229EC">
        <w:rPr>
          <w:rFonts w:hint="cs"/>
          <w:spacing w:val="-2"/>
          <w:rtl/>
        </w:rPr>
        <w:t>وفي الحد من التفاوت بين معدلات تسجيل الفتيان والفتيان في المدارس وإكمالهم لهاتين المرحلتين</w:t>
      </w:r>
      <w:r>
        <w:rPr>
          <w:rFonts w:hint="cs"/>
          <w:rtl/>
        </w:rPr>
        <w:t xml:space="preserve"> التعليميتين. وتبلغ نسبة الحضور الصافية في مرحلة التعليم الابتدائي 81 في المائة</w:t>
      </w:r>
      <w:r w:rsidR="009229EC">
        <w:rPr>
          <w:rFonts w:hint="cs"/>
          <w:rtl/>
        </w:rPr>
        <w:t xml:space="preserve"> </w:t>
      </w:r>
      <w:r>
        <w:rPr>
          <w:rFonts w:hint="cs"/>
          <w:rtl/>
        </w:rPr>
        <w:t>للإناث و81.1 في المائة للذكور أي بمجموع يساوي 81 في المائة عام 2013</w:t>
      </w:r>
      <w:r>
        <w:rPr>
          <w:vertAlign w:val="superscript"/>
          <w:rtl/>
        </w:rPr>
        <w:t>(</w:t>
      </w:r>
      <w:r>
        <w:rPr>
          <w:rStyle w:val="FootnoteReference"/>
          <w:rtl/>
        </w:rPr>
        <w:footnoteReference w:id="30"/>
      </w:r>
      <w:r>
        <w:rPr>
          <w:vertAlign w:val="superscript"/>
          <w:rtl/>
        </w:rPr>
        <w:t>)</w:t>
      </w:r>
      <w:r>
        <w:rPr>
          <w:rFonts w:hint="cs"/>
          <w:rtl/>
        </w:rPr>
        <w:t>. وقد</w:t>
      </w:r>
      <w:r w:rsidR="004937A6">
        <w:rPr>
          <w:rFonts w:hint="eastAsia"/>
          <w:rtl/>
        </w:rPr>
        <w:t> </w:t>
      </w:r>
      <w:r>
        <w:rPr>
          <w:rFonts w:hint="cs"/>
          <w:rtl/>
        </w:rPr>
        <w:t>تلقى 59.4 في المائة من النساء و62.2 في المائة من الرجال بعضاً من التعليم الابتدائي أو</w:t>
      </w:r>
      <w:r w:rsidR="002E2803">
        <w:rPr>
          <w:rFonts w:hint="eastAsia"/>
          <w:rtl/>
        </w:rPr>
        <w:t> </w:t>
      </w:r>
      <w:r>
        <w:rPr>
          <w:rFonts w:hint="cs"/>
          <w:rtl/>
        </w:rPr>
        <w:t>أكملوه</w:t>
      </w:r>
      <w:r>
        <w:rPr>
          <w:vertAlign w:val="superscript"/>
          <w:rtl/>
        </w:rPr>
        <w:t>(</w:t>
      </w:r>
      <w:r>
        <w:rPr>
          <w:rStyle w:val="FootnoteReference"/>
          <w:rtl/>
        </w:rPr>
        <w:footnoteReference w:id="31"/>
      </w:r>
      <w:r>
        <w:rPr>
          <w:vertAlign w:val="superscript"/>
          <w:rtl/>
        </w:rPr>
        <w:t>)</w:t>
      </w:r>
      <w:r>
        <w:rPr>
          <w:rFonts w:hint="cs"/>
          <w:rtl/>
        </w:rPr>
        <w:t xml:space="preserve">. وفي </w:t>
      </w:r>
      <w:r w:rsidRPr="009229EC">
        <w:rPr>
          <w:rFonts w:hint="cs"/>
          <w:spacing w:val="-2"/>
          <w:rtl/>
        </w:rPr>
        <w:t>السنوات الخمس التي سبقت الدراسة الاستقصائية الصحية لعام 2011، زادت نسبة الأشخاص</w:t>
      </w:r>
      <w:r>
        <w:rPr>
          <w:rFonts w:hint="cs"/>
          <w:rtl/>
        </w:rPr>
        <w:t xml:space="preserve"> </w:t>
      </w:r>
      <w:r>
        <w:rPr>
          <w:rFonts w:hint="cs"/>
          <w:rtl/>
        </w:rPr>
        <w:lastRenderedPageBreak/>
        <w:t>الذين تلقوا بعضاً من التعليم الثانوي على الأقل أو أنهوه بحوالي 30 في الم</w:t>
      </w:r>
      <w:r w:rsidR="00C43876">
        <w:rPr>
          <w:rFonts w:hint="cs"/>
          <w:rtl/>
        </w:rPr>
        <w:t>ائة للنساء و18 في</w:t>
      </w:r>
      <w:r w:rsidR="009229EC">
        <w:rPr>
          <w:rFonts w:hint="eastAsia"/>
          <w:rtl/>
        </w:rPr>
        <w:t> </w:t>
      </w:r>
      <w:r w:rsidR="00C43876">
        <w:rPr>
          <w:rFonts w:hint="cs"/>
          <w:rtl/>
        </w:rPr>
        <w:t>المائة للرجال</w:t>
      </w:r>
      <w:r>
        <w:rPr>
          <w:vertAlign w:val="superscript"/>
          <w:rtl/>
        </w:rPr>
        <w:t>(</w:t>
      </w:r>
      <w:r>
        <w:rPr>
          <w:rStyle w:val="FootnoteReference"/>
          <w:rtl/>
        </w:rPr>
        <w:footnoteReference w:id="32"/>
      </w:r>
      <w:r>
        <w:rPr>
          <w:vertAlign w:val="superscript"/>
          <w:rtl/>
        </w:rPr>
        <w:t>)</w:t>
      </w:r>
      <w:r w:rsidR="00C43876">
        <w:rPr>
          <w:rFonts w:hint="cs"/>
          <w:rtl/>
        </w:rPr>
        <w:t>.</w:t>
      </w:r>
      <w:r>
        <w:rPr>
          <w:rFonts w:hint="cs"/>
          <w:rtl/>
        </w:rPr>
        <w:t xml:space="preserve"> وبذلك تكون نسبة الأشخاص الذين تلقوا بعضا من</w:t>
      </w:r>
      <w:r w:rsidR="00C43876">
        <w:rPr>
          <w:rFonts w:hint="cs"/>
          <w:rtl/>
        </w:rPr>
        <w:t xml:space="preserve"> </w:t>
      </w:r>
      <w:r>
        <w:rPr>
          <w:rFonts w:hint="cs"/>
          <w:rtl/>
        </w:rPr>
        <w:t>التعليم الثانوي أو</w:t>
      </w:r>
      <w:r w:rsidR="009229EC">
        <w:rPr>
          <w:rFonts w:hint="eastAsia"/>
          <w:rtl/>
        </w:rPr>
        <w:t> </w:t>
      </w:r>
      <w:r>
        <w:rPr>
          <w:rFonts w:hint="cs"/>
          <w:rtl/>
        </w:rPr>
        <w:t>أنهوه 27.7 في المائة للنساء</w:t>
      </w:r>
      <w:r w:rsidR="00C43876">
        <w:rPr>
          <w:rFonts w:hint="cs"/>
          <w:rtl/>
        </w:rPr>
        <w:t xml:space="preserve"> </w:t>
      </w:r>
      <w:r>
        <w:rPr>
          <w:rFonts w:hint="cs"/>
          <w:rtl/>
        </w:rPr>
        <w:t>و35.6 في المائة للرجال</w:t>
      </w:r>
      <w:r>
        <w:rPr>
          <w:vertAlign w:val="superscript"/>
          <w:rtl/>
        </w:rPr>
        <w:t>(</w:t>
      </w:r>
      <w:r>
        <w:rPr>
          <w:rStyle w:val="FootnoteReference"/>
          <w:rtl/>
        </w:rPr>
        <w:footnoteReference w:id="33"/>
      </w:r>
      <w:r>
        <w:rPr>
          <w:vertAlign w:val="superscript"/>
          <w:rtl/>
        </w:rPr>
        <w:t>)</w:t>
      </w:r>
      <w:r>
        <w:rPr>
          <w:rFonts w:hint="cs"/>
          <w:rtl/>
        </w:rPr>
        <w:t>.</w:t>
      </w:r>
    </w:p>
    <w:p w:rsidR="00225595" w:rsidRDefault="00225595" w:rsidP="00F61077">
      <w:pPr>
        <w:pStyle w:val="SingleTxtGA"/>
        <w:rPr>
          <w:rtl/>
        </w:rPr>
      </w:pPr>
      <w:r>
        <w:rPr>
          <w:rFonts w:hint="cs"/>
          <w:rtl/>
        </w:rPr>
        <w:t>28-</w:t>
      </w:r>
      <w:r>
        <w:rPr>
          <w:rFonts w:hint="cs"/>
          <w:rtl/>
        </w:rPr>
        <w:tab/>
        <w:t>وأدت الزيادة في التسجيل إلى زيادة في الطلب على المدخلات اللازمة للتعليم، لا</w:t>
      </w:r>
      <w:r w:rsidR="00F61077">
        <w:rPr>
          <w:rFonts w:hint="eastAsia"/>
          <w:rtl/>
        </w:rPr>
        <w:t> </w:t>
      </w:r>
      <w:r>
        <w:rPr>
          <w:rFonts w:hint="cs"/>
          <w:rtl/>
        </w:rPr>
        <w:t>سيما الفصول الدراسية والمدرسون والمواد التعليمية ومساكن المدرسين. وجميع أوجه القصور هذه تمثل فرص عمل للشباب الأوغندي الذين يمكن تشغيلهم في مشاريع بناء المباني المدرسية ومساكن المدرسين وإعادة إنتاج المواد التعليمية. وتراجعت مخصصات التعليم الثانوي من ميزانية قطاع التعليم من 37 في المائة في السنة المالية 2009-2010 إلى 28.8 في المائة في السنة المالية 2013-2014، على الرغم من تزايد الطلب على التعليم الثانوي. وهناك أيضاً مشاركة محدودة للقطاع الخاص في توفير التعليم الثانوي في المناطق الريفية، مع استمرار تزايد عدد الأقاليم الفرعية التي لا يتوفر فيها أي شكل من أشكال التعليم الثانوي، بسبب إنشاء المزيد من الوحدات الإدارية التابعة للمحافظات القائمة والأقاليم الفرعية. ونتيجة لهذه التحديات المستمرة، لوحظ تراجع أو تدنٍ للإنجازات/أوجه الكفاءة في مجال التعليم، فضلاً عن تراجع في معدلات إكمال الدراسة، خصوصاً فيما يتعلق بالفتيات اللواتي يلتحقن بالتعليم الثانوي.</w:t>
      </w:r>
    </w:p>
    <w:p w:rsidR="00225595" w:rsidRDefault="00225595" w:rsidP="00F03BEA">
      <w:pPr>
        <w:pStyle w:val="SingleTxtGA"/>
        <w:rPr>
          <w:rtl/>
        </w:rPr>
      </w:pPr>
      <w:r>
        <w:rPr>
          <w:rFonts w:hint="cs"/>
          <w:rtl/>
        </w:rPr>
        <w:t>29-</w:t>
      </w:r>
      <w:r>
        <w:rPr>
          <w:rFonts w:hint="cs"/>
          <w:rtl/>
        </w:rPr>
        <w:tab/>
        <w:t xml:space="preserve">لكنه من الجدير بالذكر أن النسبة المئوية للأوغنديين الذين يصلون إلى التعليم العالي/ </w:t>
      </w:r>
      <w:r w:rsidR="00C43876">
        <w:rPr>
          <w:rFonts w:hint="cs"/>
          <w:rtl/>
        </w:rPr>
        <w:t xml:space="preserve">  </w:t>
      </w:r>
      <w:r>
        <w:rPr>
          <w:rFonts w:hint="cs"/>
          <w:rtl/>
        </w:rPr>
        <w:t>الجامعي زادت أيضاً مع مرور السنين بسبب الزيادة في عدد الجامعات العامة والخاصة وإنشاء مؤسسات جديدة للتدريب المهني وتوسيع المؤسسات القائمة. وتسعى أوغندا الآن إلى تعزيز عملية تطوير المهارات ونوعية رأس المال البشري. ونظراً للعدد الكبير من الشباب بين السكان، تُبذل الجهود حرصاً على أن تكون أغلبيتهم متعلمة وتتمتع بمهارات كافية كي يصبح هؤلاء الشباب مستحدثين لفرص العمل أكثر من كونهم باحثين عنها. واستُعرضت المناهج الدراسية على جميع المستويات للتحقق من أنها تلبي الحاجة وتُدرَّس حالياً مواد إضافية عديدة من أجل تماشي التعليم مع المعارف والمهارات اللازمة في أسواق العمل في أوغندا وكذلك في الأسواق الإقليمية والدولية. وبلغت نسبة الإلمام بالقراءة والكتابة بين الشباب في الفئة العمرية 15-24 عاماً، 75.2 في المائة للإناث، و77.1 في المائة للذكور أي بمجموع قدره 76.1 في المائة</w:t>
      </w:r>
      <w:r>
        <w:rPr>
          <w:vertAlign w:val="superscript"/>
          <w:rtl/>
        </w:rPr>
        <w:t>(</w:t>
      </w:r>
      <w:r>
        <w:rPr>
          <w:rStyle w:val="FootnoteReference"/>
          <w:rtl/>
        </w:rPr>
        <w:footnoteReference w:id="34"/>
      </w:r>
      <w:r>
        <w:rPr>
          <w:vertAlign w:val="superscript"/>
          <w:rtl/>
        </w:rPr>
        <w:t>)</w:t>
      </w:r>
      <w:r>
        <w:rPr>
          <w:rFonts w:hint="cs"/>
          <w:rtl/>
        </w:rPr>
        <w:t>.</w:t>
      </w:r>
    </w:p>
    <w:p w:rsidR="00225595" w:rsidRDefault="00225595" w:rsidP="00F03BEA">
      <w:pPr>
        <w:pStyle w:val="SingleTxtGA"/>
        <w:rPr>
          <w:rtl/>
        </w:rPr>
      </w:pPr>
      <w:r>
        <w:rPr>
          <w:rFonts w:hint="cs"/>
          <w:rtl/>
        </w:rPr>
        <w:t>30-</w:t>
      </w:r>
      <w:r>
        <w:rPr>
          <w:rFonts w:hint="cs"/>
          <w:rtl/>
        </w:rPr>
        <w:tab/>
        <w:t xml:space="preserve">ومع ذلك، لا يزال عدد الطلاب المسجلين في التعليم الجامعي في أوغندا، بغض النظر عن السن، كنسبة مئوية من السكان الذين بلغوا السن الرسمي للالتحاق بالمستوى الجامعي، متدنياً إذ لم يتجاوز 5.4 في المائة عام 2010. وهذه النسبة أقل بكثير من المعدل الذي سجلته بلدان أفريقيا جنوب الصحراء، وهو 6 في المائة، ومن المعدل العالمي البالغ 26 في المائة، وأقل بكثير من النسبة اللازمة لتحقيق طفرة اقتصادية وهي 40 في المائة. ولذلك، تحتاج أوغندا </w:t>
      </w:r>
      <w:r>
        <w:rPr>
          <w:rFonts w:hint="cs"/>
          <w:rtl/>
        </w:rPr>
        <w:lastRenderedPageBreak/>
        <w:t>إلى المزيد من المساحات الجامعية والثانوية لتسجيل المزيد من الطلاب. ورغم تزايد الالتحاق بالتعليم الجامعي، لا يزال التحاق الطلاب بالبرامج العلمية والتكنولوجية في الجامعات الخاصة والعامة متدنياً (حوالي 37 في المائة) أي أقل من الحد الأدنى المطلوب للتسجيل في اختصاصات العلم والتكنولوجيا، وهو 40 في المائة (منظمة الأمم المتحدة للتربية والعلم والثقافة).</w:t>
      </w:r>
    </w:p>
    <w:p w:rsidR="00225595" w:rsidRPr="00F03BEA" w:rsidRDefault="00225595" w:rsidP="00F61077">
      <w:pPr>
        <w:pStyle w:val="SingleTxtGA"/>
        <w:spacing w:after="100" w:line="360" w:lineRule="exact"/>
        <w:rPr>
          <w:spacing w:val="-2"/>
          <w:rtl/>
        </w:rPr>
      </w:pPr>
      <w:r w:rsidRPr="00F03BEA">
        <w:rPr>
          <w:rFonts w:hint="cs"/>
          <w:spacing w:val="-2"/>
          <w:rtl/>
        </w:rPr>
        <w:t>31-</w:t>
      </w:r>
      <w:r w:rsidRPr="00F03BEA">
        <w:rPr>
          <w:rFonts w:hint="cs"/>
          <w:spacing w:val="-2"/>
          <w:rtl/>
        </w:rPr>
        <w:tab/>
        <w:t xml:space="preserve">ولا يزال التمويل العام للتعليم العالي يمثل 0.3 في المائة من إجمالي الناتج المحلي وهي نسبة تقل عن الحصة </w:t>
      </w:r>
      <w:proofErr w:type="spellStart"/>
      <w:r w:rsidRPr="00F03BEA">
        <w:rPr>
          <w:rFonts w:hint="cs"/>
          <w:spacing w:val="-2"/>
          <w:rtl/>
        </w:rPr>
        <w:t>الموصى</w:t>
      </w:r>
      <w:proofErr w:type="spellEnd"/>
      <w:r w:rsidRPr="00F03BEA">
        <w:rPr>
          <w:rFonts w:hint="cs"/>
          <w:spacing w:val="-2"/>
          <w:rtl/>
        </w:rPr>
        <w:t xml:space="preserve"> بها وهي 1 في المائة على الأقل. ولذلك، لا تكفي الموارد المخصصة لتلبية الطلب مع تزايد أعداد الطلاب بمعدل سنوي يتجاوز 10 في المائة. ومما لا شك فيه أن ضعف عدد الموظفين في 33 في المائة من الجامعات العامة يخفض نوعية تقديم الخدمات.</w:t>
      </w:r>
    </w:p>
    <w:p w:rsidR="00225595" w:rsidRDefault="00225595" w:rsidP="009229EC">
      <w:pPr>
        <w:pStyle w:val="SingleTxtGA"/>
        <w:spacing w:after="100" w:line="360" w:lineRule="exact"/>
        <w:rPr>
          <w:rtl/>
        </w:rPr>
      </w:pPr>
      <w:r>
        <w:rPr>
          <w:rFonts w:hint="cs"/>
          <w:rtl/>
        </w:rPr>
        <w:t>32-</w:t>
      </w:r>
      <w:r>
        <w:rPr>
          <w:rFonts w:hint="cs"/>
          <w:rtl/>
        </w:rPr>
        <w:tab/>
      </w:r>
      <w:r w:rsidRPr="00AE764B">
        <w:rPr>
          <w:rFonts w:hint="cs"/>
          <w:b/>
          <w:bCs/>
          <w:rtl/>
        </w:rPr>
        <w:t>حالة العمالة</w:t>
      </w:r>
      <w:r>
        <w:rPr>
          <w:rFonts w:hint="cs"/>
          <w:rtl/>
        </w:rPr>
        <w:t>: أشارت الدراسة الاستقصائية الوطنية للصحة في أوغندا</w:t>
      </w:r>
      <w:r w:rsidR="00F61077">
        <w:rPr>
          <w:rFonts w:hint="cs"/>
          <w:rtl/>
        </w:rPr>
        <w:t xml:space="preserve">             </w:t>
      </w:r>
      <w:r>
        <w:rPr>
          <w:rFonts w:hint="cs"/>
          <w:rtl/>
        </w:rPr>
        <w:t>للفترة</w:t>
      </w:r>
      <w:r w:rsidR="00F61077">
        <w:rPr>
          <w:rFonts w:hint="cs"/>
          <w:rtl/>
        </w:rPr>
        <w:t xml:space="preserve"> </w:t>
      </w:r>
      <w:r>
        <w:rPr>
          <w:rFonts w:hint="cs"/>
          <w:rtl/>
        </w:rPr>
        <w:t>2012-2013 إلى أن مجموع القوى العاملة في أوغندا زاد زيادة طفيفة ليصل إلى</w:t>
      </w:r>
      <w:r w:rsidR="00F61077">
        <w:rPr>
          <w:rFonts w:hint="eastAsia"/>
          <w:rtl/>
        </w:rPr>
        <w:t> </w:t>
      </w:r>
      <w:r>
        <w:rPr>
          <w:rFonts w:hint="cs"/>
          <w:rtl/>
        </w:rPr>
        <w:t>16.3 مليون شخص. وأشارت خلاصة إحصاءات مكتب الإحصاءات الأوغندي لعام</w:t>
      </w:r>
      <w:r w:rsidR="00F61077">
        <w:rPr>
          <w:rFonts w:hint="eastAsia"/>
          <w:rtl/>
        </w:rPr>
        <w:t> </w:t>
      </w:r>
      <w:r>
        <w:rPr>
          <w:rFonts w:hint="cs"/>
          <w:rtl/>
        </w:rPr>
        <w:t>2014، إلى أن الذكور يشكلون 49.1 في المائة من القوى العاملة، بي</w:t>
      </w:r>
      <w:r w:rsidR="00C43876">
        <w:rPr>
          <w:rFonts w:hint="cs"/>
          <w:rtl/>
        </w:rPr>
        <w:t>نما يشكل الإناث</w:t>
      </w:r>
      <w:r w:rsidR="00F61077">
        <w:rPr>
          <w:rFonts w:hint="eastAsia"/>
          <w:rtl/>
        </w:rPr>
        <w:t> </w:t>
      </w:r>
      <w:r w:rsidR="00C43876">
        <w:rPr>
          <w:rFonts w:hint="cs"/>
          <w:rtl/>
        </w:rPr>
        <w:t>50.9 في المائة</w:t>
      </w:r>
      <w:r>
        <w:rPr>
          <w:vertAlign w:val="superscript"/>
          <w:rtl/>
        </w:rPr>
        <w:t>(</w:t>
      </w:r>
      <w:r>
        <w:rPr>
          <w:rStyle w:val="FootnoteReference"/>
          <w:rtl/>
        </w:rPr>
        <w:footnoteReference w:id="35"/>
      </w:r>
      <w:r>
        <w:rPr>
          <w:vertAlign w:val="superscript"/>
          <w:rtl/>
        </w:rPr>
        <w:t>)</w:t>
      </w:r>
      <w:r>
        <w:rPr>
          <w:rFonts w:hint="cs"/>
          <w:rtl/>
        </w:rPr>
        <w:t>. والقطاع الذي يضمن أكبر عدد من العاملين هو الزراعة، إذ</w:t>
      </w:r>
      <w:r w:rsidR="009229EC">
        <w:rPr>
          <w:rFonts w:hint="eastAsia"/>
          <w:rtl/>
        </w:rPr>
        <w:t> </w:t>
      </w:r>
      <w:r>
        <w:rPr>
          <w:rFonts w:hint="cs"/>
          <w:rtl/>
        </w:rPr>
        <w:t>يعمل</w:t>
      </w:r>
      <w:r w:rsidR="00F61077">
        <w:rPr>
          <w:rFonts w:hint="eastAsia"/>
          <w:rtl/>
        </w:rPr>
        <w:t> </w:t>
      </w:r>
      <w:r>
        <w:rPr>
          <w:rFonts w:hint="cs"/>
          <w:rtl/>
        </w:rPr>
        <w:t>71 في المائة من القوى العاملة حالياً في زراعة الكفاف (أغلبيتهم من النساء) وفي</w:t>
      </w:r>
      <w:r w:rsidR="009229EC">
        <w:rPr>
          <w:rFonts w:hint="eastAsia"/>
          <w:rtl/>
        </w:rPr>
        <w:t> </w:t>
      </w:r>
      <w:r>
        <w:rPr>
          <w:rFonts w:hint="cs"/>
          <w:rtl/>
        </w:rPr>
        <w:t xml:space="preserve">تجهيز </w:t>
      </w:r>
      <w:r w:rsidRPr="00F61077">
        <w:rPr>
          <w:rFonts w:hint="cs"/>
          <w:spacing w:val="-4"/>
          <w:rtl/>
        </w:rPr>
        <w:t>المنتجات الزراعية</w:t>
      </w:r>
      <w:r w:rsidRPr="00F61077">
        <w:rPr>
          <w:spacing w:val="-4"/>
          <w:vertAlign w:val="superscript"/>
          <w:rtl/>
        </w:rPr>
        <w:t>(</w:t>
      </w:r>
      <w:r w:rsidRPr="00F61077">
        <w:rPr>
          <w:rStyle w:val="FootnoteReference"/>
          <w:spacing w:val="-4"/>
          <w:rtl/>
        </w:rPr>
        <w:footnoteReference w:id="36"/>
      </w:r>
      <w:r w:rsidRPr="00F61077">
        <w:rPr>
          <w:spacing w:val="-4"/>
          <w:vertAlign w:val="superscript"/>
          <w:rtl/>
        </w:rPr>
        <w:t>)</w:t>
      </w:r>
      <w:r w:rsidRPr="00F61077">
        <w:rPr>
          <w:rFonts w:hint="cs"/>
          <w:spacing w:val="-4"/>
          <w:rtl/>
        </w:rPr>
        <w:t>. ويعمل 47.4 في المائة من القوى العاملة مقابل أجر، بينما يعمل البقية وهم</w:t>
      </w:r>
      <w:r w:rsidR="00F61077">
        <w:rPr>
          <w:rFonts w:hint="eastAsia"/>
          <w:spacing w:val="-4"/>
          <w:rtl/>
        </w:rPr>
        <w:t> </w:t>
      </w:r>
      <w:r w:rsidRPr="00F61077">
        <w:rPr>
          <w:rFonts w:hint="cs"/>
          <w:spacing w:val="-4"/>
          <w:rtl/>
        </w:rPr>
        <w:t>الأغلبية، 52.6 في المائة، في أعمال حرة</w:t>
      </w:r>
      <w:r w:rsidRPr="00F61077">
        <w:rPr>
          <w:spacing w:val="-4"/>
          <w:vertAlign w:val="superscript"/>
          <w:rtl/>
        </w:rPr>
        <w:t>(</w:t>
      </w:r>
      <w:r w:rsidRPr="00F61077">
        <w:rPr>
          <w:rStyle w:val="FootnoteReference"/>
          <w:spacing w:val="-4"/>
          <w:rtl/>
        </w:rPr>
        <w:footnoteReference w:id="37"/>
      </w:r>
      <w:r w:rsidRPr="00F61077">
        <w:rPr>
          <w:spacing w:val="-4"/>
          <w:vertAlign w:val="superscript"/>
          <w:rtl/>
        </w:rPr>
        <w:t>)</w:t>
      </w:r>
      <w:r w:rsidRPr="00F61077">
        <w:rPr>
          <w:rFonts w:hint="cs"/>
          <w:spacing w:val="-4"/>
          <w:rtl/>
        </w:rPr>
        <w:t>. وزادت نسبة القوى العاملة التي تمتهن العمل الحر من 70.9 في المائة في الفترة 2009-2010، إلى 81.5 في المائة. ويعمل 73 في</w:t>
      </w:r>
      <w:r w:rsidR="009229EC">
        <w:rPr>
          <w:rFonts w:hint="eastAsia"/>
          <w:spacing w:val="-4"/>
          <w:rtl/>
        </w:rPr>
        <w:t> </w:t>
      </w:r>
      <w:r w:rsidRPr="00F61077">
        <w:rPr>
          <w:rFonts w:hint="cs"/>
          <w:spacing w:val="-4"/>
          <w:rtl/>
        </w:rPr>
        <w:t>المائة</w:t>
      </w:r>
      <w:r w:rsidR="00F61077" w:rsidRPr="00F61077">
        <w:rPr>
          <w:rFonts w:hint="eastAsia"/>
          <w:spacing w:val="-4"/>
          <w:rtl/>
        </w:rPr>
        <w:t> </w:t>
      </w:r>
      <w:r w:rsidRPr="00F61077">
        <w:rPr>
          <w:rFonts w:hint="cs"/>
          <w:spacing w:val="-4"/>
          <w:rtl/>
        </w:rPr>
        <w:t>من أصحاب الأعمال الحرة في الزراعة والغابات ومصائد الأسماك، فيما يعمل 9 في المائة</w:t>
      </w:r>
      <w:r w:rsidR="009229EC">
        <w:rPr>
          <w:rFonts w:hint="eastAsia"/>
          <w:spacing w:val="-4"/>
          <w:rtl/>
        </w:rPr>
        <w:t> </w:t>
      </w:r>
      <w:r w:rsidRPr="00F61077">
        <w:rPr>
          <w:rFonts w:hint="cs"/>
          <w:spacing w:val="-4"/>
          <w:rtl/>
        </w:rPr>
        <w:t>منهم في التجارة و5 في المائة في الصناعات التحويلية، وتزيد نسبة الإناث عن الذكور</w:t>
      </w:r>
      <w:r w:rsidR="00C43876" w:rsidRPr="00F61077">
        <w:rPr>
          <w:rFonts w:hint="cs"/>
          <w:spacing w:val="-4"/>
          <w:rtl/>
        </w:rPr>
        <w:t xml:space="preserve"> </w:t>
      </w:r>
      <w:r w:rsidRPr="00F61077">
        <w:rPr>
          <w:rFonts w:hint="cs"/>
          <w:spacing w:val="-4"/>
          <w:rtl/>
        </w:rPr>
        <w:t>في الأعمال الحرة.</w:t>
      </w:r>
    </w:p>
    <w:p w:rsidR="00225595" w:rsidRDefault="00225595" w:rsidP="00F61077">
      <w:pPr>
        <w:pStyle w:val="SingleTxtGA"/>
        <w:spacing w:after="100" w:line="360" w:lineRule="exact"/>
        <w:rPr>
          <w:rtl/>
        </w:rPr>
      </w:pPr>
      <w:r>
        <w:rPr>
          <w:rFonts w:hint="cs"/>
          <w:rtl/>
        </w:rPr>
        <w:t>33-</w:t>
      </w:r>
      <w:r>
        <w:rPr>
          <w:rFonts w:hint="cs"/>
          <w:rtl/>
        </w:rPr>
        <w:tab/>
        <w:t>وفي عام 2014، كان حوالي ستة ملايين من القوى العاملة (43 في المائة) يعملون في</w:t>
      </w:r>
      <w:r w:rsidR="00F61077">
        <w:rPr>
          <w:rFonts w:hint="eastAsia"/>
          <w:rtl/>
        </w:rPr>
        <w:t> </w:t>
      </w:r>
      <w:r>
        <w:rPr>
          <w:rFonts w:hint="cs"/>
          <w:rtl/>
        </w:rPr>
        <w:t>إنتاج أغذية الكفاف، بينهم نسبة أعلى من الإناث (49 في المائة) مقابل 37 في المائة من</w:t>
      </w:r>
      <w:r w:rsidR="00F61077">
        <w:rPr>
          <w:rFonts w:hint="eastAsia"/>
          <w:rtl/>
        </w:rPr>
        <w:t> </w:t>
      </w:r>
      <w:r>
        <w:rPr>
          <w:rFonts w:hint="cs"/>
          <w:rtl/>
        </w:rPr>
        <w:t>الذكور. وتراجعت نسبة القوى العاملة في الوظائف المدفوعة الأجر من 21.5 في المائة</w:t>
      </w:r>
      <w:r w:rsidR="00F61077">
        <w:rPr>
          <w:rFonts w:hint="eastAsia"/>
          <w:rtl/>
        </w:rPr>
        <w:t> </w:t>
      </w:r>
      <w:r>
        <w:rPr>
          <w:rFonts w:hint="cs"/>
          <w:rtl/>
        </w:rPr>
        <w:t>في</w:t>
      </w:r>
      <w:r w:rsidR="00F61077">
        <w:rPr>
          <w:rFonts w:hint="eastAsia"/>
          <w:rtl/>
        </w:rPr>
        <w:t> </w:t>
      </w:r>
      <w:r>
        <w:rPr>
          <w:rFonts w:hint="cs"/>
          <w:rtl/>
        </w:rPr>
        <w:t>الفترة 2009-2010، إلى 18.5 في المائة فقط في الفترة 2012-2013. وفي الفترة</w:t>
      </w:r>
      <w:r w:rsidR="00F61077">
        <w:rPr>
          <w:rFonts w:hint="eastAsia"/>
          <w:rtl/>
        </w:rPr>
        <w:t> </w:t>
      </w:r>
      <w:r>
        <w:rPr>
          <w:rFonts w:hint="cs"/>
          <w:rtl/>
        </w:rPr>
        <w:t>2012-2013، بلغت نسبة الأشخاص الذين لم يتلقوا أي تعليم نظامي 15 في المائة</w:t>
      </w:r>
      <w:r w:rsidR="00F61077">
        <w:rPr>
          <w:rFonts w:hint="eastAsia"/>
          <w:rtl/>
        </w:rPr>
        <w:t> </w:t>
      </w:r>
      <w:r>
        <w:rPr>
          <w:rFonts w:hint="cs"/>
          <w:rtl/>
        </w:rPr>
        <w:t>من القوى العاملة. وقُدِر معدل نمو القوى العاملة بحوالي 4.7 في المائة سنوياً في الفترة</w:t>
      </w:r>
      <w:r w:rsidR="00F61077">
        <w:rPr>
          <w:rFonts w:hint="cs"/>
          <w:rtl/>
        </w:rPr>
        <w:t> </w:t>
      </w:r>
      <w:r>
        <w:rPr>
          <w:rFonts w:hint="cs"/>
          <w:rtl/>
        </w:rPr>
        <w:t>2012-2013. ويفسر الزخم السكاني الناجم عن استمرار ارتفاع معدلات الخصوبة الزيادة الكبيرة في عدد السكان الذين بلغوا الخامسة عشرة وما فوق.</w:t>
      </w:r>
    </w:p>
    <w:p w:rsidR="00225595" w:rsidRDefault="00225595" w:rsidP="00F61077">
      <w:pPr>
        <w:pStyle w:val="SingleTxtGA"/>
        <w:spacing w:after="100" w:line="360" w:lineRule="exact"/>
        <w:rPr>
          <w:rtl/>
        </w:rPr>
      </w:pPr>
      <w:r>
        <w:rPr>
          <w:rFonts w:hint="cs"/>
          <w:rtl/>
        </w:rPr>
        <w:lastRenderedPageBreak/>
        <w:t>34-</w:t>
      </w:r>
      <w:r>
        <w:rPr>
          <w:rFonts w:hint="cs"/>
          <w:rtl/>
        </w:rPr>
        <w:tab/>
        <w:t>ولا يزال معدل البطالة</w:t>
      </w:r>
      <w:r w:rsidR="00C43876">
        <w:rPr>
          <w:rFonts w:hint="cs"/>
          <w:rtl/>
        </w:rPr>
        <w:t>/</w:t>
      </w:r>
      <w:r>
        <w:rPr>
          <w:rFonts w:hint="cs"/>
          <w:rtl/>
        </w:rPr>
        <w:t>البطالة المقنعة مرتفعاً. إذ تبلغ نسبة البطالة المقنعة 8.8 في المائة من الذكور و11 في المائة من الإناث بمجموع قدره 10 في المائة</w:t>
      </w:r>
      <w:r>
        <w:rPr>
          <w:vertAlign w:val="superscript"/>
          <w:rtl/>
        </w:rPr>
        <w:t>(</w:t>
      </w:r>
      <w:r>
        <w:rPr>
          <w:rStyle w:val="FootnoteReference"/>
          <w:rtl/>
        </w:rPr>
        <w:footnoteReference w:id="38"/>
      </w:r>
      <w:r>
        <w:rPr>
          <w:vertAlign w:val="superscript"/>
          <w:rtl/>
        </w:rPr>
        <w:t>)</w:t>
      </w:r>
      <w:r>
        <w:rPr>
          <w:rFonts w:hint="cs"/>
          <w:rtl/>
        </w:rPr>
        <w:t xml:space="preserve">. وتُسجَّل أعلى معدلات العمالة الناقصة في المناطق التي تتدنى فيها الكثافة السكانية وينخفض فيها النشاط الاقتصادي، بما في ذلك أجزاء من المنطقة الوسطى </w:t>
      </w:r>
      <w:proofErr w:type="spellStart"/>
      <w:r>
        <w:rPr>
          <w:rFonts w:hint="cs"/>
          <w:rtl/>
        </w:rPr>
        <w:t>وكاراموجا</w:t>
      </w:r>
      <w:proofErr w:type="spellEnd"/>
      <w:r>
        <w:rPr>
          <w:rFonts w:hint="cs"/>
          <w:rtl/>
        </w:rPr>
        <w:t xml:space="preserve"> (شمال شرق أوغندا)، فضلاً عن الممر الشمالي (منطقة </w:t>
      </w:r>
      <w:proofErr w:type="spellStart"/>
      <w:r>
        <w:rPr>
          <w:rFonts w:hint="cs"/>
          <w:rtl/>
        </w:rPr>
        <w:t>أشولي</w:t>
      </w:r>
      <w:proofErr w:type="spellEnd"/>
      <w:r>
        <w:rPr>
          <w:rFonts w:hint="cs"/>
          <w:rtl/>
        </w:rPr>
        <w:t xml:space="preserve"> </w:t>
      </w:r>
      <w:proofErr w:type="spellStart"/>
      <w:r>
        <w:rPr>
          <w:rFonts w:hint="cs"/>
          <w:rtl/>
        </w:rPr>
        <w:t>ولانجو</w:t>
      </w:r>
      <w:proofErr w:type="spellEnd"/>
      <w:r>
        <w:rPr>
          <w:rFonts w:hint="cs"/>
          <w:rtl/>
        </w:rPr>
        <w:t>). لكن المناطق المحيطة بالممر الشمالي تسجل أعلى عدد من العاطلين عن العمل. وتوفر أسواق العمل في الخارج فرص عمل للأوغنديين على المدى القصير بينما يطور البلد قدرته على توليد ما يكفي من فرص عمل لقواه العاملة.</w:t>
      </w:r>
    </w:p>
    <w:p w:rsidR="00225595" w:rsidRPr="00F61077" w:rsidRDefault="00225595" w:rsidP="00F61077">
      <w:pPr>
        <w:pStyle w:val="SingleTxtGA"/>
        <w:rPr>
          <w:spacing w:val="-4"/>
          <w:rtl/>
        </w:rPr>
      </w:pPr>
      <w:r w:rsidRPr="00F61077">
        <w:rPr>
          <w:rFonts w:hint="cs"/>
          <w:spacing w:val="-4"/>
          <w:rtl/>
        </w:rPr>
        <w:t>35-</w:t>
      </w:r>
      <w:r w:rsidRPr="00F61077">
        <w:rPr>
          <w:rFonts w:hint="cs"/>
          <w:spacing w:val="-4"/>
          <w:rtl/>
        </w:rPr>
        <w:tab/>
        <w:t>وشرعت الحكومة في السنة المالية 2013-2014 ببرنامج سُبُل عيش الشباب بوصفه أحد الإجراءات الحكومية لمواجهة ارتفاع معدلات البطالة والفقر بين الشباب. ويتمثل الهدف الإنمائي للبرنامج في تمكين الشباب من استخدام قدراتهم الاجتماعية - الاقتصادية وزيادة الفرص المتاحة لهم لمزاولة الأعمال الحرة وتحسين مستويات دخلهم. ويوفر البرنامج الدعم في شكل صناديق متجددة لتمويل برامج تنمية المهارات وأنشطة توليد الدخل التي تشرع فيها الفئات الشبابية. وشملت</w:t>
      </w:r>
      <w:r w:rsidR="00F61077">
        <w:rPr>
          <w:rFonts w:hint="eastAsia"/>
          <w:spacing w:val="-4"/>
          <w:rtl/>
        </w:rPr>
        <w:t> </w:t>
      </w:r>
      <w:r w:rsidRPr="00F61077">
        <w:rPr>
          <w:rFonts w:hint="cs"/>
          <w:spacing w:val="-4"/>
          <w:rtl/>
        </w:rPr>
        <w:t>المرحلة الأولى من البرنامج في السنة المالية 2013-2014، ما مجموعه</w:t>
      </w:r>
      <w:r w:rsidR="00F61077" w:rsidRPr="00F61077">
        <w:rPr>
          <w:rFonts w:hint="eastAsia"/>
          <w:spacing w:val="-4"/>
          <w:rtl/>
        </w:rPr>
        <w:t> </w:t>
      </w:r>
      <w:r w:rsidRPr="00F61077">
        <w:rPr>
          <w:rFonts w:hint="cs"/>
          <w:spacing w:val="-4"/>
          <w:rtl/>
        </w:rPr>
        <w:t>27 محافظة. وقد</w:t>
      </w:r>
      <w:r w:rsidR="00F61077">
        <w:rPr>
          <w:rFonts w:hint="eastAsia"/>
          <w:spacing w:val="-4"/>
          <w:rtl/>
        </w:rPr>
        <w:t> </w:t>
      </w:r>
      <w:r w:rsidRPr="00F61077">
        <w:rPr>
          <w:rFonts w:hint="cs"/>
          <w:spacing w:val="-4"/>
          <w:rtl/>
        </w:rPr>
        <w:t>عُزز البرنامج في السنة المالية 2014-2015، ليشمل بقية مناطق البلد في المرحلة الثانية. وتمكَّن 374 32 شاباً (44 في المائة منهم إناث) من الحصول على الدعم في إطار البرنامج</w:t>
      </w:r>
      <w:r w:rsidR="00C43876" w:rsidRPr="00F61077">
        <w:rPr>
          <w:rFonts w:hint="cs"/>
          <w:spacing w:val="-4"/>
          <w:rtl/>
        </w:rPr>
        <w:t xml:space="preserve"> </w:t>
      </w:r>
      <w:r w:rsidRPr="00F61077">
        <w:rPr>
          <w:rFonts w:hint="cs"/>
          <w:spacing w:val="-4"/>
          <w:rtl/>
        </w:rPr>
        <w:t>وهم</w:t>
      </w:r>
      <w:r w:rsidR="00F61077">
        <w:rPr>
          <w:rFonts w:hint="eastAsia"/>
          <w:spacing w:val="-4"/>
          <w:rtl/>
        </w:rPr>
        <w:t> </w:t>
      </w:r>
      <w:r w:rsidRPr="00F61077">
        <w:rPr>
          <w:rFonts w:hint="cs"/>
          <w:spacing w:val="-4"/>
          <w:rtl/>
        </w:rPr>
        <w:t>يزاولون حالياً عملاً حراً في مختلف المهن الحرفية وأنشطة توليد الدخل على النحو التالي: الزراعة (53 في المائة)، والتجارة (21 في المائة)، والمهن الحرفية (9 في المائة)، والصناعات الصغيرة الحجم (8 في المائة)، والخدمات (8 في المائة)، وتكنولوجيا المعلومات والاتصالات (1 في المائة).</w:t>
      </w:r>
    </w:p>
    <w:p w:rsidR="00225595" w:rsidRDefault="00225595" w:rsidP="00F03BEA">
      <w:pPr>
        <w:pStyle w:val="SingleTxtGA"/>
        <w:rPr>
          <w:rtl/>
        </w:rPr>
      </w:pPr>
      <w:r>
        <w:rPr>
          <w:rFonts w:hint="cs"/>
          <w:rtl/>
        </w:rPr>
        <w:t>36-</w:t>
      </w:r>
      <w:r>
        <w:rPr>
          <w:rFonts w:hint="cs"/>
          <w:rtl/>
        </w:rPr>
        <w:tab/>
        <w:t>وقدَّرت الأمم المتحدة عدد الأوغنديين الذين كانوا يعيشون ويعملون خارج أوغندا عام</w:t>
      </w:r>
      <w:r w:rsidR="00F03BEA">
        <w:rPr>
          <w:rFonts w:hint="eastAsia"/>
          <w:rtl/>
        </w:rPr>
        <w:t> </w:t>
      </w:r>
      <w:r>
        <w:rPr>
          <w:rFonts w:hint="cs"/>
          <w:rtl/>
        </w:rPr>
        <w:t>2013 بحوالي 845 628، تمثل النساء 53 في المائة منهم. وقُدرت تحويلات العمال المهاجرين إلى الاقتصاد الوطني بحوالي 392 1 مليون دولار من دولار الولايات المتحدة في السنة المالية</w:t>
      </w:r>
      <w:r w:rsidR="00F03BEA">
        <w:rPr>
          <w:rFonts w:hint="cs"/>
          <w:rtl/>
        </w:rPr>
        <w:t xml:space="preserve"> </w:t>
      </w:r>
      <w:r>
        <w:rPr>
          <w:rFonts w:hint="cs"/>
          <w:rtl/>
        </w:rPr>
        <w:t xml:space="preserve">2012-2013، ما يشكل زيادة كبيرة تبلغ 215.5 في المائة مقارنةً بالسنة </w:t>
      </w:r>
      <w:r w:rsidRPr="009229EC">
        <w:rPr>
          <w:rFonts w:hint="cs"/>
          <w:spacing w:val="-2"/>
          <w:rtl/>
        </w:rPr>
        <w:t>المالية</w:t>
      </w:r>
      <w:r w:rsidR="00F03BEA" w:rsidRPr="009229EC">
        <w:rPr>
          <w:rFonts w:hint="eastAsia"/>
          <w:spacing w:val="-2"/>
          <w:rtl/>
        </w:rPr>
        <w:t> </w:t>
      </w:r>
      <w:r w:rsidRPr="009229EC">
        <w:rPr>
          <w:rFonts w:hint="cs"/>
          <w:spacing w:val="-2"/>
          <w:rtl/>
        </w:rPr>
        <w:t>2011-2012، التي بلغت فيها هذه التحويلات 646 مليون دولار. وتمثل التحويلات 4</w:t>
      </w:r>
      <w:r>
        <w:rPr>
          <w:rFonts w:hint="cs"/>
          <w:rtl/>
        </w:rPr>
        <w:t xml:space="preserve"> في المائة من الناتج المحلي الإجمالي للبلد. وبالإضافة إلى التحويلات، اكتسب المهاجرون مهارات وأساليب عمل وخبرات جديدة.</w:t>
      </w:r>
    </w:p>
    <w:p w:rsidR="00225595" w:rsidRPr="00F03BEA" w:rsidRDefault="001F3DE8" w:rsidP="001F3DE8">
      <w:pPr>
        <w:pStyle w:val="SingleTxtGA"/>
        <w:spacing w:after="240"/>
        <w:rPr>
          <w:b/>
          <w:bCs/>
        </w:rPr>
      </w:pPr>
      <w:r>
        <w:rPr>
          <w:rtl/>
        </w:rPr>
        <w:br w:type="page"/>
      </w:r>
      <w:r w:rsidR="00225595">
        <w:rPr>
          <w:rFonts w:hint="cs"/>
          <w:rtl/>
        </w:rPr>
        <w:lastRenderedPageBreak/>
        <w:t>الجدول 2</w:t>
      </w:r>
      <w:r w:rsidR="00225595">
        <w:rPr>
          <w:rFonts w:hint="cs"/>
          <w:rtl/>
        </w:rPr>
        <w:tab/>
      </w:r>
      <w:r w:rsidR="00225595">
        <w:rPr>
          <w:rFonts w:hint="cs"/>
          <w:rtl/>
        </w:rPr>
        <w:br/>
      </w:r>
      <w:r w:rsidR="00225595" w:rsidRPr="00F03BEA">
        <w:rPr>
          <w:rFonts w:hint="cs"/>
          <w:b/>
          <w:bCs/>
          <w:rtl/>
        </w:rPr>
        <w:t>توزيع السكان العاملين حسب القطاعات</w:t>
      </w:r>
    </w:p>
    <w:tbl>
      <w:tblPr>
        <w:bidiVisual/>
        <w:tblW w:w="7229"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5388"/>
        <w:gridCol w:w="1841"/>
      </w:tblGrid>
      <w:tr w:rsidR="00225595" w:rsidRPr="00A83958" w:rsidTr="001F3DE8">
        <w:trPr>
          <w:cantSplit/>
          <w:tblHeader/>
        </w:trPr>
        <w:tc>
          <w:tcPr>
            <w:tcW w:w="5388" w:type="dxa"/>
            <w:tcBorders>
              <w:top w:val="single" w:sz="4" w:space="0" w:color="auto"/>
              <w:bottom w:val="single" w:sz="12" w:space="0" w:color="auto"/>
            </w:tcBorders>
            <w:shd w:val="clear" w:color="auto" w:fill="auto"/>
            <w:vAlign w:val="bottom"/>
          </w:tcPr>
          <w:p w:rsidR="00225595" w:rsidRPr="00494C2B" w:rsidRDefault="00225595" w:rsidP="001F3DE8">
            <w:pPr>
              <w:keepNext/>
              <w:spacing w:before="80" w:after="80" w:line="200" w:lineRule="exact"/>
              <w:ind w:left="57"/>
              <w:rPr>
                <w:rFonts w:eastAsia="Times New Roman Bold"/>
                <w:iCs/>
                <w:sz w:val="26"/>
                <w:szCs w:val="26"/>
              </w:rPr>
            </w:pPr>
            <w:r w:rsidRPr="00494C2B">
              <w:rPr>
                <w:rFonts w:eastAsia="Times New Roman Bold" w:hint="cs"/>
                <w:iCs/>
                <w:sz w:val="26"/>
                <w:szCs w:val="26"/>
                <w:rtl/>
              </w:rPr>
              <w:t>قطاع السكان العاملين</w:t>
            </w:r>
          </w:p>
        </w:tc>
        <w:tc>
          <w:tcPr>
            <w:tcW w:w="1841" w:type="dxa"/>
            <w:tcBorders>
              <w:top w:val="single" w:sz="4" w:space="0" w:color="auto"/>
              <w:bottom w:val="single" w:sz="12" w:space="0" w:color="auto"/>
            </w:tcBorders>
            <w:shd w:val="clear" w:color="auto" w:fill="auto"/>
            <w:vAlign w:val="bottom"/>
          </w:tcPr>
          <w:p w:rsidR="00225595" w:rsidRPr="007044B3" w:rsidRDefault="00225595" w:rsidP="00C4241C">
            <w:pPr>
              <w:keepNext/>
              <w:spacing w:before="80" w:after="80" w:line="200" w:lineRule="exact"/>
              <w:ind w:left="57"/>
              <w:jc w:val="left"/>
              <w:rPr>
                <w:rFonts w:eastAsia="Times New Roman Bold"/>
                <w:iCs/>
                <w:sz w:val="26"/>
                <w:szCs w:val="26"/>
              </w:rPr>
            </w:pPr>
            <w:r w:rsidRPr="007044B3">
              <w:rPr>
                <w:rFonts w:eastAsia="Times New Roman Bold" w:hint="cs"/>
                <w:iCs/>
                <w:sz w:val="26"/>
                <w:szCs w:val="26"/>
                <w:rtl/>
              </w:rPr>
              <w:t>المجموع (بالنسبة المئوية)</w:t>
            </w:r>
          </w:p>
        </w:tc>
      </w:tr>
      <w:tr w:rsidR="00225595" w:rsidRPr="00A83958" w:rsidTr="001F3DE8">
        <w:trPr>
          <w:cantSplit/>
        </w:trPr>
        <w:tc>
          <w:tcPr>
            <w:tcW w:w="5388" w:type="dxa"/>
            <w:tcBorders>
              <w:top w:val="single" w:sz="12" w:space="0" w:color="auto"/>
            </w:tcBorders>
            <w:shd w:val="clear" w:color="auto" w:fill="auto"/>
          </w:tcPr>
          <w:p w:rsidR="00225595" w:rsidRPr="007044B3" w:rsidRDefault="00225595" w:rsidP="001F3DE8">
            <w:pPr>
              <w:keepNext/>
              <w:spacing w:before="80" w:after="80" w:line="200" w:lineRule="exact"/>
              <w:ind w:left="57"/>
              <w:rPr>
                <w:rFonts w:eastAsia="Times New Roman Bold"/>
                <w:i/>
                <w:sz w:val="26"/>
                <w:szCs w:val="26"/>
              </w:rPr>
            </w:pPr>
            <w:r>
              <w:rPr>
                <w:rFonts w:eastAsia="Times New Roman Bold" w:hint="cs"/>
                <w:i/>
                <w:sz w:val="26"/>
                <w:szCs w:val="26"/>
                <w:rtl/>
              </w:rPr>
              <w:t>الزراعة والغابات ومصائد الأسماك</w:t>
            </w:r>
          </w:p>
        </w:tc>
        <w:tc>
          <w:tcPr>
            <w:tcW w:w="1841" w:type="dxa"/>
            <w:tcBorders>
              <w:top w:val="single" w:sz="12" w:space="0" w:color="auto"/>
            </w:tcBorders>
            <w:shd w:val="clear" w:color="auto" w:fill="auto"/>
          </w:tcPr>
          <w:p w:rsidR="00225595" w:rsidRPr="007044B3" w:rsidRDefault="00225595" w:rsidP="001F3DE8">
            <w:pPr>
              <w:keepNext/>
              <w:spacing w:before="40" w:after="40" w:line="220" w:lineRule="exact"/>
              <w:jc w:val="both"/>
              <w:rPr>
                <w:rFonts w:eastAsia="Times New Roman Bold"/>
                <w:sz w:val="26"/>
                <w:szCs w:val="26"/>
              </w:rPr>
            </w:pPr>
            <w:r w:rsidRPr="007044B3">
              <w:rPr>
                <w:rFonts w:eastAsia="Times New Roman Bold"/>
                <w:sz w:val="26"/>
                <w:szCs w:val="26"/>
                <w:rtl/>
              </w:rPr>
              <w:t>٧١</w:t>
            </w:r>
            <w:r w:rsidRPr="007044B3">
              <w:rPr>
                <w:rFonts w:eastAsia="Times New Roman Bold" w:cs="Times New Roman" w:hint="cs"/>
                <w:sz w:val="26"/>
                <w:szCs w:val="26"/>
                <w:rtl/>
              </w:rPr>
              <w:t>٫</w:t>
            </w:r>
            <w:r w:rsidRPr="007044B3">
              <w:rPr>
                <w:rFonts w:eastAsia="Times New Roman Bold"/>
                <w:sz w:val="26"/>
                <w:szCs w:val="26"/>
                <w:rtl/>
              </w:rPr>
              <w:t>٩</w:t>
            </w:r>
          </w:p>
        </w:tc>
      </w:tr>
      <w:tr w:rsidR="00225595" w:rsidRPr="00A83958" w:rsidTr="001F3DE8">
        <w:trPr>
          <w:cantSplit/>
        </w:trPr>
        <w:tc>
          <w:tcPr>
            <w:tcW w:w="5388" w:type="dxa"/>
            <w:shd w:val="clear" w:color="auto" w:fill="auto"/>
          </w:tcPr>
          <w:p w:rsidR="00225595" w:rsidRPr="007044B3" w:rsidRDefault="00225595" w:rsidP="001F3DE8">
            <w:pPr>
              <w:keepNext/>
              <w:spacing w:before="80" w:after="80" w:line="200" w:lineRule="exact"/>
              <w:ind w:left="57"/>
              <w:rPr>
                <w:rFonts w:eastAsia="Times New Roman Bold"/>
                <w:i/>
                <w:sz w:val="26"/>
                <w:szCs w:val="26"/>
              </w:rPr>
            </w:pPr>
            <w:r>
              <w:rPr>
                <w:rFonts w:eastAsia="Times New Roman Bold" w:hint="cs"/>
                <w:i/>
                <w:sz w:val="26"/>
                <w:szCs w:val="26"/>
                <w:rtl/>
              </w:rPr>
              <w:t>الإنتاج</w:t>
            </w:r>
          </w:p>
        </w:tc>
        <w:tc>
          <w:tcPr>
            <w:tcW w:w="1841" w:type="dxa"/>
            <w:shd w:val="clear" w:color="auto" w:fill="auto"/>
          </w:tcPr>
          <w:p w:rsidR="00225595" w:rsidRPr="007044B3" w:rsidRDefault="00225595" w:rsidP="001F3DE8">
            <w:pPr>
              <w:spacing w:before="40" w:after="40" w:line="220" w:lineRule="exact"/>
              <w:jc w:val="both"/>
              <w:rPr>
                <w:rFonts w:eastAsia="Times New Roman Bold"/>
                <w:sz w:val="26"/>
                <w:szCs w:val="26"/>
              </w:rPr>
            </w:pPr>
            <w:r w:rsidRPr="007044B3">
              <w:rPr>
                <w:rFonts w:eastAsia="Times New Roman Bold"/>
                <w:sz w:val="26"/>
                <w:szCs w:val="26"/>
                <w:rtl/>
              </w:rPr>
              <w:t>٤</w:t>
            </w:r>
            <w:r w:rsidRPr="007044B3">
              <w:rPr>
                <w:rFonts w:eastAsia="Times New Roman Bold" w:cs="Times New Roman" w:hint="cs"/>
                <w:sz w:val="26"/>
                <w:szCs w:val="26"/>
                <w:rtl/>
              </w:rPr>
              <w:t>٫</w:t>
            </w:r>
            <w:r w:rsidRPr="007044B3">
              <w:rPr>
                <w:rFonts w:eastAsia="Times New Roman Bold"/>
                <w:sz w:val="26"/>
                <w:szCs w:val="26"/>
                <w:rtl/>
              </w:rPr>
              <w:t>٤</w:t>
            </w:r>
          </w:p>
        </w:tc>
      </w:tr>
      <w:tr w:rsidR="00225595" w:rsidRPr="00A83958" w:rsidTr="001F3DE8">
        <w:trPr>
          <w:cantSplit/>
        </w:trPr>
        <w:tc>
          <w:tcPr>
            <w:tcW w:w="5388" w:type="dxa"/>
            <w:shd w:val="clear" w:color="auto" w:fill="auto"/>
          </w:tcPr>
          <w:p w:rsidR="00225595" w:rsidRPr="007044B3" w:rsidRDefault="00225595" w:rsidP="001F3DE8">
            <w:pPr>
              <w:keepNext/>
              <w:spacing w:before="80" w:after="80" w:line="200" w:lineRule="exact"/>
              <w:ind w:left="57"/>
              <w:rPr>
                <w:rFonts w:eastAsia="Times New Roman Bold"/>
                <w:i/>
                <w:sz w:val="26"/>
                <w:szCs w:val="26"/>
              </w:rPr>
            </w:pPr>
            <w:r>
              <w:rPr>
                <w:rFonts w:eastAsia="Times New Roman Bold" w:hint="cs"/>
                <w:i/>
                <w:sz w:val="26"/>
                <w:szCs w:val="26"/>
                <w:rtl/>
              </w:rPr>
              <w:t>الصناعات التحويلية</w:t>
            </w:r>
          </w:p>
        </w:tc>
        <w:tc>
          <w:tcPr>
            <w:tcW w:w="1841" w:type="dxa"/>
            <w:shd w:val="clear" w:color="auto" w:fill="auto"/>
          </w:tcPr>
          <w:p w:rsidR="00225595" w:rsidRPr="007044B3" w:rsidRDefault="00225595" w:rsidP="001F3DE8">
            <w:pPr>
              <w:spacing w:before="40" w:after="40" w:line="220" w:lineRule="exact"/>
              <w:jc w:val="both"/>
              <w:rPr>
                <w:rFonts w:eastAsia="Times New Roman Bold"/>
                <w:sz w:val="26"/>
                <w:szCs w:val="26"/>
              </w:rPr>
            </w:pPr>
            <w:r w:rsidRPr="007044B3">
              <w:rPr>
                <w:rFonts w:eastAsia="Times New Roman Bold"/>
                <w:sz w:val="26"/>
                <w:szCs w:val="26"/>
                <w:rtl/>
              </w:rPr>
              <w:t>٤</w:t>
            </w:r>
            <w:r w:rsidRPr="007044B3">
              <w:rPr>
                <w:rFonts w:eastAsia="Times New Roman Bold" w:cs="Times New Roman" w:hint="cs"/>
                <w:sz w:val="26"/>
                <w:szCs w:val="26"/>
                <w:rtl/>
              </w:rPr>
              <w:t>٫</w:t>
            </w:r>
            <w:r w:rsidRPr="007044B3">
              <w:rPr>
                <w:rFonts w:eastAsia="Times New Roman Bold"/>
                <w:sz w:val="26"/>
                <w:szCs w:val="26"/>
                <w:rtl/>
              </w:rPr>
              <w:t>٤</w:t>
            </w:r>
          </w:p>
        </w:tc>
      </w:tr>
      <w:tr w:rsidR="00225595" w:rsidRPr="00A83958" w:rsidTr="001F3DE8">
        <w:trPr>
          <w:cantSplit/>
        </w:trPr>
        <w:tc>
          <w:tcPr>
            <w:tcW w:w="5388" w:type="dxa"/>
            <w:shd w:val="clear" w:color="auto" w:fill="auto"/>
          </w:tcPr>
          <w:p w:rsidR="00225595" w:rsidRPr="007044B3" w:rsidRDefault="00225595" w:rsidP="001F3DE8">
            <w:pPr>
              <w:keepNext/>
              <w:spacing w:before="80" w:after="80" w:line="200" w:lineRule="exact"/>
              <w:ind w:left="57"/>
              <w:rPr>
                <w:rFonts w:eastAsia="Times New Roman Bold"/>
                <w:i/>
                <w:sz w:val="26"/>
                <w:szCs w:val="26"/>
              </w:rPr>
            </w:pPr>
            <w:r>
              <w:rPr>
                <w:rFonts w:eastAsia="Times New Roman Bold" w:hint="cs"/>
                <w:i/>
                <w:sz w:val="26"/>
                <w:szCs w:val="26"/>
                <w:rtl/>
              </w:rPr>
              <w:t>الخدمات</w:t>
            </w:r>
          </w:p>
        </w:tc>
        <w:tc>
          <w:tcPr>
            <w:tcW w:w="1841" w:type="dxa"/>
            <w:shd w:val="clear" w:color="auto" w:fill="auto"/>
          </w:tcPr>
          <w:p w:rsidR="00225595" w:rsidRPr="007044B3" w:rsidRDefault="00225595" w:rsidP="001F3DE8">
            <w:pPr>
              <w:spacing w:before="40" w:after="40" w:line="220" w:lineRule="exact"/>
              <w:jc w:val="both"/>
              <w:rPr>
                <w:rFonts w:eastAsia="Times New Roman Bold"/>
                <w:sz w:val="26"/>
                <w:szCs w:val="26"/>
              </w:rPr>
            </w:pPr>
            <w:r w:rsidRPr="007044B3">
              <w:rPr>
                <w:rFonts w:eastAsia="Times New Roman Bold"/>
                <w:sz w:val="26"/>
                <w:szCs w:val="26"/>
                <w:rtl/>
              </w:rPr>
              <w:t>١٥</w:t>
            </w:r>
            <w:r w:rsidRPr="007044B3">
              <w:rPr>
                <w:rFonts w:eastAsia="Times New Roman Bold" w:cs="Times New Roman" w:hint="cs"/>
                <w:sz w:val="26"/>
                <w:szCs w:val="26"/>
                <w:rtl/>
              </w:rPr>
              <w:t>٫</w:t>
            </w:r>
            <w:r w:rsidRPr="007044B3">
              <w:rPr>
                <w:rFonts w:eastAsia="Times New Roman Bold"/>
                <w:sz w:val="26"/>
                <w:szCs w:val="26"/>
                <w:rtl/>
              </w:rPr>
              <w:t>٨</w:t>
            </w:r>
          </w:p>
        </w:tc>
      </w:tr>
      <w:tr w:rsidR="00225595" w:rsidRPr="00A83958" w:rsidTr="001F3DE8">
        <w:trPr>
          <w:cantSplit/>
        </w:trPr>
        <w:tc>
          <w:tcPr>
            <w:tcW w:w="5388" w:type="dxa"/>
            <w:shd w:val="clear" w:color="auto" w:fill="auto"/>
          </w:tcPr>
          <w:p w:rsidR="00225595" w:rsidRPr="007044B3" w:rsidRDefault="00225595" w:rsidP="001F3DE8">
            <w:pPr>
              <w:keepNext/>
              <w:spacing w:before="80" w:after="80" w:line="200" w:lineRule="exact"/>
              <w:ind w:left="57"/>
              <w:rPr>
                <w:rFonts w:eastAsia="Times New Roman Bold"/>
                <w:i/>
                <w:sz w:val="26"/>
                <w:szCs w:val="26"/>
              </w:rPr>
            </w:pPr>
            <w:r>
              <w:rPr>
                <w:rFonts w:eastAsia="Times New Roman Bold" w:hint="cs"/>
                <w:i/>
                <w:sz w:val="26"/>
                <w:szCs w:val="26"/>
                <w:rtl/>
              </w:rPr>
              <w:t>تجارة الجملة والتجزئة: إصلاح المركبات والدراجات النارية</w:t>
            </w:r>
          </w:p>
        </w:tc>
        <w:tc>
          <w:tcPr>
            <w:tcW w:w="1841" w:type="dxa"/>
            <w:shd w:val="clear" w:color="auto" w:fill="auto"/>
          </w:tcPr>
          <w:p w:rsidR="00225595" w:rsidRPr="007044B3" w:rsidRDefault="00225595" w:rsidP="001F3DE8">
            <w:pPr>
              <w:spacing w:before="40" w:after="40" w:line="220" w:lineRule="exact"/>
              <w:jc w:val="both"/>
              <w:rPr>
                <w:rFonts w:eastAsia="Times New Roman Bold"/>
                <w:sz w:val="26"/>
                <w:szCs w:val="26"/>
              </w:rPr>
            </w:pPr>
            <w:r w:rsidRPr="007044B3">
              <w:rPr>
                <w:rFonts w:eastAsia="Times New Roman Bold"/>
                <w:sz w:val="26"/>
                <w:szCs w:val="26"/>
                <w:rtl/>
              </w:rPr>
              <w:t>٩</w:t>
            </w:r>
            <w:r w:rsidRPr="007044B3">
              <w:rPr>
                <w:rFonts w:eastAsia="Times New Roman Bold" w:cs="Times New Roman" w:hint="cs"/>
                <w:sz w:val="26"/>
                <w:szCs w:val="26"/>
                <w:rtl/>
              </w:rPr>
              <w:t>٫</w:t>
            </w:r>
            <w:r w:rsidRPr="007044B3">
              <w:rPr>
                <w:rFonts w:eastAsia="Times New Roman Bold"/>
                <w:sz w:val="26"/>
                <w:szCs w:val="26"/>
                <w:rtl/>
              </w:rPr>
              <w:t>٥</w:t>
            </w:r>
          </w:p>
        </w:tc>
      </w:tr>
      <w:tr w:rsidR="00225595" w:rsidRPr="00A83958" w:rsidTr="001F3DE8">
        <w:trPr>
          <w:cantSplit/>
        </w:trPr>
        <w:tc>
          <w:tcPr>
            <w:tcW w:w="5388" w:type="dxa"/>
            <w:shd w:val="clear" w:color="auto" w:fill="auto"/>
          </w:tcPr>
          <w:p w:rsidR="00225595" w:rsidRPr="007044B3" w:rsidRDefault="00225595" w:rsidP="001F3DE8">
            <w:pPr>
              <w:keepNext/>
              <w:spacing w:before="80" w:after="80" w:line="200" w:lineRule="exact"/>
              <w:ind w:left="57"/>
              <w:rPr>
                <w:rFonts w:eastAsia="Times New Roman Bold"/>
                <w:i/>
                <w:sz w:val="26"/>
                <w:szCs w:val="26"/>
              </w:rPr>
            </w:pPr>
            <w:r>
              <w:rPr>
                <w:rFonts w:eastAsia="Times New Roman Bold" w:hint="cs"/>
                <w:i/>
                <w:sz w:val="26"/>
                <w:szCs w:val="26"/>
                <w:rtl/>
              </w:rPr>
              <w:t>التعليم</w:t>
            </w:r>
          </w:p>
        </w:tc>
        <w:tc>
          <w:tcPr>
            <w:tcW w:w="1841" w:type="dxa"/>
            <w:shd w:val="clear" w:color="auto" w:fill="auto"/>
          </w:tcPr>
          <w:p w:rsidR="00225595" w:rsidRPr="007044B3" w:rsidRDefault="00225595" w:rsidP="001F3DE8">
            <w:pPr>
              <w:spacing w:before="40" w:after="40" w:line="220" w:lineRule="exact"/>
              <w:jc w:val="both"/>
              <w:rPr>
                <w:rFonts w:eastAsia="Times New Roman Bold"/>
                <w:sz w:val="26"/>
                <w:szCs w:val="26"/>
              </w:rPr>
            </w:pPr>
            <w:r w:rsidRPr="007044B3">
              <w:rPr>
                <w:rFonts w:eastAsia="Times New Roman Bold"/>
                <w:sz w:val="26"/>
                <w:szCs w:val="26"/>
                <w:rtl/>
              </w:rPr>
              <w:t>٢</w:t>
            </w:r>
            <w:r w:rsidRPr="007044B3">
              <w:rPr>
                <w:rFonts w:eastAsia="Times New Roman Bold" w:cs="Times New Roman" w:hint="cs"/>
                <w:sz w:val="26"/>
                <w:szCs w:val="26"/>
                <w:rtl/>
              </w:rPr>
              <w:t>٫</w:t>
            </w:r>
            <w:r w:rsidRPr="007044B3">
              <w:rPr>
                <w:rFonts w:eastAsia="Times New Roman Bold"/>
                <w:sz w:val="26"/>
                <w:szCs w:val="26"/>
                <w:rtl/>
              </w:rPr>
              <w:t>٦</w:t>
            </w:r>
          </w:p>
        </w:tc>
      </w:tr>
      <w:tr w:rsidR="00225595" w:rsidRPr="00A83958" w:rsidTr="001F3DE8">
        <w:trPr>
          <w:cantSplit/>
        </w:trPr>
        <w:tc>
          <w:tcPr>
            <w:tcW w:w="5388" w:type="dxa"/>
            <w:shd w:val="clear" w:color="auto" w:fill="auto"/>
          </w:tcPr>
          <w:p w:rsidR="00225595" w:rsidRPr="00494C2B" w:rsidRDefault="00225595" w:rsidP="001F3DE8">
            <w:pPr>
              <w:keepNext/>
              <w:spacing w:before="80" w:after="80" w:line="200" w:lineRule="exact"/>
              <w:ind w:left="57"/>
              <w:rPr>
                <w:rFonts w:eastAsia="Times New Roman Bold"/>
                <w:i/>
                <w:sz w:val="26"/>
                <w:szCs w:val="26"/>
              </w:rPr>
            </w:pPr>
            <w:r>
              <w:rPr>
                <w:rFonts w:eastAsia="Times New Roman Bold" w:hint="cs"/>
                <w:i/>
                <w:sz w:val="26"/>
                <w:szCs w:val="26"/>
                <w:rtl/>
              </w:rPr>
              <w:t>النقل والتخزين والاتصالات</w:t>
            </w:r>
          </w:p>
        </w:tc>
        <w:tc>
          <w:tcPr>
            <w:tcW w:w="1841" w:type="dxa"/>
            <w:shd w:val="clear" w:color="auto" w:fill="auto"/>
          </w:tcPr>
          <w:p w:rsidR="00225595" w:rsidRPr="00A83958" w:rsidRDefault="00225595" w:rsidP="001F3DE8">
            <w:pPr>
              <w:spacing w:before="40" w:after="40" w:line="220" w:lineRule="exact"/>
              <w:jc w:val="left"/>
              <w:rPr>
                <w:rFonts w:eastAsia="Times New Roman Bold"/>
              </w:rPr>
            </w:pPr>
            <w:r w:rsidRPr="00A83958">
              <w:rPr>
                <w:rFonts w:eastAsia="Times New Roman Bold"/>
                <w:rtl/>
              </w:rPr>
              <w:t>٢</w:t>
            </w:r>
            <w:r w:rsidRPr="00A83958">
              <w:rPr>
                <w:rFonts w:eastAsia="Times New Roman Bold" w:cs="Times New Roman" w:hint="cs"/>
                <w:rtl/>
              </w:rPr>
              <w:t>٫</w:t>
            </w:r>
            <w:r w:rsidRPr="00A83958">
              <w:rPr>
                <w:rFonts w:eastAsia="Times New Roman Bold"/>
                <w:rtl/>
              </w:rPr>
              <w:t>٢</w:t>
            </w:r>
          </w:p>
        </w:tc>
      </w:tr>
      <w:tr w:rsidR="00225595" w:rsidRPr="00A83958" w:rsidTr="001F3DE8">
        <w:trPr>
          <w:cantSplit/>
        </w:trPr>
        <w:tc>
          <w:tcPr>
            <w:tcW w:w="5388" w:type="dxa"/>
            <w:shd w:val="clear" w:color="auto" w:fill="auto"/>
          </w:tcPr>
          <w:p w:rsidR="00225595" w:rsidRPr="00494C2B" w:rsidRDefault="00225595" w:rsidP="001F3DE8">
            <w:pPr>
              <w:keepNext/>
              <w:spacing w:before="80" w:after="80" w:line="200" w:lineRule="exact"/>
              <w:ind w:left="57"/>
              <w:rPr>
                <w:rFonts w:eastAsia="Times New Roman Bold"/>
                <w:i/>
                <w:sz w:val="26"/>
                <w:szCs w:val="26"/>
              </w:rPr>
            </w:pPr>
            <w:r>
              <w:rPr>
                <w:rFonts w:eastAsia="Times New Roman Bold" w:hint="cs"/>
                <w:i/>
                <w:sz w:val="26"/>
                <w:szCs w:val="26"/>
                <w:rtl/>
              </w:rPr>
              <w:t>الفنادق والمطاعم</w:t>
            </w:r>
          </w:p>
        </w:tc>
        <w:tc>
          <w:tcPr>
            <w:tcW w:w="1841" w:type="dxa"/>
            <w:shd w:val="clear" w:color="auto" w:fill="auto"/>
          </w:tcPr>
          <w:p w:rsidR="00225595" w:rsidRPr="00A83958" w:rsidRDefault="00225595" w:rsidP="001F3DE8">
            <w:pPr>
              <w:spacing w:before="40" w:after="40" w:line="220" w:lineRule="exact"/>
              <w:jc w:val="left"/>
              <w:rPr>
                <w:rFonts w:eastAsia="Times New Roman Bold"/>
              </w:rPr>
            </w:pPr>
            <w:r w:rsidRPr="00A83958">
              <w:rPr>
                <w:rFonts w:eastAsia="Times New Roman Bold"/>
                <w:rtl/>
              </w:rPr>
              <w:t>١</w:t>
            </w:r>
            <w:r w:rsidRPr="00A83958">
              <w:rPr>
                <w:rFonts w:eastAsia="Times New Roman Bold" w:cs="Times New Roman" w:hint="cs"/>
                <w:rtl/>
              </w:rPr>
              <w:t>٫</w:t>
            </w:r>
            <w:r w:rsidRPr="00A83958">
              <w:rPr>
                <w:rFonts w:eastAsia="Times New Roman Bold"/>
                <w:rtl/>
              </w:rPr>
              <w:t>٥</w:t>
            </w:r>
          </w:p>
        </w:tc>
      </w:tr>
      <w:tr w:rsidR="00225595" w:rsidRPr="00A83958" w:rsidTr="001F3DE8">
        <w:trPr>
          <w:cantSplit/>
        </w:trPr>
        <w:tc>
          <w:tcPr>
            <w:tcW w:w="5388" w:type="dxa"/>
            <w:tcBorders>
              <w:bottom w:val="single" w:sz="4" w:space="0" w:color="auto"/>
            </w:tcBorders>
            <w:shd w:val="clear" w:color="auto" w:fill="auto"/>
          </w:tcPr>
          <w:p w:rsidR="00225595" w:rsidRPr="00494C2B" w:rsidRDefault="00225595" w:rsidP="001F3DE8">
            <w:pPr>
              <w:keepNext/>
              <w:spacing w:before="80" w:after="80" w:line="200" w:lineRule="exact"/>
              <w:ind w:left="57"/>
              <w:rPr>
                <w:rFonts w:eastAsia="Times New Roman Bold"/>
                <w:i/>
                <w:sz w:val="26"/>
                <w:szCs w:val="26"/>
              </w:rPr>
            </w:pPr>
            <w:r>
              <w:rPr>
                <w:rFonts w:eastAsia="Times New Roman Bold" w:hint="cs"/>
                <w:i/>
                <w:sz w:val="26"/>
                <w:szCs w:val="26"/>
                <w:rtl/>
              </w:rPr>
              <w:t>القطاعات الأخرى</w:t>
            </w:r>
          </w:p>
        </w:tc>
        <w:tc>
          <w:tcPr>
            <w:tcW w:w="1841" w:type="dxa"/>
            <w:tcBorders>
              <w:bottom w:val="single" w:sz="4" w:space="0" w:color="auto"/>
            </w:tcBorders>
            <w:shd w:val="clear" w:color="auto" w:fill="auto"/>
          </w:tcPr>
          <w:p w:rsidR="00225595" w:rsidRPr="00A83958" w:rsidRDefault="00225595" w:rsidP="001F3DE8">
            <w:pPr>
              <w:keepNext/>
              <w:spacing w:before="40" w:after="40" w:line="220" w:lineRule="exact"/>
              <w:jc w:val="left"/>
              <w:rPr>
                <w:rFonts w:eastAsia="Times New Roman Bold"/>
              </w:rPr>
            </w:pPr>
            <w:r w:rsidRPr="00A83958">
              <w:rPr>
                <w:rFonts w:eastAsia="Times New Roman Bold"/>
                <w:rtl/>
              </w:rPr>
              <w:t>٧</w:t>
            </w:r>
            <w:r w:rsidRPr="00A83958">
              <w:rPr>
                <w:rFonts w:eastAsia="Times New Roman Bold" w:cs="Times New Roman" w:hint="cs"/>
                <w:rtl/>
              </w:rPr>
              <w:t>٫</w:t>
            </w:r>
            <w:r w:rsidRPr="00A83958">
              <w:rPr>
                <w:rFonts w:eastAsia="Times New Roman Bold"/>
                <w:rtl/>
              </w:rPr>
              <w:t>٨</w:t>
            </w:r>
          </w:p>
        </w:tc>
      </w:tr>
      <w:tr w:rsidR="00225595" w:rsidRPr="00A83958" w:rsidTr="001F3DE8">
        <w:trPr>
          <w:cantSplit/>
        </w:trPr>
        <w:tc>
          <w:tcPr>
            <w:tcW w:w="5388" w:type="dxa"/>
            <w:tcBorders>
              <w:top w:val="single" w:sz="4" w:space="0" w:color="auto"/>
              <w:bottom w:val="single" w:sz="12" w:space="0" w:color="auto"/>
            </w:tcBorders>
            <w:shd w:val="clear" w:color="auto" w:fill="auto"/>
          </w:tcPr>
          <w:p w:rsidR="00225595" w:rsidRPr="001F3DE8" w:rsidRDefault="00225595" w:rsidP="001F3DE8">
            <w:pPr>
              <w:keepNext/>
              <w:spacing w:before="80" w:after="80" w:line="220" w:lineRule="exact"/>
              <w:ind w:left="57" w:firstLine="284"/>
              <w:rPr>
                <w:rFonts w:eastAsia="Times New Roman Bold"/>
                <w:b/>
                <w:bCs/>
              </w:rPr>
            </w:pPr>
            <w:r w:rsidRPr="001F3DE8">
              <w:rPr>
                <w:rFonts w:eastAsia="Times New Roman Bold" w:hint="cs"/>
                <w:b/>
                <w:bCs/>
                <w:rtl/>
              </w:rPr>
              <w:tab/>
              <w:t>المجموع</w:t>
            </w:r>
          </w:p>
        </w:tc>
        <w:tc>
          <w:tcPr>
            <w:tcW w:w="1841" w:type="dxa"/>
            <w:tcBorders>
              <w:top w:val="single" w:sz="4" w:space="0" w:color="auto"/>
              <w:bottom w:val="single" w:sz="12" w:space="0" w:color="auto"/>
            </w:tcBorders>
            <w:shd w:val="clear" w:color="auto" w:fill="auto"/>
          </w:tcPr>
          <w:p w:rsidR="00225595" w:rsidRPr="00A83958" w:rsidRDefault="00225595" w:rsidP="001F3DE8">
            <w:pPr>
              <w:keepNext/>
              <w:spacing w:before="80" w:after="80" w:line="220" w:lineRule="exact"/>
              <w:jc w:val="left"/>
              <w:rPr>
                <w:rFonts w:eastAsia="Times New Roman Bold"/>
                <w:b/>
                <w:bCs/>
              </w:rPr>
            </w:pPr>
            <w:r w:rsidRPr="00A83958">
              <w:rPr>
                <w:rFonts w:eastAsia="Times New Roman Bold"/>
                <w:b/>
                <w:bCs/>
                <w:rtl/>
              </w:rPr>
              <w:t>١٠٠</w:t>
            </w:r>
          </w:p>
        </w:tc>
      </w:tr>
    </w:tbl>
    <w:p w:rsidR="00225595" w:rsidRPr="0002296F" w:rsidRDefault="00225595" w:rsidP="001F3DE8">
      <w:pPr>
        <w:pStyle w:val="SingleTxtGA"/>
        <w:spacing w:line="300" w:lineRule="exact"/>
        <w:ind w:left="1927" w:hanging="680"/>
        <w:rPr>
          <w:sz w:val="16"/>
          <w:szCs w:val="26"/>
          <w:rtl/>
        </w:rPr>
      </w:pPr>
      <w:r w:rsidRPr="00566BD9">
        <w:rPr>
          <w:rFonts w:hint="cs"/>
          <w:i/>
          <w:iCs/>
          <w:sz w:val="16"/>
          <w:szCs w:val="26"/>
          <w:rtl/>
        </w:rPr>
        <w:t>المصدر:</w:t>
      </w:r>
      <w:r w:rsidRPr="0002296F">
        <w:rPr>
          <w:rFonts w:hint="cs"/>
          <w:sz w:val="16"/>
          <w:szCs w:val="26"/>
          <w:rtl/>
        </w:rPr>
        <w:tab/>
        <w:t>الدراسات الاستقصائية الوطني</w:t>
      </w:r>
      <w:r>
        <w:rPr>
          <w:rFonts w:hint="cs"/>
          <w:sz w:val="16"/>
          <w:szCs w:val="26"/>
          <w:rtl/>
        </w:rPr>
        <w:t>ة</w:t>
      </w:r>
      <w:r w:rsidRPr="0002296F">
        <w:rPr>
          <w:rFonts w:hint="cs"/>
          <w:sz w:val="16"/>
          <w:szCs w:val="26"/>
          <w:rtl/>
        </w:rPr>
        <w:t xml:space="preserve"> الأوغندية للأسر المعيشية للسنوات 2002-2003،</w:t>
      </w:r>
      <w:r w:rsidR="00F61077">
        <w:rPr>
          <w:rFonts w:hint="cs"/>
          <w:sz w:val="16"/>
          <w:szCs w:val="26"/>
          <w:rtl/>
        </w:rPr>
        <w:t xml:space="preserve">        </w:t>
      </w:r>
      <w:r w:rsidRPr="0002296F">
        <w:rPr>
          <w:rFonts w:hint="cs"/>
          <w:sz w:val="16"/>
          <w:szCs w:val="26"/>
          <w:rtl/>
        </w:rPr>
        <w:t>و2005-2006، و2009-2010، و2012-2013</w:t>
      </w:r>
      <w:r>
        <w:rPr>
          <w:rFonts w:hint="cs"/>
          <w:i/>
          <w:iCs/>
          <w:sz w:val="16"/>
          <w:szCs w:val="26"/>
          <w:rtl/>
        </w:rPr>
        <w:t xml:space="preserve">، </w:t>
      </w:r>
      <w:r w:rsidRPr="00C4241C">
        <w:rPr>
          <w:rFonts w:hint="cs"/>
          <w:sz w:val="16"/>
          <w:szCs w:val="26"/>
          <w:rtl/>
        </w:rPr>
        <w:t>مكتب الإحصاءات الأوغندي</w:t>
      </w:r>
      <w:r>
        <w:rPr>
          <w:rFonts w:hint="cs"/>
          <w:i/>
          <w:iCs/>
          <w:sz w:val="16"/>
          <w:szCs w:val="26"/>
          <w:rtl/>
        </w:rPr>
        <w:t>.</w:t>
      </w:r>
    </w:p>
    <w:p w:rsidR="00225595" w:rsidRDefault="00225595" w:rsidP="00F61077">
      <w:pPr>
        <w:pStyle w:val="SingleTxtGA"/>
        <w:spacing w:line="370" w:lineRule="exact"/>
        <w:rPr>
          <w:rtl/>
        </w:rPr>
      </w:pPr>
      <w:r>
        <w:rPr>
          <w:rFonts w:hint="cs"/>
          <w:rtl/>
        </w:rPr>
        <w:t>37-</w:t>
      </w:r>
      <w:r>
        <w:rPr>
          <w:rFonts w:hint="cs"/>
          <w:rtl/>
        </w:rPr>
        <w:tab/>
      </w:r>
      <w:r>
        <w:rPr>
          <w:rFonts w:hint="cs"/>
          <w:b/>
          <w:bCs/>
          <w:rtl/>
        </w:rPr>
        <w:t xml:space="preserve">معدلات الفقر: </w:t>
      </w:r>
      <w:r>
        <w:rPr>
          <w:rFonts w:hint="cs"/>
          <w:rtl/>
        </w:rPr>
        <w:t>حققت أوغندا تقدماً كبيرا ًوملحوظاً في مكافحة الفقر والضعف.</w:t>
      </w:r>
      <w:r w:rsidR="00F61077">
        <w:rPr>
          <w:rFonts w:hint="eastAsia"/>
          <w:rtl/>
        </w:rPr>
        <w:t> </w:t>
      </w:r>
      <w:r>
        <w:rPr>
          <w:rFonts w:hint="cs"/>
          <w:rtl/>
        </w:rPr>
        <w:t>فقد تراجع المعدل الوطني للفقر من 56 في المائة عام 1992 إلى 19.7 في المائة عام 2012-2013. ومع ذلك، لم يتراجع الرقم المطلق للأشخاص الذين يعيشون تحت خط الفقر تراجعاً كبيراً نتيجة ارتفاع معدل النمو السكاني. وحتى تاريخه، لا يزال أكثر من 6.7 ملايين نسمة يعيشون في فقر كما أن 43 في المائة من السكان معرضون بشدة للوقوع بين براثن الفقر. وبالإضافة إلى ذلك، ثمة تفاوتات في نسب الفقر بين مختلف المناطق</w:t>
      </w:r>
      <w:r>
        <w:rPr>
          <w:vertAlign w:val="superscript"/>
          <w:rtl/>
        </w:rPr>
        <w:t>(</w:t>
      </w:r>
      <w:r>
        <w:rPr>
          <w:rStyle w:val="FootnoteReference"/>
          <w:rtl/>
        </w:rPr>
        <w:footnoteReference w:id="39"/>
      </w:r>
      <w:r>
        <w:rPr>
          <w:vertAlign w:val="superscript"/>
          <w:rtl/>
        </w:rPr>
        <w:t>)</w:t>
      </w:r>
      <w:r>
        <w:rPr>
          <w:rFonts w:hint="cs"/>
          <w:rtl/>
        </w:rPr>
        <w:t xml:space="preserve"> والفئات الاجتماعية فضلاً عن التفاوت بين المناطق الريفية والحضرية. وتتزايد أيضاً المخاطر وحالات الضعف الاجتماعي، وهما يرتبطان عموماً بالسمات الديمغرافية، كالسن ونوع الجنس والإعاقة والمخاطر التي يمكن التنبؤ بها، كالبطالة وإمكانية الحصول على الضمان الاجتماعي وسوء ظروف العمل والفقر والكوارث.</w:t>
      </w:r>
    </w:p>
    <w:p w:rsidR="00225595" w:rsidRDefault="00225595" w:rsidP="00F61077">
      <w:pPr>
        <w:pStyle w:val="SingleTxtGA"/>
        <w:spacing w:line="370" w:lineRule="exact"/>
        <w:rPr>
          <w:rtl/>
        </w:rPr>
      </w:pPr>
      <w:r>
        <w:rPr>
          <w:rFonts w:hint="cs"/>
          <w:rtl/>
        </w:rPr>
        <w:t>38-</w:t>
      </w:r>
      <w:r>
        <w:rPr>
          <w:rFonts w:hint="cs"/>
          <w:rtl/>
        </w:rPr>
        <w:tab/>
      </w:r>
      <w:r>
        <w:rPr>
          <w:rFonts w:hint="cs"/>
          <w:b/>
          <w:bCs/>
          <w:rtl/>
        </w:rPr>
        <w:t>ضعف الأطفال:</w:t>
      </w:r>
      <w:r>
        <w:rPr>
          <w:rFonts w:hint="cs"/>
          <w:rtl/>
        </w:rPr>
        <w:t xml:space="preserve"> يعيش 8.1 ملايين من أطفال أوغندا ظروفاً تتسم بالخطر أو الحرمان الشديد. فالأطفال الذين يتعرضون للاعتداء أو العنف أو الاستغلال أو لتخلي أسرهم عنهم أو يعانون من الإهمال الشديد (داخل أسرهم أو خارجها) يعانون أيضاً من تهديدات كبيرة لبقائهم ورفاههم ومن مخاطر شديدة تواجههم طوال حياتهم وتؤثر على التنمية البشرية والاجتماعية والاقتصادية. ورغم التراجع الكبير في نسب الأطفال الذين يعانون حالات ضعف على مر السنين، فإن عدد الأطفال الأوغنديين المعرضين لخطر الحرمان والاعتداء والعنف وغير ذلك من </w:t>
      </w:r>
      <w:r>
        <w:rPr>
          <w:rFonts w:hint="cs"/>
          <w:rtl/>
        </w:rPr>
        <w:lastRenderedPageBreak/>
        <w:t>الظروف الصعبة، لا يزال آخذاً في الارتفاع. ولسوء الحظ، يبدو أن الأسر الفقيرة تُنجب عدداً أكبر من الأطفال بسبب مجموعة من العوامل من بينها محدودية فرص وصول هذه الأسر إلى المعلومات وخدمات تنظيم الأسرة والرغبة العامة في إنجاب الكثير من الأطفال وشيوع معتقدات ثقافية مفادها أن كثرة الأبناء تعزز مكانة الأسرة.</w:t>
      </w:r>
    </w:p>
    <w:p w:rsidR="00225595" w:rsidRDefault="00225595" w:rsidP="00A646C8">
      <w:pPr>
        <w:pStyle w:val="SingleTxtGA"/>
        <w:spacing w:line="370" w:lineRule="exact"/>
        <w:rPr>
          <w:rtl/>
        </w:rPr>
      </w:pPr>
      <w:r>
        <w:rPr>
          <w:rFonts w:hint="cs"/>
          <w:rtl/>
        </w:rPr>
        <w:t>39-</w:t>
      </w:r>
      <w:r>
        <w:rPr>
          <w:rFonts w:hint="cs"/>
          <w:rtl/>
        </w:rPr>
        <w:tab/>
        <w:t>وفي المجمل، تبلغ نسبة الأطفال الذين يعانون حالات ضعف في الفئة العمرية صفر إلى</w:t>
      </w:r>
      <w:r w:rsidR="00A646C8">
        <w:rPr>
          <w:rFonts w:hint="eastAsia"/>
          <w:rtl/>
        </w:rPr>
        <w:t> </w:t>
      </w:r>
      <w:r>
        <w:rPr>
          <w:rFonts w:hint="cs"/>
          <w:rtl/>
        </w:rPr>
        <w:t>17 عاماً 38 في المائة، بمجموع قدره 6.4 ملايين طفل وفقا لتقرير الدراسة الاستقصائية الصحية الوطنية</w:t>
      </w:r>
      <w:r w:rsidR="00C43876">
        <w:rPr>
          <w:rFonts w:hint="cs"/>
          <w:rtl/>
        </w:rPr>
        <w:t xml:space="preserve"> </w:t>
      </w:r>
      <w:r>
        <w:rPr>
          <w:rFonts w:hint="cs"/>
          <w:rtl/>
        </w:rPr>
        <w:t>للفترة 2009-2010. ويعاني 8 في المائة من الأطفال الأوغنديين من حالات ضعف شديدة، و43 في المائة</w:t>
      </w:r>
      <w:r w:rsidR="00C43876">
        <w:rPr>
          <w:rFonts w:hint="cs"/>
          <w:rtl/>
        </w:rPr>
        <w:t xml:space="preserve"> </w:t>
      </w:r>
      <w:r>
        <w:rPr>
          <w:rFonts w:hint="cs"/>
          <w:rtl/>
        </w:rPr>
        <w:t xml:space="preserve">من حالات ضعف متوسطة، فيما يعاني 55 في المائة من الأطفال دون سن الخامسة من فقر الأطفال. وتسجل منطقتا </w:t>
      </w:r>
      <w:proofErr w:type="spellStart"/>
      <w:r>
        <w:rPr>
          <w:rFonts w:hint="cs"/>
          <w:rtl/>
        </w:rPr>
        <w:t>كاراموجا</w:t>
      </w:r>
      <w:proofErr w:type="spellEnd"/>
      <w:r>
        <w:rPr>
          <w:rFonts w:hint="cs"/>
          <w:rtl/>
        </w:rPr>
        <w:t xml:space="preserve"> والنيل الغربي أعلى نسب الأطفال الذين يعانون من أشكال متعددة من فقر الأطفال (68 في المائة). ويوجد في أوغندا حالياً 2.43 مليون طفل يتيم، بينما يعمل أكثر من 1.7 مليون طفل تقل أعمارهم عن الرابعة عشرة (95.5 في المائة منهم يعملون في الزراعة)، ويعيش أكثر من 2.1 مليون طفل مع أشخاص أكبر سناً منهم وتُهتك أعراض 500 22 طفل كل سنة. ويمثل سوء التغذية وفيروس نقص المناعة البشرية والإيدز واليُتم والاعتداء على الأطفال والإهمال والعنف ومحدودية قدرة الأسرة والمجتمع المحلي جزءا</w:t>
      </w:r>
      <w:r w:rsidR="00C4241C">
        <w:rPr>
          <w:rFonts w:hint="cs"/>
          <w:rtl/>
        </w:rPr>
        <w:t>ً</w:t>
      </w:r>
      <w:r>
        <w:rPr>
          <w:rFonts w:hint="cs"/>
          <w:rtl/>
        </w:rPr>
        <w:t xml:space="preserve"> من أسباب تعرض الأطفال لحالات الضعف.</w:t>
      </w:r>
    </w:p>
    <w:p w:rsidR="00225595" w:rsidRPr="00F61077" w:rsidRDefault="00225595" w:rsidP="00A646C8">
      <w:pPr>
        <w:pStyle w:val="SingleTxtGA"/>
        <w:spacing w:line="370" w:lineRule="exact"/>
        <w:rPr>
          <w:spacing w:val="-2"/>
          <w:rtl/>
        </w:rPr>
      </w:pPr>
      <w:r w:rsidRPr="00F61077">
        <w:rPr>
          <w:rFonts w:hint="cs"/>
          <w:spacing w:val="-2"/>
          <w:rtl/>
        </w:rPr>
        <w:t>40-</w:t>
      </w:r>
      <w:r w:rsidRPr="00F61077">
        <w:rPr>
          <w:rFonts w:hint="cs"/>
          <w:spacing w:val="-2"/>
          <w:rtl/>
        </w:rPr>
        <w:tab/>
      </w:r>
      <w:r w:rsidRPr="00F61077">
        <w:rPr>
          <w:rFonts w:hint="cs"/>
          <w:b/>
          <w:bCs/>
          <w:spacing w:val="-2"/>
          <w:rtl/>
        </w:rPr>
        <w:t>المؤشرات المتعلقة بالجريمة وإقامة العدل:</w:t>
      </w:r>
      <w:r w:rsidRPr="00F61077">
        <w:rPr>
          <w:rFonts w:hint="cs"/>
          <w:spacing w:val="-2"/>
          <w:rtl/>
        </w:rPr>
        <w:t xml:space="preserve"> يزداد عدد الجرائم الخطيرة في أوغندا. فبين عامي 2012 و2013 زاد عدد الجرائم الخطيرة زيادة كبيرة (القتل بدون سابق إصرار، والسلب </w:t>
      </w:r>
      <w:r w:rsidRPr="00F61077">
        <w:rPr>
          <w:rFonts w:hint="cs"/>
          <w:spacing w:val="-5"/>
          <w:rtl/>
        </w:rPr>
        <w:t xml:space="preserve">المقترن بظروف مشددة، وهتك العرض، والقتل العمد، والاغتصاب، والسطو على المنازل، واختطاف الأطفال، </w:t>
      </w:r>
      <w:proofErr w:type="spellStart"/>
      <w:r w:rsidRPr="00F61077">
        <w:rPr>
          <w:rFonts w:hint="cs"/>
          <w:spacing w:val="-5"/>
          <w:rtl/>
        </w:rPr>
        <w:t>والاتجار</w:t>
      </w:r>
      <w:proofErr w:type="spellEnd"/>
      <w:r w:rsidRPr="00F61077">
        <w:rPr>
          <w:rFonts w:hint="cs"/>
          <w:spacing w:val="-5"/>
          <w:rtl/>
        </w:rPr>
        <w:t xml:space="preserve"> بالأطفال) بنسبة 16 في المائة</w:t>
      </w:r>
      <w:r w:rsidRPr="00F61077">
        <w:rPr>
          <w:spacing w:val="-5"/>
          <w:vertAlign w:val="superscript"/>
          <w:rtl/>
        </w:rPr>
        <w:t>(</w:t>
      </w:r>
      <w:r w:rsidRPr="00F61077">
        <w:rPr>
          <w:rStyle w:val="FootnoteReference"/>
          <w:spacing w:val="-5"/>
          <w:rtl/>
        </w:rPr>
        <w:footnoteReference w:id="40"/>
      </w:r>
      <w:r w:rsidRPr="00F61077">
        <w:rPr>
          <w:spacing w:val="-5"/>
          <w:vertAlign w:val="superscript"/>
          <w:rtl/>
        </w:rPr>
        <w:t>)</w:t>
      </w:r>
      <w:r w:rsidRPr="00F61077">
        <w:rPr>
          <w:rFonts w:hint="cs"/>
          <w:spacing w:val="-5"/>
          <w:rtl/>
        </w:rPr>
        <w:t>. ونتيجة لذلك زاد معدل الإيداع في السجن من</w:t>
      </w:r>
      <w:r w:rsidR="00F61077">
        <w:rPr>
          <w:rFonts w:hint="eastAsia"/>
          <w:spacing w:val="-5"/>
          <w:rtl/>
        </w:rPr>
        <w:t> </w:t>
      </w:r>
      <w:r w:rsidRPr="00F61077">
        <w:rPr>
          <w:rFonts w:hint="cs"/>
          <w:spacing w:val="-5"/>
          <w:rtl/>
        </w:rPr>
        <w:t>94 سجيناً لكل 000 100 شخص عام 2010 إلى 109 سجناء لكل 000 100</w:t>
      </w:r>
      <w:r w:rsidRPr="00F61077">
        <w:rPr>
          <w:rFonts w:hint="cs"/>
          <w:spacing w:val="-2"/>
          <w:rtl/>
        </w:rPr>
        <w:t xml:space="preserve"> شخص عام 2013</w:t>
      </w:r>
      <w:r w:rsidRPr="00F61077">
        <w:rPr>
          <w:spacing w:val="-2"/>
          <w:vertAlign w:val="superscript"/>
          <w:rtl/>
        </w:rPr>
        <w:t>(</w:t>
      </w:r>
      <w:r w:rsidRPr="00F61077">
        <w:rPr>
          <w:rStyle w:val="FootnoteReference"/>
          <w:spacing w:val="-2"/>
          <w:rtl/>
        </w:rPr>
        <w:footnoteReference w:id="41"/>
      </w:r>
      <w:r w:rsidRPr="00F61077">
        <w:rPr>
          <w:spacing w:val="-2"/>
          <w:vertAlign w:val="superscript"/>
          <w:rtl/>
        </w:rPr>
        <w:t>)</w:t>
      </w:r>
      <w:r w:rsidRPr="00F61077">
        <w:rPr>
          <w:rFonts w:hint="cs"/>
          <w:spacing w:val="-2"/>
          <w:rtl/>
        </w:rPr>
        <w:t>. وزاد عدد نزلاء السجون بنسبة 12.5 في المائة؛ فيما شكل المحتجزون رهن المحاكمة 56 في المائة من السجناء</w:t>
      </w:r>
      <w:r w:rsidRPr="00F61077">
        <w:rPr>
          <w:spacing w:val="-2"/>
          <w:vertAlign w:val="superscript"/>
          <w:rtl/>
        </w:rPr>
        <w:t>(</w:t>
      </w:r>
      <w:r w:rsidRPr="00F61077">
        <w:rPr>
          <w:rStyle w:val="FootnoteReference"/>
          <w:spacing w:val="-2"/>
          <w:rtl/>
        </w:rPr>
        <w:footnoteReference w:id="42"/>
      </w:r>
      <w:r w:rsidRPr="00F61077">
        <w:rPr>
          <w:spacing w:val="-2"/>
          <w:vertAlign w:val="superscript"/>
          <w:rtl/>
        </w:rPr>
        <w:t>)</w:t>
      </w:r>
      <w:r w:rsidRPr="00F61077">
        <w:rPr>
          <w:rFonts w:hint="cs"/>
          <w:spacing w:val="-2"/>
          <w:rtl/>
        </w:rPr>
        <w:t>. ولسوء الحظ أدى ذلك إلى زيادة اكتظاظ السجون فبات الحيز المخصص لسجين واحد يشغله ثلاثة سجناء في عام 2013</w:t>
      </w:r>
      <w:r w:rsidRPr="00F61077">
        <w:rPr>
          <w:spacing w:val="-2"/>
          <w:vertAlign w:val="superscript"/>
          <w:rtl/>
        </w:rPr>
        <w:t>(</w:t>
      </w:r>
      <w:r w:rsidRPr="00F61077">
        <w:rPr>
          <w:rStyle w:val="FootnoteReference"/>
          <w:spacing w:val="-2"/>
          <w:rtl/>
        </w:rPr>
        <w:footnoteReference w:id="43"/>
      </w:r>
      <w:r w:rsidRPr="00F61077">
        <w:rPr>
          <w:spacing w:val="-2"/>
          <w:vertAlign w:val="superscript"/>
          <w:rtl/>
        </w:rPr>
        <w:t>)</w:t>
      </w:r>
      <w:r w:rsidRPr="00F61077">
        <w:rPr>
          <w:rFonts w:hint="cs"/>
          <w:spacing w:val="-2"/>
          <w:rtl/>
        </w:rPr>
        <w:t>. وسجلت المنطقة الغربية أعلى عدد من الوفيات في السجن بنسبة 33 في المائة</w:t>
      </w:r>
      <w:r w:rsidRPr="00F61077">
        <w:rPr>
          <w:spacing w:val="-2"/>
          <w:vertAlign w:val="superscript"/>
          <w:rtl/>
        </w:rPr>
        <w:t>(</w:t>
      </w:r>
      <w:r w:rsidRPr="00F61077">
        <w:rPr>
          <w:rStyle w:val="FootnoteReference"/>
          <w:spacing w:val="-2"/>
          <w:rtl/>
        </w:rPr>
        <w:footnoteReference w:id="44"/>
      </w:r>
      <w:r w:rsidRPr="00F61077">
        <w:rPr>
          <w:spacing w:val="-2"/>
          <w:vertAlign w:val="superscript"/>
          <w:rtl/>
        </w:rPr>
        <w:t>)</w:t>
      </w:r>
      <w:r w:rsidRPr="00F61077">
        <w:rPr>
          <w:rFonts w:hint="cs"/>
          <w:spacing w:val="-2"/>
          <w:rtl/>
        </w:rPr>
        <w:t>.</w:t>
      </w:r>
    </w:p>
    <w:p w:rsidR="00225595" w:rsidRDefault="00225595" w:rsidP="00A646C8">
      <w:pPr>
        <w:pStyle w:val="SingleTxtGA"/>
        <w:spacing w:line="370" w:lineRule="exact"/>
        <w:rPr>
          <w:rtl/>
        </w:rPr>
      </w:pPr>
      <w:r>
        <w:rPr>
          <w:rFonts w:hint="cs"/>
          <w:rtl/>
        </w:rPr>
        <w:t>41-</w:t>
      </w:r>
      <w:r>
        <w:rPr>
          <w:rFonts w:hint="cs"/>
          <w:rtl/>
        </w:rPr>
        <w:tab/>
        <w:t>وزاد عدد المحاكمات عام 2013 مقارنةً بعام 2012 رغم تراجع عدد الجرائم المبلَّغ عنها</w:t>
      </w:r>
      <w:r>
        <w:rPr>
          <w:vertAlign w:val="superscript"/>
          <w:rtl/>
        </w:rPr>
        <w:t>(</w:t>
      </w:r>
      <w:r>
        <w:rPr>
          <w:rStyle w:val="FootnoteReference"/>
          <w:rtl/>
        </w:rPr>
        <w:footnoteReference w:id="45"/>
      </w:r>
      <w:r>
        <w:rPr>
          <w:vertAlign w:val="superscript"/>
          <w:rtl/>
        </w:rPr>
        <w:t>)</w:t>
      </w:r>
      <w:r>
        <w:rPr>
          <w:rFonts w:hint="cs"/>
          <w:rtl/>
        </w:rPr>
        <w:t>. ورغم تراجع عدد الحالات المبلغ عنها من 000 254 عام 2012 إلى 000 251 عام 2013، فإن عدد القضايا التي جرت بشأنها محاكمات زاد من 000 48 إلى 000 51.</w:t>
      </w:r>
    </w:p>
    <w:p w:rsidR="00225595" w:rsidRDefault="00225595" w:rsidP="00A646C8">
      <w:pPr>
        <w:pStyle w:val="SingleTxtGA"/>
        <w:spacing w:line="370" w:lineRule="exact"/>
        <w:rPr>
          <w:rtl/>
        </w:rPr>
      </w:pPr>
      <w:r>
        <w:rPr>
          <w:rFonts w:hint="cs"/>
          <w:rtl/>
        </w:rPr>
        <w:lastRenderedPageBreak/>
        <w:t>42-</w:t>
      </w:r>
      <w:r>
        <w:rPr>
          <w:rFonts w:hint="cs"/>
          <w:rtl/>
        </w:rPr>
        <w:tab/>
        <w:t>لكن ثمة مجالات لا تزال تطرح تحديات وهي تفشي خرق العقود، وظروف العمل غير الآمنة، والتحرش الجنسي، وحوادث العمل، والإصابات المرتبطة بالعمل. وفي المتوسط، يُبلَّغ كل سنة عن ألفي حادث مرتبط بالعمل. وقلة من أرباب العمل توفر بيئة عمل آمنة وصحية من أجل ظروف عمل لائقة. وثمة نقص في الوعي وفي جهود التوعية المتعلقة بمعايير السلامة والصحة المهنيتين، إضافة إلى محدودية عدد الموظفين ونقص الجانب اللوجستي والبطء في إنفاذ التشريعات. وعلاوة على ذلك، تتزايد الأمراض المهنية أيضاً. ويسهم ذلك في خفض الإنتاجية والتعرض للإعاقة وإلى خسائر في الأرواح. وتشيع في أوغندا الحوادث في مواقع البناء والمعامل وقطاعي الأمن والنقل، والقطاع الفرعي الزراعي التجاري.</w:t>
      </w:r>
    </w:p>
    <w:p w:rsidR="00225595" w:rsidRDefault="00225595" w:rsidP="00503148">
      <w:pPr>
        <w:pStyle w:val="HChGA"/>
        <w:rPr>
          <w:rtl/>
        </w:rPr>
      </w:pPr>
      <w:r>
        <w:rPr>
          <w:rFonts w:hint="cs"/>
          <w:rtl/>
        </w:rPr>
        <w:tab/>
      </w:r>
      <w:bookmarkStart w:id="5" w:name="_Toc421870479"/>
      <w:r>
        <w:rPr>
          <w:rFonts w:hint="cs"/>
          <w:rtl/>
        </w:rPr>
        <w:t>ثانياً-</w:t>
      </w:r>
      <w:r>
        <w:rPr>
          <w:rFonts w:hint="cs"/>
          <w:rtl/>
        </w:rPr>
        <w:tab/>
        <w:t>الهيكل القانوني والسياسي للدولة</w:t>
      </w:r>
      <w:bookmarkEnd w:id="5"/>
    </w:p>
    <w:p w:rsidR="00225595" w:rsidRDefault="00225595" w:rsidP="00A646C8">
      <w:pPr>
        <w:pStyle w:val="SingleTxtGA"/>
        <w:spacing w:line="370" w:lineRule="exact"/>
        <w:rPr>
          <w:rtl/>
        </w:rPr>
      </w:pPr>
      <w:r>
        <w:rPr>
          <w:rFonts w:hint="cs"/>
          <w:rtl/>
        </w:rPr>
        <w:t>43-</w:t>
      </w:r>
      <w:r>
        <w:rPr>
          <w:rFonts w:hint="cs"/>
          <w:rtl/>
        </w:rPr>
        <w:tab/>
        <w:t>إن دستور جمهورية أوغندا لعام 1995 هو القانون الأسمى في أوغندا</w:t>
      </w:r>
      <w:r>
        <w:rPr>
          <w:vertAlign w:val="superscript"/>
          <w:rtl/>
        </w:rPr>
        <w:t>(</w:t>
      </w:r>
      <w:r>
        <w:rPr>
          <w:rStyle w:val="FootnoteReference"/>
          <w:rtl/>
        </w:rPr>
        <w:footnoteReference w:id="46"/>
      </w:r>
      <w:r>
        <w:rPr>
          <w:vertAlign w:val="superscript"/>
          <w:rtl/>
        </w:rPr>
        <w:t>)</w:t>
      </w:r>
      <w:r>
        <w:rPr>
          <w:rFonts w:hint="cs"/>
          <w:rtl/>
        </w:rPr>
        <w:t>. وهو ينص على اعتماد ديمقراطية تعددية يتمتع فيها الرئيس المنتخب بصلاحيات تنفيذية</w:t>
      </w:r>
      <w:r>
        <w:rPr>
          <w:vertAlign w:val="superscript"/>
          <w:rtl/>
        </w:rPr>
        <w:t>(</w:t>
      </w:r>
      <w:r>
        <w:rPr>
          <w:rStyle w:val="FootnoteReference"/>
          <w:rtl/>
        </w:rPr>
        <w:footnoteReference w:id="47"/>
      </w:r>
      <w:r>
        <w:rPr>
          <w:vertAlign w:val="superscript"/>
          <w:rtl/>
        </w:rPr>
        <w:t>)</w:t>
      </w:r>
      <w:r>
        <w:rPr>
          <w:rFonts w:hint="cs"/>
          <w:rtl/>
        </w:rPr>
        <w:t>.كما ينص الدستور على أن السلطتين التشريعية والقضائية، الذراعين الآخرين للحكومة، معنيتان بتحقيق التوازن وإتاحة مراقبة الذراع التنفيذي للحكم</w:t>
      </w:r>
      <w:r>
        <w:rPr>
          <w:vertAlign w:val="superscript"/>
          <w:rtl/>
        </w:rPr>
        <w:t>(</w:t>
      </w:r>
      <w:r>
        <w:rPr>
          <w:rStyle w:val="FootnoteReference"/>
          <w:rtl/>
        </w:rPr>
        <w:footnoteReference w:id="48"/>
      </w:r>
      <w:r>
        <w:rPr>
          <w:vertAlign w:val="superscript"/>
          <w:rtl/>
        </w:rPr>
        <w:t>)</w:t>
      </w:r>
      <w:r>
        <w:rPr>
          <w:rFonts w:hint="cs"/>
          <w:rtl/>
        </w:rPr>
        <w:t>. وتتكون السلطة التنفيذية أيضاً من مجلس وزراء يعينه الرئيس بموافقة البرلمان</w:t>
      </w:r>
      <w:r>
        <w:rPr>
          <w:vertAlign w:val="superscript"/>
          <w:rtl/>
        </w:rPr>
        <w:t>(</w:t>
      </w:r>
      <w:r>
        <w:rPr>
          <w:rStyle w:val="FootnoteReference"/>
          <w:rtl/>
        </w:rPr>
        <w:footnoteReference w:id="49"/>
      </w:r>
      <w:r>
        <w:rPr>
          <w:vertAlign w:val="superscript"/>
          <w:rtl/>
        </w:rPr>
        <w:t>)</w:t>
      </w:r>
      <w:r>
        <w:rPr>
          <w:rFonts w:hint="cs"/>
          <w:rtl/>
        </w:rPr>
        <w:t>. ويساعد وزراء الدولة الذين يوافق عليهم البرلمان أيضاً في المهام التنفيذية المتمثلة في تحديد سياسات الحكومة وصوغها وتنفيذها</w:t>
      </w:r>
      <w:r>
        <w:rPr>
          <w:vertAlign w:val="superscript"/>
          <w:rtl/>
        </w:rPr>
        <w:t>(</w:t>
      </w:r>
      <w:r>
        <w:rPr>
          <w:rStyle w:val="FootnoteReference"/>
          <w:rtl/>
        </w:rPr>
        <w:footnoteReference w:id="50"/>
      </w:r>
      <w:r>
        <w:rPr>
          <w:vertAlign w:val="superscript"/>
          <w:rtl/>
        </w:rPr>
        <w:t>)</w:t>
      </w:r>
      <w:r>
        <w:rPr>
          <w:rFonts w:hint="cs"/>
          <w:rtl/>
        </w:rPr>
        <w:t>. وتنقسم أوغندا إلى</w:t>
      </w:r>
      <w:r w:rsidR="00321C43">
        <w:rPr>
          <w:rFonts w:hint="eastAsia"/>
          <w:rtl/>
        </w:rPr>
        <w:t> </w:t>
      </w:r>
      <w:r>
        <w:rPr>
          <w:rFonts w:hint="cs"/>
          <w:rtl/>
        </w:rPr>
        <w:t>111 مقاطعة إضافة إلى العاصمة كمبالا التي تُدار بوصفها وحدة إدارية أيضاً. وتُقسم المقاطعات إلى 382 1 إقليماً فرعياً تشكل المستوى الأول من هيكل الحكم المحلي يضم كل منها مجلساً يُعنى بالتخطيط وتخصيص الأموال للبرامج الحكومية. وعلى المستوى الأدنى، لدينا في</w:t>
      </w:r>
      <w:r w:rsidR="00A646C8">
        <w:rPr>
          <w:rFonts w:hint="eastAsia"/>
          <w:rtl/>
        </w:rPr>
        <w:t> </w:t>
      </w:r>
      <w:r>
        <w:rPr>
          <w:rFonts w:hint="cs"/>
          <w:rtl/>
        </w:rPr>
        <w:t>أوغندا مجالس محلية من المستويين الأول والثاني يترأسها قادة مُنتخبون يساعدون الحكومة في</w:t>
      </w:r>
      <w:r w:rsidR="00A646C8">
        <w:rPr>
          <w:rFonts w:hint="eastAsia"/>
          <w:rtl/>
        </w:rPr>
        <w:t> </w:t>
      </w:r>
      <w:r>
        <w:rPr>
          <w:rFonts w:hint="cs"/>
          <w:rtl/>
        </w:rPr>
        <w:t xml:space="preserve">الترويج لبرامجها وتعبئة السكان للمشاركة في عمليات </w:t>
      </w:r>
      <w:proofErr w:type="spellStart"/>
      <w:r>
        <w:rPr>
          <w:rFonts w:hint="cs"/>
          <w:rtl/>
        </w:rPr>
        <w:t>الحوكمة</w:t>
      </w:r>
      <w:proofErr w:type="spellEnd"/>
      <w:r>
        <w:rPr>
          <w:rFonts w:hint="cs"/>
          <w:rtl/>
        </w:rPr>
        <w:t xml:space="preserve"> والتنمية.</w:t>
      </w:r>
    </w:p>
    <w:p w:rsidR="00225595" w:rsidRDefault="00225595" w:rsidP="00A646C8">
      <w:pPr>
        <w:pStyle w:val="SingleTxtGA"/>
        <w:spacing w:line="370" w:lineRule="exact"/>
        <w:rPr>
          <w:rtl/>
        </w:rPr>
      </w:pPr>
      <w:r>
        <w:rPr>
          <w:rFonts w:hint="cs"/>
          <w:rtl/>
        </w:rPr>
        <w:t>44-</w:t>
      </w:r>
      <w:r>
        <w:rPr>
          <w:rFonts w:hint="cs"/>
          <w:rtl/>
        </w:rPr>
        <w:tab/>
        <w:t>وسنت أوغندا دستوراً جديداً عام 1995 أُجريت على أساسه الانتخابات العامة الأربع الماضية (الانتخابات الرئاسية والبرلمانية وانتخابات الحكومات المحلية)، وعُقدت الدورتان الانتخابيتان الأخيرتان عامي 2006 و2011 وفقاً لنظام الحكم التعددي الذي اعتمد من بعد إجراء تعديلات دستورية عام 2005</w:t>
      </w:r>
      <w:r>
        <w:rPr>
          <w:vertAlign w:val="superscript"/>
          <w:rtl/>
        </w:rPr>
        <w:t>(</w:t>
      </w:r>
      <w:r>
        <w:rPr>
          <w:rStyle w:val="FootnoteReference"/>
          <w:rtl/>
        </w:rPr>
        <w:footnoteReference w:id="51"/>
      </w:r>
      <w:r>
        <w:rPr>
          <w:vertAlign w:val="superscript"/>
          <w:rtl/>
        </w:rPr>
        <w:t>)</w:t>
      </w:r>
      <w:r>
        <w:rPr>
          <w:rFonts w:hint="cs"/>
          <w:rtl/>
        </w:rPr>
        <w:t xml:space="preserve">. وتتكون السلطة التشريعية من أعضاء البرلمان الذين </w:t>
      </w:r>
      <w:r>
        <w:rPr>
          <w:rFonts w:hint="cs"/>
          <w:rtl/>
        </w:rPr>
        <w:lastRenderedPageBreak/>
        <w:t>ينتخبهم الشعب في اقتراع مباشر أو ينتخبون/يعينون كممثلين لجماعات اهتمامات خاصة بينها النساء، والأشخاص ذوو الإعاقة، والعمال، والشباب، والجيش</w:t>
      </w:r>
      <w:r>
        <w:rPr>
          <w:vertAlign w:val="superscript"/>
          <w:rtl/>
        </w:rPr>
        <w:t>(</w:t>
      </w:r>
      <w:r>
        <w:rPr>
          <w:rStyle w:val="FootnoteReference"/>
          <w:rtl/>
        </w:rPr>
        <w:footnoteReference w:id="52"/>
      </w:r>
      <w:r>
        <w:rPr>
          <w:vertAlign w:val="superscript"/>
          <w:rtl/>
        </w:rPr>
        <w:t>)</w:t>
      </w:r>
      <w:r>
        <w:rPr>
          <w:rFonts w:hint="cs"/>
          <w:rtl/>
        </w:rPr>
        <w:t>. وتتمثل مهمة البرلمان في وضع قوانين لتنظيم أي مسألة تتعلق بالسلم والنظام والتنمية والحكم الرشيد في أوغندا</w:t>
      </w:r>
      <w:r>
        <w:rPr>
          <w:vertAlign w:val="superscript"/>
          <w:rtl/>
        </w:rPr>
        <w:t>(</w:t>
      </w:r>
      <w:r>
        <w:rPr>
          <w:rStyle w:val="FootnoteReference"/>
          <w:rtl/>
        </w:rPr>
        <w:footnoteReference w:id="53"/>
      </w:r>
      <w:r>
        <w:rPr>
          <w:vertAlign w:val="superscript"/>
          <w:rtl/>
        </w:rPr>
        <w:t>)</w:t>
      </w:r>
      <w:r>
        <w:rPr>
          <w:rFonts w:hint="cs"/>
          <w:rtl/>
        </w:rPr>
        <w:t>. ويراجع البرلمان أيضاً المقترحات المتعلقة بالسياسات الحكومية، ويخصص الموارد الوطنية للخطط والبرامج القطاعية السنوية، ويشرف على ما تتخذه السلطة التنفيذية من إجراءات باسم الشعب ويستعرض جميع المقترحات التي يقدمها الرئيس بشأن التعيينات. وينص الدستور أيضاً على وجوب اختيار رئيس لممثلي المعارضة في البرلمان تعزيزاً لنظام الديمقراطية التعددية في أوغندا</w:t>
      </w:r>
      <w:r>
        <w:rPr>
          <w:vertAlign w:val="superscript"/>
          <w:rtl/>
        </w:rPr>
        <w:t>(</w:t>
      </w:r>
      <w:r>
        <w:rPr>
          <w:rStyle w:val="FootnoteReference"/>
          <w:rtl/>
        </w:rPr>
        <w:footnoteReference w:id="54"/>
      </w:r>
      <w:r>
        <w:rPr>
          <w:vertAlign w:val="superscript"/>
          <w:rtl/>
        </w:rPr>
        <w:t>)</w:t>
      </w:r>
      <w:r>
        <w:rPr>
          <w:rFonts w:hint="cs"/>
          <w:rtl/>
        </w:rPr>
        <w:t>. وتمتد ولاية البرلمان لخمس سنوات</w:t>
      </w:r>
      <w:r>
        <w:rPr>
          <w:vertAlign w:val="superscript"/>
          <w:rtl/>
        </w:rPr>
        <w:t>(</w:t>
      </w:r>
      <w:r>
        <w:rPr>
          <w:rStyle w:val="FootnoteReference"/>
          <w:rtl/>
        </w:rPr>
        <w:footnoteReference w:id="55"/>
      </w:r>
      <w:r>
        <w:rPr>
          <w:vertAlign w:val="superscript"/>
          <w:rtl/>
        </w:rPr>
        <w:t>)</w:t>
      </w:r>
      <w:r>
        <w:rPr>
          <w:rFonts w:hint="cs"/>
          <w:rtl/>
        </w:rPr>
        <w:t>.</w:t>
      </w:r>
    </w:p>
    <w:p w:rsidR="00225595" w:rsidRDefault="00225595" w:rsidP="00503148">
      <w:pPr>
        <w:pStyle w:val="SingleTxtGA"/>
        <w:rPr>
          <w:rtl/>
        </w:rPr>
      </w:pPr>
      <w:r>
        <w:rPr>
          <w:rFonts w:hint="cs"/>
          <w:rtl/>
        </w:rPr>
        <w:t>45-</w:t>
      </w:r>
      <w:r>
        <w:rPr>
          <w:rFonts w:hint="cs"/>
          <w:rtl/>
        </w:rPr>
        <w:tab/>
        <w:t>وتمارس محاكم نظام القضاء السلطة القضائية في أوغندا بالتراتبية التالية: المحكة العليا، ومحكمة الاستئناف التي تضطلع بدور المحكمة الدستورية، والمحكمة العالية التي تتشكل من خمس شعب (المدنية والجنائية والعقارية والتجارية والأسرية)، والمحكمة الصناعية التي رُفعت إلى مستوى المحكمة العالية، ويترأسها قضاة المحكمة العالية. وتبت المحكمة الصناعية</w:t>
      </w:r>
      <w:r w:rsidR="00C43876">
        <w:rPr>
          <w:rFonts w:hint="cs"/>
          <w:rtl/>
        </w:rPr>
        <w:t xml:space="preserve"> </w:t>
      </w:r>
      <w:r>
        <w:rPr>
          <w:rFonts w:hint="cs"/>
          <w:rtl/>
        </w:rPr>
        <w:t>في النزاعات العمالية. وهناك أيضاً محاكم الصلح (محاكم صلح رئيسية، ومحاكم صلح من الدرجة الأولى، وبضع محاكم صلح من الدرجة الثانية)</w:t>
      </w:r>
      <w:r>
        <w:rPr>
          <w:vertAlign w:val="superscript"/>
          <w:rtl/>
        </w:rPr>
        <w:t>(</w:t>
      </w:r>
      <w:r>
        <w:rPr>
          <w:rStyle w:val="FootnoteReference"/>
          <w:rtl/>
        </w:rPr>
        <w:footnoteReference w:id="56"/>
      </w:r>
      <w:r>
        <w:rPr>
          <w:vertAlign w:val="superscript"/>
          <w:rtl/>
        </w:rPr>
        <w:t>)</w:t>
      </w:r>
      <w:r>
        <w:rPr>
          <w:rFonts w:hint="cs"/>
          <w:rtl/>
        </w:rPr>
        <w:t>.</w:t>
      </w:r>
    </w:p>
    <w:p w:rsidR="00225595" w:rsidRDefault="00225595" w:rsidP="00A646C8">
      <w:pPr>
        <w:pStyle w:val="SingleTxtGA"/>
        <w:rPr>
          <w:rtl/>
        </w:rPr>
      </w:pPr>
      <w:r>
        <w:rPr>
          <w:rFonts w:hint="cs"/>
          <w:rtl/>
        </w:rPr>
        <w:t>46-</w:t>
      </w:r>
      <w:r>
        <w:rPr>
          <w:rFonts w:hint="cs"/>
          <w:rtl/>
        </w:rPr>
        <w:tab/>
        <w:t>وفي أوغندا نظام قانوني مزدوج إذ تطبق القوانين العرفية فيها إلى جانب القوانين المدونة في المجلدات القانونية لأوغندا. ويضمن الدستور حق كل شخص في ممارسة ثقافته والترويج لقيمه التقليدية ما دامت تتماشى مع الدستور الذي يمثل القانون الأعلى للبلد (المادتان 32 و33 من الدستور)</w:t>
      </w:r>
      <w:r>
        <w:rPr>
          <w:vertAlign w:val="superscript"/>
          <w:rtl/>
        </w:rPr>
        <w:t>(</w:t>
      </w:r>
      <w:r>
        <w:rPr>
          <w:rStyle w:val="FootnoteReference"/>
          <w:rtl/>
        </w:rPr>
        <w:footnoteReference w:id="57"/>
      </w:r>
      <w:r>
        <w:rPr>
          <w:vertAlign w:val="superscript"/>
          <w:rtl/>
        </w:rPr>
        <w:t>)</w:t>
      </w:r>
      <w:r>
        <w:rPr>
          <w:rFonts w:hint="cs"/>
          <w:rtl/>
        </w:rPr>
        <w:t>. ولذلك سُنت نصوص قانونية تعترف بالقيم التقليدية. وتشمل هذه النصوص قانون الأراضي لعام 1998، الفصل 227 بصيغته المعدلة عامي 2004 و2010 والذي يعترف ببعض جوانب الحيازة العرفية للأراضي كشكل من أشكال حيازة الأراضي ما</w:t>
      </w:r>
      <w:r w:rsidR="00A646C8">
        <w:rPr>
          <w:rFonts w:hint="eastAsia"/>
          <w:rtl/>
        </w:rPr>
        <w:t> </w:t>
      </w:r>
      <w:r>
        <w:rPr>
          <w:rFonts w:hint="cs"/>
          <w:rtl/>
        </w:rPr>
        <w:t>دامت الأعراف والممارسات لا تحرم أي شخص من حقه في تملك الأراضي واستخدامها. ويعترف قانون (تسجيل) الزواج التقليدي، لعام 1973، بالزيجات التي تتم وفقاً للممارسات التقليدية في أجزاء مختلفة من البلد</w:t>
      </w:r>
      <w:r>
        <w:rPr>
          <w:vertAlign w:val="superscript"/>
          <w:rtl/>
        </w:rPr>
        <w:t>(</w:t>
      </w:r>
      <w:r>
        <w:rPr>
          <w:rStyle w:val="FootnoteReference"/>
          <w:rtl/>
        </w:rPr>
        <w:footnoteReference w:id="58"/>
      </w:r>
      <w:r>
        <w:rPr>
          <w:vertAlign w:val="superscript"/>
          <w:rtl/>
        </w:rPr>
        <w:t>)</w:t>
      </w:r>
      <w:r>
        <w:rPr>
          <w:rFonts w:hint="cs"/>
          <w:rtl/>
        </w:rPr>
        <w:t xml:space="preserve">. </w:t>
      </w:r>
    </w:p>
    <w:p w:rsidR="00225595" w:rsidRDefault="00225595" w:rsidP="00503148">
      <w:pPr>
        <w:pStyle w:val="SingleTxtGA"/>
        <w:rPr>
          <w:rtl/>
        </w:rPr>
      </w:pPr>
      <w:r>
        <w:rPr>
          <w:rFonts w:hint="cs"/>
          <w:rtl/>
        </w:rPr>
        <w:lastRenderedPageBreak/>
        <w:t>47-</w:t>
      </w:r>
      <w:r>
        <w:rPr>
          <w:rFonts w:hint="cs"/>
          <w:rtl/>
        </w:rPr>
        <w:tab/>
        <w:t xml:space="preserve">ويعترف الفصل 113 من قانون تسجيل المنظمات غير الحكومية لعام 1989، بصيغته المعدلة عام 2006، بالمنظمات غير الحكومية وينظمها على النحو الواجب. ويتناول القانون تسجيل هذه المنظمات وإدارتها </w:t>
      </w:r>
      <w:proofErr w:type="spellStart"/>
      <w:r>
        <w:rPr>
          <w:rFonts w:hint="cs"/>
          <w:rtl/>
        </w:rPr>
        <w:t>وحوكمتها</w:t>
      </w:r>
      <w:proofErr w:type="spellEnd"/>
      <w:r>
        <w:rPr>
          <w:rFonts w:hint="cs"/>
          <w:rtl/>
        </w:rPr>
        <w:t xml:space="preserve">. كما تنص لوائح تسجيل المنظمات غير الحكومية لعام 2009 على مزيد من القواعد التنظيمية الخاصة بهذه المنظمات. وتعمل المنظمات غير الحكومية بحرية في أي جزء من البلد ما دامت مسجلة على النحو الواجب. ويتعين على هذه المنظمات أن تزود مجلس المنظمات غير الحكومية بعوائدها وتقاريرها السنوية وأن تتقدم بطلب تجديد تسجيلها بشكل دوري. وتشمل هذه المنظمات مجموعات المجتمع المحلي التي تعمل في المجتمع المحلي بوصفها منظمات مواطنين ذاتية التنظيم تعمل على حشد المدخرات </w:t>
      </w:r>
      <w:proofErr w:type="spellStart"/>
      <w:r>
        <w:rPr>
          <w:rFonts w:hint="cs"/>
          <w:rtl/>
        </w:rPr>
        <w:t>والائتمانات</w:t>
      </w:r>
      <w:proofErr w:type="spellEnd"/>
      <w:r>
        <w:rPr>
          <w:rFonts w:hint="cs"/>
          <w:rtl/>
        </w:rPr>
        <w:t xml:space="preserve"> للأعضاء وعلى توفير دعم الأقران في الأوقات الجيدة والأوقات العصيبة، وتمكين الأعضاء من الحصول على المعلومات والحصول على التدريب والمشورة فيما يتعلق بأنشطتهم المدرة للدخل وتنظيم إجراءات جماعية لتحسين منازلهم ومجتمعاتهم المحلية.</w:t>
      </w:r>
    </w:p>
    <w:p w:rsidR="00225595" w:rsidRDefault="00225595" w:rsidP="00503148">
      <w:pPr>
        <w:pStyle w:val="SingleTxtGA"/>
        <w:rPr>
          <w:rtl/>
        </w:rPr>
      </w:pPr>
      <w:r>
        <w:rPr>
          <w:rFonts w:hint="cs"/>
          <w:rtl/>
        </w:rPr>
        <w:t>48-</w:t>
      </w:r>
      <w:r>
        <w:rPr>
          <w:rFonts w:hint="cs"/>
          <w:rtl/>
        </w:rPr>
        <w:tab/>
        <w:t xml:space="preserve">وصناعة وسائط الإعلام (التي يشار إليها عادة بوصفها السلطة الرابعة) هي أيضاً </w:t>
      </w:r>
      <w:r w:rsidRPr="00A646C8">
        <w:rPr>
          <w:rFonts w:hint="cs"/>
          <w:spacing w:val="-4"/>
          <w:rtl/>
        </w:rPr>
        <w:t>نشيطة جداً في أوغندا. فبحلول عام 2011 وصل عدد محطات التلفزيون في أوغندا إلى حوالي 25</w:t>
      </w:r>
      <w:r>
        <w:rPr>
          <w:rFonts w:hint="cs"/>
          <w:rtl/>
        </w:rPr>
        <w:t xml:space="preserve"> محطة إضافة إلى أكثر من 130 محطة إذاعية تتفاوت المساحات التي تغطيها في مختلف أجزاء البلد. لكن البلد بأكمله مغطى بوسائل الإعلام وبات أسهل بكثير اليوم (مما كان عليه قبل عشر سنوات) نقل المعلومات إلى مختلف مجموعات المستمعين. وتوجد في البلد عدة شبكات تلفونية ما أدى إلى ثورة في الاتصالات والربط الشبكي في جميع أنحاء البلد. وأدى إدخال الهواتف المتنقلة إلى إتاحة تسريع التواصل، كما أدى استخدام الإنترنت (من خلال استخدام الهواتف والحواسيب) إلى إتاحة ربط جميع أجزاء البلد وتحسين جمع البيانات ونقلها وتخزينها داخل مختلف الوزارات والإدارات والوكالات الحكومية. وأتاح استخدام الخدمات النقدية المتنقلة للناس العاملين في المناطق الريفية التي لا توجد فيها فروع للمصارف إمكانيةَ الوصول إلى الخدمات المالية. وعلى سبيل المثال، تدير وزارة شؤون الجنسين والعمل والتنمية الاجتماعية صندوق المسنين وتُجري التحويلات منه إلى المستفيدين باستخدام شبكات الخدمات المالية المتنقلة. ويقلص ذلك تكاليف معاملات الصندوق بشكل كبير.</w:t>
      </w:r>
    </w:p>
    <w:p w:rsidR="00225595" w:rsidRDefault="00225595" w:rsidP="00A646C8">
      <w:pPr>
        <w:pStyle w:val="SingleTxtGA"/>
        <w:rPr>
          <w:rtl/>
        </w:rPr>
      </w:pPr>
      <w:r>
        <w:rPr>
          <w:rFonts w:hint="cs"/>
          <w:rtl/>
        </w:rPr>
        <w:t>49-</w:t>
      </w:r>
      <w:r>
        <w:rPr>
          <w:rFonts w:hint="cs"/>
          <w:rtl/>
        </w:rPr>
        <w:tab/>
        <w:t>والحركة النقابية في أوغندا نشيطة ومنظمة تنظيماً جيداً. ويضمن الدستور الحقوق الاقتصادية (المادة 40)، التي تشمل في جملة أمور حق كل عامل في تشكيل نقابة أو الانضمام إلى نقابة من اختياره من أجل تعزيز وحماية مصالحه الاقتصادية والاجتماعية وحقه في التمثيل والتفاوض الجماعيين - المادة 40(3)(أ) و(ب). وفي أوغندا اتحادان نقابيان رئيسيان هما: المنظمة الوطنية للنقابات العمالية والمنظمة المركزية للنقابات العمالية. وتعمل أمانتا هاتين النقابتين مع النقابات العمالية ومجموعات المجتمع المحلي في جميع الأقاليم الأوغندية</w:t>
      </w:r>
      <w:r>
        <w:rPr>
          <w:vertAlign w:val="superscript"/>
          <w:rtl/>
        </w:rPr>
        <w:t>(</w:t>
      </w:r>
      <w:r>
        <w:rPr>
          <w:rStyle w:val="FootnoteReference"/>
          <w:rtl/>
        </w:rPr>
        <w:footnoteReference w:id="59"/>
      </w:r>
      <w:r>
        <w:rPr>
          <w:vertAlign w:val="superscript"/>
          <w:rtl/>
        </w:rPr>
        <w:t>)</w:t>
      </w:r>
      <w:r>
        <w:rPr>
          <w:rFonts w:hint="cs"/>
          <w:rtl/>
        </w:rPr>
        <w:t xml:space="preserve">. </w:t>
      </w:r>
      <w:r>
        <w:rPr>
          <w:rFonts w:hint="cs"/>
          <w:rtl/>
        </w:rPr>
        <w:lastRenderedPageBreak/>
        <w:t>وقد</w:t>
      </w:r>
      <w:r w:rsidR="00A646C8">
        <w:rPr>
          <w:rFonts w:hint="eastAsia"/>
          <w:rtl/>
        </w:rPr>
        <w:t> </w:t>
      </w:r>
      <w:r>
        <w:rPr>
          <w:rFonts w:hint="cs"/>
          <w:rtl/>
        </w:rPr>
        <w:t>حسنت النقابات العمالية حياة العمال في أوغندا عن طريق المطالبة برفع أجور العمال وتحسين ظروف عملهم وعن طريق المساعدة في صوغ القوانين والسياسات العمالية، ومكافحة عمل الأطفال، ووضع آليات لحل النزاعات بين العمال والإدارة وحماية سلامة العمال وصحتهم. والعمال المهاجرون أحرار في الانضمام إلى نقابة عمالية من اختيارهم.</w:t>
      </w:r>
    </w:p>
    <w:p w:rsidR="00225595" w:rsidRDefault="00225595" w:rsidP="00503148">
      <w:pPr>
        <w:pStyle w:val="HChGA"/>
        <w:rPr>
          <w:rtl/>
        </w:rPr>
      </w:pPr>
      <w:r>
        <w:rPr>
          <w:rFonts w:hint="cs"/>
          <w:rtl/>
        </w:rPr>
        <w:tab/>
      </w:r>
      <w:bookmarkStart w:id="6" w:name="_Toc421870480"/>
      <w:r>
        <w:rPr>
          <w:rFonts w:hint="cs"/>
          <w:rtl/>
        </w:rPr>
        <w:t>ثالثاً-</w:t>
      </w:r>
      <w:r>
        <w:rPr>
          <w:rFonts w:hint="cs"/>
          <w:rtl/>
        </w:rPr>
        <w:tab/>
        <w:t>الإطار العام لحماية حقوق الإنسان</w:t>
      </w:r>
      <w:bookmarkEnd w:id="6"/>
    </w:p>
    <w:p w:rsidR="00225595" w:rsidRDefault="00225595" w:rsidP="00503148">
      <w:pPr>
        <w:pStyle w:val="SingleTxtGA"/>
        <w:rPr>
          <w:rtl/>
        </w:rPr>
      </w:pPr>
      <w:r>
        <w:rPr>
          <w:rFonts w:hint="cs"/>
          <w:rtl/>
        </w:rPr>
        <w:t>50-</w:t>
      </w:r>
      <w:r>
        <w:rPr>
          <w:rFonts w:hint="cs"/>
          <w:rtl/>
        </w:rPr>
        <w:tab/>
        <w:t>أوغندا طرف في جميع المعاهدات الدولية الأساسية لحقوق الإنسان، وهي تضمن لمواطنيها وسكانها الحقوق المعترف بها عالمياً. ويقدم الجدول 3 أدناه تفاصيل عن حالة التصديق على الصكوك الدولية الرئيسية لحقوق الإنسان.</w:t>
      </w:r>
    </w:p>
    <w:p w:rsidR="00225595" w:rsidRPr="00503148" w:rsidRDefault="00A646C8" w:rsidP="00A646C8">
      <w:pPr>
        <w:pStyle w:val="SingleTxtGA"/>
        <w:jc w:val="left"/>
        <w:rPr>
          <w:b/>
          <w:bCs/>
          <w:rtl/>
        </w:rPr>
      </w:pPr>
      <w:r>
        <w:rPr>
          <w:rFonts w:hint="cs"/>
          <w:rtl/>
        </w:rPr>
        <w:t>الجدول 3</w:t>
      </w:r>
      <w:r w:rsidR="00225595">
        <w:rPr>
          <w:rFonts w:hint="cs"/>
          <w:rtl/>
        </w:rPr>
        <w:br/>
      </w:r>
      <w:r w:rsidR="00225595" w:rsidRPr="00503148">
        <w:rPr>
          <w:rFonts w:hint="cs"/>
          <w:b/>
          <w:bCs/>
          <w:rtl/>
        </w:rPr>
        <w:t>حالة التصديق عل</w:t>
      </w:r>
      <w:r>
        <w:rPr>
          <w:rFonts w:hint="cs"/>
          <w:b/>
          <w:bCs/>
          <w:rtl/>
        </w:rPr>
        <w:t>ى الصكوك الرئيسية لحقوق الإنسان</w:t>
      </w:r>
    </w:p>
    <w:tbl>
      <w:tblPr>
        <w:bidiVisual/>
        <w:tblW w:w="9072" w:type="dxa"/>
        <w:tblInd w:w="567"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535"/>
        <w:gridCol w:w="1217"/>
        <w:gridCol w:w="1492"/>
        <w:gridCol w:w="2204"/>
        <w:gridCol w:w="812"/>
        <w:gridCol w:w="812"/>
      </w:tblGrid>
      <w:tr w:rsidR="00225595" w:rsidRPr="00A646C8" w:rsidTr="00C4241C">
        <w:trPr>
          <w:cantSplit/>
          <w:tblHeader/>
        </w:trPr>
        <w:tc>
          <w:tcPr>
            <w:tcW w:w="2535" w:type="dxa"/>
            <w:tcBorders>
              <w:top w:val="single" w:sz="4" w:space="0" w:color="auto"/>
              <w:bottom w:val="single" w:sz="12" w:space="0" w:color="auto"/>
            </w:tcBorders>
            <w:shd w:val="clear" w:color="auto" w:fill="auto"/>
            <w:vAlign w:val="bottom"/>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iCs/>
                <w:sz w:val="18"/>
                <w:szCs w:val="26"/>
                <w:lang w:val="en-GB"/>
              </w:rPr>
            </w:pPr>
            <w:r w:rsidRPr="00A646C8">
              <w:rPr>
                <w:rFonts w:eastAsia="Times New Roman Bold" w:cs="Traditional Arabic" w:hint="cs"/>
                <w:iCs/>
                <w:sz w:val="18"/>
                <w:szCs w:val="26"/>
                <w:rtl/>
                <w:lang w:val="en-GB"/>
              </w:rPr>
              <w:t>المعاهدة</w:t>
            </w:r>
          </w:p>
        </w:tc>
        <w:tc>
          <w:tcPr>
            <w:tcW w:w="1217" w:type="dxa"/>
            <w:tcBorders>
              <w:top w:val="single" w:sz="4" w:space="0" w:color="auto"/>
              <w:bottom w:val="single" w:sz="12" w:space="0" w:color="auto"/>
            </w:tcBorders>
            <w:shd w:val="clear" w:color="auto" w:fill="auto"/>
            <w:vAlign w:val="bottom"/>
          </w:tcPr>
          <w:p w:rsidR="00225595" w:rsidRPr="00A646C8" w:rsidRDefault="00225595" w:rsidP="00C4241C">
            <w:pPr>
              <w:pStyle w:val="SingleTxtG"/>
              <w:suppressAutoHyphens w:val="0"/>
              <w:bidi/>
              <w:spacing w:before="40" w:after="40" w:line="280" w:lineRule="exact"/>
              <w:ind w:left="227" w:right="0"/>
              <w:jc w:val="left"/>
              <w:rPr>
                <w:rFonts w:eastAsia="Times New Roman Bold" w:cs="Traditional Arabic"/>
                <w:iCs/>
                <w:sz w:val="18"/>
                <w:szCs w:val="26"/>
                <w:lang w:val="en-GB"/>
              </w:rPr>
            </w:pPr>
            <w:r w:rsidRPr="00A646C8">
              <w:rPr>
                <w:rFonts w:eastAsia="Times New Roman Bold" w:cs="Traditional Arabic" w:hint="cs"/>
                <w:iCs/>
                <w:sz w:val="18"/>
                <w:szCs w:val="26"/>
                <w:rtl/>
                <w:lang w:val="en-GB"/>
              </w:rPr>
              <w:t>التوقيع</w:t>
            </w:r>
          </w:p>
        </w:tc>
        <w:tc>
          <w:tcPr>
            <w:tcW w:w="1492" w:type="dxa"/>
            <w:tcBorders>
              <w:top w:val="single" w:sz="4" w:space="0" w:color="auto"/>
              <w:bottom w:val="single" w:sz="12" w:space="0" w:color="auto"/>
            </w:tcBorders>
            <w:shd w:val="clear" w:color="auto" w:fill="auto"/>
            <w:vAlign w:val="bottom"/>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iCs/>
                <w:sz w:val="18"/>
                <w:szCs w:val="26"/>
                <w:lang w:val="en-GB"/>
              </w:rPr>
            </w:pPr>
            <w:r w:rsidRPr="00A646C8">
              <w:rPr>
                <w:rFonts w:eastAsia="Times New Roman Bold" w:cs="Traditional Arabic" w:hint="cs"/>
                <w:iCs/>
                <w:sz w:val="18"/>
                <w:szCs w:val="26"/>
                <w:rtl/>
                <w:lang w:val="en-GB"/>
              </w:rPr>
              <w:t>التصديق</w:t>
            </w:r>
          </w:p>
        </w:tc>
        <w:tc>
          <w:tcPr>
            <w:tcW w:w="2204" w:type="dxa"/>
            <w:tcBorders>
              <w:top w:val="single" w:sz="4" w:space="0" w:color="auto"/>
              <w:bottom w:val="single" w:sz="12" w:space="0" w:color="auto"/>
            </w:tcBorders>
            <w:shd w:val="clear" w:color="auto" w:fill="auto"/>
            <w:vAlign w:val="bottom"/>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iCs/>
                <w:sz w:val="18"/>
                <w:szCs w:val="26"/>
                <w:lang w:val="en-GB"/>
              </w:rPr>
            </w:pPr>
            <w:r w:rsidRPr="00A646C8">
              <w:rPr>
                <w:rFonts w:eastAsia="Times New Roman Bold" w:cs="Traditional Arabic" w:hint="cs"/>
                <w:iCs/>
                <w:sz w:val="18"/>
                <w:szCs w:val="26"/>
                <w:rtl/>
                <w:lang w:val="en-GB"/>
              </w:rPr>
              <w:t>الانضمام</w:t>
            </w:r>
          </w:p>
        </w:tc>
        <w:tc>
          <w:tcPr>
            <w:tcW w:w="812" w:type="dxa"/>
            <w:tcBorders>
              <w:top w:val="single" w:sz="4" w:space="0" w:color="auto"/>
              <w:bottom w:val="single" w:sz="12" w:space="0" w:color="auto"/>
            </w:tcBorders>
            <w:shd w:val="clear" w:color="auto" w:fill="auto"/>
            <w:vAlign w:val="bottom"/>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iCs/>
                <w:sz w:val="18"/>
                <w:szCs w:val="26"/>
                <w:lang w:val="en-GB"/>
              </w:rPr>
            </w:pPr>
            <w:r w:rsidRPr="00A646C8">
              <w:rPr>
                <w:rFonts w:eastAsia="Times New Roman Bold" w:cs="Traditional Arabic" w:hint="cs"/>
                <w:iCs/>
                <w:sz w:val="18"/>
                <w:szCs w:val="26"/>
                <w:rtl/>
                <w:lang w:val="en-GB"/>
              </w:rPr>
              <w:t>الخلافة</w:t>
            </w:r>
          </w:p>
        </w:tc>
        <w:tc>
          <w:tcPr>
            <w:tcW w:w="812" w:type="dxa"/>
            <w:tcBorders>
              <w:top w:val="single" w:sz="4" w:space="0" w:color="auto"/>
              <w:bottom w:val="single" w:sz="12" w:space="0" w:color="auto"/>
            </w:tcBorders>
            <w:shd w:val="clear" w:color="auto" w:fill="auto"/>
            <w:vAlign w:val="bottom"/>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iCs/>
                <w:sz w:val="18"/>
                <w:szCs w:val="26"/>
                <w:lang w:val="en-GB"/>
              </w:rPr>
            </w:pPr>
            <w:r w:rsidRPr="00A646C8">
              <w:rPr>
                <w:rFonts w:eastAsia="Times New Roman Bold" w:cs="Traditional Arabic" w:hint="cs"/>
                <w:iCs/>
                <w:sz w:val="18"/>
                <w:szCs w:val="26"/>
                <w:rtl/>
                <w:lang w:val="en-GB"/>
              </w:rPr>
              <w:t>بدء النفاذ</w:t>
            </w:r>
          </w:p>
        </w:tc>
      </w:tr>
      <w:tr w:rsidR="00225595" w:rsidRPr="00A646C8" w:rsidTr="00C4241C">
        <w:trPr>
          <w:cantSplit/>
        </w:trPr>
        <w:tc>
          <w:tcPr>
            <w:tcW w:w="2535" w:type="dxa"/>
            <w:tcBorders>
              <w:top w:val="single" w:sz="12" w:space="0" w:color="auto"/>
              <w:bottom w:val="nil"/>
            </w:tcBorders>
            <w:shd w:val="clear" w:color="auto" w:fill="auto"/>
          </w:tcPr>
          <w:p w:rsidR="00225595" w:rsidRPr="00A646C8" w:rsidRDefault="00225595" w:rsidP="00165B79">
            <w:pPr>
              <w:pStyle w:val="SingleTxtG"/>
              <w:suppressAutoHyphens w:val="0"/>
              <w:bidi/>
              <w:spacing w:before="40" w:after="40" w:line="280" w:lineRule="exact"/>
              <w:ind w:left="108" w:right="0"/>
              <w:jc w:val="lowKashida"/>
              <w:rPr>
                <w:rFonts w:eastAsia="Times New Roman Bold" w:cs="Traditional Arabic"/>
                <w:sz w:val="18"/>
                <w:szCs w:val="26"/>
                <w:lang w:val="en-GB"/>
              </w:rPr>
            </w:pPr>
            <w:r w:rsidRPr="00A646C8">
              <w:rPr>
                <w:rFonts w:eastAsia="Times New Roman Bold" w:cs="Traditional Arabic" w:hint="cs"/>
                <w:sz w:val="18"/>
                <w:szCs w:val="26"/>
                <w:rtl/>
                <w:lang w:val="en-GB"/>
              </w:rPr>
              <w:t>العهد الدولي الخاص بالحقوق الاقتصادية والاجتماعية والثقافية</w:t>
            </w:r>
          </w:p>
        </w:tc>
        <w:tc>
          <w:tcPr>
            <w:tcW w:w="1217" w:type="dxa"/>
            <w:tcBorders>
              <w:top w:val="single" w:sz="12" w:space="0" w:color="auto"/>
              <w:bottom w:val="nil"/>
            </w:tcBorders>
            <w:shd w:val="clear" w:color="auto" w:fill="auto"/>
          </w:tcPr>
          <w:p w:rsidR="00225595" w:rsidRPr="00A646C8" w:rsidRDefault="00225595" w:rsidP="00C4241C">
            <w:pPr>
              <w:pStyle w:val="SingleTxtG"/>
              <w:suppressAutoHyphens w:val="0"/>
              <w:bidi/>
              <w:spacing w:before="40" w:after="40" w:line="280" w:lineRule="exact"/>
              <w:ind w:left="227" w:right="0"/>
              <w:jc w:val="left"/>
              <w:rPr>
                <w:rFonts w:eastAsia="Times New Roman Bold" w:cs="Traditional Arabic"/>
                <w:sz w:val="18"/>
                <w:szCs w:val="26"/>
                <w:lang w:val="en-GB"/>
              </w:rPr>
            </w:pPr>
          </w:p>
        </w:tc>
        <w:tc>
          <w:tcPr>
            <w:tcW w:w="1492" w:type="dxa"/>
            <w:tcBorders>
              <w:top w:val="single" w:sz="12" w:space="0" w:color="auto"/>
              <w:bottom w:val="nil"/>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c>
          <w:tcPr>
            <w:tcW w:w="2204" w:type="dxa"/>
            <w:tcBorders>
              <w:top w:val="single" w:sz="12" w:space="0" w:color="auto"/>
              <w:bottom w:val="nil"/>
            </w:tcBorders>
            <w:shd w:val="clear" w:color="auto" w:fill="auto"/>
          </w:tcPr>
          <w:p w:rsidR="00225595" w:rsidRPr="00A646C8" w:rsidRDefault="00225595" w:rsidP="00A646C8">
            <w:pPr>
              <w:pStyle w:val="SingleTxtG"/>
              <w:suppressAutoHyphens w:val="0"/>
              <w:bidi/>
              <w:spacing w:before="40" w:after="40" w:line="280" w:lineRule="exact"/>
              <w:ind w:left="108" w:right="0"/>
              <w:jc w:val="left"/>
              <w:rPr>
                <w:rFonts w:eastAsia="Times New Roman Bold" w:cs="Traditional Arabic"/>
                <w:sz w:val="18"/>
                <w:szCs w:val="26"/>
                <w:lang w:val="en-GB"/>
              </w:rPr>
            </w:pPr>
            <w:r w:rsidRPr="00A646C8">
              <w:rPr>
                <w:rFonts w:eastAsia="Times New Roman Bold" w:cs="Traditional Arabic" w:hint="cs"/>
                <w:sz w:val="18"/>
                <w:szCs w:val="26"/>
                <w:rtl/>
                <w:lang w:val="en-GB"/>
              </w:rPr>
              <w:t>21 كانون الثاني/يناير 1987</w:t>
            </w:r>
          </w:p>
        </w:tc>
        <w:tc>
          <w:tcPr>
            <w:tcW w:w="812" w:type="dxa"/>
            <w:tcBorders>
              <w:top w:val="single" w:sz="12" w:space="0" w:color="auto"/>
              <w:bottom w:val="nil"/>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c>
          <w:tcPr>
            <w:tcW w:w="812" w:type="dxa"/>
            <w:tcBorders>
              <w:top w:val="single" w:sz="12" w:space="0" w:color="auto"/>
              <w:bottom w:val="nil"/>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r>
      <w:tr w:rsidR="00225595" w:rsidRPr="00A646C8" w:rsidTr="00C4241C">
        <w:trPr>
          <w:cantSplit/>
        </w:trPr>
        <w:tc>
          <w:tcPr>
            <w:tcW w:w="2535" w:type="dxa"/>
            <w:tcBorders>
              <w:top w:val="nil"/>
              <w:bottom w:val="single" w:sz="4" w:space="0" w:color="auto"/>
            </w:tcBorders>
            <w:shd w:val="clear" w:color="auto" w:fill="auto"/>
          </w:tcPr>
          <w:p w:rsidR="00225595" w:rsidRPr="00A646C8" w:rsidRDefault="00225595" w:rsidP="00165B79">
            <w:pPr>
              <w:pStyle w:val="SingleTxtG"/>
              <w:suppressAutoHyphens w:val="0"/>
              <w:bidi/>
              <w:spacing w:before="40" w:after="40" w:line="280" w:lineRule="exact"/>
              <w:ind w:left="108" w:right="0"/>
              <w:jc w:val="lowKashida"/>
              <w:rPr>
                <w:rFonts w:eastAsia="Times New Roman Bold" w:cs="Traditional Arabic"/>
                <w:sz w:val="18"/>
                <w:szCs w:val="26"/>
                <w:lang w:val="en-US"/>
              </w:rPr>
            </w:pPr>
            <w:r w:rsidRPr="00A646C8">
              <w:rPr>
                <w:rFonts w:eastAsia="Times New Roman Bold" w:cs="Traditional Arabic" w:hint="cs"/>
                <w:sz w:val="18"/>
                <w:szCs w:val="26"/>
                <w:rtl/>
                <w:lang w:val="en-US"/>
              </w:rPr>
              <w:t>العهد الدولي الخاص بالحقوق المدنية والسياسية</w:t>
            </w:r>
          </w:p>
        </w:tc>
        <w:tc>
          <w:tcPr>
            <w:tcW w:w="1217" w:type="dxa"/>
            <w:tcBorders>
              <w:top w:val="nil"/>
              <w:bottom w:val="single" w:sz="4" w:space="0" w:color="auto"/>
            </w:tcBorders>
            <w:shd w:val="clear" w:color="auto" w:fill="auto"/>
          </w:tcPr>
          <w:p w:rsidR="00225595" w:rsidRPr="00A646C8" w:rsidRDefault="00225595" w:rsidP="00C4241C">
            <w:pPr>
              <w:pStyle w:val="SingleTxtG"/>
              <w:suppressAutoHyphens w:val="0"/>
              <w:bidi/>
              <w:spacing w:before="40" w:after="40" w:line="280" w:lineRule="exact"/>
              <w:ind w:left="227" w:right="0"/>
              <w:jc w:val="left"/>
              <w:rPr>
                <w:rFonts w:eastAsia="Times New Roman Bold" w:cs="Traditional Arabic"/>
                <w:sz w:val="18"/>
                <w:szCs w:val="26"/>
                <w:lang w:val="en-US"/>
              </w:rPr>
            </w:pPr>
          </w:p>
        </w:tc>
        <w:tc>
          <w:tcPr>
            <w:tcW w:w="1492" w:type="dxa"/>
            <w:tcBorders>
              <w:top w:val="nil"/>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c>
          <w:tcPr>
            <w:tcW w:w="2204" w:type="dxa"/>
            <w:tcBorders>
              <w:top w:val="nil"/>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8" w:right="0"/>
              <w:jc w:val="left"/>
              <w:rPr>
                <w:rFonts w:eastAsia="Times New Roman Bold" w:cs="Traditional Arabic"/>
                <w:sz w:val="18"/>
                <w:szCs w:val="26"/>
                <w:lang w:val="en-GB"/>
              </w:rPr>
            </w:pPr>
            <w:r w:rsidRPr="00A646C8">
              <w:rPr>
                <w:rFonts w:eastAsia="Times New Roman Bold" w:cs="Traditional Arabic" w:hint="cs"/>
                <w:sz w:val="18"/>
                <w:szCs w:val="26"/>
                <w:rtl/>
                <w:lang w:val="en-GB"/>
              </w:rPr>
              <w:t>21 حزيران/يونيه 1995</w:t>
            </w:r>
          </w:p>
        </w:tc>
        <w:tc>
          <w:tcPr>
            <w:tcW w:w="812" w:type="dxa"/>
            <w:tcBorders>
              <w:top w:val="nil"/>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c>
          <w:tcPr>
            <w:tcW w:w="812" w:type="dxa"/>
            <w:tcBorders>
              <w:top w:val="nil"/>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r>
      <w:tr w:rsidR="00225595" w:rsidRPr="00A646C8" w:rsidTr="00C4241C">
        <w:trPr>
          <w:cantSplit/>
        </w:trPr>
        <w:tc>
          <w:tcPr>
            <w:tcW w:w="2535" w:type="dxa"/>
            <w:tcBorders>
              <w:top w:val="single" w:sz="4" w:space="0" w:color="auto"/>
              <w:bottom w:val="single" w:sz="4" w:space="0" w:color="auto"/>
            </w:tcBorders>
            <w:shd w:val="clear" w:color="auto" w:fill="auto"/>
          </w:tcPr>
          <w:p w:rsidR="00225595" w:rsidRPr="00A646C8" w:rsidRDefault="00225595" w:rsidP="00165B79">
            <w:pPr>
              <w:pStyle w:val="SingleTxtG"/>
              <w:suppressAutoHyphens w:val="0"/>
              <w:bidi/>
              <w:spacing w:before="40" w:after="40" w:line="280" w:lineRule="exact"/>
              <w:ind w:left="108" w:right="0"/>
              <w:jc w:val="lowKashida"/>
              <w:rPr>
                <w:rFonts w:eastAsia="Times New Roman Bold" w:cs="Traditional Arabic"/>
                <w:sz w:val="18"/>
                <w:szCs w:val="26"/>
                <w:lang w:val="en-GB"/>
              </w:rPr>
            </w:pPr>
            <w:r w:rsidRPr="00A646C8">
              <w:rPr>
                <w:rFonts w:eastAsia="Times New Roman Bold" w:cs="Traditional Arabic" w:hint="cs"/>
                <w:sz w:val="18"/>
                <w:szCs w:val="26"/>
                <w:rtl/>
                <w:lang w:val="en-GB"/>
              </w:rPr>
              <w:t>البروتوكول الاختياري الملحق بالعهد الدولي الخاص بالحقوق المدنية والسياسية</w:t>
            </w:r>
          </w:p>
        </w:tc>
        <w:tc>
          <w:tcPr>
            <w:tcW w:w="1217" w:type="dxa"/>
            <w:tcBorders>
              <w:top w:val="single" w:sz="4" w:space="0" w:color="auto"/>
              <w:bottom w:val="single" w:sz="4" w:space="0" w:color="auto"/>
            </w:tcBorders>
            <w:shd w:val="clear" w:color="auto" w:fill="auto"/>
          </w:tcPr>
          <w:p w:rsidR="00225595" w:rsidRPr="00A646C8" w:rsidRDefault="00225595" w:rsidP="00C4241C">
            <w:pPr>
              <w:pStyle w:val="SingleTxtG"/>
              <w:suppressAutoHyphens w:val="0"/>
              <w:bidi/>
              <w:spacing w:before="40" w:after="40" w:line="280" w:lineRule="exact"/>
              <w:ind w:left="227" w:right="0"/>
              <w:jc w:val="left"/>
              <w:rPr>
                <w:rFonts w:eastAsia="Times New Roman Bold" w:cs="Traditional Arabic"/>
                <w:sz w:val="18"/>
                <w:szCs w:val="26"/>
                <w:lang w:val="en-GB"/>
              </w:rPr>
            </w:pPr>
          </w:p>
        </w:tc>
        <w:tc>
          <w:tcPr>
            <w:tcW w:w="149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c>
          <w:tcPr>
            <w:tcW w:w="2204" w:type="dxa"/>
            <w:tcBorders>
              <w:top w:val="single" w:sz="4" w:space="0" w:color="auto"/>
              <w:bottom w:val="single" w:sz="4" w:space="0" w:color="auto"/>
            </w:tcBorders>
            <w:shd w:val="clear" w:color="auto" w:fill="auto"/>
          </w:tcPr>
          <w:p w:rsidR="00225595" w:rsidRPr="00C4241C" w:rsidRDefault="00225595" w:rsidP="00A646C8">
            <w:pPr>
              <w:pStyle w:val="SingleTxtG"/>
              <w:suppressAutoHyphens w:val="0"/>
              <w:bidi/>
              <w:spacing w:before="40" w:after="40" w:line="280" w:lineRule="exact"/>
              <w:ind w:left="108" w:right="0"/>
              <w:jc w:val="left"/>
              <w:rPr>
                <w:rFonts w:eastAsia="Times New Roman Bold" w:cs="Traditional Arabic"/>
                <w:spacing w:val="-4"/>
                <w:sz w:val="18"/>
                <w:szCs w:val="26"/>
                <w:lang w:val="en-GB"/>
              </w:rPr>
            </w:pPr>
            <w:r w:rsidRPr="00C4241C">
              <w:rPr>
                <w:rFonts w:eastAsia="Times New Roman Bold" w:cs="Traditional Arabic" w:hint="cs"/>
                <w:spacing w:val="-4"/>
                <w:sz w:val="18"/>
                <w:szCs w:val="26"/>
                <w:rtl/>
                <w:lang w:val="en-GB"/>
              </w:rPr>
              <w:t>14 تشرين الثاني/نوفمبر 1995</w:t>
            </w:r>
          </w:p>
        </w:tc>
        <w:tc>
          <w:tcPr>
            <w:tcW w:w="81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c>
          <w:tcPr>
            <w:tcW w:w="81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r>
      <w:tr w:rsidR="00225595" w:rsidRPr="00A646C8" w:rsidTr="00C4241C">
        <w:trPr>
          <w:cantSplit/>
        </w:trPr>
        <w:tc>
          <w:tcPr>
            <w:tcW w:w="2535" w:type="dxa"/>
            <w:tcBorders>
              <w:top w:val="single" w:sz="4" w:space="0" w:color="auto"/>
              <w:bottom w:val="single" w:sz="4" w:space="0" w:color="auto"/>
            </w:tcBorders>
            <w:shd w:val="clear" w:color="auto" w:fill="auto"/>
          </w:tcPr>
          <w:p w:rsidR="00225595" w:rsidRPr="00A646C8" w:rsidRDefault="00225595" w:rsidP="00165B79">
            <w:pPr>
              <w:pStyle w:val="SingleTxtG"/>
              <w:suppressAutoHyphens w:val="0"/>
              <w:bidi/>
              <w:spacing w:before="40" w:after="40" w:line="280" w:lineRule="exact"/>
              <w:ind w:left="108" w:right="0"/>
              <w:jc w:val="lowKashida"/>
              <w:rPr>
                <w:rFonts w:eastAsia="Times New Roman Bold" w:cs="Traditional Arabic"/>
                <w:sz w:val="18"/>
                <w:szCs w:val="26"/>
                <w:lang w:val="en-GB"/>
              </w:rPr>
            </w:pPr>
            <w:r w:rsidRPr="00A646C8">
              <w:rPr>
                <w:rFonts w:eastAsia="Times New Roman Bold" w:cs="Traditional Arabic" w:hint="cs"/>
                <w:sz w:val="18"/>
                <w:szCs w:val="26"/>
                <w:rtl/>
                <w:lang w:val="en-GB"/>
              </w:rPr>
              <w:t>البروتوكول الاختياري الثاني الملحق بالعهد الدولي الخاص بالحقوق المدنية والسياسية، الهادف إلى إلغاء عقوبة الإعدام</w:t>
            </w:r>
          </w:p>
        </w:tc>
        <w:tc>
          <w:tcPr>
            <w:tcW w:w="1217" w:type="dxa"/>
            <w:tcBorders>
              <w:top w:val="single" w:sz="4" w:space="0" w:color="auto"/>
              <w:bottom w:val="single" w:sz="4" w:space="0" w:color="auto"/>
            </w:tcBorders>
            <w:shd w:val="clear" w:color="auto" w:fill="auto"/>
          </w:tcPr>
          <w:p w:rsidR="00225595" w:rsidRPr="00A646C8" w:rsidRDefault="00225595" w:rsidP="00C4241C">
            <w:pPr>
              <w:pStyle w:val="SingleTxtG"/>
              <w:suppressAutoHyphens w:val="0"/>
              <w:bidi/>
              <w:spacing w:before="40" w:after="40" w:line="280" w:lineRule="exact"/>
              <w:ind w:left="227" w:right="0"/>
              <w:jc w:val="left"/>
              <w:rPr>
                <w:rFonts w:eastAsia="Times New Roman Bold" w:cs="Traditional Arabic"/>
                <w:sz w:val="18"/>
                <w:szCs w:val="26"/>
                <w:lang w:val="en-GB"/>
              </w:rPr>
            </w:pPr>
            <w:r w:rsidRPr="00A646C8">
              <w:rPr>
                <w:rFonts w:eastAsia="Times New Roman Bold" w:cs="Traditional Arabic" w:hint="cs"/>
                <w:sz w:val="18"/>
                <w:szCs w:val="26"/>
                <w:rtl/>
                <w:lang w:val="en-GB"/>
              </w:rPr>
              <w:t xml:space="preserve">لم يوقع </w:t>
            </w:r>
          </w:p>
        </w:tc>
        <w:tc>
          <w:tcPr>
            <w:tcW w:w="149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c>
          <w:tcPr>
            <w:tcW w:w="2204"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8" w:right="0"/>
              <w:jc w:val="left"/>
              <w:rPr>
                <w:rFonts w:eastAsia="Times New Roman Bold" w:cs="Traditional Arabic"/>
                <w:sz w:val="18"/>
                <w:szCs w:val="26"/>
                <w:lang w:val="en-GB"/>
              </w:rPr>
            </w:pPr>
          </w:p>
        </w:tc>
        <w:tc>
          <w:tcPr>
            <w:tcW w:w="81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c>
          <w:tcPr>
            <w:tcW w:w="81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r>
      <w:tr w:rsidR="00225595" w:rsidRPr="00A646C8" w:rsidTr="00C4241C">
        <w:trPr>
          <w:cantSplit/>
        </w:trPr>
        <w:tc>
          <w:tcPr>
            <w:tcW w:w="2535" w:type="dxa"/>
            <w:tcBorders>
              <w:top w:val="single" w:sz="4" w:space="0" w:color="auto"/>
              <w:bottom w:val="single" w:sz="4" w:space="0" w:color="auto"/>
            </w:tcBorders>
            <w:shd w:val="clear" w:color="auto" w:fill="auto"/>
          </w:tcPr>
          <w:p w:rsidR="00225595" w:rsidRPr="00A646C8" w:rsidRDefault="00225595" w:rsidP="00165B79">
            <w:pPr>
              <w:pStyle w:val="SingleTxtG"/>
              <w:suppressAutoHyphens w:val="0"/>
              <w:bidi/>
              <w:spacing w:before="40" w:after="40" w:line="280" w:lineRule="exact"/>
              <w:ind w:left="108" w:right="0"/>
              <w:jc w:val="lowKashida"/>
              <w:rPr>
                <w:rFonts w:eastAsia="Times New Roman Bold" w:cs="Traditional Arabic"/>
                <w:sz w:val="18"/>
                <w:szCs w:val="26"/>
                <w:lang w:val="en-GB"/>
              </w:rPr>
            </w:pPr>
            <w:r w:rsidRPr="00A646C8">
              <w:rPr>
                <w:rFonts w:eastAsia="Times New Roman Bold" w:cs="Traditional Arabic" w:hint="cs"/>
                <w:sz w:val="18"/>
                <w:szCs w:val="26"/>
                <w:rtl/>
                <w:lang w:val="en-GB"/>
              </w:rPr>
              <w:t>الاتفاقية الدولية للقضاء على جميع أشكال التمييز العنصري</w:t>
            </w:r>
          </w:p>
        </w:tc>
        <w:tc>
          <w:tcPr>
            <w:tcW w:w="1217" w:type="dxa"/>
            <w:tcBorders>
              <w:top w:val="single" w:sz="4" w:space="0" w:color="auto"/>
              <w:bottom w:val="single" w:sz="4" w:space="0" w:color="auto"/>
            </w:tcBorders>
            <w:shd w:val="clear" w:color="auto" w:fill="auto"/>
          </w:tcPr>
          <w:p w:rsidR="00225595" w:rsidRPr="00A646C8" w:rsidRDefault="00225595" w:rsidP="00C4241C">
            <w:pPr>
              <w:pStyle w:val="SingleTxtG"/>
              <w:suppressAutoHyphens w:val="0"/>
              <w:bidi/>
              <w:spacing w:before="40" w:after="40" w:line="280" w:lineRule="exact"/>
              <w:ind w:left="227" w:right="0"/>
              <w:jc w:val="left"/>
              <w:rPr>
                <w:rFonts w:eastAsia="Times New Roman Bold" w:cs="Traditional Arabic"/>
                <w:sz w:val="18"/>
                <w:szCs w:val="26"/>
                <w:lang w:val="en-GB"/>
              </w:rPr>
            </w:pPr>
          </w:p>
        </w:tc>
        <w:tc>
          <w:tcPr>
            <w:tcW w:w="149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c>
          <w:tcPr>
            <w:tcW w:w="2204" w:type="dxa"/>
            <w:tcBorders>
              <w:top w:val="single" w:sz="4" w:space="0" w:color="auto"/>
              <w:bottom w:val="single" w:sz="4" w:space="0" w:color="auto"/>
            </w:tcBorders>
            <w:shd w:val="clear" w:color="auto" w:fill="auto"/>
          </w:tcPr>
          <w:p w:rsidR="00225595" w:rsidRPr="00C4241C" w:rsidRDefault="00225595" w:rsidP="00A646C8">
            <w:pPr>
              <w:pStyle w:val="SingleTxtG"/>
              <w:suppressAutoHyphens w:val="0"/>
              <w:bidi/>
              <w:spacing w:before="40" w:after="40" w:line="280" w:lineRule="exact"/>
              <w:ind w:left="108" w:right="0"/>
              <w:jc w:val="left"/>
              <w:rPr>
                <w:rFonts w:eastAsia="Times New Roman Bold" w:cs="Traditional Arabic"/>
                <w:spacing w:val="-6"/>
                <w:sz w:val="18"/>
                <w:szCs w:val="26"/>
                <w:lang w:val="en-GB"/>
              </w:rPr>
            </w:pPr>
            <w:r w:rsidRPr="00C4241C">
              <w:rPr>
                <w:rFonts w:eastAsia="Times New Roman Bold" w:cs="Traditional Arabic" w:hint="cs"/>
                <w:spacing w:val="-6"/>
                <w:sz w:val="18"/>
                <w:szCs w:val="26"/>
                <w:rtl/>
                <w:lang w:val="en-GB"/>
              </w:rPr>
              <w:t>21 تشرين الثاني/نوفمبر 1980</w:t>
            </w:r>
          </w:p>
        </w:tc>
        <w:tc>
          <w:tcPr>
            <w:tcW w:w="81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c>
          <w:tcPr>
            <w:tcW w:w="81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r>
      <w:tr w:rsidR="00225595" w:rsidRPr="00A646C8" w:rsidTr="00C4241C">
        <w:trPr>
          <w:cantSplit/>
        </w:trPr>
        <w:tc>
          <w:tcPr>
            <w:tcW w:w="2535" w:type="dxa"/>
            <w:tcBorders>
              <w:top w:val="single" w:sz="4" w:space="0" w:color="auto"/>
              <w:bottom w:val="single" w:sz="4" w:space="0" w:color="auto"/>
            </w:tcBorders>
            <w:shd w:val="clear" w:color="auto" w:fill="auto"/>
          </w:tcPr>
          <w:p w:rsidR="00225595" w:rsidRPr="00A646C8" w:rsidRDefault="00225595" w:rsidP="00165B79">
            <w:pPr>
              <w:pStyle w:val="SingleTxtG"/>
              <w:suppressAutoHyphens w:val="0"/>
              <w:bidi/>
              <w:spacing w:before="40" w:after="40" w:line="280" w:lineRule="exact"/>
              <w:ind w:left="108" w:right="0"/>
              <w:jc w:val="lowKashida"/>
              <w:rPr>
                <w:rFonts w:eastAsia="Times New Roman Bold" w:cs="Traditional Arabic"/>
                <w:sz w:val="18"/>
                <w:szCs w:val="26"/>
                <w:lang w:val="en-GB"/>
              </w:rPr>
            </w:pPr>
            <w:r w:rsidRPr="00A646C8">
              <w:rPr>
                <w:rFonts w:eastAsia="Times New Roman Bold" w:cs="Traditional Arabic" w:hint="cs"/>
                <w:sz w:val="18"/>
                <w:szCs w:val="26"/>
                <w:rtl/>
                <w:lang w:val="en-GB"/>
              </w:rPr>
              <w:t>اتفاقية القضاء على جميع أشكال التمييز ضد المرأة</w:t>
            </w:r>
          </w:p>
        </w:tc>
        <w:tc>
          <w:tcPr>
            <w:tcW w:w="1217" w:type="dxa"/>
            <w:tcBorders>
              <w:top w:val="single" w:sz="4" w:space="0" w:color="auto"/>
              <w:bottom w:val="single" w:sz="4" w:space="0" w:color="auto"/>
            </w:tcBorders>
            <w:shd w:val="clear" w:color="auto" w:fill="auto"/>
          </w:tcPr>
          <w:p w:rsidR="00225595" w:rsidRPr="00A646C8" w:rsidRDefault="00225595" w:rsidP="00C4241C">
            <w:pPr>
              <w:pStyle w:val="SingleTxtG"/>
              <w:suppressAutoHyphens w:val="0"/>
              <w:bidi/>
              <w:spacing w:before="40" w:after="40" w:line="280" w:lineRule="exact"/>
              <w:ind w:left="227" w:right="0"/>
              <w:jc w:val="left"/>
              <w:rPr>
                <w:rFonts w:eastAsia="Times New Roman Bold" w:cs="Traditional Arabic"/>
                <w:sz w:val="18"/>
                <w:szCs w:val="26"/>
                <w:lang w:val="en-GB"/>
              </w:rPr>
            </w:pPr>
            <w:r w:rsidRPr="00A646C8">
              <w:rPr>
                <w:rFonts w:eastAsia="Times New Roman Bold" w:cs="Traditional Arabic" w:hint="cs"/>
                <w:sz w:val="18"/>
                <w:szCs w:val="26"/>
                <w:rtl/>
                <w:lang w:val="en-GB"/>
              </w:rPr>
              <w:t>30 تموز/يوليه 1980</w:t>
            </w:r>
          </w:p>
        </w:tc>
        <w:tc>
          <w:tcPr>
            <w:tcW w:w="149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r w:rsidRPr="00A646C8">
              <w:rPr>
                <w:rFonts w:eastAsia="Times New Roman Bold" w:cs="Traditional Arabic" w:hint="cs"/>
                <w:sz w:val="18"/>
                <w:szCs w:val="26"/>
                <w:rtl/>
                <w:lang w:val="en-GB"/>
              </w:rPr>
              <w:t>22 تموز/يوليه 1985</w:t>
            </w:r>
          </w:p>
        </w:tc>
        <w:tc>
          <w:tcPr>
            <w:tcW w:w="2204"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8" w:right="0"/>
              <w:jc w:val="left"/>
              <w:rPr>
                <w:rFonts w:eastAsia="Times New Roman Bold" w:cs="Traditional Arabic"/>
                <w:sz w:val="18"/>
                <w:szCs w:val="26"/>
                <w:lang w:val="en-GB"/>
              </w:rPr>
            </w:pPr>
          </w:p>
        </w:tc>
        <w:tc>
          <w:tcPr>
            <w:tcW w:w="81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c>
          <w:tcPr>
            <w:tcW w:w="81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r>
      <w:tr w:rsidR="00225595" w:rsidRPr="00A646C8" w:rsidTr="00C4241C">
        <w:trPr>
          <w:cantSplit/>
        </w:trPr>
        <w:tc>
          <w:tcPr>
            <w:tcW w:w="2535" w:type="dxa"/>
            <w:tcBorders>
              <w:top w:val="single" w:sz="4" w:space="0" w:color="auto"/>
              <w:bottom w:val="single" w:sz="4" w:space="0" w:color="auto"/>
            </w:tcBorders>
            <w:shd w:val="clear" w:color="auto" w:fill="auto"/>
          </w:tcPr>
          <w:p w:rsidR="00225595" w:rsidRPr="00A646C8" w:rsidRDefault="00225595" w:rsidP="00165B79">
            <w:pPr>
              <w:pStyle w:val="SingleTxtG"/>
              <w:suppressAutoHyphens w:val="0"/>
              <w:bidi/>
              <w:spacing w:before="40" w:after="40" w:line="280" w:lineRule="exact"/>
              <w:ind w:left="108" w:right="0"/>
              <w:jc w:val="lowKashida"/>
              <w:rPr>
                <w:rFonts w:eastAsia="Times New Roman Bold" w:cs="Traditional Arabic"/>
                <w:sz w:val="18"/>
                <w:szCs w:val="26"/>
                <w:lang w:val="en-GB"/>
              </w:rPr>
            </w:pPr>
            <w:r w:rsidRPr="00A646C8">
              <w:rPr>
                <w:rFonts w:eastAsia="Times New Roman Bold" w:cs="Traditional Arabic" w:hint="cs"/>
                <w:sz w:val="18"/>
                <w:szCs w:val="26"/>
                <w:rtl/>
                <w:lang w:val="en-GB"/>
              </w:rPr>
              <w:t>البروتوكول الاختياري لاتفاقية القضاء على جميع أشكال التمييز ضد المرأة</w:t>
            </w:r>
          </w:p>
        </w:tc>
        <w:tc>
          <w:tcPr>
            <w:tcW w:w="1217" w:type="dxa"/>
            <w:tcBorders>
              <w:top w:val="single" w:sz="4" w:space="0" w:color="auto"/>
              <w:bottom w:val="single" w:sz="4" w:space="0" w:color="auto"/>
            </w:tcBorders>
            <w:shd w:val="clear" w:color="auto" w:fill="auto"/>
          </w:tcPr>
          <w:p w:rsidR="00225595" w:rsidRPr="00A646C8" w:rsidRDefault="00225595" w:rsidP="00C4241C">
            <w:pPr>
              <w:pStyle w:val="SingleTxtG"/>
              <w:suppressAutoHyphens w:val="0"/>
              <w:bidi/>
              <w:spacing w:before="40" w:after="40" w:line="280" w:lineRule="exact"/>
              <w:ind w:left="227" w:right="0"/>
              <w:jc w:val="left"/>
              <w:rPr>
                <w:rFonts w:eastAsia="Times New Roman Bold" w:cs="Traditional Arabic"/>
                <w:sz w:val="18"/>
                <w:szCs w:val="26"/>
                <w:rtl/>
                <w:lang w:val="en-GB"/>
              </w:rPr>
            </w:pPr>
            <w:r w:rsidRPr="00A646C8">
              <w:rPr>
                <w:rFonts w:eastAsia="Times New Roman Bold" w:cs="Traditional Arabic" w:hint="cs"/>
                <w:sz w:val="18"/>
                <w:szCs w:val="26"/>
                <w:rtl/>
                <w:lang w:val="en-GB"/>
              </w:rPr>
              <w:t xml:space="preserve">لم يوقع </w:t>
            </w:r>
          </w:p>
        </w:tc>
        <w:tc>
          <w:tcPr>
            <w:tcW w:w="149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c>
          <w:tcPr>
            <w:tcW w:w="2204"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8" w:right="0"/>
              <w:jc w:val="left"/>
              <w:rPr>
                <w:rFonts w:eastAsia="Times New Roman Bold" w:cs="Traditional Arabic"/>
                <w:sz w:val="18"/>
                <w:szCs w:val="26"/>
                <w:lang w:val="en-GB"/>
              </w:rPr>
            </w:pPr>
          </w:p>
        </w:tc>
        <w:tc>
          <w:tcPr>
            <w:tcW w:w="81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c>
          <w:tcPr>
            <w:tcW w:w="81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r>
      <w:tr w:rsidR="00225595" w:rsidRPr="00A646C8" w:rsidTr="00C4241C">
        <w:trPr>
          <w:cantSplit/>
        </w:trPr>
        <w:tc>
          <w:tcPr>
            <w:tcW w:w="2535" w:type="dxa"/>
            <w:tcBorders>
              <w:top w:val="single" w:sz="4" w:space="0" w:color="auto"/>
              <w:bottom w:val="single" w:sz="4" w:space="0" w:color="auto"/>
            </w:tcBorders>
            <w:shd w:val="clear" w:color="auto" w:fill="auto"/>
          </w:tcPr>
          <w:p w:rsidR="00225595" w:rsidRPr="00A646C8" w:rsidRDefault="00225595" w:rsidP="00165B79">
            <w:pPr>
              <w:pStyle w:val="SingleTxtG"/>
              <w:suppressAutoHyphens w:val="0"/>
              <w:bidi/>
              <w:spacing w:before="40" w:after="40" w:line="280" w:lineRule="exact"/>
              <w:ind w:left="108" w:right="0"/>
              <w:jc w:val="lowKashida"/>
              <w:rPr>
                <w:rFonts w:cs="Traditional Arabic"/>
                <w:sz w:val="18"/>
                <w:szCs w:val="26"/>
                <w:lang w:val="en-GB"/>
              </w:rPr>
            </w:pPr>
            <w:r w:rsidRPr="00A646C8">
              <w:rPr>
                <w:rFonts w:cs="Traditional Arabic" w:hint="cs"/>
                <w:sz w:val="18"/>
                <w:szCs w:val="26"/>
                <w:rtl/>
                <w:lang w:val="en-GB"/>
              </w:rPr>
              <w:t>اتفاقية مناهضة التعذيب وغيره من ضروب المعاملة أو العقوبة القاسية أو اللاإنسانية أو المهينة</w:t>
            </w:r>
          </w:p>
        </w:tc>
        <w:tc>
          <w:tcPr>
            <w:tcW w:w="1217" w:type="dxa"/>
            <w:tcBorders>
              <w:top w:val="single" w:sz="4" w:space="0" w:color="auto"/>
              <w:bottom w:val="single" w:sz="4" w:space="0" w:color="auto"/>
            </w:tcBorders>
            <w:shd w:val="clear" w:color="auto" w:fill="auto"/>
          </w:tcPr>
          <w:p w:rsidR="00225595" w:rsidRPr="00A646C8" w:rsidRDefault="00225595" w:rsidP="00C4241C">
            <w:pPr>
              <w:pStyle w:val="SingleTxtG"/>
              <w:suppressAutoHyphens w:val="0"/>
              <w:bidi/>
              <w:spacing w:before="40" w:after="40" w:line="280" w:lineRule="exact"/>
              <w:ind w:left="227" w:right="0"/>
              <w:jc w:val="left"/>
              <w:rPr>
                <w:rFonts w:cs="Traditional Arabic"/>
                <w:sz w:val="18"/>
                <w:szCs w:val="26"/>
                <w:lang w:val="en-GB"/>
              </w:rPr>
            </w:pPr>
          </w:p>
        </w:tc>
        <w:tc>
          <w:tcPr>
            <w:tcW w:w="149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c>
          <w:tcPr>
            <w:tcW w:w="2204"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8" w:right="0"/>
              <w:jc w:val="left"/>
              <w:rPr>
                <w:rFonts w:eastAsia="Times New Roman Bold" w:cs="Traditional Arabic"/>
                <w:sz w:val="18"/>
                <w:szCs w:val="26"/>
                <w:lang w:val="en-GB"/>
              </w:rPr>
            </w:pPr>
            <w:r w:rsidRPr="00A646C8">
              <w:rPr>
                <w:rFonts w:eastAsia="Times New Roman Bold" w:cs="Traditional Arabic" w:hint="cs"/>
                <w:sz w:val="18"/>
                <w:szCs w:val="26"/>
                <w:rtl/>
                <w:lang w:val="en-GB"/>
              </w:rPr>
              <w:t>3 تشرين الثاني/نوفمبر 1986</w:t>
            </w:r>
          </w:p>
        </w:tc>
        <w:tc>
          <w:tcPr>
            <w:tcW w:w="81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c>
          <w:tcPr>
            <w:tcW w:w="81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r>
      <w:tr w:rsidR="00225595" w:rsidRPr="00A646C8" w:rsidTr="00C4241C">
        <w:trPr>
          <w:cantSplit/>
        </w:trPr>
        <w:tc>
          <w:tcPr>
            <w:tcW w:w="2535" w:type="dxa"/>
            <w:tcBorders>
              <w:top w:val="single" w:sz="4" w:space="0" w:color="auto"/>
              <w:bottom w:val="single" w:sz="4" w:space="0" w:color="auto"/>
            </w:tcBorders>
            <w:shd w:val="clear" w:color="auto" w:fill="auto"/>
          </w:tcPr>
          <w:p w:rsidR="00225595" w:rsidRPr="00A646C8" w:rsidRDefault="00225595" w:rsidP="00165B79">
            <w:pPr>
              <w:pStyle w:val="SingleTxtG"/>
              <w:suppressAutoHyphens w:val="0"/>
              <w:bidi/>
              <w:spacing w:before="40" w:after="40" w:line="280" w:lineRule="exact"/>
              <w:ind w:left="108" w:right="0"/>
              <w:jc w:val="lowKashida"/>
              <w:rPr>
                <w:rFonts w:cs="Traditional Arabic"/>
                <w:sz w:val="18"/>
                <w:szCs w:val="26"/>
                <w:lang w:val="en-GB"/>
              </w:rPr>
            </w:pPr>
            <w:r w:rsidRPr="00A646C8">
              <w:rPr>
                <w:rFonts w:cs="Traditional Arabic" w:hint="cs"/>
                <w:sz w:val="18"/>
                <w:szCs w:val="26"/>
                <w:rtl/>
                <w:lang w:val="en-GB"/>
              </w:rPr>
              <w:t>البروتوكول الاختياري لاتفاقية مناهضة التعذيب وغيره من ضروب المعاملة أو العقوبة القاسية أو اللاإنسانية أو المهينة</w:t>
            </w:r>
          </w:p>
        </w:tc>
        <w:tc>
          <w:tcPr>
            <w:tcW w:w="1217" w:type="dxa"/>
            <w:tcBorders>
              <w:top w:val="single" w:sz="4" w:space="0" w:color="auto"/>
              <w:bottom w:val="single" w:sz="4" w:space="0" w:color="auto"/>
            </w:tcBorders>
            <w:shd w:val="clear" w:color="auto" w:fill="auto"/>
          </w:tcPr>
          <w:p w:rsidR="00225595" w:rsidRPr="00A646C8" w:rsidRDefault="00225595" w:rsidP="00C4241C">
            <w:pPr>
              <w:pStyle w:val="SingleTxtG"/>
              <w:suppressAutoHyphens w:val="0"/>
              <w:bidi/>
              <w:spacing w:before="40" w:after="40" w:line="280" w:lineRule="exact"/>
              <w:ind w:left="227" w:right="0"/>
              <w:jc w:val="left"/>
              <w:rPr>
                <w:rFonts w:cs="Traditional Arabic"/>
                <w:sz w:val="18"/>
                <w:szCs w:val="26"/>
                <w:lang w:val="en-GB"/>
              </w:rPr>
            </w:pPr>
            <w:r w:rsidRPr="00A646C8">
              <w:rPr>
                <w:rFonts w:cs="Traditional Arabic" w:hint="cs"/>
                <w:sz w:val="18"/>
                <w:szCs w:val="26"/>
                <w:rtl/>
                <w:lang w:val="en-GB"/>
              </w:rPr>
              <w:t xml:space="preserve">لم يوقع </w:t>
            </w:r>
          </w:p>
        </w:tc>
        <w:tc>
          <w:tcPr>
            <w:tcW w:w="149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c>
          <w:tcPr>
            <w:tcW w:w="2204"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8" w:right="0"/>
              <w:jc w:val="left"/>
              <w:rPr>
                <w:rFonts w:eastAsia="Times New Roman Bold" w:cs="Traditional Arabic"/>
                <w:sz w:val="18"/>
                <w:szCs w:val="26"/>
                <w:lang w:val="en-GB"/>
              </w:rPr>
            </w:pPr>
          </w:p>
        </w:tc>
        <w:tc>
          <w:tcPr>
            <w:tcW w:w="81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c>
          <w:tcPr>
            <w:tcW w:w="81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r>
      <w:tr w:rsidR="00225595" w:rsidRPr="00A646C8" w:rsidTr="00C4241C">
        <w:trPr>
          <w:cantSplit/>
        </w:trPr>
        <w:tc>
          <w:tcPr>
            <w:tcW w:w="2535"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8" w:right="0"/>
              <w:rPr>
                <w:rFonts w:cs="Traditional Arabic"/>
                <w:sz w:val="18"/>
                <w:szCs w:val="26"/>
                <w:lang w:val="en-GB"/>
              </w:rPr>
            </w:pPr>
            <w:r w:rsidRPr="00A646C8">
              <w:rPr>
                <w:rFonts w:cs="Traditional Arabic" w:hint="cs"/>
                <w:sz w:val="18"/>
                <w:szCs w:val="26"/>
                <w:rtl/>
                <w:lang w:val="en-GB"/>
              </w:rPr>
              <w:lastRenderedPageBreak/>
              <w:t>اتفاقية حقوق الطفل</w:t>
            </w:r>
          </w:p>
        </w:tc>
        <w:tc>
          <w:tcPr>
            <w:tcW w:w="1217" w:type="dxa"/>
            <w:tcBorders>
              <w:top w:val="single" w:sz="4" w:space="0" w:color="auto"/>
              <w:bottom w:val="single" w:sz="4" w:space="0" w:color="auto"/>
            </w:tcBorders>
            <w:shd w:val="clear" w:color="auto" w:fill="auto"/>
          </w:tcPr>
          <w:p w:rsidR="00225595" w:rsidRPr="00C4241C" w:rsidRDefault="00DE1CAF" w:rsidP="00C4241C">
            <w:pPr>
              <w:pStyle w:val="SingleTxtG"/>
              <w:suppressAutoHyphens w:val="0"/>
              <w:bidi/>
              <w:spacing w:before="40" w:after="40" w:line="280" w:lineRule="exact"/>
              <w:ind w:left="227" w:right="0"/>
              <w:jc w:val="left"/>
              <w:rPr>
                <w:rFonts w:cs="Traditional Arabic"/>
                <w:spacing w:val="-10"/>
                <w:sz w:val="18"/>
                <w:szCs w:val="26"/>
                <w:lang w:val="en-GB"/>
              </w:rPr>
            </w:pPr>
            <w:r w:rsidRPr="00C4241C">
              <w:rPr>
                <w:rFonts w:cs="Traditional Arabic" w:hint="cs"/>
                <w:spacing w:val="-10"/>
                <w:sz w:val="18"/>
                <w:szCs w:val="26"/>
                <w:rtl/>
                <w:lang w:val="en-GB"/>
              </w:rPr>
              <w:t>17 آب/</w:t>
            </w:r>
            <w:r w:rsidR="00C4241C" w:rsidRPr="00C4241C">
              <w:rPr>
                <w:rFonts w:cs="Traditional Arabic" w:hint="cs"/>
                <w:spacing w:val="-10"/>
                <w:sz w:val="18"/>
                <w:szCs w:val="26"/>
                <w:rtl/>
                <w:lang w:val="en-GB"/>
              </w:rPr>
              <w:t xml:space="preserve"> </w:t>
            </w:r>
            <w:r w:rsidR="00225595" w:rsidRPr="00C4241C">
              <w:rPr>
                <w:rFonts w:cs="Traditional Arabic" w:hint="cs"/>
                <w:spacing w:val="-10"/>
                <w:sz w:val="18"/>
                <w:szCs w:val="26"/>
                <w:rtl/>
                <w:lang w:val="en-GB"/>
              </w:rPr>
              <w:t>أغسطس 1990</w:t>
            </w:r>
          </w:p>
        </w:tc>
        <w:tc>
          <w:tcPr>
            <w:tcW w:w="1492" w:type="dxa"/>
            <w:tcBorders>
              <w:top w:val="single" w:sz="4" w:space="0" w:color="auto"/>
              <w:bottom w:val="single" w:sz="4" w:space="0" w:color="auto"/>
            </w:tcBorders>
            <w:shd w:val="clear" w:color="auto" w:fill="auto"/>
          </w:tcPr>
          <w:p w:rsidR="00225595" w:rsidRPr="00A646C8" w:rsidRDefault="00165B79" w:rsidP="00A646C8">
            <w:pPr>
              <w:pStyle w:val="SingleTxtG"/>
              <w:suppressAutoHyphens w:val="0"/>
              <w:bidi/>
              <w:spacing w:before="40" w:after="40" w:line="280" w:lineRule="exact"/>
              <w:ind w:left="106" w:right="0"/>
              <w:jc w:val="left"/>
              <w:rPr>
                <w:rFonts w:eastAsia="Times New Roman Bold" w:cs="Traditional Arabic"/>
                <w:sz w:val="18"/>
                <w:szCs w:val="26"/>
                <w:lang w:val="en-GB"/>
              </w:rPr>
            </w:pPr>
            <w:r>
              <w:rPr>
                <w:rFonts w:cs="Traditional Arabic" w:hint="cs"/>
                <w:sz w:val="18"/>
                <w:szCs w:val="26"/>
                <w:rtl/>
                <w:lang w:val="en-GB"/>
              </w:rPr>
              <w:t>17 آب/</w:t>
            </w:r>
            <w:r w:rsidR="00C4241C">
              <w:rPr>
                <w:rFonts w:cs="Traditional Arabic" w:hint="cs"/>
                <w:sz w:val="18"/>
                <w:szCs w:val="26"/>
                <w:rtl/>
                <w:lang w:val="en-GB"/>
              </w:rPr>
              <w:t xml:space="preserve"> </w:t>
            </w:r>
            <w:r w:rsidR="00225595" w:rsidRPr="00A646C8">
              <w:rPr>
                <w:rFonts w:cs="Traditional Arabic" w:hint="cs"/>
                <w:sz w:val="18"/>
                <w:szCs w:val="26"/>
                <w:rtl/>
                <w:lang w:val="en-GB"/>
              </w:rPr>
              <w:t>أغسطس 1990</w:t>
            </w:r>
          </w:p>
        </w:tc>
        <w:tc>
          <w:tcPr>
            <w:tcW w:w="2204"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8" w:right="0"/>
              <w:jc w:val="left"/>
              <w:rPr>
                <w:rFonts w:eastAsia="Times New Roman Bold" w:cs="Traditional Arabic"/>
                <w:sz w:val="18"/>
                <w:szCs w:val="26"/>
                <w:lang w:val="en-GB"/>
              </w:rPr>
            </w:pPr>
          </w:p>
        </w:tc>
        <w:tc>
          <w:tcPr>
            <w:tcW w:w="81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c>
          <w:tcPr>
            <w:tcW w:w="81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r>
      <w:tr w:rsidR="00225595" w:rsidRPr="00A646C8" w:rsidTr="00C4241C">
        <w:trPr>
          <w:cantSplit/>
        </w:trPr>
        <w:tc>
          <w:tcPr>
            <w:tcW w:w="2535" w:type="dxa"/>
            <w:tcBorders>
              <w:top w:val="single" w:sz="4" w:space="0" w:color="auto"/>
              <w:bottom w:val="single" w:sz="4" w:space="0" w:color="auto"/>
            </w:tcBorders>
            <w:shd w:val="clear" w:color="auto" w:fill="auto"/>
          </w:tcPr>
          <w:p w:rsidR="00225595" w:rsidRPr="00A646C8" w:rsidRDefault="00225595" w:rsidP="00154E9B">
            <w:pPr>
              <w:pStyle w:val="SingleTxtG"/>
              <w:suppressAutoHyphens w:val="0"/>
              <w:bidi/>
              <w:spacing w:before="40" w:after="40" w:line="280" w:lineRule="exact"/>
              <w:ind w:left="108" w:right="0"/>
              <w:jc w:val="lowKashida"/>
              <w:rPr>
                <w:rFonts w:cs="Traditional Arabic"/>
                <w:sz w:val="18"/>
                <w:szCs w:val="26"/>
                <w:lang w:val="en-GB"/>
              </w:rPr>
            </w:pPr>
            <w:r w:rsidRPr="00A646C8">
              <w:rPr>
                <w:rFonts w:cs="Traditional Arabic" w:hint="cs"/>
                <w:sz w:val="18"/>
                <w:szCs w:val="26"/>
                <w:rtl/>
                <w:lang w:val="en-GB"/>
              </w:rPr>
              <w:t>البروتوكول الاختياري لاتفاقية حقوق الطفل بشأن اشتراك الأطفال في المنا</w:t>
            </w:r>
            <w:r w:rsidR="00C4241C">
              <w:rPr>
                <w:rFonts w:cs="Traditional Arabic" w:hint="cs"/>
                <w:sz w:val="18"/>
                <w:szCs w:val="26"/>
                <w:rtl/>
                <w:lang w:val="en-GB"/>
              </w:rPr>
              <w:t>ز</w:t>
            </w:r>
            <w:r w:rsidRPr="00A646C8">
              <w:rPr>
                <w:rFonts w:cs="Traditional Arabic" w:hint="cs"/>
                <w:sz w:val="18"/>
                <w:szCs w:val="26"/>
                <w:rtl/>
                <w:lang w:val="en-GB"/>
              </w:rPr>
              <w:t>عات المسلحة</w:t>
            </w:r>
          </w:p>
        </w:tc>
        <w:tc>
          <w:tcPr>
            <w:tcW w:w="1217" w:type="dxa"/>
            <w:tcBorders>
              <w:top w:val="single" w:sz="4" w:space="0" w:color="auto"/>
              <w:bottom w:val="single" w:sz="4" w:space="0" w:color="auto"/>
            </w:tcBorders>
            <w:shd w:val="clear" w:color="auto" w:fill="auto"/>
          </w:tcPr>
          <w:p w:rsidR="00225595" w:rsidRPr="00A646C8" w:rsidRDefault="00225595" w:rsidP="00C4241C">
            <w:pPr>
              <w:pStyle w:val="SingleTxtG"/>
              <w:suppressAutoHyphens w:val="0"/>
              <w:bidi/>
              <w:spacing w:before="40" w:after="40" w:line="280" w:lineRule="exact"/>
              <w:ind w:left="227" w:right="0"/>
              <w:jc w:val="left"/>
              <w:rPr>
                <w:rFonts w:cs="Traditional Arabic"/>
                <w:sz w:val="18"/>
                <w:szCs w:val="26"/>
                <w:lang w:val="en-GB"/>
              </w:rPr>
            </w:pPr>
          </w:p>
        </w:tc>
        <w:tc>
          <w:tcPr>
            <w:tcW w:w="149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c>
          <w:tcPr>
            <w:tcW w:w="2204"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8" w:right="0"/>
              <w:jc w:val="left"/>
              <w:rPr>
                <w:rFonts w:eastAsia="Times New Roman Bold" w:cs="Traditional Arabic"/>
                <w:sz w:val="18"/>
                <w:szCs w:val="26"/>
                <w:lang w:val="en-GB"/>
              </w:rPr>
            </w:pPr>
            <w:r w:rsidRPr="00A646C8">
              <w:rPr>
                <w:rFonts w:eastAsia="Times New Roman Bold" w:cs="Traditional Arabic" w:hint="cs"/>
                <w:sz w:val="18"/>
                <w:szCs w:val="26"/>
                <w:rtl/>
                <w:lang w:val="en-GB"/>
              </w:rPr>
              <w:t>6 أيار/مايو 2002</w:t>
            </w:r>
          </w:p>
        </w:tc>
        <w:tc>
          <w:tcPr>
            <w:tcW w:w="81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c>
          <w:tcPr>
            <w:tcW w:w="812" w:type="dxa"/>
            <w:tcBorders>
              <w:top w:val="single" w:sz="4" w:space="0" w:color="auto"/>
              <w:bottom w:val="single" w:sz="4" w:space="0" w:color="auto"/>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r>
      <w:tr w:rsidR="00225595" w:rsidRPr="00A646C8" w:rsidTr="00C4241C">
        <w:trPr>
          <w:cantSplit/>
        </w:trPr>
        <w:tc>
          <w:tcPr>
            <w:tcW w:w="2535" w:type="dxa"/>
            <w:tcBorders>
              <w:top w:val="single" w:sz="4" w:space="0" w:color="auto"/>
              <w:bottom w:val="nil"/>
            </w:tcBorders>
            <w:shd w:val="clear" w:color="auto" w:fill="auto"/>
          </w:tcPr>
          <w:p w:rsidR="00225595" w:rsidRPr="00A646C8" w:rsidRDefault="00225595" w:rsidP="00A646C8">
            <w:pPr>
              <w:pStyle w:val="SingleTxtG"/>
              <w:suppressAutoHyphens w:val="0"/>
              <w:bidi/>
              <w:spacing w:before="40" w:after="40" w:line="280" w:lineRule="exact"/>
              <w:ind w:left="108" w:right="0"/>
              <w:rPr>
                <w:rFonts w:cs="Traditional Arabic"/>
                <w:sz w:val="18"/>
                <w:szCs w:val="26"/>
                <w:lang w:val="en-GB"/>
              </w:rPr>
            </w:pPr>
            <w:r w:rsidRPr="00A646C8">
              <w:rPr>
                <w:rFonts w:cs="Traditional Arabic" w:hint="cs"/>
                <w:sz w:val="18"/>
                <w:szCs w:val="26"/>
                <w:rtl/>
                <w:lang w:val="en-GB"/>
              </w:rPr>
              <w:t>البروتوكول الاختياري لاتفاقية حقوق الطفل بشأن بيع الأطفال واستغلال الأطفال في البغاء وفي المواد الإباحية</w:t>
            </w:r>
          </w:p>
        </w:tc>
        <w:tc>
          <w:tcPr>
            <w:tcW w:w="1217" w:type="dxa"/>
            <w:tcBorders>
              <w:top w:val="single" w:sz="4" w:space="0" w:color="auto"/>
              <w:bottom w:val="nil"/>
            </w:tcBorders>
            <w:shd w:val="clear" w:color="auto" w:fill="auto"/>
          </w:tcPr>
          <w:p w:rsidR="00225595" w:rsidRPr="00A646C8" w:rsidRDefault="00225595" w:rsidP="00C4241C">
            <w:pPr>
              <w:pStyle w:val="SingleTxtG"/>
              <w:suppressAutoHyphens w:val="0"/>
              <w:bidi/>
              <w:spacing w:before="40" w:after="40" w:line="280" w:lineRule="exact"/>
              <w:ind w:left="227" w:right="0"/>
              <w:jc w:val="left"/>
              <w:rPr>
                <w:rFonts w:cs="Traditional Arabic"/>
                <w:sz w:val="18"/>
                <w:szCs w:val="26"/>
                <w:lang w:val="en-GB"/>
              </w:rPr>
            </w:pPr>
          </w:p>
        </w:tc>
        <w:tc>
          <w:tcPr>
            <w:tcW w:w="1492" w:type="dxa"/>
            <w:tcBorders>
              <w:top w:val="single" w:sz="4" w:space="0" w:color="auto"/>
              <w:bottom w:val="nil"/>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r w:rsidRPr="00A646C8">
              <w:rPr>
                <w:rFonts w:eastAsia="Times New Roman Bold" w:cs="Traditional Arabic" w:hint="cs"/>
                <w:sz w:val="18"/>
                <w:szCs w:val="26"/>
                <w:rtl/>
                <w:lang w:val="en-GB"/>
              </w:rPr>
              <w:t>21 تموز/يوليه 2001</w:t>
            </w:r>
          </w:p>
        </w:tc>
        <w:tc>
          <w:tcPr>
            <w:tcW w:w="2204" w:type="dxa"/>
            <w:tcBorders>
              <w:top w:val="single" w:sz="4" w:space="0" w:color="auto"/>
              <w:bottom w:val="nil"/>
            </w:tcBorders>
            <w:shd w:val="clear" w:color="auto" w:fill="auto"/>
          </w:tcPr>
          <w:p w:rsidR="00225595" w:rsidRPr="00A646C8" w:rsidRDefault="00225595" w:rsidP="00A646C8">
            <w:pPr>
              <w:pStyle w:val="SingleTxtG"/>
              <w:suppressAutoHyphens w:val="0"/>
              <w:bidi/>
              <w:spacing w:before="40" w:after="40" w:line="280" w:lineRule="exact"/>
              <w:ind w:left="108" w:right="0"/>
              <w:jc w:val="left"/>
              <w:rPr>
                <w:rFonts w:eastAsia="Times New Roman Bold" w:cs="Traditional Arabic"/>
                <w:sz w:val="18"/>
                <w:szCs w:val="26"/>
                <w:lang w:val="en-GB"/>
              </w:rPr>
            </w:pPr>
          </w:p>
        </w:tc>
        <w:tc>
          <w:tcPr>
            <w:tcW w:w="812" w:type="dxa"/>
            <w:tcBorders>
              <w:top w:val="single" w:sz="4" w:space="0" w:color="auto"/>
              <w:bottom w:val="nil"/>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c>
          <w:tcPr>
            <w:tcW w:w="812" w:type="dxa"/>
            <w:tcBorders>
              <w:top w:val="single" w:sz="4" w:space="0" w:color="auto"/>
              <w:bottom w:val="nil"/>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r>
      <w:tr w:rsidR="00225595" w:rsidRPr="00A646C8" w:rsidTr="00C4241C">
        <w:trPr>
          <w:cantSplit/>
        </w:trPr>
        <w:tc>
          <w:tcPr>
            <w:tcW w:w="2535" w:type="dxa"/>
            <w:tcBorders>
              <w:top w:val="nil"/>
            </w:tcBorders>
            <w:shd w:val="clear" w:color="auto" w:fill="auto"/>
          </w:tcPr>
          <w:p w:rsidR="00225595" w:rsidRPr="00A646C8" w:rsidRDefault="00225595" w:rsidP="00A646C8">
            <w:pPr>
              <w:pStyle w:val="SingleTxtG"/>
              <w:suppressAutoHyphens w:val="0"/>
              <w:bidi/>
              <w:spacing w:before="40" w:after="40" w:line="280" w:lineRule="exact"/>
              <w:ind w:left="108" w:right="0"/>
              <w:jc w:val="left"/>
              <w:rPr>
                <w:rFonts w:cs="Traditional Arabic"/>
                <w:sz w:val="18"/>
                <w:szCs w:val="26"/>
                <w:lang w:val="en-GB"/>
              </w:rPr>
            </w:pPr>
            <w:r w:rsidRPr="00A646C8">
              <w:rPr>
                <w:rFonts w:cs="Traditional Arabic" w:hint="cs"/>
                <w:sz w:val="18"/>
                <w:szCs w:val="26"/>
                <w:rtl/>
                <w:lang w:val="en-GB"/>
              </w:rPr>
              <w:t>الاتفاقية الدولية لحماية حقوق جميع العمال المهاجرين وأفراد أسرهم</w:t>
            </w:r>
          </w:p>
        </w:tc>
        <w:tc>
          <w:tcPr>
            <w:tcW w:w="1217" w:type="dxa"/>
            <w:tcBorders>
              <w:top w:val="nil"/>
            </w:tcBorders>
            <w:shd w:val="clear" w:color="auto" w:fill="auto"/>
          </w:tcPr>
          <w:p w:rsidR="00225595" w:rsidRPr="00A646C8" w:rsidRDefault="00225595" w:rsidP="00C4241C">
            <w:pPr>
              <w:pStyle w:val="SingleTxtG"/>
              <w:suppressAutoHyphens w:val="0"/>
              <w:bidi/>
              <w:spacing w:before="40" w:after="40" w:line="280" w:lineRule="exact"/>
              <w:ind w:left="227" w:right="0"/>
              <w:jc w:val="left"/>
              <w:rPr>
                <w:rFonts w:cs="Traditional Arabic"/>
                <w:sz w:val="18"/>
                <w:szCs w:val="26"/>
                <w:lang w:val="en-GB"/>
              </w:rPr>
            </w:pPr>
          </w:p>
        </w:tc>
        <w:tc>
          <w:tcPr>
            <w:tcW w:w="1492" w:type="dxa"/>
            <w:tcBorders>
              <w:top w:val="nil"/>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c>
          <w:tcPr>
            <w:tcW w:w="2204" w:type="dxa"/>
            <w:tcBorders>
              <w:top w:val="nil"/>
            </w:tcBorders>
            <w:shd w:val="clear" w:color="auto" w:fill="auto"/>
          </w:tcPr>
          <w:p w:rsidR="00225595" w:rsidRPr="00A646C8" w:rsidRDefault="00225595" w:rsidP="00A646C8">
            <w:pPr>
              <w:pStyle w:val="SingleTxtG"/>
              <w:suppressAutoHyphens w:val="0"/>
              <w:bidi/>
              <w:spacing w:before="40" w:after="40" w:line="280" w:lineRule="exact"/>
              <w:ind w:left="108" w:right="0"/>
              <w:jc w:val="left"/>
              <w:rPr>
                <w:rFonts w:eastAsia="Times New Roman Bold" w:cs="Traditional Arabic"/>
                <w:sz w:val="18"/>
                <w:szCs w:val="26"/>
                <w:lang w:val="en-GB"/>
              </w:rPr>
            </w:pPr>
            <w:r w:rsidRPr="00A646C8">
              <w:rPr>
                <w:rFonts w:eastAsia="Times New Roman Bold" w:cs="Traditional Arabic" w:hint="cs"/>
                <w:sz w:val="18"/>
                <w:szCs w:val="26"/>
                <w:rtl/>
                <w:lang w:val="en-GB"/>
              </w:rPr>
              <w:t>14 تشرين الثاني/نوفمبر 1995</w:t>
            </w:r>
          </w:p>
        </w:tc>
        <w:tc>
          <w:tcPr>
            <w:tcW w:w="812" w:type="dxa"/>
            <w:tcBorders>
              <w:top w:val="nil"/>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c>
          <w:tcPr>
            <w:tcW w:w="812" w:type="dxa"/>
            <w:tcBorders>
              <w:top w:val="nil"/>
            </w:tcBorders>
            <w:shd w:val="clear" w:color="auto" w:fill="auto"/>
          </w:tcPr>
          <w:p w:rsidR="00225595" w:rsidRPr="00A646C8" w:rsidRDefault="00225595" w:rsidP="00A646C8">
            <w:pPr>
              <w:pStyle w:val="SingleTxtG"/>
              <w:suppressAutoHyphens w:val="0"/>
              <w:bidi/>
              <w:spacing w:before="40" w:after="40" w:line="280" w:lineRule="exact"/>
              <w:ind w:left="106" w:right="0"/>
              <w:jc w:val="left"/>
              <w:rPr>
                <w:rFonts w:eastAsia="Times New Roman Bold" w:cs="Traditional Arabic"/>
                <w:sz w:val="18"/>
                <w:szCs w:val="26"/>
                <w:lang w:val="en-GB"/>
              </w:rPr>
            </w:pPr>
          </w:p>
        </w:tc>
      </w:tr>
    </w:tbl>
    <w:p w:rsidR="00225595" w:rsidRDefault="00225595" w:rsidP="00C4241C">
      <w:pPr>
        <w:pStyle w:val="SingleTxtGA"/>
        <w:spacing w:before="120"/>
        <w:rPr>
          <w:rtl/>
        </w:rPr>
      </w:pPr>
      <w:r>
        <w:rPr>
          <w:rFonts w:hint="cs"/>
          <w:rtl/>
        </w:rPr>
        <w:t>51-</w:t>
      </w:r>
      <w:r>
        <w:rPr>
          <w:rFonts w:hint="cs"/>
          <w:rtl/>
        </w:rPr>
        <w:tab/>
      </w:r>
      <w:r>
        <w:rPr>
          <w:rFonts w:hint="cs"/>
          <w:b/>
          <w:bCs/>
          <w:rtl/>
        </w:rPr>
        <w:t>التحفظات والإعلانات:</w:t>
      </w:r>
      <w:r>
        <w:rPr>
          <w:rFonts w:hint="cs"/>
          <w:rtl/>
        </w:rPr>
        <w:t xml:space="preserve"> أبدت أوغندا تحفظات على العهد الدولي الخاص بالحقوق المدنية والسياسية وعلى </w:t>
      </w:r>
      <w:r w:rsidRPr="002F065A">
        <w:rPr>
          <w:rFonts w:hint="cs"/>
          <w:rtl/>
        </w:rPr>
        <w:t>البروتوكول الاختياري لاتفاقية حقوق الطفل بشأن اشتراك الأطفال في المنا</w:t>
      </w:r>
      <w:r w:rsidR="00C4241C">
        <w:rPr>
          <w:rFonts w:hint="cs"/>
          <w:rtl/>
        </w:rPr>
        <w:t>ز</w:t>
      </w:r>
      <w:r w:rsidRPr="002F065A">
        <w:rPr>
          <w:rFonts w:hint="cs"/>
          <w:rtl/>
        </w:rPr>
        <w:t>عات المسلحة. ويتعلق التحفظ</w:t>
      </w:r>
      <w:r>
        <w:rPr>
          <w:rFonts w:hint="cs"/>
          <w:rtl/>
        </w:rPr>
        <w:t xml:space="preserve"> الخاص بالعهد بالمادة 5 وهو ينص على أن أوغندا "لا تقبل اختصاص اللجنة المعنية بحقوق الإنسان المتعلق بالنظر في البلاغات الفردية وفقاً لأحكام الفقرة</w:t>
      </w:r>
      <w:r w:rsidR="00C4241C">
        <w:rPr>
          <w:rFonts w:hint="eastAsia"/>
          <w:rtl/>
        </w:rPr>
        <w:t> </w:t>
      </w:r>
      <w:r>
        <w:rPr>
          <w:rFonts w:hint="cs"/>
          <w:rtl/>
        </w:rPr>
        <w:t>2 من المادة 5 إذا</w:t>
      </w:r>
      <w:r w:rsidR="00C43876">
        <w:rPr>
          <w:rFonts w:hint="cs"/>
          <w:rtl/>
        </w:rPr>
        <w:t xml:space="preserve"> </w:t>
      </w:r>
      <w:r>
        <w:rPr>
          <w:rFonts w:hint="cs"/>
          <w:rtl/>
        </w:rPr>
        <w:t>كانت المسألة ذات الصلة قد سبق بحثها وفقاً لإجراء آخر يتعلق بالتحقيق أو التسوية الدوليين"</w:t>
      </w:r>
      <w:r>
        <w:rPr>
          <w:vertAlign w:val="superscript"/>
          <w:rtl/>
        </w:rPr>
        <w:t>(</w:t>
      </w:r>
      <w:r>
        <w:rPr>
          <w:rStyle w:val="FootnoteReference"/>
          <w:rtl/>
        </w:rPr>
        <w:footnoteReference w:id="60"/>
      </w:r>
      <w:r>
        <w:rPr>
          <w:vertAlign w:val="superscript"/>
          <w:rtl/>
        </w:rPr>
        <w:t>)</w:t>
      </w:r>
      <w:r>
        <w:rPr>
          <w:rFonts w:hint="cs"/>
          <w:rtl/>
        </w:rPr>
        <w:t>. وينص التحفظ على البروتوكول الاختياري لاتفاقية حقوق الطفل بشأن اشتراك الأطفال في المنازعات المسلحة على ما يلي:</w:t>
      </w:r>
    </w:p>
    <w:p w:rsidR="00225595" w:rsidRPr="00A067AB" w:rsidRDefault="00165B79" w:rsidP="00503148">
      <w:pPr>
        <w:pStyle w:val="SingleTxtGA"/>
        <w:ind w:left="1928"/>
        <w:rPr>
          <w:rtl/>
        </w:rPr>
      </w:pPr>
      <w:r>
        <w:rPr>
          <w:rFonts w:hint="cs"/>
          <w:rtl/>
        </w:rPr>
        <w:tab/>
      </w:r>
      <w:r w:rsidR="00225595">
        <w:rPr>
          <w:rFonts w:hint="cs"/>
          <w:rtl/>
        </w:rPr>
        <w:t>"تعلن حكومة جمهورية أوغندا أن السن الدنيا لتجنيد الأشخاص في القوات المسلحة هو ثمانية عشر عاماً بحسب القانون. والتجنيد في الجيش طوعي على نحو كامل وصارم وهو يتم بالموافقة التامة والمستنيرة للمجندين. ولا تطبق أوغندا سياسة التجنيد الإلزامي".</w:t>
      </w:r>
    </w:p>
    <w:p w:rsidR="00225595" w:rsidRPr="00165B79" w:rsidRDefault="00225595" w:rsidP="00503148">
      <w:pPr>
        <w:pStyle w:val="SingleTxtGA"/>
        <w:rPr>
          <w:spacing w:val="-4"/>
          <w:rtl/>
        </w:rPr>
      </w:pPr>
      <w:r w:rsidRPr="00165B79">
        <w:rPr>
          <w:rFonts w:hint="cs"/>
          <w:spacing w:val="-4"/>
          <w:rtl/>
        </w:rPr>
        <w:t>52-</w:t>
      </w:r>
      <w:r w:rsidRPr="00165B79">
        <w:rPr>
          <w:rFonts w:hint="cs"/>
          <w:spacing w:val="-4"/>
          <w:rtl/>
        </w:rPr>
        <w:tab/>
        <w:t>وأبدت الحكومة أيضاً تحفظاً على المادة 18(3)(د) من الاتفاقية الدولية لحماية حقوق جميع العمال المهاجرين وأفراد أسرهم. وينص التحفظ على ما يلي: "ليس بوسع جمهورية أوغندا أن تضمن في جميع الأوقات توفير مساعدة قانونية مجانية وفقاً لأحكام الفقرة 3(د) من المادة 18".</w:t>
      </w:r>
    </w:p>
    <w:p w:rsidR="00225595" w:rsidRDefault="00225595" w:rsidP="00503148">
      <w:pPr>
        <w:pStyle w:val="SingleTxtGA"/>
        <w:rPr>
          <w:rtl/>
        </w:rPr>
      </w:pPr>
      <w:r>
        <w:rPr>
          <w:rFonts w:hint="cs"/>
          <w:rtl/>
        </w:rPr>
        <w:t>53-</w:t>
      </w:r>
      <w:r>
        <w:rPr>
          <w:rFonts w:hint="cs"/>
          <w:rtl/>
        </w:rPr>
        <w:tab/>
      </w:r>
      <w:r>
        <w:rPr>
          <w:rFonts w:hint="cs"/>
          <w:b/>
          <w:bCs/>
          <w:rtl/>
        </w:rPr>
        <w:t>التصديق على صكوك دولية وإقليمية أخرى:</w:t>
      </w:r>
      <w:r>
        <w:rPr>
          <w:rFonts w:hint="cs"/>
          <w:rtl/>
        </w:rPr>
        <w:t xml:space="preserve"> أوغندا طرف أيضاً في اتفاقيات دولية وإقليمية تتعلق بالقانون الدولي لحقوق الإنسان والقانون الدولي الإنساني. ويقدم الجدول الوارد في المرفق تفاصيل بهذا الشأن. وأبدت أوغندا تحفظاً على المادة 14 من البروتوكول الملحق بالميثاق الأفريقي لحقوق الإنسان والشعوب، المتعلق بحقوق المرأة في أفريقيا بشأن الصحة الجنسية والإنجابية. وتتعلق تحفظات أوغندا بحكمين اثنين هما: حق المرأة في التحكم في خصوبتها، والسماح بالإجهاض في ظروف محددة.</w:t>
      </w:r>
    </w:p>
    <w:p w:rsidR="00225595" w:rsidRPr="0084377E" w:rsidRDefault="00225595" w:rsidP="000D65D7">
      <w:pPr>
        <w:pStyle w:val="HChGA"/>
        <w:spacing w:before="120"/>
        <w:rPr>
          <w:rtl/>
        </w:rPr>
      </w:pPr>
      <w:r>
        <w:rPr>
          <w:rFonts w:hint="cs"/>
          <w:rtl/>
        </w:rPr>
        <w:lastRenderedPageBreak/>
        <w:tab/>
      </w:r>
      <w:bookmarkStart w:id="7" w:name="_Toc421870481"/>
      <w:r>
        <w:rPr>
          <w:rFonts w:hint="cs"/>
          <w:rtl/>
        </w:rPr>
        <w:t>رابعاً-</w:t>
      </w:r>
      <w:r>
        <w:rPr>
          <w:rFonts w:hint="cs"/>
          <w:rtl/>
        </w:rPr>
        <w:tab/>
        <w:t>ال</w:t>
      </w:r>
      <w:r w:rsidR="00165B79">
        <w:rPr>
          <w:rFonts w:hint="cs"/>
          <w:rtl/>
        </w:rPr>
        <w:t>إطار الوطني لحماية حقوق الإنسان</w:t>
      </w:r>
      <w:bookmarkEnd w:id="7"/>
    </w:p>
    <w:p w:rsidR="00225595" w:rsidRDefault="00225595" w:rsidP="000D65D7">
      <w:pPr>
        <w:pStyle w:val="SingleTxtGA"/>
        <w:spacing w:line="370" w:lineRule="exact"/>
        <w:rPr>
          <w:rtl/>
        </w:rPr>
      </w:pPr>
      <w:r>
        <w:rPr>
          <w:rFonts w:hint="cs"/>
          <w:rtl/>
        </w:rPr>
        <w:t>54-</w:t>
      </w:r>
      <w:r>
        <w:rPr>
          <w:rFonts w:hint="cs"/>
          <w:rtl/>
        </w:rPr>
        <w:tab/>
        <w:t>يعتبر دستور جمهورية أوغندا لعام 1995 أحد أكثر الدساتير الأفريقية تقدماً. وقد اعتُمد الدستور بعد فترة خمس سنوات من المشاورات الواسعة النطاق مع الشعب الأوغندي حول أفضل السبل التي يرغبون في اتباعها في حكمهم. وللمرة الأولى، ضم الدستور ديباجة تتناول تاريخ البلد وطموحات الشعب التي تشمل رغبته في احترام وحماية وإعمال حقوق كل شخص في أوغندا بغض النظر عن مركزه أو أصله أو جنسه أو أي اختلافات أخرى. ويتضمن الفصل الرابع من الدستور الذي يطلق عليه اسم "شرعة الحقوق" عدة مواد (من المادة 20 إلى المادة 45) تكرس بوجه خاص الحقوق والحريات المحددة المحمية والمعززة والمضمونة لكل شخص داخل إقليم أوغندا، بما في ذلك العمال المهاجرون، رهناً بالقيود التي ينص عليها القانون فقط. وتشمل الحقوق المضمونة ما يلي:</w:t>
      </w:r>
    </w:p>
    <w:p w:rsidR="00225595" w:rsidRPr="00065524" w:rsidRDefault="00503148" w:rsidP="000D65D7">
      <w:pPr>
        <w:pStyle w:val="H1GA"/>
        <w:rPr>
          <w:rtl/>
        </w:rPr>
      </w:pPr>
      <w:r>
        <w:rPr>
          <w:rFonts w:hint="cs"/>
          <w:rtl/>
        </w:rPr>
        <w:tab/>
      </w:r>
      <w:r w:rsidR="00225595" w:rsidRPr="00065524">
        <w:rPr>
          <w:rFonts w:hint="cs"/>
          <w:rtl/>
        </w:rPr>
        <w:tab/>
      </w:r>
      <w:bookmarkStart w:id="8" w:name="_Toc421870482"/>
      <w:r w:rsidR="00225595" w:rsidRPr="00065524">
        <w:rPr>
          <w:rFonts w:hint="cs"/>
          <w:rtl/>
        </w:rPr>
        <w:t>الحقوق الواردة في شرعة الحقوق</w:t>
      </w:r>
      <w:bookmarkEnd w:id="8"/>
    </w:p>
    <w:p w:rsidR="00225595" w:rsidRPr="00503148" w:rsidRDefault="00225595" w:rsidP="000D65D7">
      <w:pPr>
        <w:pStyle w:val="Bullet1GA"/>
        <w:tabs>
          <w:tab w:val="clear" w:pos="2495"/>
          <w:tab w:val="left" w:pos="2024"/>
        </w:tabs>
        <w:bidi/>
        <w:spacing w:line="360" w:lineRule="exact"/>
        <w:ind w:left="2494" w:hanging="1044"/>
        <w:rPr>
          <w:rtl/>
        </w:rPr>
      </w:pPr>
      <w:r>
        <w:rPr>
          <w:rFonts w:hint="cs"/>
          <w:rtl/>
        </w:rPr>
        <w:t xml:space="preserve">المادة </w:t>
      </w:r>
      <w:r w:rsidRPr="00503148">
        <w:rPr>
          <w:rFonts w:hint="cs"/>
          <w:rtl/>
        </w:rPr>
        <w:t>21: المساواة والحق في عدم التعرض للتمييز؛</w:t>
      </w:r>
    </w:p>
    <w:p w:rsidR="00225595" w:rsidRPr="00503148" w:rsidRDefault="00225595" w:rsidP="000D65D7">
      <w:pPr>
        <w:pStyle w:val="Bullet1GA"/>
        <w:tabs>
          <w:tab w:val="clear" w:pos="2495"/>
          <w:tab w:val="left" w:pos="2024"/>
        </w:tabs>
        <w:bidi/>
        <w:spacing w:line="360" w:lineRule="exact"/>
        <w:ind w:left="2494" w:hanging="1044"/>
      </w:pPr>
      <w:r w:rsidRPr="00503148">
        <w:rPr>
          <w:rFonts w:hint="cs"/>
          <w:rtl/>
        </w:rPr>
        <w:t>المادة 22: حماية الحق في الحياة؛</w:t>
      </w:r>
    </w:p>
    <w:p w:rsidR="00225595" w:rsidRPr="00503148" w:rsidRDefault="00225595" w:rsidP="000D65D7">
      <w:pPr>
        <w:pStyle w:val="Bullet1GA"/>
        <w:tabs>
          <w:tab w:val="clear" w:pos="2495"/>
          <w:tab w:val="left" w:pos="2024"/>
        </w:tabs>
        <w:bidi/>
        <w:spacing w:line="360" w:lineRule="exact"/>
        <w:ind w:left="2494" w:hanging="1044"/>
      </w:pPr>
      <w:r w:rsidRPr="00503148">
        <w:rPr>
          <w:rFonts w:hint="cs"/>
          <w:rtl/>
        </w:rPr>
        <w:t>المادة 23: حماية الحرية الشخصية؛</w:t>
      </w:r>
    </w:p>
    <w:p w:rsidR="00225595" w:rsidRPr="00503148" w:rsidRDefault="00225595" w:rsidP="000D65D7">
      <w:pPr>
        <w:pStyle w:val="Bullet1GA"/>
        <w:tabs>
          <w:tab w:val="clear" w:pos="2495"/>
          <w:tab w:val="left" w:pos="2024"/>
        </w:tabs>
        <w:bidi/>
        <w:spacing w:line="360" w:lineRule="exact"/>
        <w:ind w:left="2494" w:hanging="1044"/>
      </w:pPr>
      <w:r w:rsidRPr="00503148">
        <w:rPr>
          <w:rFonts w:hint="cs"/>
          <w:rtl/>
        </w:rPr>
        <w:t>المادة 24: احترام الكرامة الإنسانية والحماية من المعاملة اللاإنسانية؛</w:t>
      </w:r>
    </w:p>
    <w:p w:rsidR="00225595" w:rsidRPr="00503148" w:rsidRDefault="00225595" w:rsidP="000D65D7">
      <w:pPr>
        <w:pStyle w:val="Bullet1GA"/>
        <w:tabs>
          <w:tab w:val="clear" w:pos="2495"/>
          <w:tab w:val="left" w:pos="2024"/>
        </w:tabs>
        <w:bidi/>
        <w:spacing w:line="360" w:lineRule="exact"/>
        <w:ind w:left="2494" w:hanging="1044"/>
      </w:pPr>
      <w:r w:rsidRPr="00503148">
        <w:rPr>
          <w:rFonts w:hint="cs"/>
          <w:rtl/>
        </w:rPr>
        <w:t>المادة 25: الحماية من الرق والاستعباد والسخرة؛</w:t>
      </w:r>
    </w:p>
    <w:p w:rsidR="00225595" w:rsidRPr="00503148" w:rsidRDefault="00225595" w:rsidP="000D65D7">
      <w:pPr>
        <w:pStyle w:val="Bullet1GA"/>
        <w:tabs>
          <w:tab w:val="clear" w:pos="2495"/>
          <w:tab w:val="left" w:pos="2024"/>
        </w:tabs>
        <w:bidi/>
        <w:spacing w:line="360" w:lineRule="exact"/>
        <w:ind w:left="2494" w:hanging="1044"/>
      </w:pPr>
      <w:r w:rsidRPr="00503148">
        <w:rPr>
          <w:rFonts w:hint="cs"/>
          <w:rtl/>
        </w:rPr>
        <w:t>المادة 26: الحماية من الحرمان من الملكية؛</w:t>
      </w:r>
    </w:p>
    <w:p w:rsidR="00225595" w:rsidRPr="00503148" w:rsidRDefault="00225595" w:rsidP="000D65D7">
      <w:pPr>
        <w:pStyle w:val="Bullet1GA"/>
        <w:tabs>
          <w:tab w:val="clear" w:pos="2495"/>
          <w:tab w:val="left" w:pos="2024"/>
        </w:tabs>
        <w:bidi/>
        <w:spacing w:line="360" w:lineRule="exact"/>
        <w:ind w:left="2494" w:hanging="1044"/>
      </w:pPr>
      <w:r w:rsidRPr="00503148">
        <w:rPr>
          <w:rFonts w:hint="cs"/>
          <w:rtl/>
        </w:rPr>
        <w:t>المادة 27: الحق في حرمة الحياة الشخصية وحرمة المنزل وغيره من الممتلكات الخاصة؛</w:t>
      </w:r>
    </w:p>
    <w:p w:rsidR="00225595" w:rsidRPr="00503148" w:rsidRDefault="00225595" w:rsidP="000D65D7">
      <w:pPr>
        <w:pStyle w:val="Bullet1GA"/>
        <w:tabs>
          <w:tab w:val="clear" w:pos="2495"/>
          <w:tab w:val="left" w:pos="2024"/>
        </w:tabs>
        <w:bidi/>
        <w:spacing w:line="360" w:lineRule="exact"/>
        <w:ind w:left="2494" w:hanging="1044"/>
      </w:pPr>
      <w:r w:rsidRPr="00503148">
        <w:rPr>
          <w:rFonts w:hint="cs"/>
          <w:rtl/>
        </w:rPr>
        <w:t>المادة 28: الحق في محاكمة عادلة؛</w:t>
      </w:r>
    </w:p>
    <w:p w:rsidR="00225595" w:rsidRPr="000D65D7" w:rsidRDefault="00225595" w:rsidP="000D65D7">
      <w:pPr>
        <w:pStyle w:val="Bullet1GA"/>
        <w:tabs>
          <w:tab w:val="clear" w:pos="2495"/>
          <w:tab w:val="left" w:pos="2024"/>
        </w:tabs>
        <w:bidi/>
        <w:spacing w:line="360" w:lineRule="exact"/>
        <w:ind w:left="2494" w:hanging="1044"/>
        <w:rPr>
          <w:spacing w:val="-4"/>
        </w:rPr>
      </w:pPr>
      <w:r w:rsidRPr="000D65D7">
        <w:rPr>
          <w:rFonts w:hint="cs"/>
          <w:spacing w:val="-4"/>
          <w:rtl/>
        </w:rPr>
        <w:t>المادة 29: الحق في حرية الوجدان والتعبير والتنقل والدين والتجمع وتكوين الجمعيات؛</w:t>
      </w:r>
    </w:p>
    <w:p w:rsidR="00225595" w:rsidRPr="00503148" w:rsidRDefault="00225595" w:rsidP="000D65D7">
      <w:pPr>
        <w:pStyle w:val="Bullet1GA"/>
        <w:tabs>
          <w:tab w:val="clear" w:pos="2495"/>
          <w:tab w:val="left" w:pos="2024"/>
        </w:tabs>
        <w:bidi/>
        <w:spacing w:line="360" w:lineRule="exact"/>
        <w:ind w:left="2494" w:hanging="1044"/>
      </w:pPr>
      <w:r w:rsidRPr="00503148">
        <w:rPr>
          <w:rFonts w:hint="cs"/>
          <w:rtl/>
        </w:rPr>
        <w:t>المادة 30: الحق في التعليم؛</w:t>
      </w:r>
    </w:p>
    <w:p w:rsidR="00225595" w:rsidRPr="00503148" w:rsidRDefault="00225595" w:rsidP="000D65D7">
      <w:pPr>
        <w:pStyle w:val="Bullet1GA"/>
        <w:tabs>
          <w:tab w:val="clear" w:pos="2495"/>
          <w:tab w:val="left" w:pos="2024"/>
        </w:tabs>
        <w:bidi/>
        <w:spacing w:line="360" w:lineRule="exact"/>
        <w:ind w:left="2494" w:hanging="1044"/>
      </w:pPr>
      <w:r w:rsidRPr="00503148">
        <w:rPr>
          <w:rFonts w:hint="cs"/>
          <w:rtl/>
        </w:rPr>
        <w:t>المادة 39: الحق في بيئة نظيفة وصحية؛</w:t>
      </w:r>
    </w:p>
    <w:p w:rsidR="00225595" w:rsidRPr="00503148" w:rsidRDefault="00225595" w:rsidP="000D65D7">
      <w:pPr>
        <w:pStyle w:val="Bullet1GA"/>
        <w:tabs>
          <w:tab w:val="clear" w:pos="2495"/>
          <w:tab w:val="left" w:pos="2024"/>
        </w:tabs>
        <w:bidi/>
        <w:spacing w:line="360" w:lineRule="exact"/>
        <w:ind w:left="2494" w:hanging="1044"/>
      </w:pPr>
      <w:r w:rsidRPr="00503148">
        <w:rPr>
          <w:rFonts w:hint="cs"/>
          <w:rtl/>
        </w:rPr>
        <w:t>المادة 40: حماية الحقوق الاقتصادية؛</w:t>
      </w:r>
    </w:p>
    <w:p w:rsidR="00225595" w:rsidRPr="00503148" w:rsidRDefault="00225595" w:rsidP="000D65D7">
      <w:pPr>
        <w:pStyle w:val="Bullet1GA"/>
        <w:tabs>
          <w:tab w:val="clear" w:pos="2495"/>
          <w:tab w:val="left" w:pos="2024"/>
        </w:tabs>
        <w:bidi/>
        <w:spacing w:line="360" w:lineRule="exact"/>
        <w:ind w:left="2494" w:hanging="1044"/>
      </w:pPr>
      <w:r w:rsidRPr="00503148">
        <w:rPr>
          <w:rFonts w:hint="cs"/>
          <w:rtl/>
        </w:rPr>
        <w:t>المادة 41: الحق في الوصول إلى المعلومات؛</w:t>
      </w:r>
    </w:p>
    <w:p w:rsidR="00225595" w:rsidRPr="00503148" w:rsidRDefault="00225595" w:rsidP="000D65D7">
      <w:pPr>
        <w:pStyle w:val="Bullet1GA"/>
        <w:tabs>
          <w:tab w:val="clear" w:pos="2495"/>
          <w:tab w:val="left" w:pos="2024"/>
        </w:tabs>
        <w:bidi/>
        <w:spacing w:line="360" w:lineRule="exact"/>
        <w:ind w:left="2494" w:hanging="1044"/>
      </w:pPr>
      <w:r w:rsidRPr="00503148">
        <w:rPr>
          <w:rFonts w:hint="cs"/>
          <w:rtl/>
        </w:rPr>
        <w:t>المادة 42: الحق في معاملة عادلة ومنصفة في القرارات الإدارية؛</w:t>
      </w:r>
    </w:p>
    <w:p w:rsidR="00225595" w:rsidRPr="00165B79" w:rsidRDefault="00225595" w:rsidP="000D65D7">
      <w:pPr>
        <w:pStyle w:val="Bullet1GA"/>
        <w:tabs>
          <w:tab w:val="clear" w:pos="2495"/>
          <w:tab w:val="left" w:pos="2024"/>
        </w:tabs>
        <w:bidi/>
        <w:spacing w:line="360" w:lineRule="exact"/>
        <w:ind w:left="2024" w:hanging="572"/>
        <w:rPr>
          <w:spacing w:val="-4"/>
        </w:rPr>
      </w:pPr>
      <w:r w:rsidRPr="00165B79">
        <w:rPr>
          <w:rFonts w:hint="cs"/>
          <w:spacing w:val="-4"/>
          <w:rtl/>
        </w:rPr>
        <w:t>المادة 59: الحق في التصويت والترشح لأي منصب يُشغل بالانتخاب بما يتماشى مع الشروط السارية؛</w:t>
      </w:r>
    </w:p>
    <w:p w:rsidR="00225595" w:rsidRDefault="00225595" w:rsidP="000D65D7">
      <w:pPr>
        <w:pStyle w:val="Bullet1GA"/>
        <w:tabs>
          <w:tab w:val="clear" w:pos="2495"/>
          <w:tab w:val="left" w:pos="2024"/>
        </w:tabs>
        <w:bidi/>
        <w:ind w:hanging="1044"/>
      </w:pPr>
      <w:r w:rsidRPr="00503148">
        <w:rPr>
          <w:rFonts w:hint="cs"/>
          <w:rtl/>
        </w:rPr>
        <w:t xml:space="preserve">المادة 45: الحقوق غير المشار إليها </w:t>
      </w:r>
      <w:r>
        <w:rPr>
          <w:rFonts w:hint="cs"/>
          <w:rtl/>
        </w:rPr>
        <w:t>صراحة هي حقوق معترف بها.</w:t>
      </w:r>
    </w:p>
    <w:p w:rsidR="00225595" w:rsidRDefault="00225595" w:rsidP="00CB2109">
      <w:pPr>
        <w:pStyle w:val="SingleTxtGA"/>
        <w:rPr>
          <w:rtl/>
        </w:rPr>
      </w:pPr>
      <w:r w:rsidRPr="00065524">
        <w:rPr>
          <w:rFonts w:hint="cs"/>
          <w:rtl/>
        </w:rPr>
        <w:lastRenderedPageBreak/>
        <w:t>55-</w:t>
      </w:r>
      <w:r w:rsidRPr="00065524">
        <w:rPr>
          <w:rFonts w:hint="cs"/>
          <w:rtl/>
        </w:rPr>
        <w:tab/>
      </w:r>
      <w:r>
        <w:rPr>
          <w:rFonts w:hint="cs"/>
          <w:rtl/>
        </w:rPr>
        <w:t>ومن الأهمية بمكان أن ينص الدستور على إنشاء لجنة مستقلة لحقوق الإنسان مهمتها إجراء تحقيقات وبحوث وعمليات رصد وتثقيف وترويج بشأن حالة حقوق الإنسان في البلد</w:t>
      </w:r>
      <w:r>
        <w:rPr>
          <w:vertAlign w:val="superscript"/>
          <w:rtl/>
        </w:rPr>
        <w:t>(</w:t>
      </w:r>
      <w:r>
        <w:rPr>
          <w:rStyle w:val="FootnoteReference"/>
          <w:rtl/>
        </w:rPr>
        <w:footnoteReference w:id="61"/>
      </w:r>
      <w:r>
        <w:rPr>
          <w:vertAlign w:val="superscript"/>
          <w:rtl/>
        </w:rPr>
        <w:t>)</w:t>
      </w:r>
      <w:r>
        <w:rPr>
          <w:rFonts w:hint="cs"/>
          <w:rtl/>
        </w:rPr>
        <w:t>. وتعالج اللجنة فقط الانتهاكات التي حدثت بعد بدء نفاذ دستور عام 1995</w:t>
      </w:r>
      <w:r>
        <w:rPr>
          <w:vertAlign w:val="superscript"/>
          <w:rtl/>
        </w:rPr>
        <w:t>(</w:t>
      </w:r>
      <w:r>
        <w:rPr>
          <w:rStyle w:val="FootnoteReference"/>
          <w:rtl/>
        </w:rPr>
        <w:footnoteReference w:id="62"/>
      </w:r>
      <w:r>
        <w:rPr>
          <w:vertAlign w:val="superscript"/>
          <w:rtl/>
        </w:rPr>
        <w:t>)</w:t>
      </w:r>
      <w:r>
        <w:rPr>
          <w:rFonts w:hint="cs"/>
          <w:rtl/>
        </w:rPr>
        <w:t>. وعند حدوث انتهاك لحقوق الإنسان، تتمتع اللجنة بمجموعة صلاحيات بينها معاقبة مرتكبي الانتهاك وإصدار أمر بإتاحة سبيل انتصاف أو تعويض قانوني من خلال تقاريرها السنوية عن</w:t>
      </w:r>
      <w:r w:rsidR="00CB2109">
        <w:rPr>
          <w:rFonts w:hint="eastAsia"/>
          <w:rtl/>
        </w:rPr>
        <w:t> </w:t>
      </w:r>
      <w:r>
        <w:rPr>
          <w:rFonts w:hint="cs"/>
          <w:rtl/>
        </w:rPr>
        <w:t>حالة حقوق الإنسان وقرارات محكمتها التي يمكن الطعن فيها أمام المحكمة العليا</w:t>
      </w:r>
      <w:r>
        <w:rPr>
          <w:vertAlign w:val="superscript"/>
          <w:rtl/>
        </w:rPr>
        <w:t>(</w:t>
      </w:r>
      <w:r>
        <w:rPr>
          <w:rStyle w:val="FootnoteReference"/>
          <w:rtl/>
        </w:rPr>
        <w:footnoteReference w:id="63"/>
      </w:r>
      <w:r>
        <w:rPr>
          <w:vertAlign w:val="superscript"/>
          <w:rtl/>
        </w:rPr>
        <w:t>)</w:t>
      </w:r>
      <w:r>
        <w:rPr>
          <w:rFonts w:hint="cs"/>
          <w:rtl/>
        </w:rPr>
        <w:t>. ويجوز</w:t>
      </w:r>
      <w:r w:rsidR="00CB2109">
        <w:rPr>
          <w:rFonts w:hint="eastAsia"/>
          <w:rtl/>
        </w:rPr>
        <w:t> </w:t>
      </w:r>
      <w:r>
        <w:rPr>
          <w:rFonts w:hint="cs"/>
          <w:rtl/>
        </w:rPr>
        <w:t>للجنة أن تراجع قضية شخص محتجز أو شخص فُرضت عليه قيود وأن تأمر بإطلاق</w:t>
      </w:r>
      <w:r w:rsidR="00CB2109">
        <w:rPr>
          <w:rFonts w:hint="eastAsia"/>
          <w:rtl/>
        </w:rPr>
        <w:t> </w:t>
      </w:r>
      <w:r>
        <w:rPr>
          <w:rFonts w:hint="cs"/>
          <w:rtl/>
        </w:rPr>
        <w:t>سراحه وبدفع تعويض له في حالة الاحتجاز غير المشروع، كما يجوز لها أن تؤيد أسباب القيود المفروضة عليه وأسباب احتجازه</w:t>
      </w:r>
      <w:r>
        <w:rPr>
          <w:vertAlign w:val="superscript"/>
          <w:rtl/>
        </w:rPr>
        <w:t>(</w:t>
      </w:r>
      <w:r>
        <w:rPr>
          <w:rStyle w:val="FootnoteReference"/>
          <w:rtl/>
        </w:rPr>
        <w:footnoteReference w:id="64"/>
      </w:r>
      <w:r>
        <w:rPr>
          <w:vertAlign w:val="superscript"/>
          <w:rtl/>
        </w:rPr>
        <w:t>)</w:t>
      </w:r>
      <w:r>
        <w:rPr>
          <w:rFonts w:hint="cs"/>
          <w:rtl/>
        </w:rPr>
        <w:t>. وبالإضافة إلى ذلك، تقع على عاتق اللجنة مسؤولية</w:t>
      </w:r>
      <w:r w:rsidR="00CB2109">
        <w:rPr>
          <w:rFonts w:hint="eastAsia"/>
          <w:rtl/>
        </w:rPr>
        <w:t> </w:t>
      </w:r>
      <w:r>
        <w:rPr>
          <w:rFonts w:hint="cs"/>
          <w:rtl/>
        </w:rPr>
        <w:t>وضع برنامج متواصل للبحث والتثقيف والإعلام من أجل تعزيز احترام حقوق الإنسان في أوغندا</w:t>
      </w:r>
      <w:r>
        <w:rPr>
          <w:vertAlign w:val="superscript"/>
          <w:rtl/>
        </w:rPr>
        <w:t>(</w:t>
      </w:r>
      <w:r>
        <w:rPr>
          <w:rStyle w:val="FootnoteReference"/>
          <w:rtl/>
        </w:rPr>
        <w:footnoteReference w:id="65"/>
      </w:r>
      <w:r>
        <w:rPr>
          <w:vertAlign w:val="superscript"/>
          <w:rtl/>
        </w:rPr>
        <w:t>)</w:t>
      </w:r>
      <w:r>
        <w:rPr>
          <w:rFonts w:hint="cs"/>
          <w:rtl/>
        </w:rPr>
        <w:t>.</w:t>
      </w:r>
    </w:p>
    <w:p w:rsidR="00225595" w:rsidRPr="00165B79" w:rsidRDefault="00225595" w:rsidP="00503148">
      <w:pPr>
        <w:pStyle w:val="SingleTxtGA"/>
        <w:rPr>
          <w:spacing w:val="-4"/>
          <w:rtl/>
        </w:rPr>
      </w:pPr>
      <w:r w:rsidRPr="00165B79">
        <w:rPr>
          <w:rFonts w:hint="cs"/>
          <w:spacing w:val="-4"/>
          <w:rtl/>
        </w:rPr>
        <w:t>56-</w:t>
      </w:r>
      <w:r w:rsidRPr="00165B79">
        <w:rPr>
          <w:rFonts w:hint="cs"/>
          <w:spacing w:val="-4"/>
          <w:rtl/>
        </w:rPr>
        <w:tab/>
        <w:t>وتسري المعاهدات الدولية لحقوق الإنسان داخل الولاية القضائية لأوغندا عن طريق إدراجها في القوانين المحلية (بسن تشريعات في البرلمان الأوغندي). ويمكن الاحتجاج أيضاً بأحكام صكوك حقوق الإنسان في المحاكم والهيئات القضائية والسلطات الإدارية الأخرى شريطة الاحتجاج بها فيما يتعلق بأفعال تقع تحت طائلة القوانين الوطنية لأوغندا وشريطة ألاّ تتعارض مع الدستور</w:t>
      </w:r>
      <w:r w:rsidRPr="00165B79">
        <w:rPr>
          <w:spacing w:val="-4"/>
          <w:vertAlign w:val="superscript"/>
          <w:rtl/>
        </w:rPr>
        <w:t>(</w:t>
      </w:r>
      <w:r w:rsidRPr="00165B79">
        <w:rPr>
          <w:rStyle w:val="FootnoteReference"/>
          <w:spacing w:val="-4"/>
          <w:rtl/>
        </w:rPr>
        <w:footnoteReference w:id="66"/>
      </w:r>
      <w:r w:rsidRPr="00165B79">
        <w:rPr>
          <w:spacing w:val="-4"/>
          <w:vertAlign w:val="superscript"/>
          <w:rtl/>
        </w:rPr>
        <w:t>)</w:t>
      </w:r>
      <w:r w:rsidRPr="00165B79">
        <w:rPr>
          <w:rFonts w:hint="cs"/>
          <w:spacing w:val="-4"/>
          <w:rtl/>
        </w:rPr>
        <w:t>. وبذلك يمكن تحديد نطاق انطباقها إذا كانت تضر بالمصلحة العامة</w:t>
      </w:r>
      <w:r w:rsidRPr="00165B79">
        <w:rPr>
          <w:spacing w:val="-4"/>
          <w:vertAlign w:val="superscript"/>
          <w:rtl/>
        </w:rPr>
        <w:t>(</w:t>
      </w:r>
      <w:r w:rsidRPr="00165B79">
        <w:rPr>
          <w:rStyle w:val="FootnoteReference"/>
          <w:spacing w:val="-4"/>
          <w:rtl/>
        </w:rPr>
        <w:footnoteReference w:id="67"/>
      </w:r>
      <w:r w:rsidRPr="00165B79">
        <w:rPr>
          <w:spacing w:val="-4"/>
          <w:vertAlign w:val="superscript"/>
          <w:rtl/>
        </w:rPr>
        <w:t>)</w:t>
      </w:r>
      <w:r w:rsidRPr="00165B79">
        <w:rPr>
          <w:rFonts w:hint="cs"/>
          <w:spacing w:val="-4"/>
          <w:rtl/>
        </w:rPr>
        <w:t>.</w:t>
      </w:r>
    </w:p>
    <w:p w:rsidR="00225595" w:rsidRDefault="00225595" w:rsidP="00503148">
      <w:pPr>
        <w:pStyle w:val="SingleTxtGA"/>
        <w:rPr>
          <w:rtl/>
        </w:rPr>
      </w:pPr>
      <w:r>
        <w:rPr>
          <w:rFonts w:hint="cs"/>
          <w:rtl/>
        </w:rPr>
        <w:t>57-</w:t>
      </w:r>
      <w:r>
        <w:rPr>
          <w:rFonts w:hint="cs"/>
          <w:rtl/>
        </w:rPr>
        <w:tab/>
        <w:t>ويضمن الدستور اتخاذ تدابير إيجابية لصالح الفئات المهمشة وهو ينهض بحقوق النساء والأطفال ويتناول حالاتهم المحددة</w:t>
      </w:r>
      <w:r>
        <w:rPr>
          <w:vertAlign w:val="superscript"/>
          <w:rtl/>
        </w:rPr>
        <w:t>(</w:t>
      </w:r>
      <w:r>
        <w:rPr>
          <w:rStyle w:val="FootnoteReference"/>
          <w:rtl/>
        </w:rPr>
        <w:footnoteReference w:id="68"/>
      </w:r>
      <w:r>
        <w:rPr>
          <w:vertAlign w:val="superscript"/>
          <w:rtl/>
        </w:rPr>
        <w:t>)</w:t>
      </w:r>
      <w:r>
        <w:rPr>
          <w:rFonts w:hint="cs"/>
          <w:rtl/>
        </w:rPr>
        <w:t>. ويحمي الدستور أيضاً حقوق الأشخاص ذوي الإعاقة ومجموعات الأقليات</w:t>
      </w:r>
      <w:r>
        <w:rPr>
          <w:vertAlign w:val="superscript"/>
          <w:rtl/>
        </w:rPr>
        <w:t>(</w:t>
      </w:r>
      <w:r>
        <w:rPr>
          <w:rStyle w:val="FootnoteReference"/>
          <w:rtl/>
        </w:rPr>
        <w:footnoteReference w:id="69"/>
      </w:r>
      <w:r>
        <w:rPr>
          <w:vertAlign w:val="superscript"/>
          <w:rtl/>
        </w:rPr>
        <w:t>)</w:t>
      </w:r>
      <w:r>
        <w:rPr>
          <w:rFonts w:hint="cs"/>
          <w:rtl/>
        </w:rPr>
        <w:t>. ويُوسَّع نطاق هذه الحقوق بقوانين أخرى يسنها البرلمان تسند المزيد من الواجبات والمسؤوليات إلى مختلف الهيئات</w:t>
      </w:r>
      <w:r>
        <w:rPr>
          <w:vertAlign w:val="superscript"/>
          <w:rtl/>
        </w:rPr>
        <w:t>(</w:t>
      </w:r>
      <w:r>
        <w:rPr>
          <w:rStyle w:val="FootnoteReference"/>
          <w:rtl/>
        </w:rPr>
        <w:footnoteReference w:id="70"/>
      </w:r>
      <w:r>
        <w:rPr>
          <w:vertAlign w:val="superscript"/>
          <w:rtl/>
        </w:rPr>
        <w:t>)</w:t>
      </w:r>
      <w:r>
        <w:rPr>
          <w:rFonts w:hint="cs"/>
          <w:rtl/>
        </w:rPr>
        <w:t>.</w:t>
      </w:r>
    </w:p>
    <w:p w:rsidR="00225595" w:rsidRDefault="00225595" w:rsidP="00503148">
      <w:pPr>
        <w:pStyle w:val="SingleTxtGA"/>
        <w:rPr>
          <w:rtl/>
        </w:rPr>
      </w:pPr>
      <w:r>
        <w:rPr>
          <w:rFonts w:hint="cs"/>
          <w:rtl/>
        </w:rPr>
        <w:lastRenderedPageBreak/>
        <w:t>58-</w:t>
      </w:r>
      <w:r>
        <w:rPr>
          <w:rFonts w:hint="cs"/>
          <w:rtl/>
        </w:rPr>
        <w:tab/>
        <w:t>وصدقت أوغندا على البروتوكول الإضافي للميثاق الأفريقي لحقوق الإنسان والشعوب المتعلق بإنشاء محكمة أفريقية لحقوق الإنسان والشعوب في 16 شباط/فبراير 2001</w:t>
      </w:r>
      <w:r>
        <w:rPr>
          <w:vertAlign w:val="superscript"/>
          <w:rtl/>
        </w:rPr>
        <w:t>(</w:t>
      </w:r>
      <w:r>
        <w:rPr>
          <w:rStyle w:val="FootnoteReference"/>
          <w:rtl/>
        </w:rPr>
        <w:footnoteReference w:id="71"/>
      </w:r>
      <w:r>
        <w:rPr>
          <w:vertAlign w:val="superscript"/>
          <w:rtl/>
        </w:rPr>
        <w:t>)</w:t>
      </w:r>
      <w:r>
        <w:rPr>
          <w:rFonts w:hint="cs"/>
          <w:rtl/>
        </w:rPr>
        <w:t>. لذلك فهي تقبل اختصاص المحكمة. لكنها لم</w:t>
      </w:r>
      <w:r>
        <w:rPr>
          <w:rFonts w:hint="eastAsia"/>
          <w:rtl/>
        </w:rPr>
        <w:t> </w:t>
      </w:r>
      <w:r>
        <w:rPr>
          <w:rFonts w:hint="cs"/>
          <w:rtl/>
        </w:rPr>
        <w:t>تنضم إلى الإعلان الذي يتيح للمنظمات غير الحكومية والأفراد رفع شكاوى ودعاوى أمام هذه المحكمة. وبالإضافة إلى ذلك، تمتثل أوغندا لالتزاماتها بتقديم التقارير الوطنية إلى اللجنة الأفريقية لحقوق الإنسان والشعوب وليس لديها الآن أية تقارير فات موعد تقديمها</w:t>
      </w:r>
      <w:r>
        <w:rPr>
          <w:vertAlign w:val="superscript"/>
          <w:rtl/>
        </w:rPr>
        <w:t>(</w:t>
      </w:r>
      <w:r>
        <w:rPr>
          <w:rStyle w:val="FootnoteReference"/>
          <w:rtl/>
        </w:rPr>
        <w:footnoteReference w:id="72"/>
      </w:r>
      <w:r>
        <w:rPr>
          <w:vertAlign w:val="superscript"/>
          <w:rtl/>
        </w:rPr>
        <w:t>)</w:t>
      </w:r>
      <w:r>
        <w:rPr>
          <w:rFonts w:hint="cs"/>
          <w:rtl/>
        </w:rPr>
        <w:t>.</w:t>
      </w:r>
    </w:p>
    <w:p w:rsidR="00225595" w:rsidRDefault="00225595" w:rsidP="00503148">
      <w:pPr>
        <w:pStyle w:val="SingleTxtGA"/>
        <w:rPr>
          <w:rtl/>
        </w:rPr>
      </w:pPr>
      <w:r>
        <w:rPr>
          <w:rFonts w:hint="cs"/>
          <w:rtl/>
        </w:rPr>
        <w:t>59-</w:t>
      </w:r>
      <w:r>
        <w:rPr>
          <w:rFonts w:hint="cs"/>
          <w:rtl/>
        </w:rPr>
        <w:tab/>
        <w:t>وبالإضافة إلى ذلك، اعتمد البرلمان خلال السنوات العشرين الماضية عدداً من القوانين التقدمية تتعلق بتيسير تنفيذ الأحكام الدستورية الخاصة بحقوق الإنسان</w:t>
      </w:r>
      <w:r>
        <w:rPr>
          <w:vertAlign w:val="superscript"/>
          <w:rtl/>
        </w:rPr>
        <w:t>(</w:t>
      </w:r>
      <w:r>
        <w:rPr>
          <w:rStyle w:val="FootnoteReference"/>
          <w:rtl/>
        </w:rPr>
        <w:footnoteReference w:id="73"/>
      </w:r>
      <w:r>
        <w:rPr>
          <w:vertAlign w:val="superscript"/>
          <w:rtl/>
        </w:rPr>
        <w:t>)</w:t>
      </w:r>
      <w:r>
        <w:rPr>
          <w:rFonts w:hint="cs"/>
          <w:rtl/>
        </w:rPr>
        <w:t xml:space="preserve">. ويكمن التحدي في استمرار وجود بعض القوانين التمييزية الموجودة في المدونات القانونية. ورغم سنوات البحث والضغط والدعوة والقرارات العديدة التي قضت بعدم مشروعية بعض هذه الأحكام، فإن الإصلاحات لا تزال جارية. وتشمل هذه القوانين النصوص المتعلقة بالزواج وتلك المتعلقة بحقوق الملكية وحقوق الإرث. ولم تنفذ الأحكام المتعلقة بالتدابير الإيجابية تنفيذاً تاماً لضمان إنصاف أكبر في التعيينات في المناصب القيادية ومناصب صنع القرار وضمان اتخاذ التدابير اللازمة لإزالة العقبات التي تعيق تكافؤ الفرص بين الرجال والنساء في جميع مناحي الحياة. وبالإضافة إلى ذلك، اعتمدت عدة حكومات محلية على مستوى المقاطعات والمقاطعات الفرعية قوانين تهدف إلى دعم حماية حقوق الإنسان وتعزيزها، بوسائل منها، على سبيل المثال، إرغام جميع أولياء الأمور على تسجيل أطفالهم الذين بلغوا سن الالتحاق بالمدرسة وضمان </w:t>
      </w:r>
      <w:proofErr w:type="spellStart"/>
      <w:r>
        <w:rPr>
          <w:rFonts w:hint="cs"/>
          <w:rtl/>
        </w:rPr>
        <w:t>مواظبتهم</w:t>
      </w:r>
      <w:proofErr w:type="spellEnd"/>
      <w:r>
        <w:rPr>
          <w:rFonts w:hint="cs"/>
          <w:rtl/>
        </w:rPr>
        <w:t xml:space="preserve"> على الذهاب إلى المدرسة وتوفير الاحتياجات اللازمة لهم</w:t>
      </w:r>
      <w:r>
        <w:rPr>
          <w:vertAlign w:val="superscript"/>
          <w:rtl/>
        </w:rPr>
        <w:t>(</w:t>
      </w:r>
      <w:r>
        <w:rPr>
          <w:rStyle w:val="FootnoteReference"/>
          <w:rtl/>
        </w:rPr>
        <w:footnoteReference w:id="74"/>
      </w:r>
      <w:r>
        <w:rPr>
          <w:vertAlign w:val="superscript"/>
          <w:rtl/>
        </w:rPr>
        <w:t>)</w:t>
      </w:r>
      <w:r>
        <w:rPr>
          <w:rFonts w:hint="cs"/>
          <w:rtl/>
        </w:rPr>
        <w:t xml:space="preserve">. </w:t>
      </w:r>
    </w:p>
    <w:p w:rsidR="00225595" w:rsidRPr="00E22770" w:rsidRDefault="00503148" w:rsidP="00165B79">
      <w:pPr>
        <w:pStyle w:val="HChGA"/>
        <w:spacing w:before="120"/>
        <w:rPr>
          <w:rtl/>
        </w:rPr>
      </w:pPr>
      <w:r>
        <w:rPr>
          <w:rFonts w:hint="cs"/>
          <w:rtl/>
        </w:rPr>
        <w:lastRenderedPageBreak/>
        <w:tab/>
      </w:r>
      <w:bookmarkStart w:id="9" w:name="_Toc421870483"/>
      <w:r w:rsidR="00225595" w:rsidRPr="00E22770">
        <w:rPr>
          <w:rFonts w:hint="cs"/>
          <w:rtl/>
        </w:rPr>
        <w:t>خامساً-</w:t>
      </w:r>
      <w:r w:rsidR="00225595" w:rsidRPr="00E22770">
        <w:rPr>
          <w:rFonts w:hint="cs"/>
          <w:rtl/>
        </w:rPr>
        <w:tab/>
        <w:t>عدم التمييز والمساواة وسبل الانتصاف الفعالة</w:t>
      </w:r>
      <w:bookmarkEnd w:id="9"/>
    </w:p>
    <w:p w:rsidR="00225595" w:rsidRDefault="00225595" w:rsidP="00503148">
      <w:pPr>
        <w:pStyle w:val="SingleTxtGA"/>
        <w:rPr>
          <w:rtl/>
        </w:rPr>
      </w:pPr>
      <w:r>
        <w:rPr>
          <w:rFonts w:hint="cs"/>
          <w:rtl/>
        </w:rPr>
        <w:t>60-</w:t>
      </w:r>
      <w:r>
        <w:rPr>
          <w:rFonts w:hint="cs"/>
          <w:rtl/>
        </w:rPr>
        <w:tab/>
        <w:t>المساواة معيار يُسترشد به في الأهداف والمبادئ التوجيهية الوطنية لسياسة الدولة</w:t>
      </w:r>
      <w:r>
        <w:rPr>
          <w:vertAlign w:val="superscript"/>
          <w:rtl/>
        </w:rPr>
        <w:t>(</w:t>
      </w:r>
      <w:r>
        <w:rPr>
          <w:rStyle w:val="FootnoteReference"/>
          <w:rtl/>
        </w:rPr>
        <w:footnoteReference w:id="75"/>
      </w:r>
      <w:r>
        <w:rPr>
          <w:vertAlign w:val="superscript"/>
          <w:rtl/>
        </w:rPr>
        <w:t>)</w:t>
      </w:r>
      <w:r>
        <w:rPr>
          <w:rFonts w:hint="cs"/>
          <w:rtl/>
        </w:rPr>
        <w:t>.</w:t>
      </w:r>
      <w:r w:rsidR="00165B79">
        <w:rPr>
          <w:rFonts w:hint="cs"/>
          <w:rtl/>
        </w:rPr>
        <w:t xml:space="preserve"> </w:t>
      </w:r>
      <w:r>
        <w:rPr>
          <w:rFonts w:hint="cs"/>
          <w:rtl/>
        </w:rPr>
        <w:t>وينص الدستور في المادة</w:t>
      </w:r>
      <w:r>
        <w:rPr>
          <w:rFonts w:hint="eastAsia"/>
          <w:rtl/>
        </w:rPr>
        <w:t> </w:t>
      </w:r>
      <w:r>
        <w:rPr>
          <w:rFonts w:hint="cs"/>
          <w:rtl/>
        </w:rPr>
        <w:t>21 على حظر التمييز وعلى الحق في المساواة. وتحمي هذه المادة الحق في المساواة وعدم التعرض للتمييز على النحو التالي:</w:t>
      </w:r>
    </w:p>
    <w:p w:rsidR="00225595" w:rsidRPr="00165B79" w:rsidRDefault="00225595" w:rsidP="00165B79">
      <w:pPr>
        <w:pStyle w:val="SingleTxtGA"/>
        <w:ind w:left="1928"/>
        <w:rPr>
          <w:b/>
          <w:bCs/>
          <w:rtl/>
        </w:rPr>
      </w:pPr>
      <w:r w:rsidRPr="00165B79">
        <w:rPr>
          <w:rFonts w:hint="cs"/>
          <w:b/>
          <w:bCs/>
          <w:rtl/>
        </w:rPr>
        <w:t>"المادة 21</w:t>
      </w:r>
    </w:p>
    <w:p w:rsidR="00225595" w:rsidRDefault="004060F9" w:rsidP="00165B79">
      <w:pPr>
        <w:pStyle w:val="SingleTxtGA"/>
        <w:ind w:left="1928"/>
        <w:rPr>
          <w:rtl/>
        </w:rPr>
      </w:pPr>
      <w:r>
        <w:rPr>
          <w:rFonts w:hint="cs"/>
          <w:rtl/>
        </w:rPr>
        <w:t>1-</w:t>
      </w:r>
      <w:r w:rsidR="00225595">
        <w:rPr>
          <w:rFonts w:hint="cs"/>
          <w:rtl/>
        </w:rPr>
        <w:tab/>
        <w:t>جميع الأشخاص متساوون أمام القانون وبموجبه في جميع مناحي الحياة السياسية والاقتصادية والاجتماعية والثقافية وفي أي جانب آخر وهم يتمتعون بحماية القانون على نحو متساو.</w:t>
      </w:r>
    </w:p>
    <w:p w:rsidR="00225595" w:rsidRDefault="004060F9" w:rsidP="00165B79">
      <w:pPr>
        <w:pStyle w:val="SingleTxtGA"/>
        <w:ind w:left="1928"/>
        <w:rPr>
          <w:rtl/>
        </w:rPr>
      </w:pPr>
      <w:r>
        <w:rPr>
          <w:rFonts w:hint="cs"/>
          <w:rtl/>
        </w:rPr>
        <w:t>2-</w:t>
      </w:r>
      <w:r w:rsidR="00225595">
        <w:rPr>
          <w:rFonts w:hint="cs"/>
          <w:rtl/>
        </w:rPr>
        <w:tab/>
        <w:t xml:space="preserve">دون المساس بالفقرة (1) من هذه المادة، لا يجوز التمييز ضد أي شخص على أساس الجنس أو العرق أو اللون أو الأصل </w:t>
      </w:r>
      <w:proofErr w:type="spellStart"/>
      <w:r w:rsidR="00225595">
        <w:rPr>
          <w:rFonts w:hint="cs"/>
          <w:rtl/>
        </w:rPr>
        <w:t>الإثني</w:t>
      </w:r>
      <w:proofErr w:type="spellEnd"/>
      <w:r w:rsidR="00225595">
        <w:rPr>
          <w:rFonts w:hint="cs"/>
          <w:rtl/>
        </w:rPr>
        <w:t xml:space="preserve"> أو القبيلة أو النسب أو العقيدة أو الدين أو المكانة الاجتماعية أو الاقتصادية أو الرأي السياسي أو الإعاقة.</w:t>
      </w:r>
    </w:p>
    <w:p w:rsidR="00225595" w:rsidRDefault="004060F9" w:rsidP="00165B79">
      <w:pPr>
        <w:pStyle w:val="SingleTxtGA"/>
        <w:ind w:left="1928"/>
        <w:rPr>
          <w:rtl/>
        </w:rPr>
      </w:pPr>
      <w:r>
        <w:rPr>
          <w:rFonts w:hint="cs"/>
          <w:rtl/>
        </w:rPr>
        <w:t>3-</w:t>
      </w:r>
      <w:r w:rsidR="00225595">
        <w:rPr>
          <w:rFonts w:hint="cs"/>
          <w:rtl/>
        </w:rPr>
        <w:tab/>
        <w:t xml:space="preserve">لأغراض هذه المادة، تعني كلمة "تمييز" اعتماد معاملة مختلفة لأشخاص مختلفين، تعزى، كلياً أو جزئياً، إلى توصيف كل منهم بحسب الجنس أو العرق أو اللون أو الأصل </w:t>
      </w:r>
      <w:proofErr w:type="spellStart"/>
      <w:r w:rsidR="00225595">
        <w:rPr>
          <w:rFonts w:hint="cs"/>
          <w:rtl/>
        </w:rPr>
        <w:t>الإثني</w:t>
      </w:r>
      <w:proofErr w:type="spellEnd"/>
      <w:r w:rsidR="00225595">
        <w:rPr>
          <w:rFonts w:hint="cs"/>
          <w:rtl/>
        </w:rPr>
        <w:t xml:space="preserve"> أو القبيلة أو النسب أو العقيدة أو الدين أو المكانة الاجتماعية أو الاقتصادية أو الرأي السياسي أو الإعاقة.</w:t>
      </w:r>
    </w:p>
    <w:p w:rsidR="00225595" w:rsidRDefault="004060F9" w:rsidP="00165B79">
      <w:pPr>
        <w:pStyle w:val="SingleTxtGA"/>
        <w:ind w:left="1928"/>
        <w:rPr>
          <w:rtl/>
        </w:rPr>
      </w:pPr>
      <w:r>
        <w:rPr>
          <w:rFonts w:hint="cs"/>
          <w:rtl/>
        </w:rPr>
        <w:t>4-</w:t>
      </w:r>
      <w:r w:rsidR="00225595">
        <w:rPr>
          <w:rFonts w:hint="cs"/>
          <w:rtl/>
        </w:rPr>
        <w:tab/>
        <w:t>لا شيء في هذه المادة يمنع البرلمان من سن قوانين تشمل المجالات التالية:</w:t>
      </w:r>
    </w:p>
    <w:p w:rsidR="00225595" w:rsidRDefault="00225595" w:rsidP="00165B79">
      <w:pPr>
        <w:pStyle w:val="SingleTxtGA"/>
        <w:ind w:left="1928"/>
        <w:rPr>
          <w:rtl/>
        </w:rPr>
      </w:pPr>
      <w:r>
        <w:rPr>
          <w:rFonts w:hint="cs"/>
          <w:rtl/>
        </w:rPr>
        <w:tab/>
        <w:t>(أ)</w:t>
      </w:r>
      <w:r>
        <w:rPr>
          <w:rFonts w:hint="cs"/>
          <w:rtl/>
        </w:rPr>
        <w:tab/>
        <w:t>تنفيذ السياسات والبرامج الرامية إلى إصلاح الاختلالات الاجتماعية والاقتصادية والتعليمية أو غير ذلك من الاختلالات في المجتمع؛ أو</w:t>
      </w:r>
    </w:p>
    <w:p w:rsidR="00225595" w:rsidRDefault="00225595" w:rsidP="00165B79">
      <w:pPr>
        <w:pStyle w:val="SingleTxtGA"/>
        <w:ind w:left="1928"/>
        <w:rPr>
          <w:rtl/>
        </w:rPr>
      </w:pPr>
      <w:r>
        <w:rPr>
          <w:rFonts w:hint="cs"/>
          <w:rtl/>
        </w:rPr>
        <w:tab/>
        <w:t>(ب)</w:t>
      </w:r>
      <w:r>
        <w:rPr>
          <w:rFonts w:hint="cs"/>
          <w:rtl/>
        </w:rPr>
        <w:tab/>
        <w:t xml:space="preserve">وضع الأحكام التي يقضي أو يأذن بها هذا الدستور؛ أو </w:t>
      </w:r>
    </w:p>
    <w:p w:rsidR="00225595" w:rsidRDefault="00225595" w:rsidP="00165B79">
      <w:pPr>
        <w:pStyle w:val="SingleTxtGA"/>
        <w:ind w:left="1928"/>
        <w:rPr>
          <w:rtl/>
        </w:rPr>
      </w:pPr>
      <w:r>
        <w:rPr>
          <w:rFonts w:hint="cs"/>
          <w:rtl/>
        </w:rPr>
        <w:tab/>
        <w:t>(ج)</w:t>
      </w:r>
      <w:r>
        <w:rPr>
          <w:rFonts w:hint="cs"/>
          <w:rtl/>
        </w:rPr>
        <w:tab/>
        <w:t>وضع نص يتعلق بأية مسألة مقبولة ويمكن إثبات مسوّغاتها في أي مجتمع حر وديمقراطي.</w:t>
      </w:r>
    </w:p>
    <w:p w:rsidR="00225595" w:rsidRDefault="004060F9" w:rsidP="00165B79">
      <w:pPr>
        <w:pStyle w:val="SingleTxtGA"/>
        <w:ind w:left="1928"/>
        <w:rPr>
          <w:rtl/>
        </w:rPr>
      </w:pPr>
      <w:r>
        <w:rPr>
          <w:rFonts w:hint="cs"/>
          <w:rtl/>
        </w:rPr>
        <w:t>5-</w:t>
      </w:r>
      <w:r w:rsidR="00225595">
        <w:rPr>
          <w:rFonts w:hint="cs"/>
          <w:rtl/>
        </w:rPr>
        <w:tab/>
        <w:t>لا يجوز اعتبار أي شيء يجيزه أي حكم من أحكام هذا الدستور غير متسق مع هذه المادة"</w:t>
      </w:r>
      <w:r w:rsidR="00225595">
        <w:rPr>
          <w:vertAlign w:val="superscript"/>
          <w:rtl/>
        </w:rPr>
        <w:t>(</w:t>
      </w:r>
      <w:r w:rsidR="00225595">
        <w:rPr>
          <w:rStyle w:val="FootnoteReference"/>
          <w:rtl/>
        </w:rPr>
        <w:footnoteReference w:id="76"/>
      </w:r>
      <w:r w:rsidR="00225595">
        <w:rPr>
          <w:vertAlign w:val="superscript"/>
          <w:rtl/>
        </w:rPr>
        <w:t>)</w:t>
      </w:r>
      <w:r w:rsidR="00225595">
        <w:rPr>
          <w:rFonts w:hint="cs"/>
          <w:rtl/>
        </w:rPr>
        <w:t>.</w:t>
      </w:r>
    </w:p>
    <w:p w:rsidR="00225595" w:rsidRDefault="00225595" w:rsidP="00503148">
      <w:pPr>
        <w:pStyle w:val="SingleTxtGA"/>
        <w:rPr>
          <w:rtl/>
        </w:rPr>
      </w:pPr>
      <w:r>
        <w:rPr>
          <w:rFonts w:hint="cs"/>
          <w:rtl/>
        </w:rPr>
        <w:t>61-</w:t>
      </w:r>
      <w:r>
        <w:rPr>
          <w:rFonts w:hint="cs"/>
          <w:rtl/>
        </w:rPr>
        <w:tab/>
        <w:t xml:space="preserve">ولذلك تعد المساواة مبدأً راسخاً في دستور أوغندا وقوانينها وبالتالي فهو يتيح التمتع التام بحقوق الإنسان وعلى قدم المساواة دون أي شكل من أشكال التمييز. وعند انتهاك أي </w:t>
      </w:r>
      <w:r>
        <w:rPr>
          <w:rFonts w:hint="cs"/>
          <w:rtl/>
        </w:rPr>
        <w:lastRenderedPageBreak/>
        <w:t>حق من حقوق الإنسان، يمكن اللجوء إلى المحاكم، بما فيها المحاكم المتخصصة، كالمحكمة الصناعية التي تبت في النزاعات العمالية، وغيرها من الهيئات الدستورية كاللجنة الأوغندية لحقوق الإنسان ومحكمتها من أجل استصدار حكم في أية مسألة تُرفع أمام هذه الآليات. وبالإضافة إلى ذلك على هذه الآليات واجب تقديم المعلومات إلى الجمهور حول القوانين وحول مهامها وولاياتها وإجراءات تقديم الشكاوى كجزء من تثبيت الحقوق التي يضمنها الدستور. وقد كانت الوزارات والمؤسسات التي تشكل جزءاً من قطاع العدالة والقانون والنظام في مقدمة الجهات الساعية إلى ضمان توفير التثقيف والمعلومات في مجال حقوق الإنسان، وآليات الحماية وسبل الانتصاف الفعالة من انتهاكات الحقوق المتاحة من خلال آليات مختلفة</w:t>
      </w:r>
      <w:r>
        <w:rPr>
          <w:vertAlign w:val="superscript"/>
          <w:rtl/>
        </w:rPr>
        <w:t>(</w:t>
      </w:r>
      <w:r>
        <w:rPr>
          <w:rStyle w:val="FootnoteReference"/>
          <w:rtl/>
        </w:rPr>
        <w:footnoteReference w:id="77"/>
      </w:r>
      <w:r>
        <w:rPr>
          <w:vertAlign w:val="superscript"/>
          <w:rtl/>
        </w:rPr>
        <w:t>)</w:t>
      </w:r>
      <w:r>
        <w:rPr>
          <w:rFonts w:hint="cs"/>
          <w:rtl/>
        </w:rPr>
        <w:t>.</w:t>
      </w:r>
    </w:p>
    <w:p w:rsidR="00225595" w:rsidRDefault="00225595" w:rsidP="00503148">
      <w:pPr>
        <w:pStyle w:val="SingleTxtGA"/>
        <w:rPr>
          <w:rtl/>
        </w:rPr>
      </w:pPr>
      <w:r>
        <w:rPr>
          <w:rFonts w:hint="cs"/>
          <w:rtl/>
        </w:rPr>
        <w:t>62-</w:t>
      </w:r>
      <w:r>
        <w:rPr>
          <w:rFonts w:hint="cs"/>
          <w:rtl/>
        </w:rPr>
        <w:tab/>
        <w:t>وتتمثل مهمة اللجنة المعنية بتكافؤ الفرص التي أُنشئت عام 2010 عقب سن قانون لجنة تكافؤ الفرص لعام</w:t>
      </w:r>
      <w:r>
        <w:rPr>
          <w:rFonts w:hint="eastAsia"/>
          <w:rtl/>
        </w:rPr>
        <w:t> </w:t>
      </w:r>
      <w:r>
        <w:rPr>
          <w:rFonts w:hint="cs"/>
          <w:rtl/>
        </w:rPr>
        <w:t>2007</w:t>
      </w:r>
      <w:r>
        <w:rPr>
          <w:vertAlign w:val="superscript"/>
          <w:rtl/>
        </w:rPr>
        <w:t>(</w:t>
      </w:r>
      <w:r>
        <w:rPr>
          <w:rStyle w:val="FootnoteReference"/>
          <w:rtl/>
        </w:rPr>
        <w:footnoteReference w:id="78"/>
      </w:r>
      <w:r>
        <w:rPr>
          <w:vertAlign w:val="superscript"/>
          <w:rtl/>
        </w:rPr>
        <w:t>)</w:t>
      </w:r>
      <w:r>
        <w:rPr>
          <w:rFonts w:hint="cs"/>
          <w:rtl/>
        </w:rPr>
        <w:t xml:space="preserve"> في القضاء على أوجه عدم المساواة والتمييز بحق أي فرد أو</w:t>
      </w:r>
      <w:r w:rsidR="00503148">
        <w:rPr>
          <w:rFonts w:hint="eastAsia"/>
          <w:rtl/>
        </w:rPr>
        <w:t> </w:t>
      </w:r>
      <w:r>
        <w:rPr>
          <w:rFonts w:hint="cs"/>
          <w:rtl/>
        </w:rPr>
        <w:t xml:space="preserve">مجموعة أفراد على أساس الجنس أو السن أو العرق أو اللون أو الأصل </w:t>
      </w:r>
      <w:proofErr w:type="spellStart"/>
      <w:r>
        <w:rPr>
          <w:rFonts w:hint="cs"/>
          <w:rtl/>
        </w:rPr>
        <w:t>الإثني</w:t>
      </w:r>
      <w:proofErr w:type="spellEnd"/>
      <w:r>
        <w:rPr>
          <w:rFonts w:hint="cs"/>
          <w:rtl/>
        </w:rPr>
        <w:t xml:space="preserve"> أو القبيلة أو</w:t>
      </w:r>
      <w:r w:rsidR="00503148">
        <w:rPr>
          <w:rFonts w:hint="eastAsia"/>
          <w:rtl/>
        </w:rPr>
        <w:t> </w:t>
      </w:r>
      <w:r>
        <w:rPr>
          <w:rFonts w:hint="cs"/>
          <w:rtl/>
        </w:rPr>
        <w:t xml:space="preserve">النسب أو العقيدة أو الدين أو الحالة الصحية أو المكانة الاجتماعية أو الاقتصادية أو الرأي السياسي أو الإعاقة، واتخاذ تدابير إيجابية لصالح المجموعات المهمشة بسبب نوع الجنس أو الفئة العمرية أو الإعاقة أو لأي سبب آخر ناشئ عن الصيرورة التاريخية أو عن التقاليد أو الأعراف، وذلك بغرض تصحيح الاختلالات التي تعيق </w:t>
      </w:r>
      <w:r w:rsidR="00503148">
        <w:rPr>
          <w:rFonts w:hint="cs"/>
          <w:rtl/>
        </w:rPr>
        <w:t>أفراد تلك المجموعات</w:t>
      </w:r>
      <w:r>
        <w:rPr>
          <w:vertAlign w:val="superscript"/>
          <w:rtl/>
        </w:rPr>
        <w:t>(</w:t>
      </w:r>
      <w:r>
        <w:rPr>
          <w:rStyle w:val="FootnoteReference"/>
          <w:rtl/>
        </w:rPr>
        <w:footnoteReference w:id="79"/>
      </w:r>
      <w:r>
        <w:rPr>
          <w:vertAlign w:val="superscript"/>
          <w:rtl/>
        </w:rPr>
        <w:t>)</w:t>
      </w:r>
      <w:r>
        <w:rPr>
          <w:rFonts w:hint="cs"/>
          <w:rtl/>
        </w:rPr>
        <w:t>.</w:t>
      </w:r>
    </w:p>
    <w:p w:rsidR="00225595" w:rsidRPr="00065524" w:rsidRDefault="00225595" w:rsidP="00165B79">
      <w:pPr>
        <w:pStyle w:val="HChGA"/>
        <w:spacing w:before="120"/>
        <w:rPr>
          <w:rtl/>
        </w:rPr>
      </w:pPr>
      <w:r>
        <w:rPr>
          <w:rtl/>
        </w:rPr>
        <w:br w:type="page"/>
      </w:r>
      <w:bookmarkStart w:id="10" w:name="_Toc421870484"/>
      <w:r>
        <w:rPr>
          <w:rFonts w:hint="cs"/>
          <w:rtl/>
        </w:rPr>
        <w:lastRenderedPageBreak/>
        <w:t>المرفق</w:t>
      </w:r>
      <w:bookmarkEnd w:id="10"/>
    </w:p>
    <w:p w:rsidR="00225595" w:rsidRDefault="00225595" w:rsidP="00165B79">
      <w:pPr>
        <w:pStyle w:val="HChGA"/>
        <w:rPr>
          <w:rtl/>
        </w:rPr>
      </w:pPr>
      <w:r>
        <w:rPr>
          <w:rFonts w:hint="cs"/>
          <w:rtl/>
        </w:rPr>
        <w:tab/>
      </w:r>
      <w:r>
        <w:rPr>
          <w:rFonts w:hint="cs"/>
          <w:rtl/>
        </w:rPr>
        <w:tab/>
      </w:r>
      <w:bookmarkStart w:id="11" w:name="_Toc421870485"/>
      <w:r>
        <w:rPr>
          <w:rFonts w:hint="cs"/>
          <w:rtl/>
        </w:rPr>
        <w:t>حالة التصديق على الصكوك الأخرى لحقوق الإنسان</w:t>
      </w:r>
      <w:bookmarkEnd w:id="11"/>
    </w:p>
    <w:tbl>
      <w:tblPr>
        <w:tblStyle w:val="TableGrid"/>
        <w:bidiVisual/>
        <w:tblW w:w="4337" w:type="pct"/>
        <w:tblInd w:w="1280" w:type="dxa"/>
        <w:tblBorders>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2227"/>
        <w:gridCol w:w="1314"/>
        <w:gridCol w:w="1702"/>
        <w:gridCol w:w="1415"/>
        <w:gridCol w:w="890"/>
        <w:gridCol w:w="813"/>
      </w:tblGrid>
      <w:tr w:rsidR="00207B11" w:rsidRPr="00207B11" w:rsidTr="009C7937">
        <w:trPr>
          <w:tblHeader/>
        </w:trPr>
        <w:tc>
          <w:tcPr>
            <w:tcW w:w="1332" w:type="pct"/>
            <w:tcBorders>
              <w:bottom w:val="single" w:sz="12" w:space="0" w:color="auto"/>
            </w:tcBorders>
            <w:vAlign w:val="bottom"/>
          </w:tcPr>
          <w:p w:rsidR="00207B11" w:rsidRPr="00207B11" w:rsidRDefault="00207B11" w:rsidP="00207B11">
            <w:pPr>
              <w:spacing w:before="40" w:after="40" w:line="280" w:lineRule="exact"/>
              <w:ind w:left="57" w:right="57"/>
              <w:rPr>
                <w:iCs/>
                <w:sz w:val="18"/>
                <w:szCs w:val="26"/>
              </w:rPr>
            </w:pPr>
            <w:r w:rsidRPr="00207B11">
              <w:rPr>
                <w:rFonts w:hint="cs"/>
                <w:iCs/>
                <w:sz w:val="18"/>
                <w:szCs w:val="26"/>
                <w:rtl/>
              </w:rPr>
              <w:t>المعاهدة</w:t>
            </w:r>
          </w:p>
        </w:tc>
        <w:tc>
          <w:tcPr>
            <w:tcW w:w="786" w:type="pct"/>
            <w:tcBorders>
              <w:bottom w:val="single" w:sz="12" w:space="0" w:color="auto"/>
            </w:tcBorders>
            <w:vAlign w:val="bottom"/>
          </w:tcPr>
          <w:p w:rsidR="00207B11" w:rsidRPr="00207B11" w:rsidRDefault="00207B11" w:rsidP="00207B11">
            <w:pPr>
              <w:spacing w:before="40" w:after="40" w:line="280" w:lineRule="exact"/>
              <w:ind w:left="57" w:right="57"/>
              <w:rPr>
                <w:iCs/>
                <w:sz w:val="18"/>
                <w:szCs w:val="26"/>
              </w:rPr>
            </w:pPr>
            <w:r w:rsidRPr="00207B11">
              <w:rPr>
                <w:rFonts w:hint="cs"/>
                <w:iCs/>
                <w:sz w:val="18"/>
                <w:szCs w:val="26"/>
                <w:rtl/>
              </w:rPr>
              <w:t xml:space="preserve">التوقيع </w:t>
            </w:r>
          </w:p>
        </w:tc>
        <w:tc>
          <w:tcPr>
            <w:tcW w:w="1018" w:type="pct"/>
            <w:tcBorders>
              <w:bottom w:val="single" w:sz="12" w:space="0" w:color="auto"/>
            </w:tcBorders>
            <w:vAlign w:val="bottom"/>
          </w:tcPr>
          <w:p w:rsidR="00207B11" w:rsidRPr="00207B11" w:rsidRDefault="00207B11" w:rsidP="00207B11">
            <w:pPr>
              <w:spacing w:before="40" w:after="40" w:line="280" w:lineRule="exact"/>
              <w:ind w:left="57" w:right="57"/>
              <w:rPr>
                <w:iCs/>
                <w:sz w:val="18"/>
                <w:szCs w:val="26"/>
              </w:rPr>
            </w:pPr>
            <w:r w:rsidRPr="00207B11">
              <w:rPr>
                <w:rFonts w:hint="cs"/>
                <w:iCs/>
                <w:sz w:val="18"/>
                <w:szCs w:val="26"/>
                <w:rtl/>
              </w:rPr>
              <w:t>التصديق</w:t>
            </w:r>
          </w:p>
        </w:tc>
        <w:tc>
          <w:tcPr>
            <w:tcW w:w="846" w:type="pct"/>
            <w:tcBorders>
              <w:bottom w:val="single" w:sz="12" w:space="0" w:color="auto"/>
            </w:tcBorders>
            <w:vAlign w:val="bottom"/>
          </w:tcPr>
          <w:p w:rsidR="00207B11" w:rsidRPr="00207B11" w:rsidRDefault="00207B11" w:rsidP="00207B11">
            <w:pPr>
              <w:spacing w:before="40" w:after="40" w:line="280" w:lineRule="exact"/>
              <w:ind w:left="57" w:right="57"/>
              <w:rPr>
                <w:iCs/>
                <w:sz w:val="18"/>
                <w:szCs w:val="26"/>
              </w:rPr>
            </w:pPr>
            <w:r w:rsidRPr="00207B11">
              <w:rPr>
                <w:rFonts w:hint="cs"/>
                <w:iCs/>
                <w:sz w:val="18"/>
                <w:szCs w:val="26"/>
                <w:rtl/>
              </w:rPr>
              <w:t>الانضمام</w:t>
            </w:r>
          </w:p>
        </w:tc>
        <w:tc>
          <w:tcPr>
            <w:tcW w:w="532" w:type="pct"/>
            <w:tcBorders>
              <w:bottom w:val="single" w:sz="12" w:space="0" w:color="auto"/>
            </w:tcBorders>
            <w:vAlign w:val="bottom"/>
          </w:tcPr>
          <w:p w:rsidR="00207B11" w:rsidRPr="00207B11" w:rsidRDefault="00207B11" w:rsidP="00207B11">
            <w:pPr>
              <w:spacing w:before="40" w:after="40" w:line="280" w:lineRule="exact"/>
              <w:ind w:left="57" w:right="57"/>
              <w:rPr>
                <w:iCs/>
                <w:sz w:val="18"/>
                <w:szCs w:val="26"/>
              </w:rPr>
            </w:pPr>
            <w:r w:rsidRPr="00207B11">
              <w:rPr>
                <w:rFonts w:hint="cs"/>
                <w:iCs/>
                <w:sz w:val="18"/>
                <w:szCs w:val="26"/>
                <w:rtl/>
              </w:rPr>
              <w:t>الخلافة</w:t>
            </w:r>
          </w:p>
        </w:tc>
        <w:tc>
          <w:tcPr>
            <w:tcW w:w="486" w:type="pct"/>
            <w:tcBorders>
              <w:bottom w:val="single" w:sz="12" w:space="0" w:color="auto"/>
            </w:tcBorders>
            <w:vAlign w:val="bottom"/>
          </w:tcPr>
          <w:p w:rsidR="00207B11" w:rsidRPr="00207B11" w:rsidRDefault="00207B11" w:rsidP="00207B11">
            <w:pPr>
              <w:spacing w:before="40" w:after="40" w:line="280" w:lineRule="exact"/>
              <w:ind w:left="57" w:right="57"/>
              <w:rPr>
                <w:iCs/>
                <w:sz w:val="18"/>
                <w:szCs w:val="26"/>
              </w:rPr>
            </w:pPr>
            <w:r w:rsidRPr="00207B11">
              <w:rPr>
                <w:rFonts w:hint="cs"/>
                <w:iCs/>
                <w:sz w:val="18"/>
                <w:szCs w:val="26"/>
                <w:rtl/>
              </w:rPr>
              <w:t>بدء النفاذ</w:t>
            </w:r>
          </w:p>
        </w:tc>
      </w:tr>
      <w:tr w:rsidR="00207B11" w:rsidRPr="00207B11" w:rsidTr="009C7937">
        <w:tc>
          <w:tcPr>
            <w:tcW w:w="1332" w:type="pct"/>
            <w:tcBorders>
              <w:top w:val="single" w:sz="12" w:space="0" w:color="auto"/>
            </w:tcBorders>
          </w:tcPr>
          <w:p w:rsidR="00207B11" w:rsidRPr="00207B11" w:rsidRDefault="00207B11" w:rsidP="00207B11">
            <w:pPr>
              <w:spacing w:before="40" w:after="40" w:line="280" w:lineRule="exact"/>
              <w:ind w:left="57" w:right="170"/>
              <w:rPr>
                <w:sz w:val="18"/>
                <w:szCs w:val="26"/>
              </w:rPr>
            </w:pPr>
            <w:r w:rsidRPr="00207B11">
              <w:rPr>
                <w:rFonts w:hint="cs"/>
                <w:sz w:val="18"/>
                <w:szCs w:val="26"/>
                <w:rtl/>
              </w:rPr>
              <w:t>اتفاقية الأمم المتحدة لمكافحة الجريمة المنظمة عبر الوطنية</w:t>
            </w:r>
          </w:p>
        </w:tc>
        <w:tc>
          <w:tcPr>
            <w:tcW w:w="786" w:type="pct"/>
            <w:tcBorders>
              <w:top w:val="single" w:sz="12" w:space="0" w:color="auto"/>
            </w:tcBorders>
          </w:tcPr>
          <w:p w:rsidR="00207B11" w:rsidRPr="00207B11" w:rsidRDefault="00207B11" w:rsidP="00207B11">
            <w:pPr>
              <w:spacing w:before="40" w:after="40" w:line="280" w:lineRule="exact"/>
              <w:ind w:left="57" w:right="57"/>
              <w:rPr>
                <w:sz w:val="18"/>
                <w:szCs w:val="26"/>
              </w:rPr>
            </w:pPr>
            <w:r w:rsidRPr="00207B11">
              <w:rPr>
                <w:rFonts w:hint="cs"/>
                <w:sz w:val="18"/>
                <w:szCs w:val="26"/>
                <w:rtl/>
              </w:rPr>
              <w:t>12 كانون الأول/ ديسمبر 2000</w:t>
            </w:r>
          </w:p>
        </w:tc>
        <w:tc>
          <w:tcPr>
            <w:tcW w:w="1018" w:type="pct"/>
            <w:tcBorders>
              <w:top w:val="single" w:sz="12" w:space="0" w:color="auto"/>
            </w:tcBorders>
          </w:tcPr>
          <w:p w:rsidR="00207B11" w:rsidRPr="00207B11" w:rsidRDefault="00207B11" w:rsidP="00207B11">
            <w:pPr>
              <w:spacing w:before="40" w:after="40" w:line="280" w:lineRule="exact"/>
              <w:ind w:left="57" w:right="57"/>
              <w:rPr>
                <w:sz w:val="18"/>
                <w:szCs w:val="26"/>
              </w:rPr>
            </w:pPr>
            <w:r w:rsidRPr="00207B11">
              <w:rPr>
                <w:rFonts w:hint="cs"/>
                <w:sz w:val="18"/>
                <w:szCs w:val="26"/>
                <w:rtl/>
              </w:rPr>
              <w:t>9 آذار/مارس 2005</w:t>
            </w:r>
          </w:p>
        </w:tc>
        <w:tc>
          <w:tcPr>
            <w:tcW w:w="846" w:type="pct"/>
            <w:tcBorders>
              <w:top w:val="single" w:sz="12" w:space="0" w:color="auto"/>
            </w:tcBorders>
          </w:tcPr>
          <w:p w:rsidR="00207B11" w:rsidRPr="00207B11" w:rsidRDefault="00207B11" w:rsidP="00207B11">
            <w:pPr>
              <w:spacing w:before="40" w:after="40" w:line="280" w:lineRule="exact"/>
              <w:ind w:left="57" w:right="57"/>
              <w:rPr>
                <w:sz w:val="18"/>
                <w:szCs w:val="26"/>
              </w:rPr>
            </w:pPr>
          </w:p>
        </w:tc>
        <w:tc>
          <w:tcPr>
            <w:tcW w:w="532" w:type="pct"/>
            <w:tcBorders>
              <w:top w:val="single" w:sz="12" w:space="0" w:color="auto"/>
            </w:tcBorders>
          </w:tcPr>
          <w:p w:rsidR="00207B11" w:rsidRPr="00207B11" w:rsidRDefault="00207B11" w:rsidP="00207B11">
            <w:pPr>
              <w:spacing w:before="40" w:after="40" w:line="280" w:lineRule="exact"/>
              <w:ind w:left="57" w:right="57"/>
              <w:rPr>
                <w:sz w:val="18"/>
                <w:szCs w:val="26"/>
              </w:rPr>
            </w:pPr>
          </w:p>
        </w:tc>
        <w:tc>
          <w:tcPr>
            <w:tcW w:w="486" w:type="pct"/>
            <w:tcBorders>
              <w:top w:val="single" w:sz="12" w:space="0" w:color="auto"/>
            </w:tcBorders>
          </w:tcPr>
          <w:p w:rsidR="00207B11" w:rsidRPr="00207B11" w:rsidRDefault="00207B11" w:rsidP="00207B11">
            <w:pPr>
              <w:spacing w:before="40" w:after="40" w:line="280" w:lineRule="exact"/>
              <w:ind w:left="57" w:right="57"/>
              <w:rPr>
                <w:sz w:val="18"/>
                <w:szCs w:val="26"/>
              </w:rPr>
            </w:pP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بروتوكول مكافحة تهريب المهاجرين عن طريق البر والبحر والجو المكمل لاتفاقية الأمم المتحدة لمكافحة الجريمة المنظمة عبر الوطنية</w:t>
            </w:r>
          </w:p>
        </w:tc>
        <w:tc>
          <w:tcPr>
            <w:tcW w:w="786"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12 كانون الأول/ ديسمبر 2000</w:t>
            </w:r>
          </w:p>
        </w:tc>
        <w:tc>
          <w:tcPr>
            <w:tcW w:w="1018" w:type="pct"/>
          </w:tcPr>
          <w:p w:rsidR="00207B11" w:rsidRPr="00207B11" w:rsidRDefault="00207B11" w:rsidP="00207B11">
            <w:pPr>
              <w:spacing w:before="40" w:after="40" w:line="280" w:lineRule="exact"/>
              <w:ind w:left="57" w:right="57"/>
              <w:rPr>
                <w:sz w:val="18"/>
                <w:szCs w:val="26"/>
              </w:rPr>
            </w:pPr>
          </w:p>
        </w:tc>
        <w:tc>
          <w:tcPr>
            <w:tcW w:w="846" w:type="pct"/>
          </w:tcPr>
          <w:p w:rsidR="00207B11" w:rsidRPr="00207B11" w:rsidRDefault="00207B11" w:rsidP="00207B11">
            <w:pPr>
              <w:spacing w:before="40" w:after="40" w:line="280" w:lineRule="exact"/>
              <w:ind w:left="57" w:right="57"/>
              <w:rPr>
                <w:sz w:val="18"/>
                <w:szCs w:val="26"/>
              </w:rPr>
            </w:pPr>
          </w:p>
        </w:tc>
        <w:tc>
          <w:tcPr>
            <w:tcW w:w="532" w:type="pct"/>
          </w:tcPr>
          <w:p w:rsidR="00207B11" w:rsidRPr="00207B11" w:rsidRDefault="00207B11" w:rsidP="00207B11">
            <w:pPr>
              <w:spacing w:before="40" w:after="40" w:line="280" w:lineRule="exact"/>
              <w:ind w:left="57" w:right="57"/>
              <w:rPr>
                <w:sz w:val="18"/>
                <w:szCs w:val="26"/>
              </w:rPr>
            </w:pPr>
          </w:p>
        </w:tc>
        <w:tc>
          <w:tcPr>
            <w:tcW w:w="486" w:type="pct"/>
          </w:tcPr>
          <w:p w:rsidR="00207B11" w:rsidRPr="00207B11" w:rsidRDefault="00207B11" w:rsidP="00207B11">
            <w:pPr>
              <w:spacing w:before="40" w:after="40" w:line="280" w:lineRule="exact"/>
              <w:ind w:left="57" w:right="57"/>
              <w:rPr>
                <w:sz w:val="18"/>
                <w:szCs w:val="26"/>
              </w:rPr>
            </w:pPr>
          </w:p>
        </w:tc>
      </w:tr>
      <w:tr w:rsidR="00207B11" w:rsidRPr="000637D8" w:rsidTr="009C7937">
        <w:tc>
          <w:tcPr>
            <w:tcW w:w="1332" w:type="pct"/>
          </w:tcPr>
          <w:p w:rsidR="00207B11" w:rsidRPr="000637D8" w:rsidRDefault="00207B11" w:rsidP="00207B11">
            <w:pPr>
              <w:spacing w:before="40" w:after="40" w:line="280" w:lineRule="exact"/>
              <w:ind w:left="57" w:right="170"/>
              <w:rPr>
                <w:i/>
                <w:iCs/>
                <w:sz w:val="18"/>
                <w:szCs w:val="26"/>
              </w:rPr>
            </w:pPr>
            <w:r w:rsidRPr="000637D8">
              <w:rPr>
                <w:rFonts w:hint="cs"/>
                <w:i/>
                <w:iCs/>
                <w:sz w:val="18"/>
                <w:szCs w:val="26"/>
                <w:rtl/>
              </w:rPr>
              <w:t>الرق والممارسات الشبيهة بالرق</w:t>
            </w:r>
          </w:p>
        </w:tc>
        <w:tc>
          <w:tcPr>
            <w:tcW w:w="786" w:type="pct"/>
            <w:vAlign w:val="bottom"/>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 xml:space="preserve">التوقيع </w:t>
            </w:r>
          </w:p>
        </w:tc>
        <w:tc>
          <w:tcPr>
            <w:tcW w:w="1018" w:type="pct"/>
            <w:vAlign w:val="bottom"/>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التصديق</w:t>
            </w:r>
          </w:p>
        </w:tc>
        <w:tc>
          <w:tcPr>
            <w:tcW w:w="846" w:type="pct"/>
            <w:vAlign w:val="bottom"/>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الانضمام</w:t>
            </w:r>
          </w:p>
        </w:tc>
        <w:tc>
          <w:tcPr>
            <w:tcW w:w="532" w:type="pct"/>
            <w:vAlign w:val="bottom"/>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الخلافة</w:t>
            </w:r>
          </w:p>
        </w:tc>
        <w:tc>
          <w:tcPr>
            <w:tcW w:w="486" w:type="pct"/>
            <w:vAlign w:val="bottom"/>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بدء النفاذ</w:t>
            </w: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اتفاقية الرق</w:t>
            </w:r>
          </w:p>
        </w:tc>
        <w:tc>
          <w:tcPr>
            <w:tcW w:w="786"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 xml:space="preserve">لم تُوقع </w:t>
            </w:r>
          </w:p>
        </w:tc>
        <w:tc>
          <w:tcPr>
            <w:tcW w:w="1018" w:type="pct"/>
          </w:tcPr>
          <w:p w:rsidR="00207B11" w:rsidRPr="00207B11" w:rsidRDefault="00207B11" w:rsidP="00207B11">
            <w:pPr>
              <w:spacing w:before="40" w:after="40" w:line="280" w:lineRule="exact"/>
              <w:ind w:left="57" w:right="57"/>
              <w:rPr>
                <w:sz w:val="18"/>
                <w:szCs w:val="26"/>
              </w:rPr>
            </w:pPr>
          </w:p>
        </w:tc>
        <w:tc>
          <w:tcPr>
            <w:tcW w:w="846" w:type="pct"/>
          </w:tcPr>
          <w:p w:rsidR="00207B11" w:rsidRPr="00207B11" w:rsidRDefault="00207B11" w:rsidP="00207B11">
            <w:pPr>
              <w:spacing w:before="40" w:after="40" w:line="280" w:lineRule="exact"/>
              <w:ind w:left="57" w:right="57"/>
              <w:rPr>
                <w:sz w:val="18"/>
                <w:szCs w:val="26"/>
              </w:rPr>
            </w:pPr>
          </w:p>
        </w:tc>
        <w:tc>
          <w:tcPr>
            <w:tcW w:w="532" w:type="pct"/>
          </w:tcPr>
          <w:p w:rsidR="00207B11" w:rsidRPr="00207B11" w:rsidRDefault="00207B11" w:rsidP="00207B11">
            <w:pPr>
              <w:spacing w:before="40" w:after="40" w:line="280" w:lineRule="exact"/>
              <w:ind w:left="57" w:right="57"/>
              <w:rPr>
                <w:sz w:val="18"/>
                <w:szCs w:val="26"/>
              </w:rPr>
            </w:pPr>
          </w:p>
        </w:tc>
        <w:tc>
          <w:tcPr>
            <w:tcW w:w="486" w:type="pct"/>
          </w:tcPr>
          <w:p w:rsidR="00207B11" w:rsidRPr="00207B11" w:rsidRDefault="00207B11" w:rsidP="00207B11">
            <w:pPr>
              <w:spacing w:before="40" w:after="40" w:line="280" w:lineRule="exact"/>
              <w:ind w:left="57" w:right="57"/>
              <w:rPr>
                <w:sz w:val="18"/>
                <w:szCs w:val="26"/>
              </w:rPr>
            </w:pP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بروتوكول تعديل الاتفاقية الخاصة بالرق</w:t>
            </w:r>
          </w:p>
        </w:tc>
        <w:tc>
          <w:tcPr>
            <w:tcW w:w="786"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 xml:space="preserve">لم يُوقع </w:t>
            </w:r>
          </w:p>
        </w:tc>
        <w:tc>
          <w:tcPr>
            <w:tcW w:w="1018" w:type="pct"/>
          </w:tcPr>
          <w:p w:rsidR="00207B11" w:rsidRPr="00207B11" w:rsidRDefault="00207B11" w:rsidP="00207B11">
            <w:pPr>
              <w:spacing w:before="40" w:after="40" w:line="280" w:lineRule="exact"/>
              <w:ind w:left="57" w:right="57"/>
              <w:rPr>
                <w:sz w:val="18"/>
                <w:szCs w:val="26"/>
              </w:rPr>
            </w:pPr>
          </w:p>
        </w:tc>
        <w:tc>
          <w:tcPr>
            <w:tcW w:w="846" w:type="pct"/>
          </w:tcPr>
          <w:p w:rsidR="00207B11" w:rsidRPr="00207B11" w:rsidRDefault="00207B11" w:rsidP="00207B11">
            <w:pPr>
              <w:spacing w:before="40" w:after="40" w:line="280" w:lineRule="exact"/>
              <w:ind w:left="57" w:right="57"/>
              <w:rPr>
                <w:sz w:val="18"/>
                <w:szCs w:val="26"/>
              </w:rPr>
            </w:pPr>
          </w:p>
        </w:tc>
        <w:tc>
          <w:tcPr>
            <w:tcW w:w="532" w:type="pct"/>
          </w:tcPr>
          <w:p w:rsidR="00207B11" w:rsidRPr="00207B11" w:rsidRDefault="00207B11" w:rsidP="00207B11">
            <w:pPr>
              <w:spacing w:before="40" w:after="40" w:line="280" w:lineRule="exact"/>
              <w:ind w:left="57" w:right="57"/>
              <w:rPr>
                <w:sz w:val="18"/>
                <w:szCs w:val="26"/>
              </w:rPr>
            </w:pPr>
          </w:p>
        </w:tc>
        <w:tc>
          <w:tcPr>
            <w:tcW w:w="486" w:type="pct"/>
          </w:tcPr>
          <w:p w:rsidR="00207B11" w:rsidRPr="00207B11" w:rsidRDefault="00207B11" w:rsidP="00207B11">
            <w:pPr>
              <w:spacing w:before="40" w:after="40" w:line="280" w:lineRule="exact"/>
              <w:ind w:left="57" w:right="57"/>
              <w:rPr>
                <w:sz w:val="18"/>
                <w:szCs w:val="26"/>
              </w:rPr>
            </w:pP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الاتفاقية التكميلية لإبطال الرق وتجارة الرقيق والأعراف والممارسات الشبيهة بالرق</w:t>
            </w:r>
          </w:p>
        </w:tc>
        <w:tc>
          <w:tcPr>
            <w:tcW w:w="786" w:type="pct"/>
          </w:tcPr>
          <w:p w:rsidR="00207B11" w:rsidRPr="00207B11" w:rsidRDefault="00207B11" w:rsidP="00207B11">
            <w:pPr>
              <w:spacing w:before="40" w:after="40" w:line="280" w:lineRule="exact"/>
              <w:ind w:left="57" w:right="57"/>
              <w:rPr>
                <w:sz w:val="18"/>
                <w:szCs w:val="26"/>
              </w:rPr>
            </w:pPr>
          </w:p>
        </w:tc>
        <w:tc>
          <w:tcPr>
            <w:tcW w:w="1018" w:type="pct"/>
          </w:tcPr>
          <w:p w:rsidR="00207B11" w:rsidRPr="00207B11" w:rsidRDefault="00207B11" w:rsidP="00207B11">
            <w:pPr>
              <w:spacing w:before="40" w:after="40" w:line="280" w:lineRule="exact"/>
              <w:ind w:left="57" w:right="57"/>
              <w:rPr>
                <w:sz w:val="18"/>
                <w:szCs w:val="26"/>
              </w:rPr>
            </w:pPr>
          </w:p>
        </w:tc>
        <w:tc>
          <w:tcPr>
            <w:tcW w:w="846" w:type="pct"/>
          </w:tcPr>
          <w:p w:rsidR="00207B11" w:rsidRPr="00207B11" w:rsidRDefault="00207B11" w:rsidP="009C7937">
            <w:pPr>
              <w:spacing w:before="40" w:after="40" w:line="280" w:lineRule="exact"/>
              <w:ind w:left="57" w:right="57"/>
              <w:jc w:val="left"/>
              <w:rPr>
                <w:sz w:val="18"/>
                <w:szCs w:val="26"/>
              </w:rPr>
            </w:pPr>
            <w:r w:rsidRPr="00207B11">
              <w:rPr>
                <w:rFonts w:hint="cs"/>
                <w:sz w:val="18"/>
                <w:szCs w:val="26"/>
                <w:rtl/>
              </w:rPr>
              <w:t>12 آب/أغسطس 1964</w:t>
            </w:r>
          </w:p>
        </w:tc>
        <w:tc>
          <w:tcPr>
            <w:tcW w:w="532" w:type="pct"/>
          </w:tcPr>
          <w:p w:rsidR="00207B11" w:rsidRPr="00207B11" w:rsidRDefault="00207B11" w:rsidP="00207B11">
            <w:pPr>
              <w:spacing w:before="40" w:after="40" w:line="280" w:lineRule="exact"/>
              <w:ind w:left="57" w:right="57"/>
              <w:rPr>
                <w:sz w:val="18"/>
                <w:szCs w:val="26"/>
              </w:rPr>
            </w:pPr>
          </w:p>
        </w:tc>
        <w:tc>
          <w:tcPr>
            <w:tcW w:w="486" w:type="pct"/>
          </w:tcPr>
          <w:p w:rsidR="00207B11" w:rsidRPr="00207B11" w:rsidRDefault="00207B11" w:rsidP="00207B11">
            <w:pPr>
              <w:spacing w:before="40" w:after="40" w:line="280" w:lineRule="exact"/>
              <w:ind w:left="57" w:right="57"/>
              <w:rPr>
                <w:sz w:val="18"/>
                <w:szCs w:val="26"/>
              </w:rPr>
            </w:pPr>
          </w:p>
        </w:tc>
      </w:tr>
      <w:tr w:rsidR="00207B11" w:rsidRPr="00207B11" w:rsidTr="009C7937">
        <w:tc>
          <w:tcPr>
            <w:tcW w:w="1332" w:type="pct"/>
          </w:tcPr>
          <w:p w:rsidR="00207B11" w:rsidRPr="00207B11" w:rsidRDefault="00207B11" w:rsidP="00207B11">
            <w:pPr>
              <w:spacing w:before="40" w:after="40" w:line="280" w:lineRule="exact"/>
              <w:ind w:left="57" w:right="170"/>
              <w:rPr>
                <w:spacing w:val="-6"/>
                <w:sz w:val="18"/>
                <w:szCs w:val="26"/>
              </w:rPr>
            </w:pPr>
            <w:r w:rsidRPr="00207B11">
              <w:rPr>
                <w:rFonts w:hint="cs"/>
                <w:spacing w:val="-6"/>
                <w:sz w:val="18"/>
                <w:szCs w:val="26"/>
                <w:rtl/>
              </w:rPr>
              <w:t>اتفاقية حظر الاتجار بالأشخاص واستغلال دعارة الغير</w:t>
            </w:r>
          </w:p>
        </w:tc>
        <w:tc>
          <w:tcPr>
            <w:tcW w:w="786"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 xml:space="preserve">لم تُوقع </w:t>
            </w:r>
          </w:p>
        </w:tc>
        <w:tc>
          <w:tcPr>
            <w:tcW w:w="1018" w:type="pct"/>
          </w:tcPr>
          <w:p w:rsidR="00207B11" w:rsidRPr="00207B11" w:rsidRDefault="00207B11" w:rsidP="00207B11">
            <w:pPr>
              <w:spacing w:before="40" w:after="40" w:line="280" w:lineRule="exact"/>
              <w:ind w:left="57" w:right="57"/>
              <w:rPr>
                <w:sz w:val="18"/>
                <w:szCs w:val="26"/>
              </w:rPr>
            </w:pPr>
          </w:p>
        </w:tc>
        <w:tc>
          <w:tcPr>
            <w:tcW w:w="846" w:type="pct"/>
          </w:tcPr>
          <w:p w:rsidR="00207B11" w:rsidRPr="00207B11" w:rsidRDefault="00207B11" w:rsidP="00207B11">
            <w:pPr>
              <w:spacing w:before="40" w:after="40" w:line="280" w:lineRule="exact"/>
              <w:ind w:left="57" w:right="57"/>
              <w:rPr>
                <w:sz w:val="18"/>
                <w:szCs w:val="26"/>
              </w:rPr>
            </w:pPr>
          </w:p>
        </w:tc>
        <w:tc>
          <w:tcPr>
            <w:tcW w:w="532" w:type="pct"/>
          </w:tcPr>
          <w:p w:rsidR="00207B11" w:rsidRPr="00207B11" w:rsidRDefault="00207B11" w:rsidP="00207B11">
            <w:pPr>
              <w:spacing w:before="40" w:after="40" w:line="280" w:lineRule="exact"/>
              <w:ind w:left="57" w:right="57"/>
              <w:rPr>
                <w:sz w:val="18"/>
                <w:szCs w:val="26"/>
              </w:rPr>
            </w:pPr>
          </w:p>
        </w:tc>
        <w:tc>
          <w:tcPr>
            <w:tcW w:w="486" w:type="pct"/>
          </w:tcPr>
          <w:p w:rsidR="00207B11" w:rsidRPr="00207B11" w:rsidRDefault="00207B11" w:rsidP="00207B11">
            <w:pPr>
              <w:spacing w:before="40" w:after="40" w:line="280" w:lineRule="exact"/>
              <w:ind w:left="57" w:right="57"/>
              <w:rPr>
                <w:sz w:val="18"/>
                <w:szCs w:val="26"/>
              </w:rPr>
            </w:pPr>
          </w:p>
        </w:tc>
      </w:tr>
      <w:tr w:rsidR="00207B11" w:rsidRPr="000637D8" w:rsidTr="009C7937">
        <w:tc>
          <w:tcPr>
            <w:tcW w:w="1332" w:type="pct"/>
          </w:tcPr>
          <w:p w:rsidR="00207B11" w:rsidRPr="000637D8" w:rsidRDefault="00207B11" w:rsidP="00207B11">
            <w:pPr>
              <w:spacing w:before="40" w:after="40" w:line="280" w:lineRule="exact"/>
              <w:ind w:left="57" w:right="170"/>
              <w:rPr>
                <w:i/>
                <w:iCs/>
                <w:sz w:val="18"/>
                <w:szCs w:val="26"/>
              </w:rPr>
            </w:pPr>
            <w:r w:rsidRPr="000637D8">
              <w:rPr>
                <w:rFonts w:hint="cs"/>
                <w:i/>
                <w:iCs/>
                <w:sz w:val="18"/>
                <w:szCs w:val="26"/>
                <w:rtl/>
              </w:rPr>
              <w:t>الحق في تكوين الجمعيات</w:t>
            </w:r>
          </w:p>
        </w:tc>
        <w:tc>
          <w:tcPr>
            <w:tcW w:w="786"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التوقيع</w:t>
            </w:r>
          </w:p>
        </w:tc>
        <w:tc>
          <w:tcPr>
            <w:tcW w:w="1018"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التصديق</w:t>
            </w:r>
          </w:p>
        </w:tc>
        <w:tc>
          <w:tcPr>
            <w:tcW w:w="846"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الانضمام</w:t>
            </w:r>
          </w:p>
        </w:tc>
        <w:tc>
          <w:tcPr>
            <w:tcW w:w="532"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الخلافة</w:t>
            </w:r>
          </w:p>
        </w:tc>
        <w:tc>
          <w:tcPr>
            <w:tcW w:w="486"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بدء النفاذ</w:t>
            </w: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 xml:space="preserve">اتفاقية الحرية النقابية وحماية حق التنظيم </w:t>
            </w:r>
          </w:p>
        </w:tc>
        <w:tc>
          <w:tcPr>
            <w:tcW w:w="786"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 xml:space="preserve">لم تُوقع </w:t>
            </w:r>
          </w:p>
        </w:tc>
        <w:tc>
          <w:tcPr>
            <w:tcW w:w="1018" w:type="pct"/>
          </w:tcPr>
          <w:p w:rsidR="00207B11" w:rsidRPr="00207B11" w:rsidRDefault="00207B11" w:rsidP="00207B11">
            <w:pPr>
              <w:spacing w:before="40" w:after="40" w:line="280" w:lineRule="exact"/>
              <w:ind w:left="57" w:right="57"/>
              <w:rPr>
                <w:sz w:val="18"/>
                <w:szCs w:val="26"/>
              </w:rPr>
            </w:pPr>
          </w:p>
        </w:tc>
        <w:tc>
          <w:tcPr>
            <w:tcW w:w="846" w:type="pct"/>
          </w:tcPr>
          <w:p w:rsidR="00207B11" w:rsidRPr="00207B11" w:rsidRDefault="00207B11" w:rsidP="00207B11">
            <w:pPr>
              <w:spacing w:before="40" w:after="40" w:line="280" w:lineRule="exact"/>
              <w:ind w:left="57" w:right="57"/>
              <w:rPr>
                <w:sz w:val="18"/>
                <w:szCs w:val="26"/>
              </w:rPr>
            </w:pPr>
          </w:p>
        </w:tc>
        <w:tc>
          <w:tcPr>
            <w:tcW w:w="532" w:type="pct"/>
          </w:tcPr>
          <w:p w:rsidR="00207B11" w:rsidRPr="00207B11" w:rsidRDefault="00207B11" w:rsidP="00207B11">
            <w:pPr>
              <w:spacing w:before="40" w:after="40" w:line="280" w:lineRule="exact"/>
              <w:ind w:left="57" w:right="57"/>
              <w:rPr>
                <w:sz w:val="18"/>
                <w:szCs w:val="26"/>
              </w:rPr>
            </w:pPr>
          </w:p>
        </w:tc>
        <w:tc>
          <w:tcPr>
            <w:tcW w:w="486" w:type="pct"/>
          </w:tcPr>
          <w:p w:rsidR="00207B11" w:rsidRPr="00207B11" w:rsidRDefault="00207B11" w:rsidP="00207B11">
            <w:pPr>
              <w:spacing w:before="40" w:after="40" w:line="280" w:lineRule="exact"/>
              <w:ind w:left="57" w:right="57"/>
              <w:rPr>
                <w:sz w:val="18"/>
                <w:szCs w:val="26"/>
              </w:rPr>
            </w:pPr>
          </w:p>
        </w:tc>
      </w:tr>
      <w:tr w:rsidR="00207B11" w:rsidRPr="000637D8" w:rsidTr="009C7937">
        <w:tc>
          <w:tcPr>
            <w:tcW w:w="1332" w:type="pct"/>
          </w:tcPr>
          <w:p w:rsidR="00207B11" w:rsidRPr="000637D8" w:rsidRDefault="00207B11" w:rsidP="00207B11">
            <w:pPr>
              <w:spacing w:before="40" w:after="40" w:line="280" w:lineRule="exact"/>
              <w:ind w:left="57" w:right="170"/>
              <w:rPr>
                <w:i/>
                <w:iCs/>
                <w:sz w:val="18"/>
                <w:szCs w:val="26"/>
                <w:rtl/>
              </w:rPr>
            </w:pPr>
            <w:r w:rsidRPr="000637D8">
              <w:rPr>
                <w:rFonts w:hint="cs"/>
                <w:i/>
                <w:iCs/>
                <w:sz w:val="18"/>
                <w:szCs w:val="26"/>
                <w:rtl/>
              </w:rPr>
              <w:t>العمل والسخرة</w:t>
            </w:r>
          </w:p>
        </w:tc>
        <w:tc>
          <w:tcPr>
            <w:tcW w:w="786"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التوقيع</w:t>
            </w:r>
          </w:p>
        </w:tc>
        <w:tc>
          <w:tcPr>
            <w:tcW w:w="1018"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التصديق</w:t>
            </w:r>
          </w:p>
        </w:tc>
        <w:tc>
          <w:tcPr>
            <w:tcW w:w="846"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الانضمام</w:t>
            </w:r>
          </w:p>
        </w:tc>
        <w:tc>
          <w:tcPr>
            <w:tcW w:w="532"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الخلافة</w:t>
            </w:r>
          </w:p>
        </w:tc>
        <w:tc>
          <w:tcPr>
            <w:tcW w:w="486"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بدء النفاذ</w:t>
            </w: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tl/>
              </w:rPr>
            </w:pPr>
            <w:r w:rsidRPr="00207B11">
              <w:rPr>
                <w:rFonts w:hint="cs"/>
                <w:sz w:val="18"/>
                <w:szCs w:val="26"/>
                <w:rtl/>
              </w:rPr>
              <w:t>الاتفاقية المتعلقة بالعمل الجبري أو الإلزامي</w:t>
            </w:r>
          </w:p>
        </w:tc>
        <w:tc>
          <w:tcPr>
            <w:tcW w:w="786"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 xml:space="preserve">لم تُوقع </w:t>
            </w:r>
          </w:p>
        </w:tc>
        <w:tc>
          <w:tcPr>
            <w:tcW w:w="1018" w:type="pct"/>
          </w:tcPr>
          <w:p w:rsidR="00207B11" w:rsidRPr="00207B11" w:rsidRDefault="00207B11" w:rsidP="00207B11">
            <w:pPr>
              <w:spacing w:before="40" w:after="40" w:line="280" w:lineRule="exact"/>
              <w:ind w:left="57" w:right="57"/>
              <w:rPr>
                <w:b/>
                <w:bCs/>
                <w:sz w:val="18"/>
                <w:szCs w:val="26"/>
              </w:rPr>
            </w:pPr>
          </w:p>
        </w:tc>
        <w:tc>
          <w:tcPr>
            <w:tcW w:w="846" w:type="pct"/>
          </w:tcPr>
          <w:p w:rsidR="00207B11" w:rsidRPr="00207B11" w:rsidRDefault="00207B11" w:rsidP="00207B11">
            <w:pPr>
              <w:spacing w:before="40" w:after="40" w:line="280" w:lineRule="exact"/>
              <w:ind w:left="57" w:right="57"/>
              <w:rPr>
                <w:b/>
                <w:bCs/>
                <w:sz w:val="18"/>
                <w:szCs w:val="26"/>
              </w:rPr>
            </w:pPr>
          </w:p>
        </w:tc>
        <w:tc>
          <w:tcPr>
            <w:tcW w:w="532" w:type="pct"/>
          </w:tcPr>
          <w:p w:rsidR="00207B11" w:rsidRPr="00207B11" w:rsidRDefault="00207B11" w:rsidP="00207B11">
            <w:pPr>
              <w:spacing w:before="40" w:after="40" w:line="280" w:lineRule="exact"/>
              <w:ind w:left="57" w:right="57"/>
              <w:rPr>
                <w:b/>
                <w:bCs/>
                <w:sz w:val="18"/>
                <w:szCs w:val="26"/>
              </w:rPr>
            </w:pPr>
          </w:p>
        </w:tc>
        <w:tc>
          <w:tcPr>
            <w:tcW w:w="486" w:type="pct"/>
          </w:tcPr>
          <w:p w:rsidR="00207B11" w:rsidRPr="00207B11" w:rsidRDefault="00207B11" w:rsidP="00207B11">
            <w:pPr>
              <w:spacing w:before="40" w:after="40" w:line="280" w:lineRule="exact"/>
              <w:ind w:left="57" w:right="57"/>
              <w:rPr>
                <w:b/>
                <w:bCs/>
                <w:sz w:val="18"/>
                <w:szCs w:val="26"/>
              </w:rPr>
            </w:pP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اتفاقية المساواة في الأجور</w:t>
            </w:r>
          </w:p>
        </w:tc>
        <w:tc>
          <w:tcPr>
            <w:tcW w:w="786"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 xml:space="preserve">لم تُوقع </w:t>
            </w:r>
          </w:p>
        </w:tc>
        <w:tc>
          <w:tcPr>
            <w:tcW w:w="1018" w:type="pct"/>
          </w:tcPr>
          <w:p w:rsidR="00207B11" w:rsidRPr="00207B11" w:rsidRDefault="00207B11" w:rsidP="00207B11">
            <w:pPr>
              <w:spacing w:before="40" w:after="40" w:line="280" w:lineRule="exact"/>
              <w:ind w:left="57" w:right="57"/>
              <w:rPr>
                <w:b/>
                <w:bCs/>
                <w:sz w:val="18"/>
                <w:szCs w:val="26"/>
              </w:rPr>
            </w:pPr>
          </w:p>
        </w:tc>
        <w:tc>
          <w:tcPr>
            <w:tcW w:w="846" w:type="pct"/>
          </w:tcPr>
          <w:p w:rsidR="00207B11" w:rsidRPr="00207B11" w:rsidRDefault="00207B11" w:rsidP="00207B11">
            <w:pPr>
              <w:spacing w:before="40" w:after="40" w:line="280" w:lineRule="exact"/>
              <w:ind w:left="57" w:right="57"/>
              <w:rPr>
                <w:b/>
                <w:bCs/>
                <w:sz w:val="18"/>
                <w:szCs w:val="26"/>
              </w:rPr>
            </w:pPr>
          </w:p>
        </w:tc>
        <w:tc>
          <w:tcPr>
            <w:tcW w:w="532" w:type="pct"/>
          </w:tcPr>
          <w:p w:rsidR="00207B11" w:rsidRPr="00207B11" w:rsidRDefault="00207B11" w:rsidP="00207B11">
            <w:pPr>
              <w:spacing w:before="40" w:after="40" w:line="280" w:lineRule="exact"/>
              <w:ind w:left="57" w:right="57"/>
              <w:rPr>
                <w:b/>
                <w:bCs/>
                <w:sz w:val="18"/>
                <w:szCs w:val="26"/>
              </w:rPr>
            </w:pPr>
          </w:p>
        </w:tc>
        <w:tc>
          <w:tcPr>
            <w:tcW w:w="486" w:type="pct"/>
          </w:tcPr>
          <w:p w:rsidR="00207B11" w:rsidRPr="00207B11" w:rsidRDefault="00207B11" w:rsidP="00207B11">
            <w:pPr>
              <w:spacing w:before="40" w:after="40" w:line="280" w:lineRule="exact"/>
              <w:ind w:left="57" w:right="57"/>
              <w:rPr>
                <w:b/>
                <w:bCs/>
                <w:sz w:val="18"/>
                <w:szCs w:val="26"/>
              </w:rPr>
            </w:pP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اتفاقية إلغاء العمل الجبري</w:t>
            </w:r>
          </w:p>
        </w:tc>
        <w:tc>
          <w:tcPr>
            <w:tcW w:w="786" w:type="pct"/>
          </w:tcPr>
          <w:p w:rsidR="00207B11" w:rsidRPr="00207B11" w:rsidRDefault="00207B11" w:rsidP="00207B11">
            <w:pPr>
              <w:spacing w:before="40" w:after="40" w:line="280" w:lineRule="exact"/>
              <w:ind w:left="57" w:right="57"/>
              <w:rPr>
                <w:sz w:val="18"/>
                <w:szCs w:val="26"/>
              </w:rPr>
            </w:pPr>
          </w:p>
        </w:tc>
        <w:tc>
          <w:tcPr>
            <w:tcW w:w="1018"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4 حزيران/يونيه 1963</w:t>
            </w:r>
          </w:p>
        </w:tc>
        <w:tc>
          <w:tcPr>
            <w:tcW w:w="846" w:type="pct"/>
          </w:tcPr>
          <w:p w:rsidR="00207B11" w:rsidRPr="00207B11" w:rsidRDefault="00207B11" w:rsidP="00207B11">
            <w:pPr>
              <w:spacing w:before="40" w:after="40" w:line="280" w:lineRule="exact"/>
              <w:ind w:left="57" w:right="57"/>
              <w:rPr>
                <w:sz w:val="18"/>
                <w:szCs w:val="26"/>
              </w:rPr>
            </w:pPr>
          </w:p>
        </w:tc>
        <w:tc>
          <w:tcPr>
            <w:tcW w:w="532" w:type="pct"/>
          </w:tcPr>
          <w:p w:rsidR="00207B11" w:rsidRPr="00207B11" w:rsidRDefault="00207B11" w:rsidP="00207B11">
            <w:pPr>
              <w:spacing w:before="40" w:after="40" w:line="280" w:lineRule="exact"/>
              <w:ind w:left="57" w:right="57"/>
              <w:rPr>
                <w:sz w:val="18"/>
                <w:szCs w:val="26"/>
              </w:rPr>
            </w:pPr>
          </w:p>
        </w:tc>
        <w:tc>
          <w:tcPr>
            <w:tcW w:w="486" w:type="pct"/>
          </w:tcPr>
          <w:p w:rsidR="00207B11" w:rsidRPr="00207B11" w:rsidRDefault="00207B11" w:rsidP="00207B11">
            <w:pPr>
              <w:spacing w:before="40" w:after="40" w:line="280" w:lineRule="exact"/>
              <w:ind w:left="57" w:right="57"/>
              <w:rPr>
                <w:sz w:val="18"/>
                <w:szCs w:val="26"/>
              </w:rPr>
            </w:pP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الاتفاقية المتعلقة بالتمييز في الاستخدام والمهنة</w:t>
            </w:r>
          </w:p>
        </w:tc>
        <w:tc>
          <w:tcPr>
            <w:tcW w:w="786"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 xml:space="preserve">لم تُوقع </w:t>
            </w:r>
          </w:p>
        </w:tc>
        <w:tc>
          <w:tcPr>
            <w:tcW w:w="1018" w:type="pct"/>
          </w:tcPr>
          <w:p w:rsidR="00207B11" w:rsidRPr="00207B11" w:rsidRDefault="00207B11" w:rsidP="00207B11">
            <w:pPr>
              <w:spacing w:before="40" w:after="40" w:line="280" w:lineRule="exact"/>
              <w:ind w:left="57" w:right="57"/>
              <w:rPr>
                <w:sz w:val="18"/>
                <w:szCs w:val="26"/>
              </w:rPr>
            </w:pPr>
          </w:p>
        </w:tc>
        <w:tc>
          <w:tcPr>
            <w:tcW w:w="846" w:type="pct"/>
          </w:tcPr>
          <w:p w:rsidR="00207B11" w:rsidRPr="00207B11" w:rsidRDefault="00207B11" w:rsidP="00207B11">
            <w:pPr>
              <w:spacing w:before="40" w:after="40" w:line="280" w:lineRule="exact"/>
              <w:ind w:left="57" w:right="57"/>
              <w:rPr>
                <w:sz w:val="18"/>
                <w:szCs w:val="26"/>
              </w:rPr>
            </w:pPr>
          </w:p>
        </w:tc>
        <w:tc>
          <w:tcPr>
            <w:tcW w:w="532" w:type="pct"/>
          </w:tcPr>
          <w:p w:rsidR="00207B11" w:rsidRPr="00207B11" w:rsidRDefault="00207B11" w:rsidP="00207B11">
            <w:pPr>
              <w:spacing w:before="40" w:after="40" w:line="280" w:lineRule="exact"/>
              <w:ind w:left="57" w:right="57"/>
              <w:rPr>
                <w:sz w:val="18"/>
                <w:szCs w:val="26"/>
              </w:rPr>
            </w:pPr>
          </w:p>
        </w:tc>
        <w:tc>
          <w:tcPr>
            <w:tcW w:w="486" w:type="pct"/>
          </w:tcPr>
          <w:p w:rsidR="00207B11" w:rsidRPr="00207B11" w:rsidRDefault="00207B11" w:rsidP="00207B11">
            <w:pPr>
              <w:spacing w:before="40" w:after="40" w:line="280" w:lineRule="exact"/>
              <w:ind w:left="57" w:right="57"/>
              <w:rPr>
                <w:sz w:val="18"/>
                <w:szCs w:val="26"/>
              </w:rPr>
            </w:pP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الاتفاقية المتعلقة بسياسة العمالة</w:t>
            </w:r>
          </w:p>
        </w:tc>
        <w:tc>
          <w:tcPr>
            <w:tcW w:w="786" w:type="pct"/>
          </w:tcPr>
          <w:p w:rsidR="00207B11" w:rsidRPr="00207B11" w:rsidRDefault="00207B11" w:rsidP="00207B11">
            <w:pPr>
              <w:spacing w:before="40" w:after="40" w:line="280" w:lineRule="exact"/>
              <w:ind w:left="57" w:right="57"/>
              <w:rPr>
                <w:sz w:val="18"/>
                <w:szCs w:val="26"/>
              </w:rPr>
            </w:pPr>
          </w:p>
        </w:tc>
        <w:tc>
          <w:tcPr>
            <w:tcW w:w="1018" w:type="pct"/>
          </w:tcPr>
          <w:p w:rsidR="00207B11" w:rsidRPr="00207B11" w:rsidRDefault="00207B11" w:rsidP="00207B11">
            <w:pPr>
              <w:spacing w:before="40" w:after="40" w:line="280" w:lineRule="exact"/>
              <w:ind w:left="57" w:right="57"/>
              <w:rPr>
                <w:spacing w:val="-4"/>
                <w:sz w:val="18"/>
                <w:szCs w:val="26"/>
              </w:rPr>
            </w:pPr>
            <w:r w:rsidRPr="00207B11">
              <w:rPr>
                <w:rFonts w:hint="cs"/>
                <w:spacing w:val="-4"/>
                <w:sz w:val="18"/>
                <w:szCs w:val="26"/>
                <w:rtl/>
              </w:rPr>
              <w:t>23 حزيران/يونيه 1967</w:t>
            </w:r>
          </w:p>
        </w:tc>
        <w:tc>
          <w:tcPr>
            <w:tcW w:w="846" w:type="pct"/>
          </w:tcPr>
          <w:p w:rsidR="00207B11" w:rsidRPr="00207B11" w:rsidRDefault="00207B11" w:rsidP="00207B11">
            <w:pPr>
              <w:spacing w:before="40" w:after="40" w:line="280" w:lineRule="exact"/>
              <w:ind w:left="57" w:right="57"/>
              <w:rPr>
                <w:sz w:val="18"/>
                <w:szCs w:val="26"/>
              </w:rPr>
            </w:pPr>
          </w:p>
        </w:tc>
        <w:tc>
          <w:tcPr>
            <w:tcW w:w="532" w:type="pct"/>
          </w:tcPr>
          <w:p w:rsidR="00207B11" w:rsidRPr="00207B11" w:rsidRDefault="00207B11" w:rsidP="00207B11">
            <w:pPr>
              <w:spacing w:before="40" w:after="40" w:line="280" w:lineRule="exact"/>
              <w:ind w:left="57" w:right="57"/>
              <w:rPr>
                <w:sz w:val="18"/>
                <w:szCs w:val="26"/>
              </w:rPr>
            </w:pPr>
          </w:p>
        </w:tc>
        <w:tc>
          <w:tcPr>
            <w:tcW w:w="486" w:type="pct"/>
          </w:tcPr>
          <w:p w:rsidR="00207B11" w:rsidRPr="00207B11" w:rsidRDefault="00207B11" w:rsidP="00207B11">
            <w:pPr>
              <w:spacing w:before="40" w:after="40" w:line="280" w:lineRule="exact"/>
              <w:ind w:left="57" w:right="57"/>
              <w:rPr>
                <w:sz w:val="18"/>
                <w:szCs w:val="26"/>
              </w:rPr>
            </w:pP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الاتفاقية المتعلقة بالسلامة والصحة المهنيتين وبيئة العمل</w:t>
            </w:r>
          </w:p>
        </w:tc>
        <w:tc>
          <w:tcPr>
            <w:tcW w:w="786"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 xml:space="preserve">لم تُوقع </w:t>
            </w:r>
          </w:p>
        </w:tc>
        <w:tc>
          <w:tcPr>
            <w:tcW w:w="1018" w:type="pct"/>
          </w:tcPr>
          <w:p w:rsidR="00207B11" w:rsidRPr="00207B11" w:rsidRDefault="00207B11" w:rsidP="00207B11">
            <w:pPr>
              <w:spacing w:before="40" w:after="40" w:line="280" w:lineRule="exact"/>
              <w:ind w:left="57" w:right="57"/>
              <w:rPr>
                <w:sz w:val="18"/>
                <w:szCs w:val="26"/>
              </w:rPr>
            </w:pPr>
          </w:p>
        </w:tc>
        <w:tc>
          <w:tcPr>
            <w:tcW w:w="846" w:type="pct"/>
          </w:tcPr>
          <w:p w:rsidR="00207B11" w:rsidRPr="00207B11" w:rsidRDefault="00207B11" w:rsidP="00207B11">
            <w:pPr>
              <w:spacing w:before="40" w:after="40" w:line="280" w:lineRule="exact"/>
              <w:ind w:left="57" w:right="57"/>
              <w:rPr>
                <w:sz w:val="18"/>
                <w:szCs w:val="26"/>
              </w:rPr>
            </w:pPr>
          </w:p>
        </w:tc>
        <w:tc>
          <w:tcPr>
            <w:tcW w:w="532" w:type="pct"/>
          </w:tcPr>
          <w:p w:rsidR="00207B11" w:rsidRPr="00207B11" w:rsidRDefault="00207B11" w:rsidP="00207B11">
            <w:pPr>
              <w:spacing w:before="40" w:after="40" w:line="280" w:lineRule="exact"/>
              <w:ind w:left="57" w:right="57"/>
              <w:rPr>
                <w:sz w:val="18"/>
                <w:szCs w:val="26"/>
              </w:rPr>
            </w:pPr>
          </w:p>
        </w:tc>
        <w:tc>
          <w:tcPr>
            <w:tcW w:w="486" w:type="pct"/>
          </w:tcPr>
          <w:p w:rsidR="00207B11" w:rsidRPr="00207B11" w:rsidRDefault="00207B11" w:rsidP="00207B11">
            <w:pPr>
              <w:spacing w:before="40" w:after="40" w:line="280" w:lineRule="exact"/>
              <w:ind w:left="57" w:right="57"/>
              <w:rPr>
                <w:sz w:val="18"/>
                <w:szCs w:val="26"/>
              </w:rPr>
            </w:pPr>
          </w:p>
        </w:tc>
      </w:tr>
      <w:tr w:rsidR="00207B11" w:rsidRPr="000637D8" w:rsidTr="009C7937">
        <w:tc>
          <w:tcPr>
            <w:tcW w:w="1332" w:type="pct"/>
          </w:tcPr>
          <w:p w:rsidR="00207B11" w:rsidRPr="000637D8" w:rsidRDefault="00207B11" w:rsidP="00207B11">
            <w:pPr>
              <w:spacing w:before="40" w:after="40" w:line="280" w:lineRule="exact"/>
              <w:ind w:left="57" w:right="170"/>
              <w:rPr>
                <w:i/>
                <w:iCs/>
                <w:sz w:val="18"/>
                <w:szCs w:val="26"/>
              </w:rPr>
            </w:pPr>
            <w:r w:rsidRPr="000637D8">
              <w:rPr>
                <w:rFonts w:hint="cs"/>
                <w:i/>
                <w:iCs/>
                <w:sz w:val="18"/>
                <w:szCs w:val="26"/>
                <w:rtl/>
              </w:rPr>
              <w:t>التعليم</w:t>
            </w:r>
          </w:p>
        </w:tc>
        <w:tc>
          <w:tcPr>
            <w:tcW w:w="786"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التوقيع</w:t>
            </w:r>
          </w:p>
        </w:tc>
        <w:tc>
          <w:tcPr>
            <w:tcW w:w="1018"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التصديق</w:t>
            </w:r>
          </w:p>
        </w:tc>
        <w:tc>
          <w:tcPr>
            <w:tcW w:w="846"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الانضمام</w:t>
            </w:r>
          </w:p>
        </w:tc>
        <w:tc>
          <w:tcPr>
            <w:tcW w:w="532"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الخلافة</w:t>
            </w:r>
          </w:p>
        </w:tc>
        <w:tc>
          <w:tcPr>
            <w:tcW w:w="486"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بدء النفاذ</w:t>
            </w: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اتفاقية مكافحة التمييز في مجال التعليم</w:t>
            </w:r>
          </w:p>
        </w:tc>
        <w:tc>
          <w:tcPr>
            <w:tcW w:w="786" w:type="pct"/>
          </w:tcPr>
          <w:p w:rsidR="00207B11" w:rsidRPr="00207B11" w:rsidRDefault="00207B11" w:rsidP="00207B11">
            <w:pPr>
              <w:spacing w:before="40" w:after="40" w:line="280" w:lineRule="exact"/>
              <w:ind w:left="57" w:right="57"/>
              <w:rPr>
                <w:sz w:val="18"/>
                <w:szCs w:val="26"/>
              </w:rPr>
            </w:pPr>
          </w:p>
        </w:tc>
        <w:tc>
          <w:tcPr>
            <w:tcW w:w="1018" w:type="pct"/>
          </w:tcPr>
          <w:p w:rsidR="00207B11" w:rsidRPr="00207B11" w:rsidRDefault="00207B11" w:rsidP="00207B11">
            <w:pPr>
              <w:spacing w:before="40" w:after="40" w:line="280" w:lineRule="exact"/>
              <w:ind w:left="57" w:right="57"/>
              <w:rPr>
                <w:spacing w:val="-6"/>
                <w:sz w:val="18"/>
                <w:szCs w:val="26"/>
              </w:rPr>
            </w:pPr>
            <w:r w:rsidRPr="00207B11">
              <w:rPr>
                <w:rFonts w:hint="cs"/>
                <w:spacing w:val="-6"/>
                <w:sz w:val="18"/>
                <w:szCs w:val="26"/>
                <w:rtl/>
              </w:rPr>
              <w:t>9 أيلول/سبتمبر 1968</w:t>
            </w:r>
          </w:p>
        </w:tc>
        <w:tc>
          <w:tcPr>
            <w:tcW w:w="846" w:type="pct"/>
          </w:tcPr>
          <w:p w:rsidR="00207B11" w:rsidRPr="00207B11" w:rsidRDefault="00207B11" w:rsidP="00207B11">
            <w:pPr>
              <w:spacing w:before="40" w:after="40" w:line="280" w:lineRule="exact"/>
              <w:ind w:left="57" w:right="57"/>
              <w:rPr>
                <w:sz w:val="18"/>
                <w:szCs w:val="26"/>
              </w:rPr>
            </w:pPr>
          </w:p>
        </w:tc>
        <w:tc>
          <w:tcPr>
            <w:tcW w:w="532" w:type="pct"/>
          </w:tcPr>
          <w:p w:rsidR="00207B11" w:rsidRPr="00207B11" w:rsidRDefault="00207B11" w:rsidP="00207B11">
            <w:pPr>
              <w:spacing w:before="40" w:after="40" w:line="280" w:lineRule="exact"/>
              <w:ind w:left="57" w:right="57"/>
              <w:rPr>
                <w:sz w:val="18"/>
                <w:szCs w:val="26"/>
              </w:rPr>
            </w:pPr>
          </w:p>
        </w:tc>
        <w:tc>
          <w:tcPr>
            <w:tcW w:w="486" w:type="pct"/>
          </w:tcPr>
          <w:p w:rsidR="00207B11" w:rsidRPr="00207B11" w:rsidRDefault="00207B11" w:rsidP="00207B11">
            <w:pPr>
              <w:spacing w:before="40" w:after="40" w:line="280" w:lineRule="exact"/>
              <w:ind w:left="57" w:right="57"/>
              <w:rPr>
                <w:sz w:val="18"/>
                <w:szCs w:val="26"/>
              </w:rPr>
            </w:pPr>
          </w:p>
        </w:tc>
      </w:tr>
      <w:tr w:rsidR="00207B11" w:rsidRPr="000637D8" w:rsidTr="009C7937">
        <w:tc>
          <w:tcPr>
            <w:tcW w:w="1332" w:type="pct"/>
          </w:tcPr>
          <w:p w:rsidR="00207B11" w:rsidRPr="000637D8" w:rsidRDefault="00207B11" w:rsidP="00207B11">
            <w:pPr>
              <w:spacing w:before="40" w:after="40" w:line="280" w:lineRule="exact"/>
              <w:ind w:left="57" w:right="170"/>
              <w:rPr>
                <w:i/>
                <w:iCs/>
                <w:sz w:val="18"/>
                <w:szCs w:val="26"/>
              </w:rPr>
            </w:pPr>
            <w:r w:rsidRPr="000637D8">
              <w:rPr>
                <w:rFonts w:hint="cs"/>
                <w:i/>
                <w:iCs/>
                <w:sz w:val="18"/>
                <w:szCs w:val="26"/>
                <w:rtl/>
              </w:rPr>
              <w:lastRenderedPageBreak/>
              <w:t>الأشخاص ذوو الإعاقة</w:t>
            </w:r>
          </w:p>
        </w:tc>
        <w:tc>
          <w:tcPr>
            <w:tcW w:w="786"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التوقيع</w:t>
            </w:r>
          </w:p>
        </w:tc>
        <w:tc>
          <w:tcPr>
            <w:tcW w:w="1018"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التصديق</w:t>
            </w:r>
          </w:p>
        </w:tc>
        <w:tc>
          <w:tcPr>
            <w:tcW w:w="846"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الانضمام</w:t>
            </w:r>
          </w:p>
        </w:tc>
        <w:tc>
          <w:tcPr>
            <w:tcW w:w="532"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الخلافة</w:t>
            </w:r>
          </w:p>
        </w:tc>
        <w:tc>
          <w:tcPr>
            <w:tcW w:w="486"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بدء النفاذ</w:t>
            </w: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اتفاقية حقوق الأشخاص ذوي الإعاقة</w:t>
            </w:r>
          </w:p>
        </w:tc>
        <w:tc>
          <w:tcPr>
            <w:tcW w:w="786"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30 آذار/مارس 2007</w:t>
            </w:r>
          </w:p>
        </w:tc>
        <w:tc>
          <w:tcPr>
            <w:tcW w:w="1018" w:type="pct"/>
          </w:tcPr>
          <w:p w:rsidR="00207B11" w:rsidRPr="00207B11" w:rsidRDefault="00207B11" w:rsidP="00207B11">
            <w:pPr>
              <w:spacing w:before="40" w:after="40" w:line="280" w:lineRule="exact"/>
              <w:ind w:left="57" w:right="57"/>
              <w:rPr>
                <w:sz w:val="18"/>
                <w:szCs w:val="26"/>
              </w:rPr>
            </w:pPr>
          </w:p>
        </w:tc>
        <w:tc>
          <w:tcPr>
            <w:tcW w:w="846" w:type="pct"/>
          </w:tcPr>
          <w:p w:rsidR="00207B11" w:rsidRPr="00207B11" w:rsidRDefault="00207B11" w:rsidP="00207B11">
            <w:pPr>
              <w:spacing w:before="40" w:after="40" w:line="280" w:lineRule="exact"/>
              <w:ind w:left="57" w:right="57"/>
              <w:rPr>
                <w:sz w:val="18"/>
                <w:szCs w:val="26"/>
              </w:rPr>
            </w:pPr>
          </w:p>
        </w:tc>
        <w:tc>
          <w:tcPr>
            <w:tcW w:w="532" w:type="pct"/>
          </w:tcPr>
          <w:p w:rsidR="00207B11" w:rsidRPr="00207B11" w:rsidRDefault="00207B11" w:rsidP="00207B11">
            <w:pPr>
              <w:spacing w:before="40" w:after="40" w:line="280" w:lineRule="exact"/>
              <w:ind w:left="57" w:right="57"/>
              <w:rPr>
                <w:sz w:val="18"/>
                <w:szCs w:val="26"/>
              </w:rPr>
            </w:pPr>
          </w:p>
        </w:tc>
        <w:tc>
          <w:tcPr>
            <w:tcW w:w="486" w:type="pct"/>
          </w:tcPr>
          <w:p w:rsidR="00207B11" w:rsidRPr="00207B11" w:rsidRDefault="00207B11" w:rsidP="00207B11">
            <w:pPr>
              <w:spacing w:before="40" w:after="40" w:line="280" w:lineRule="exact"/>
              <w:ind w:left="57" w:right="57"/>
              <w:rPr>
                <w:sz w:val="18"/>
                <w:szCs w:val="26"/>
              </w:rPr>
            </w:pP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 xml:space="preserve">البروتوكول الاختياري لاتفاقية </w:t>
            </w:r>
            <w:r w:rsidRPr="00207B11">
              <w:rPr>
                <w:rFonts w:hint="cs"/>
                <w:spacing w:val="-4"/>
                <w:sz w:val="18"/>
                <w:szCs w:val="26"/>
                <w:rtl/>
              </w:rPr>
              <w:t>حقوق الأشخاص ذوي الإعاقة</w:t>
            </w:r>
          </w:p>
        </w:tc>
        <w:tc>
          <w:tcPr>
            <w:tcW w:w="786"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30 آذار/مارس 2007</w:t>
            </w:r>
          </w:p>
        </w:tc>
        <w:tc>
          <w:tcPr>
            <w:tcW w:w="1018" w:type="pct"/>
          </w:tcPr>
          <w:p w:rsidR="00207B11" w:rsidRPr="00207B11" w:rsidRDefault="00207B11" w:rsidP="00207B11">
            <w:pPr>
              <w:spacing w:before="40" w:after="40" w:line="280" w:lineRule="exact"/>
              <w:ind w:left="57" w:right="57"/>
              <w:rPr>
                <w:b/>
                <w:bCs/>
                <w:sz w:val="18"/>
                <w:szCs w:val="26"/>
              </w:rPr>
            </w:pPr>
          </w:p>
        </w:tc>
        <w:tc>
          <w:tcPr>
            <w:tcW w:w="846" w:type="pct"/>
          </w:tcPr>
          <w:p w:rsidR="00207B11" w:rsidRPr="00207B11" w:rsidRDefault="00207B11" w:rsidP="00207B11">
            <w:pPr>
              <w:spacing w:before="40" w:after="40" w:line="280" w:lineRule="exact"/>
              <w:ind w:left="57" w:right="57"/>
              <w:rPr>
                <w:b/>
                <w:bCs/>
                <w:sz w:val="18"/>
                <w:szCs w:val="26"/>
              </w:rPr>
            </w:pPr>
          </w:p>
        </w:tc>
        <w:tc>
          <w:tcPr>
            <w:tcW w:w="532" w:type="pct"/>
          </w:tcPr>
          <w:p w:rsidR="00207B11" w:rsidRPr="00207B11" w:rsidRDefault="00207B11" w:rsidP="00207B11">
            <w:pPr>
              <w:spacing w:before="40" w:after="40" w:line="280" w:lineRule="exact"/>
              <w:ind w:left="57" w:right="57"/>
              <w:rPr>
                <w:b/>
                <w:bCs/>
                <w:sz w:val="18"/>
                <w:szCs w:val="26"/>
              </w:rPr>
            </w:pPr>
          </w:p>
        </w:tc>
        <w:tc>
          <w:tcPr>
            <w:tcW w:w="486" w:type="pct"/>
          </w:tcPr>
          <w:p w:rsidR="00207B11" w:rsidRPr="00207B11" w:rsidRDefault="00207B11" w:rsidP="00207B11">
            <w:pPr>
              <w:spacing w:before="40" w:after="40" w:line="280" w:lineRule="exact"/>
              <w:ind w:left="57" w:right="57"/>
              <w:rPr>
                <w:b/>
                <w:bCs/>
                <w:sz w:val="18"/>
                <w:szCs w:val="26"/>
              </w:rPr>
            </w:pPr>
          </w:p>
        </w:tc>
      </w:tr>
      <w:tr w:rsidR="00207B11" w:rsidRPr="000637D8" w:rsidTr="009C7937">
        <w:tc>
          <w:tcPr>
            <w:tcW w:w="1332" w:type="pct"/>
          </w:tcPr>
          <w:p w:rsidR="00207B11" w:rsidRPr="000637D8" w:rsidRDefault="00207B11" w:rsidP="00207B11">
            <w:pPr>
              <w:spacing w:before="40" w:after="40" w:line="280" w:lineRule="exact"/>
              <w:ind w:left="57" w:right="170"/>
              <w:rPr>
                <w:i/>
                <w:iCs/>
                <w:sz w:val="18"/>
                <w:szCs w:val="26"/>
              </w:rPr>
            </w:pPr>
            <w:r w:rsidRPr="000637D8">
              <w:rPr>
                <w:rFonts w:hint="cs"/>
                <w:i/>
                <w:iCs/>
                <w:sz w:val="18"/>
                <w:szCs w:val="26"/>
                <w:rtl/>
              </w:rPr>
              <w:t>اللاجئون وملتمسو اللجوء</w:t>
            </w:r>
          </w:p>
        </w:tc>
        <w:tc>
          <w:tcPr>
            <w:tcW w:w="786"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التوقيع</w:t>
            </w:r>
          </w:p>
        </w:tc>
        <w:tc>
          <w:tcPr>
            <w:tcW w:w="1018"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التصديق</w:t>
            </w:r>
          </w:p>
        </w:tc>
        <w:tc>
          <w:tcPr>
            <w:tcW w:w="846"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الانضمام</w:t>
            </w:r>
          </w:p>
        </w:tc>
        <w:tc>
          <w:tcPr>
            <w:tcW w:w="532"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الخلافة</w:t>
            </w:r>
          </w:p>
        </w:tc>
        <w:tc>
          <w:tcPr>
            <w:tcW w:w="486"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بدء النفاذ</w:t>
            </w: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الاتفاقية الخاصة بوضع اللاجئين</w:t>
            </w:r>
          </w:p>
        </w:tc>
        <w:tc>
          <w:tcPr>
            <w:tcW w:w="786" w:type="pct"/>
          </w:tcPr>
          <w:p w:rsidR="00207B11" w:rsidRPr="00207B11" w:rsidRDefault="00207B11" w:rsidP="00207B11">
            <w:pPr>
              <w:spacing w:before="40" w:after="40" w:line="280" w:lineRule="exact"/>
              <w:ind w:left="57" w:right="57"/>
              <w:rPr>
                <w:sz w:val="18"/>
                <w:szCs w:val="26"/>
              </w:rPr>
            </w:pPr>
          </w:p>
        </w:tc>
        <w:tc>
          <w:tcPr>
            <w:tcW w:w="1018" w:type="pct"/>
          </w:tcPr>
          <w:p w:rsidR="00207B11" w:rsidRPr="00207B11" w:rsidRDefault="00207B11" w:rsidP="00207B11">
            <w:pPr>
              <w:spacing w:before="40" w:after="40" w:line="280" w:lineRule="exact"/>
              <w:ind w:left="57" w:right="57"/>
              <w:rPr>
                <w:sz w:val="18"/>
                <w:szCs w:val="26"/>
              </w:rPr>
            </w:pPr>
          </w:p>
        </w:tc>
        <w:tc>
          <w:tcPr>
            <w:tcW w:w="846"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27 أيلول/سبتمبر 1976</w:t>
            </w:r>
          </w:p>
        </w:tc>
        <w:tc>
          <w:tcPr>
            <w:tcW w:w="532" w:type="pct"/>
          </w:tcPr>
          <w:p w:rsidR="00207B11" w:rsidRPr="00207B11" w:rsidRDefault="00207B11" w:rsidP="00207B11">
            <w:pPr>
              <w:spacing w:before="40" w:after="40" w:line="280" w:lineRule="exact"/>
              <w:ind w:left="57" w:right="57"/>
              <w:rPr>
                <w:sz w:val="18"/>
                <w:szCs w:val="26"/>
              </w:rPr>
            </w:pPr>
          </w:p>
        </w:tc>
        <w:tc>
          <w:tcPr>
            <w:tcW w:w="486" w:type="pct"/>
          </w:tcPr>
          <w:p w:rsidR="00207B11" w:rsidRPr="00207B11" w:rsidRDefault="00207B11" w:rsidP="00207B11">
            <w:pPr>
              <w:spacing w:before="40" w:after="40" w:line="280" w:lineRule="exact"/>
              <w:ind w:left="57" w:right="57"/>
              <w:rPr>
                <w:sz w:val="18"/>
                <w:szCs w:val="26"/>
              </w:rPr>
            </w:pPr>
          </w:p>
        </w:tc>
      </w:tr>
      <w:tr w:rsidR="00207B11" w:rsidRPr="000637D8" w:rsidTr="009C7937">
        <w:tc>
          <w:tcPr>
            <w:tcW w:w="1332" w:type="pct"/>
          </w:tcPr>
          <w:p w:rsidR="00207B11" w:rsidRPr="000637D8" w:rsidRDefault="00207B11" w:rsidP="00207B11">
            <w:pPr>
              <w:spacing w:before="40" w:after="40" w:line="280" w:lineRule="exact"/>
              <w:ind w:left="57" w:right="170"/>
              <w:rPr>
                <w:i/>
                <w:iCs/>
                <w:sz w:val="18"/>
                <w:szCs w:val="26"/>
              </w:rPr>
            </w:pPr>
            <w:r w:rsidRPr="000637D8">
              <w:rPr>
                <w:rFonts w:hint="cs"/>
                <w:i/>
                <w:iCs/>
                <w:sz w:val="18"/>
                <w:szCs w:val="26"/>
                <w:rtl/>
              </w:rPr>
              <w:t>الجنسية وحالات انعدام الجنسية وحقوق الأجانب</w:t>
            </w:r>
          </w:p>
        </w:tc>
        <w:tc>
          <w:tcPr>
            <w:tcW w:w="786"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التوقيع</w:t>
            </w:r>
          </w:p>
        </w:tc>
        <w:tc>
          <w:tcPr>
            <w:tcW w:w="1018"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التصديق</w:t>
            </w:r>
          </w:p>
        </w:tc>
        <w:tc>
          <w:tcPr>
            <w:tcW w:w="846"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الانضمام</w:t>
            </w:r>
          </w:p>
        </w:tc>
        <w:tc>
          <w:tcPr>
            <w:tcW w:w="532"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الخلافة</w:t>
            </w:r>
          </w:p>
        </w:tc>
        <w:tc>
          <w:tcPr>
            <w:tcW w:w="486"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بدء النفاذ</w:t>
            </w: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اتفاقية خفض حالات انعدام الجنسية</w:t>
            </w:r>
          </w:p>
        </w:tc>
        <w:tc>
          <w:tcPr>
            <w:tcW w:w="786"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 xml:space="preserve">لم توقع </w:t>
            </w:r>
          </w:p>
        </w:tc>
        <w:tc>
          <w:tcPr>
            <w:tcW w:w="1018" w:type="pct"/>
          </w:tcPr>
          <w:p w:rsidR="00207B11" w:rsidRPr="00207B11" w:rsidRDefault="00207B11" w:rsidP="00207B11">
            <w:pPr>
              <w:spacing w:before="40" w:after="40" w:line="280" w:lineRule="exact"/>
              <w:ind w:left="57" w:right="57"/>
              <w:rPr>
                <w:sz w:val="18"/>
                <w:szCs w:val="26"/>
              </w:rPr>
            </w:pPr>
          </w:p>
        </w:tc>
        <w:tc>
          <w:tcPr>
            <w:tcW w:w="846" w:type="pct"/>
          </w:tcPr>
          <w:p w:rsidR="00207B11" w:rsidRPr="00207B11" w:rsidRDefault="00207B11" w:rsidP="00207B11">
            <w:pPr>
              <w:spacing w:before="40" w:after="40" w:line="280" w:lineRule="exact"/>
              <w:ind w:left="57" w:right="57"/>
              <w:rPr>
                <w:sz w:val="18"/>
                <w:szCs w:val="26"/>
              </w:rPr>
            </w:pPr>
          </w:p>
        </w:tc>
        <w:tc>
          <w:tcPr>
            <w:tcW w:w="532" w:type="pct"/>
          </w:tcPr>
          <w:p w:rsidR="00207B11" w:rsidRPr="00207B11" w:rsidRDefault="00207B11" w:rsidP="00207B11">
            <w:pPr>
              <w:spacing w:before="40" w:after="40" w:line="280" w:lineRule="exact"/>
              <w:ind w:left="57" w:right="57"/>
              <w:rPr>
                <w:sz w:val="18"/>
                <w:szCs w:val="26"/>
              </w:rPr>
            </w:pPr>
          </w:p>
        </w:tc>
        <w:tc>
          <w:tcPr>
            <w:tcW w:w="486" w:type="pct"/>
          </w:tcPr>
          <w:p w:rsidR="00207B11" w:rsidRPr="00207B11" w:rsidRDefault="00207B11" w:rsidP="00207B11">
            <w:pPr>
              <w:spacing w:before="40" w:after="40" w:line="280" w:lineRule="exact"/>
              <w:ind w:left="57" w:right="57"/>
              <w:rPr>
                <w:sz w:val="18"/>
                <w:szCs w:val="26"/>
              </w:rPr>
            </w:pP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الاتفاقية المتعلقة بوضع الأشخاص عديمي الجنسية</w:t>
            </w:r>
          </w:p>
        </w:tc>
        <w:tc>
          <w:tcPr>
            <w:tcW w:w="786" w:type="pct"/>
          </w:tcPr>
          <w:p w:rsidR="00207B11" w:rsidRPr="00207B11" w:rsidRDefault="00207B11" w:rsidP="00207B11">
            <w:pPr>
              <w:spacing w:before="40" w:after="40" w:line="280" w:lineRule="exact"/>
              <w:ind w:left="57" w:right="57"/>
              <w:rPr>
                <w:sz w:val="18"/>
                <w:szCs w:val="26"/>
              </w:rPr>
            </w:pPr>
          </w:p>
        </w:tc>
        <w:tc>
          <w:tcPr>
            <w:tcW w:w="1018" w:type="pct"/>
          </w:tcPr>
          <w:p w:rsidR="00207B11" w:rsidRPr="00207B11" w:rsidRDefault="00207B11" w:rsidP="00207B11">
            <w:pPr>
              <w:spacing w:before="40" w:after="40" w:line="280" w:lineRule="exact"/>
              <w:ind w:left="57" w:right="57"/>
              <w:rPr>
                <w:sz w:val="18"/>
                <w:szCs w:val="26"/>
              </w:rPr>
            </w:pPr>
          </w:p>
        </w:tc>
        <w:tc>
          <w:tcPr>
            <w:tcW w:w="846"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15 نيسان/أبريل 1965</w:t>
            </w:r>
          </w:p>
        </w:tc>
        <w:tc>
          <w:tcPr>
            <w:tcW w:w="532" w:type="pct"/>
          </w:tcPr>
          <w:p w:rsidR="00207B11" w:rsidRPr="00207B11" w:rsidRDefault="00207B11" w:rsidP="00207B11">
            <w:pPr>
              <w:spacing w:before="40" w:after="40" w:line="280" w:lineRule="exact"/>
              <w:ind w:left="57" w:right="57"/>
              <w:rPr>
                <w:b/>
                <w:bCs/>
                <w:sz w:val="18"/>
                <w:szCs w:val="26"/>
              </w:rPr>
            </w:pPr>
          </w:p>
        </w:tc>
        <w:tc>
          <w:tcPr>
            <w:tcW w:w="486" w:type="pct"/>
          </w:tcPr>
          <w:p w:rsidR="00207B11" w:rsidRPr="00207B11" w:rsidRDefault="00207B11" w:rsidP="00207B11">
            <w:pPr>
              <w:spacing w:before="40" w:after="40" w:line="280" w:lineRule="exact"/>
              <w:ind w:left="57" w:right="57"/>
              <w:rPr>
                <w:b/>
                <w:bCs/>
                <w:sz w:val="18"/>
                <w:szCs w:val="26"/>
              </w:rPr>
            </w:pPr>
          </w:p>
        </w:tc>
      </w:tr>
      <w:tr w:rsidR="00207B11" w:rsidRPr="000637D8" w:rsidTr="009C7937">
        <w:tc>
          <w:tcPr>
            <w:tcW w:w="1332" w:type="pct"/>
            <w:vAlign w:val="bottom"/>
          </w:tcPr>
          <w:p w:rsidR="00207B11" w:rsidRPr="000637D8" w:rsidRDefault="00207B11" w:rsidP="000637D8">
            <w:pPr>
              <w:spacing w:before="40" w:after="40" w:line="280" w:lineRule="exact"/>
              <w:ind w:left="57" w:right="170"/>
              <w:rPr>
                <w:i/>
                <w:iCs/>
                <w:sz w:val="18"/>
                <w:szCs w:val="26"/>
              </w:rPr>
            </w:pPr>
            <w:r w:rsidRPr="000637D8">
              <w:rPr>
                <w:rFonts w:hint="cs"/>
                <w:i/>
                <w:iCs/>
                <w:sz w:val="18"/>
                <w:szCs w:val="26"/>
                <w:rtl/>
              </w:rPr>
              <w:t>جرائم الحرب والجرائم ضد الإنسانية وجرائم الإبادة والإرهاب</w:t>
            </w:r>
          </w:p>
        </w:tc>
        <w:tc>
          <w:tcPr>
            <w:tcW w:w="786" w:type="pct"/>
            <w:vAlign w:val="bottom"/>
          </w:tcPr>
          <w:p w:rsidR="00207B11" w:rsidRPr="000637D8" w:rsidRDefault="00207B11" w:rsidP="000637D8">
            <w:pPr>
              <w:spacing w:before="40" w:after="40" w:line="280" w:lineRule="exact"/>
              <w:ind w:left="57" w:right="57"/>
              <w:rPr>
                <w:i/>
                <w:iCs/>
                <w:sz w:val="18"/>
                <w:szCs w:val="26"/>
              </w:rPr>
            </w:pPr>
            <w:r w:rsidRPr="000637D8">
              <w:rPr>
                <w:rFonts w:hint="cs"/>
                <w:i/>
                <w:iCs/>
                <w:sz w:val="18"/>
                <w:szCs w:val="26"/>
                <w:rtl/>
              </w:rPr>
              <w:t>التوقيع</w:t>
            </w:r>
          </w:p>
        </w:tc>
        <w:tc>
          <w:tcPr>
            <w:tcW w:w="1018" w:type="pct"/>
            <w:vAlign w:val="bottom"/>
          </w:tcPr>
          <w:p w:rsidR="00207B11" w:rsidRPr="000637D8" w:rsidRDefault="00207B11" w:rsidP="000637D8">
            <w:pPr>
              <w:spacing w:before="40" w:after="40" w:line="280" w:lineRule="exact"/>
              <w:ind w:left="57" w:right="57"/>
              <w:rPr>
                <w:i/>
                <w:iCs/>
                <w:sz w:val="18"/>
                <w:szCs w:val="26"/>
              </w:rPr>
            </w:pPr>
            <w:r w:rsidRPr="000637D8">
              <w:rPr>
                <w:rFonts w:hint="cs"/>
                <w:i/>
                <w:iCs/>
                <w:sz w:val="18"/>
                <w:szCs w:val="26"/>
                <w:rtl/>
              </w:rPr>
              <w:t>التصديق</w:t>
            </w:r>
          </w:p>
        </w:tc>
        <w:tc>
          <w:tcPr>
            <w:tcW w:w="846" w:type="pct"/>
            <w:vAlign w:val="bottom"/>
          </w:tcPr>
          <w:p w:rsidR="00207B11" w:rsidRPr="000637D8" w:rsidRDefault="00207B11" w:rsidP="000637D8">
            <w:pPr>
              <w:spacing w:before="40" w:after="40" w:line="280" w:lineRule="exact"/>
              <w:ind w:left="57" w:right="57"/>
              <w:rPr>
                <w:i/>
                <w:iCs/>
                <w:sz w:val="18"/>
                <w:szCs w:val="26"/>
              </w:rPr>
            </w:pPr>
            <w:r w:rsidRPr="000637D8">
              <w:rPr>
                <w:rFonts w:hint="cs"/>
                <w:i/>
                <w:iCs/>
                <w:sz w:val="18"/>
                <w:szCs w:val="26"/>
                <w:rtl/>
              </w:rPr>
              <w:t>الانضمام</w:t>
            </w:r>
          </w:p>
        </w:tc>
        <w:tc>
          <w:tcPr>
            <w:tcW w:w="532" w:type="pct"/>
            <w:vAlign w:val="bottom"/>
          </w:tcPr>
          <w:p w:rsidR="00207B11" w:rsidRPr="000637D8" w:rsidRDefault="00207B11" w:rsidP="000637D8">
            <w:pPr>
              <w:spacing w:before="40" w:after="40" w:line="280" w:lineRule="exact"/>
              <w:ind w:left="57" w:right="57"/>
              <w:rPr>
                <w:i/>
                <w:iCs/>
                <w:sz w:val="18"/>
                <w:szCs w:val="26"/>
              </w:rPr>
            </w:pPr>
            <w:r w:rsidRPr="000637D8">
              <w:rPr>
                <w:rFonts w:hint="cs"/>
                <w:i/>
                <w:iCs/>
                <w:sz w:val="18"/>
                <w:szCs w:val="26"/>
                <w:rtl/>
              </w:rPr>
              <w:t>الخلافة</w:t>
            </w:r>
          </w:p>
        </w:tc>
        <w:tc>
          <w:tcPr>
            <w:tcW w:w="486" w:type="pct"/>
            <w:vAlign w:val="bottom"/>
          </w:tcPr>
          <w:p w:rsidR="00207B11" w:rsidRPr="000637D8" w:rsidRDefault="00207B11" w:rsidP="000637D8">
            <w:pPr>
              <w:spacing w:before="40" w:after="40" w:line="280" w:lineRule="exact"/>
              <w:ind w:left="57" w:right="57"/>
              <w:rPr>
                <w:i/>
                <w:iCs/>
                <w:sz w:val="18"/>
                <w:szCs w:val="26"/>
              </w:rPr>
            </w:pPr>
            <w:r w:rsidRPr="000637D8">
              <w:rPr>
                <w:rFonts w:hint="cs"/>
                <w:i/>
                <w:iCs/>
                <w:sz w:val="18"/>
                <w:szCs w:val="26"/>
                <w:rtl/>
              </w:rPr>
              <w:t>بدء النفاذ</w:t>
            </w: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اتفاقية منع جريمة الإبادة الجماعية والمعاقبة عليها</w:t>
            </w:r>
          </w:p>
        </w:tc>
        <w:tc>
          <w:tcPr>
            <w:tcW w:w="786" w:type="pct"/>
          </w:tcPr>
          <w:p w:rsidR="00207B11" w:rsidRPr="00207B11" w:rsidRDefault="00207B11" w:rsidP="00207B11">
            <w:pPr>
              <w:spacing w:before="40" w:after="40" w:line="280" w:lineRule="exact"/>
              <w:ind w:left="57" w:right="57"/>
              <w:rPr>
                <w:sz w:val="18"/>
                <w:szCs w:val="26"/>
              </w:rPr>
            </w:pPr>
          </w:p>
        </w:tc>
        <w:tc>
          <w:tcPr>
            <w:tcW w:w="1018" w:type="pct"/>
          </w:tcPr>
          <w:p w:rsidR="00207B11" w:rsidRPr="00207B11" w:rsidRDefault="00207B11" w:rsidP="00207B11">
            <w:pPr>
              <w:spacing w:before="40" w:after="40" w:line="280" w:lineRule="exact"/>
              <w:ind w:left="57" w:right="57"/>
              <w:rPr>
                <w:sz w:val="18"/>
                <w:szCs w:val="26"/>
              </w:rPr>
            </w:pPr>
          </w:p>
        </w:tc>
        <w:tc>
          <w:tcPr>
            <w:tcW w:w="846"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14 تشرين الثاني/</w:t>
            </w:r>
            <w:r>
              <w:rPr>
                <w:rFonts w:hint="cs"/>
                <w:sz w:val="18"/>
                <w:szCs w:val="26"/>
                <w:rtl/>
              </w:rPr>
              <w:t xml:space="preserve">   </w:t>
            </w:r>
            <w:r w:rsidRPr="00207B11">
              <w:rPr>
                <w:rFonts w:hint="cs"/>
                <w:sz w:val="18"/>
                <w:szCs w:val="26"/>
                <w:rtl/>
              </w:rPr>
              <w:t>نوفمبر 1995</w:t>
            </w:r>
          </w:p>
        </w:tc>
        <w:tc>
          <w:tcPr>
            <w:tcW w:w="532" w:type="pct"/>
          </w:tcPr>
          <w:p w:rsidR="00207B11" w:rsidRPr="00207B11" w:rsidRDefault="00207B11" w:rsidP="00207B11">
            <w:pPr>
              <w:spacing w:before="40" w:after="40" w:line="280" w:lineRule="exact"/>
              <w:ind w:left="57" w:right="57"/>
              <w:rPr>
                <w:sz w:val="18"/>
                <w:szCs w:val="26"/>
              </w:rPr>
            </w:pPr>
          </w:p>
        </w:tc>
        <w:tc>
          <w:tcPr>
            <w:tcW w:w="486" w:type="pct"/>
          </w:tcPr>
          <w:p w:rsidR="00207B11" w:rsidRPr="00207B11" w:rsidRDefault="00207B11" w:rsidP="00207B11">
            <w:pPr>
              <w:spacing w:before="40" w:after="40" w:line="280" w:lineRule="exact"/>
              <w:ind w:left="57" w:right="57"/>
              <w:rPr>
                <w:sz w:val="18"/>
                <w:szCs w:val="26"/>
              </w:rPr>
            </w:pP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نظام روما الأساسي للمحكمة الجنائية الدولية</w:t>
            </w:r>
          </w:p>
        </w:tc>
        <w:tc>
          <w:tcPr>
            <w:tcW w:w="786"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17 آذار/مارس 1999</w:t>
            </w:r>
          </w:p>
        </w:tc>
        <w:tc>
          <w:tcPr>
            <w:tcW w:w="1018" w:type="pct"/>
          </w:tcPr>
          <w:p w:rsidR="00207B11" w:rsidRPr="00207B11" w:rsidRDefault="00207B11" w:rsidP="00207B11">
            <w:pPr>
              <w:spacing w:before="40" w:after="40" w:line="280" w:lineRule="exact"/>
              <w:ind w:left="57" w:right="57"/>
              <w:rPr>
                <w:spacing w:val="-6"/>
                <w:sz w:val="18"/>
                <w:szCs w:val="26"/>
              </w:rPr>
            </w:pPr>
            <w:r w:rsidRPr="00207B11">
              <w:rPr>
                <w:rFonts w:hint="cs"/>
                <w:spacing w:val="-6"/>
                <w:sz w:val="18"/>
                <w:szCs w:val="26"/>
                <w:rtl/>
              </w:rPr>
              <w:t>14 حزيران/يونيه 2000</w:t>
            </w:r>
          </w:p>
        </w:tc>
        <w:tc>
          <w:tcPr>
            <w:tcW w:w="846" w:type="pct"/>
          </w:tcPr>
          <w:p w:rsidR="00207B11" w:rsidRPr="00207B11" w:rsidRDefault="00207B11" w:rsidP="00207B11">
            <w:pPr>
              <w:spacing w:before="40" w:after="40" w:line="280" w:lineRule="exact"/>
              <w:ind w:left="57" w:right="57"/>
              <w:rPr>
                <w:b/>
                <w:bCs/>
                <w:sz w:val="18"/>
                <w:szCs w:val="26"/>
              </w:rPr>
            </w:pPr>
          </w:p>
        </w:tc>
        <w:tc>
          <w:tcPr>
            <w:tcW w:w="532" w:type="pct"/>
          </w:tcPr>
          <w:p w:rsidR="00207B11" w:rsidRPr="00207B11" w:rsidRDefault="00207B11" w:rsidP="00207B11">
            <w:pPr>
              <w:spacing w:before="40" w:after="40" w:line="280" w:lineRule="exact"/>
              <w:ind w:left="57" w:right="57"/>
              <w:rPr>
                <w:b/>
                <w:bCs/>
                <w:sz w:val="18"/>
                <w:szCs w:val="26"/>
              </w:rPr>
            </w:pPr>
          </w:p>
        </w:tc>
        <w:tc>
          <w:tcPr>
            <w:tcW w:w="486" w:type="pct"/>
          </w:tcPr>
          <w:p w:rsidR="00207B11" w:rsidRPr="00207B11" w:rsidRDefault="00207B11" w:rsidP="00207B11">
            <w:pPr>
              <w:spacing w:before="40" w:after="40" w:line="280" w:lineRule="exact"/>
              <w:ind w:left="57" w:right="57"/>
              <w:rPr>
                <w:b/>
                <w:bCs/>
                <w:sz w:val="18"/>
                <w:szCs w:val="26"/>
              </w:rPr>
            </w:pPr>
          </w:p>
        </w:tc>
      </w:tr>
      <w:tr w:rsidR="00207B11" w:rsidRPr="000637D8" w:rsidTr="009C7937">
        <w:tc>
          <w:tcPr>
            <w:tcW w:w="1332" w:type="pct"/>
          </w:tcPr>
          <w:p w:rsidR="00207B11" w:rsidRPr="000637D8" w:rsidRDefault="00207B11" w:rsidP="00207B11">
            <w:pPr>
              <w:spacing w:before="40" w:after="40" w:line="280" w:lineRule="exact"/>
              <w:ind w:left="57" w:right="170"/>
              <w:rPr>
                <w:i/>
                <w:iCs/>
                <w:sz w:val="18"/>
                <w:szCs w:val="26"/>
              </w:rPr>
            </w:pPr>
            <w:r w:rsidRPr="000637D8">
              <w:rPr>
                <w:rFonts w:hint="cs"/>
                <w:i/>
                <w:iCs/>
                <w:sz w:val="18"/>
                <w:szCs w:val="26"/>
                <w:rtl/>
              </w:rPr>
              <w:t>قانون الصراعات المسلحة</w:t>
            </w:r>
          </w:p>
        </w:tc>
        <w:tc>
          <w:tcPr>
            <w:tcW w:w="786"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التوقيع</w:t>
            </w:r>
          </w:p>
        </w:tc>
        <w:tc>
          <w:tcPr>
            <w:tcW w:w="1018"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التصديق</w:t>
            </w:r>
          </w:p>
        </w:tc>
        <w:tc>
          <w:tcPr>
            <w:tcW w:w="846"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الانضمام</w:t>
            </w:r>
          </w:p>
        </w:tc>
        <w:tc>
          <w:tcPr>
            <w:tcW w:w="532"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الخلافة</w:t>
            </w:r>
          </w:p>
        </w:tc>
        <w:tc>
          <w:tcPr>
            <w:tcW w:w="486"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بدء النفاذ</w:t>
            </w: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اتفاقية جنيف لتحسين حال الجرحى والمرضى بالقوات المسلحة في الميدان</w:t>
            </w:r>
          </w:p>
        </w:tc>
        <w:tc>
          <w:tcPr>
            <w:tcW w:w="786" w:type="pct"/>
          </w:tcPr>
          <w:p w:rsidR="00207B11" w:rsidRPr="00207B11" w:rsidRDefault="00207B11" w:rsidP="00207B11">
            <w:pPr>
              <w:spacing w:before="40" w:after="40" w:line="280" w:lineRule="exact"/>
              <w:ind w:left="57" w:right="57"/>
              <w:rPr>
                <w:sz w:val="18"/>
                <w:szCs w:val="26"/>
              </w:rPr>
            </w:pPr>
          </w:p>
        </w:tc>
        <w:tc>
          <w:tcPr>
            <w:tcW w:w="1018"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18 أيار/مايو 1964 (تصديق/انضمام)</w:t>
            </w:r>
          </w:p>
        </w:tc>
        <w:tc>
          <w:tcPr>
            <w:tcW w:w="846" w:type="pct"/>
          </w:tcPr>
          <w:p w:rsidR="00207B11" w:rsidRPr="00207B11" w:rsidRDefault="00207B11" w:rsidP="00207B11">
            <w:pPr>
              <w:spacing w:before="40" w:after="40" w:line="280" w:lineRule="exact"/>
              <w:ind w:left="57" w:right="57"/>
              <w:rPr>
                <w:sz w:val="18"/>
                <w:szCs w:val="26"/>
              </w:rPr>
            </w:pPr>
          </w:p>
        </w:tc>
        <w:tc>
          <w:tcPr>
            <w:tcW w:w="532" w:type="pct"/>
          </w:tcPr>
          <w:p w:rsidR="00207B11" w:rsidRPr="00207B11" w:rsidRDefault="00207B11" w:rsidP="00207B11">
            <w:pPr>
              <w:spacing w:before="40" w:after="40" w:line="280" w:lineRule="exact"/>
              <w:ind w:left="57" w:right="57"/>
              <w:rPr>
                <w:sz w:val="18"/>
                <w:szCs w:val="26"/>
              </w:rPr>
            </w:pPr>
          </w:p>
        </w:tc>
        <w:tc>
          <w:tcPr>
            <w:tcW w:w="486" w:type="pct"/>
          </w:tcPr>
          <w:p w:rsidR="00207B11" w:rsidRPr="00207B11" w:rsidRDefault="00207B11" w:rsidP="00207B11">
            <w:pPr>
              <w:spacing w:before="40" w:after="40" w:line="280" w:lineRule="exact"/>
              <w:ind w:left="57" w:right="57"/>
              <w:rPr>
                <w:sz w:val="18"/>
                <w:szCs w:val="26"/>
              </w:rPr>
            </w:pP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اتفاقية جنيف لتحسين حال جرحى ومرضى وغرقى القوات المسلحة في البحار</w:t>
            </w:r>
          </w:p>
        </w:tc>
        <w:tc>
          <w:tcPr>
            <w:tcW w:w="786" w:type="pct"/>
          </w:tcPr>
          <w:p w:rsidR="00207B11" w:rsidRPr="00207B11" w:rsidRDefault="00207B11" w:rsidP="00207B11">
            <w:pPr>
              <w:spacing w:before="40" w:after="40" w:line="280" w:lineRule="exact"/>
              <w:ind w:left="57" w:right="57"/>
              <w:rPr>
                <w:sz w:val="18"/>
                <w:szCs w:val="26"/>
              </w:rPr>
            </w:pPr>
          </w:p>
        </w:tc>
        <w:tc>
          <w:tcPr>
            <w:tcW w:w="1018"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18 أيار/مايو 1964 (تصديق/انضمام)</w:t>
            </w:r>
          </w:p>
        </w:tc>
        <w:tc>
          <w:tcPr>
            <w:tcW w:w="846" w:type="pct"/>
          </w:tcPr>
          <w:p w:rsidR="00207B11" w:rsidRPr="00207B11" w:rsidRDefault="00207B11" w:rsidP="00207B11">
            <w:pPr>
              <w:spacing w:before="40" w:after="40" w:line="280" w:lineRule="exact"/>
              <w:ind w:left="57" w:right="57"/>
              <w:rPr>
                <w:b/>
                <w:bCs/>
                <w:sz w:val="18"/>
                <w:szCs w:val="26"/>
              </w:rPr>
            </w:pPr>
          </w:p>
        </w:tc>
        <w:tc>
          <w:tcPr>
            <w:tcW w:w="532" w:type="pct"/>
          </w:tcPr>
          <w:p w:rsidR="00207B11" w:rsidRPr="00207B11" w:rsidRDefault="00207B11" w:rsidP="00207B11">
            <w:pPr>
              <w:spacing w:before="40" w:after="40" w:line="280" w:lineRule="exact"/>
              <w:ind w:left="57" w:right="57"/>
              <w:rPr>
                <w:b/>
                <w:bCs/>
                <w:sz w:val="18"/>
                <w:szCs w:val="26"/>
              </w:rPr>
            </w:pPr>
          </w:p>
        </w:tc>
        <w:tc>
          <w:tcPr>
            <w:tcW w:w="486" w:type="pct"/>
          </w:tcPr>
          <w:p w:rsidR="00207B11" w:rsidRPr="00207B11" w:rsidRDefault="00207B11" w:rsidP="00207B11">
            <w:pPr>
              <w:spacing w:before="40" w:after="40" w:line="280" w:lineRule="exact"/>
              <w:ind w:left="57" w:right="57"/>
              <w:rPr>
                <w:b/>
                <w:bCs/>
                <w:sz w:val="18"/>
                <w:szCs w:val="26"/>
              </w:rPr>
            </w:pP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tl/>
              </w:rPr>
            </w:pPr>
            <w:r w:rsidRPr="00207B11">
              <w:rPr>
                <w:rFonts w:hint="cs"/>
                <w:sz w:val="18"/>
                <w:szCs w:val="26"/>
                <w:rtl/>
              </w:rPr>
              <w:t>اتفاقية جنيف المتعلقة بمعاملة أسرى الحرب</w:t>
            </w:r>
          </w:p>
        </w:tc>
        <w:tc>
          <w:tcPr>
            <w:tcW w:w="786" w:type="pct"/>
          </w:tcPr>
          <w:p w:rsidR="00207B11" w:rsidRPr="00207B11" w:rsidRDefault="00207B11" w:rsidP="00207B11">
            <w:pPr>
              <w:spacing w:before="40" w:after="40" w:line="280" w:lineRule="exact"/>
              <w:ind w:left="57" w:right="57"/>
              <w:rPr>
                <w:sz w:val="18"/>
                <w:szCs w:val="26"/>
              </w:rPr>
            </w:pPr>
          </w:p>
        </w:tc>
        <w:tc>
          <w:tcPr>
            <w:tcW w:w="1018"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18 أيار/مايو 1964 (تصديق/انضمام)</w:t>
            </w:r>
          </w:p>
        </w:tc>
        <w:tc>
          <w:tcPr>
            <w:tcW w:w="846" w:type="pct"/>
          </w:tcPr>
          <w:p w:rsidR="00207B11" w:rsidRPr="00207B11" w:rsidRDefault="00207B11" w:rsidP="00207B11">
            <w:pPr>
              <w:spacing w:before="40" w:after="40" w:line="280" w:lineRule="exact"/>
              <w:ind w:left="57" w:right="57"/>
              <w:rPr>
                <w:sz w:val="18"/>
                <w:szCs w:val="26"/>
              </w:rPr>
            </w:pPr>
          </w:p>
        </w:tc>
        <w:tc>
          <w:tcPr>
            <w:tcW w:w="532" w:type="pct"/>
          </w:tcPr>
          <w:p w:rsidR="00207B11" w:rsidRPr="00207B11" w:rsidRDefault="00207B11" w:rsidP="00207B11">
            <w:pPr>
              <w:spacing w:before="40" w:after="40" w:line="280" w:lineRule="exact"/>
              <w:ind w:left="57" w:right="57"/>
              <w:rPr>
                <w:sz w:val="18"/>
                <w:szCs w:val="26"/>
              </w:rPr>
            </w:pPr>
          </w:p>
        </w:tc>
        <w:tc>
          <w:tcPr>
            <w:tcW w:w="486" w:type="pct"/>
          </w:tcPr>
          <w:p w:rsidR="00207B11" w:rsidRPr="00207B11" w:rsidRDefault="00207B11" w:rsidP="00207B11">
            <w:pPr>
              <w:spacing w:before="40" w:after="40" w:line="280" w:lineRule="exact"/>
              <w:ind w:left="57" w:right="57"/>
              <w:rPr>
                <w:sz w:val="18"/>
                <w:szCs w:val="26"/>
              </w:rPr>
            </w:pP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اتفاقية جنيف الرابعة بشأن حماية الأشخاص المدنيين في وقت الحرب</w:t>
            </w:r>
          </w:p>
        </w:tc>
        <w:tc>
          <w:tcPr>
            <w:tcW w:w="786" w:type="pct"/>
          </w:tcPr>
          <w:p w:rsidR="00207B11" w:rsidRPr="00207B11" w:rsidRDefault="00207B11" w:rsidP="00207B11">
            <w:pPr>
              <w:spacing w:before="40" w:after="40" w:line="280" w:lineRule="exact"/>
              <w:ind w:left="57" w:right="57"/>
              <w:rPr>
                <w:sz w:val="18"/>
                <w:szCs w:val="26"/>
              </w:rPr>
            </w:pPr>
          </w:p>
        </w:tc>
        <w:tc>
          <w:tcPr>
            <w:tcW w:w="1018"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18 أيار/مايو 1964 (تصديق/انضمام)</w:t>
            </w:r>
          </w:p>
        </w:tc>
        <w:tc>
          <w:tcPr>
            <w:tcW w:w="846" w:type="pct"/>
          </w:tcPr>
          <w:p w:rsidR="00207B11" w:rsidRPr="00207B11" w:rsidRDefault="00207B11" w:rsidP="00207B11">
            <w:pPr>
              <w:spacing w:before="40" w:after="40" w:line="280" w:lineRule="exact"/>
              <w:ind w:left="57" w:right="57"/>
              <w:rPr>
                <w:sz w:val="18"/>
                <w:szCs w:val="26"/>
              </w:rPr>
            </w:pPr>
          </w:p>
        </w:tc>
        <w:tc>
          <w:tcPr>
            <w:tcW w:w="532" w:type="pct"/>
          </w:tcPr>
          <w:p w:rsidR="00207B11" w:rsidRPr="00207B11" w:rsidRDefault="00207B11" w:rsidP="00207B11">
            <w:pPr>
              <w:spacing w:before="40" w:after="40" w:line="280" w:lineRule="exact"/>
              <w:ind w:left="57" w:right="57"/>
              <w:rPr>
                <w:sz w:val="18"/>
                <w:szCs w:val="26"/>
              </w:rPr>
            </w:pPr>
          </w:p>
        </w:tc>
        <w:tc>
          <w:tcPr>
            <w:tcW w:w="486" w:type="pct"/>
          </w:tcPr>
          <w:p w:rsidR="00207B11" w:rsidRPr="00207B11" w:rsidRDefault="00207B11" w:rsidP="00207B11">
            <w:pPr>
              <w:spacing w:before="40" w:after="40" w:line="280" w:lineRule="exact"/>
              <w:ind w:left="57" w:right="57"/>
              <w:rPr>
                <w:sz w:val="18"/>
                <w:szCs w:val="26"/>
              </w:rPr>
            </w:pP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 xml:space="preserve">البروتوكول الإضافي الملحق باتفاقيات جنيف المعقودة في 12 آب/أغسطس 1949 والمتعلق بحماية ضحايا المنازعات المسلحة الدولية (البروتوكول الأول) </w:t>
            </w:r>
          </w:p>
        </w:tc>
        <w:tc>
          <w:tcPr>
            <w:tcW w:w="786" w:type="pct"/>
          </w:tcPr>
          <w:p w:rsidR="00207B11" w:rsidRPr="00207B11" w:rsidRDefault="00207B11" w:rsidP="00207B11">
            <w:pPr>
              <w:spacing w:before="40" w:after="40" w:line="280" w:lineRule="exact"/>
              <w:ind w:left="57" w:right="57"/>
              <w:rPr>
                <w:sz w:val="18"/>
                <w:szCs w:val="26"/>
              </w:rPr>
            </w:pPr>
          </w:p>
        </w:tc>
        <w:tc>
          <w:tcPr>
            <w:tcW w:w="1018"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13 آذار/مارس 1991 (تصديق/انضمام)</w:t>
            </w:r>
          </w:p>
        </w:tc>
        <w:tc>
          <w:tcPr>
            <w:tcW w:w="846" w:type="pct"/>
          </w:tcPr>
          <w:p w:rsidR="00207B11" w:rsidRPr="00207B11" w:rsidRDefault="00207B11" w:rsidP="00207B11">
            <w:pPr>
              <w:spacing w:before="40" w:after="40" w:line="280" w:lineRule="exact"/>
              <w:ind w:left="57" w:right="57"/>
              <w:rPr>
                <w:sz w:val="18"/>
                <w:szCs w:val="26"/>
              </w:rPr>
            </w:pPr>
          </w:p>
        </w:tc>
        <w:tc>
          <w:tcPr>
            <w:tcW w:w="532" w:type="pct"/>
          </w:tcPr>
          <w:p w:rsidR="00207B11" w:rsidRPr="00207B11" w:rsidRDefault="00207B11" w:rsidP="00207B11">
            <w:pPr>
              <w:spacing w:before="40" w:after="40" w:line="280" w:lineRule="exact"/>
              <w:ind w:left="57" w:right="57"/>
              <w:rPr>
                <w:sz w:val="18"/>
                <w:szCs w:val="26"/>
              </w:rPr>
            </w:pPr>
          </w:p>
        </w:tc>
        <w:tc>
          <w:tcPr>
            <w:tcW w:w="486" w:type="pct"/>
          </w:tcPr>
          <w:p w:rsidR="00207B11" w:rsidRPr="00207B11" w:rsidRDefault="00207B11" w:rsidP="00207B11">
            <w:pPr>
              <w:spacing w:before="40" w:after="40" w:line="280" w:lineRule="exact"/>
              <w:ind w:left="57" w:right="57"/>
              <w:rPr>
                <w:sz w:val="18"/>
                <w:szCs w:val="26"/>
              </w:rPr>
            </w:pP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lastRenderedPageBreak/>
              <w:t>البروتوكول الإضافي الملحق باتفاقيات جنيف المعقودة في 12 آب/أغسطس 1949، المتعلق بحماية ضحايا المنازعات المسلحة غير الدولية (البروتوكول الثاني)</w:t>
            </w:r>
          </w:p>
        </w:tc>
        <w:tc>
          <w:tcPr>
            <w:tcW w:w="786" w:type="pct"/>
          </w:tcPr>
          <w:p w:rsidR="00207B11" w:rsidRPr="00207B11" w:rsidRDefault="00207B11" w:rsidP="00207B11">
            <w:pPr>
              <w:spacing w:before="40" w:after="40" w:line="280" w:lineRule="exact"/>
              <w:ind w:left="57" w:right="57"/>
              <w:rPr>
                <w:sz w:val="18"/>
                <w:szCs w:val="26"/>
              </w:rPr>
            </w:pPr>
          </w:p>
        </w:tc>
        <w:tc>
          <w:tcPr>
            <w:tcW w:w="1018"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13 آذار/مارس 1991 (تصديق/انضمام)</w:t>
            </w:r>
          </w:p>
        </w:tc>
        <w:tc>
          <w:tcPr>
            <w:tcW w:w="846" w:type="pct"/>
          </w:tcPr>
          <w:p w:rsidR="00207B11" w:rsidRPr="00207B11" w:rsidRDefault="00207B11" w:rsidP="00207B11">
            <w:pPr>
              <w:spacing w:before="40" w:after="40" w:line="280" w:lineRule="exact"/>
              <w:ind w:left="57" w:right="57"/>
              <w:rPr>
                <w:sz w:val="18"/>
                <w:szCs w:val="26"/>
              </w:rPr>
            </w:pPr>
          </w:p>
        </w:tc>
        <w:tc>
          <w:tcPr>
            <w:tcW w:w="532" w:type="pct"/>
          </w:tcPr>
          <w:p w:rsidR="00207B11" w:rsidRPr="00207B11" w:rsidRDefault="00207B11" w:rsidP="00207B11">
            <w:pPr>
              <w:spacing w:before="40" w:after="40" w:line="280" w:lineRule="exact"/>
              <w:ind w:left="57" w:right="57"/>
              <w:rPr>
                <w:sz w:val="18"/>
                <w:szCs w:val="26"/>
              </w:rPr>
            </w:pPr>
          </w:p>
        </w:tc>
        <w:tc>
          <w:tcPr>
            <w:tcW w:w="486" w:type="pct"/>
          </w:tcPr>
          <w:p w:rsidR="00207B11" w:rsidRPr="00207B11" w:rsidRDefault="00207B11" w:rsidP="00207B11">
            <w:pPr>
              <w:spacing w:before="40" w:after="40" w:line="280" w:lineRule="exact"/>
              <w:ind w:left="57" w:right="57"/>
              <w:rPr>
                <w:sz w:val="18"/>
                <w:szCs w:val="26"/>
              </w:rPr>
            </w:pPr>
          </w:p>
        </w:tc>
      </w:tr>
      <w:tr w:rsidR="00207B11" w:rsidRPr="000637D8" w:rsidTr="009C7937">
        <w:tc>
          <w:tcPr>
            <w:tcW w:w="1332" w:type="pct"/>
          </w:tcPr>
          <w:p w:rsidR="00207B11" w:rsidRPr="000637D8" w:rsidRDefault="00207B11" w:rsidP="00207B11">
            <w:pPr>
              <w:spacing w:before="40" w:after="40" w:line="280" w:lineRule="exact"/>
              <w:ind w:left="57" w:right="170"/>
              <w:rPr>
                <w:i/>
                <w:iCs/>
                <w:sz w:val="18"/>
                <w:szCs w:val="26"/>
              </w:rPr>
            </w:pPr>
            <w:r w:rsidRPr="000637D8">
              <w:rPr>
                <w:rFonts w:hint="cs"/>
                <w:i/>
                <w:iCs/>
                <w:sz w:val="18"/>
                <w:szCs w:val="26"/>
                <w:rtl/>
              </w:rPr>
              <w:t>الاتفاقيات الإقليمية الأفريقية</w:t>
            </w:r>
          </w:p>
        </w:tc>
        <w:tc>
          <w:tcPr>
            <w:tcW w:w="786"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التوقيع</w:t>
            </w:r>
          </w:p>
        </w:tc>
        <w:tc>
          <w:tcPr>
            <w:tcW w:w="1018"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التصديق</w:t>
            </w:r>
          </w:p>
        </w:tc>
        <w:tc>
          <w:tcPr>
            <w:tcW w:w="846"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الانضمام</w:t>
            </w:r>
          </w:p>
        </w:tc>
        <w:tc>
          <w:tcPr>
            <w:tcW w:w="532"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الخلافة</w:t>
            </w:r>
          </w:p>
        </w:tc>
        <w:tc>
          <w:tcPr>
            <w:tcW w:w="486" w:type="pct"/>
          </w:tcPr>
          <w:p w:rsidR="00207B11" w:rsidRPr="000637D8" w:rsidRDefault="00207B11" w:rsidP="00207B11">
            <w:pPr>
              <w:spacing w:before="40" w:after="40" w:line="280" w:lineRule="exact"/>
              <w:ind w:left="57" w:right="57"/>
              <w:rPr>
                <w:i/>
                <w:iCs/>
                <w:sz w:val="18"/>
                <w:szCs w:val="26"/>
              </w:rPr>
            </w:pPr>
            <w:r w:rsidRPr="000637D8">
              <w:rPr>
                <w:rFonts w:hint="cs"/>
                <w:i/>
                <w:iCs/>
                <w:sz w:val="18"/>
                <w:szCs w:val="26"/>
                <w:rtl/>
              </w:rPr>
              <w:t>بدء النفاذ</w:t>
            </w: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ميثاق [بانجول] الأفريقي لحقوق الإنسان والشعوب</w:t>
            </w:r>
          </w:p>
        </w:tc>
        <w:tc>
          <w:tcPr>
            <w:tcW w:w="786"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18 آب/أغسطس 1986</w:t>
            </w:r>
          </w:p>
        </w:tc>
        <w:tc>
          <w:tcPr>
            <w:tcW w:w="1018"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10 أيار/مايو 1986</w:t>
            </w:r>
          </w:p>
        </w:tc>
        <w:tc>
          <w:tcPr>
            <w:tcW w:w="846" w:type="pct"/>
          </w:tcPr>
          <w:p w:rsidR="00207B11" w:rsidRPr="00207B11" w:rsidRDefault="00207B11" w:rsidP="00207B11">
            <w:pPr>
              <w:spacing w:before="40" w:after="40" w:line="280" w:lineRule="exact"/>
              <w:ind w:left="57" w:right="57"/>
              <w:rPr>
                <w:sz w:val="18"/>
                <w:szCs w:val="26"/>
              </w:rPr>
            </w:pPr>
          </w:p>
        </w:tc>
        <w:tc>
          <w:tcPr>
            <w:tcW w:w="532" w:type="pct"/>
          </w:tcPr>
          <w:p w:rsidR="00207B11" w:rsidRPr="00207B11" w:rsidRDefault="00207B11" w:rsidP="00207B11">
            <w:pPr>
              <w:spacing w:before="40" w:after="40" w:line="280" w:lineRule="exact"/>
              <w:ind w:left="57" w:right="57"/>
              <w:rPr>
                <w:sz w:val="18"/>
                <w:szCs w:val="26"/>
              </w:rPr>
            </w:pPr>
          </w:p>
        </w:tc>
        <w:tc>
          <w:tcPr>
            <w:tcW w:w="486" w:type="pct"/>
          </w:tcPr>
          <w:p w:rsidR="00207B11" w:rsidRPr="00207B11" w:rsidRDefault="00207B11" w:rsidP="00207B11">
            <w:pPr>
              <w:spacing w:before="40" w:after="40" w:line="280" w:lineRule="exact"/>
              <w:ind w:left="57" w:right="57"/>
              <w:rPr>
                <w:sz w:val="18"/>
                <w:szCs w:val="26"/>
              </w:rPr>
            </w:pP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اتفاقية منظمة الوحدة الأفريقية التي تحكم المظاهر الخاصة بمشكلات اللاجئين في أفريقيا</w:t>
            </w:r>
          </w:p>
        </w:tc>
        <w:tc>
          <w:tcPr>
            <w:tcW w:w="786"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10 أيلول/</w:t>
            </w:r>
            <w:r w:rsidR="00357226">
              <w:rPr>
                <w:rFonts w:hint="cs"/>
                <w:sz w:val="18"/>
                <w:szCs w:val="26"/>
                <w:rtl/>
              </w:rPr>
              <w:t xml:space="preserve"> </w:t>
            </w:r>
            <w:r w:rsidRPr="00207B11">
              <w:rPr>
                <w:rFonts w:hint="cs"/>
                <w:sz w:val="18"/>
                <w:szCs w:val="26"/>
                <w:rtl/>
              </w:rPr>
              <w:t xml:space="preserve">سبتمبر 1969 </w:t>
            </w:r>
          </w:p>
        </w:tc>
        <w:tc>
          <w:tcPr>
            <w:tcW w:w="1018"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24 تموز/يوليه 1987</w:t>
            </w:r>
          </w:p>
        </w:tc>
        <w:tc>
          <w:tcPr>
            <w:tcW w:w="846" w:type="pct"/>
          </w:tcPr>
          <w:p w:rsidR="00207B11" w:rsidRPr="00207B11" w:rsidRDefault="00207B11" w:rsidP="00207B11">
            <w:pPr>
              <w:spacing w:before="40" w:after="40" w:line="280" w:lineRule="exact"/>
              <w:ind w:left="57" w:right="57"/>
              <w:rPr>
                <w:b/>
                <w:bCs/>
                <w:sz w:val="18"/>
                <w:szCs w:val="26"/>
              </w:rPr>
            </w:pPr>
          </w:p>
        </w:tc>
        <w:tc>
          <w:tcPr>
            <w:tcW w:w="532" w:type="pct"/>
          </w:tcPr>
          <w:p w:rsidR="00207B11" w:rsidRPr="00207B11" w:rsidRDefault="00207B11" w:rsidP="00207B11">
            <w:pPr>
              <w:spacing w:before="40" w:after="40" w:line="280" w:lineRule="exact"/>
              <w:ind w:left="57" w:right="57"/>
              <w:rPr>
                <w:b/>
                <w:bCs/>
                <w:sz w:val="18"/>
                <w:szCs w:val="26"/>
              </w:rPr>
            </w:pPr>
          </w:p>
        </w:tc>
        <w:tc>
          <w:tcPr>
            <w:tcW w:w="486" w:type="pct"/>
          </w:tcPr>
          <w:p w:rsidR="00207B11" w:rsidRPr="00207B11" w:rsidRDefault="00207B11" w:rsidP="00207B11">
            <w:pPr>
              <w:spacing w:before="40" w:after="40" w:line="280" w:lineRule="exact"/>
              <w:ind w:left="57" w:right="57"/>
              <w:rPr>
                <w:b/>
                <w:bCs/>
                <w:sz w:val="18"/>
                <w:szCs w:val="26"/>
              </w:rPr>
            </w:pPr>
          </w:p>
        </w:tc>
      </w:tr>
      <w:tr w:rsidR="00207B11" w:rsidRPr="00207B11" w:rsidTr="009C7937">
        <w:tc>
          <w:tcPr>
            <w:tcW w:w="1332" w:type="pct"/>
          </w:tcPr>
          <w:p w:rsidR="00207B11" w:rsidRPr="00207B11" w:rsidRDefault="00207B11" w:rsidP="00207B11">
            <w:pPr>
              <w:spacing w:before="40" w:after="40" w:line="280" w:lineRule="exact"/>
              <w:ind w:left="57" w:right="170"/>
              <w:rPr>
                <w:sz w:val="18"/>
                <w:szCs w:val="26"/>
              </w:rPr>
            </w:pPr>
            <w:r w:rsidRPr="00207B11">
              <w:rPr>
                <w:rFonts w:hint="cs"/>
                <w:sz w:val="18"/>
                <w:szCs w:val="26"/>
                <w:rtl/>
              </w:rPr>
              <w:t>البروتوكول الملحق بالميثاق الأفريقي لحقوق الإنسان والشعوب، المتعلق بحقوق المرأة في أفريقيا</w:t>
            </w:r>
          </w:p>
        </w:tc>
        <w:tc>
          <w:tcPr>
            <w:tcW w:w="786"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18 كانون الأول/</w:t>
            </w:r>
            <w:r>
              <w:rPr>
                <w:rFonts w:hint="cs"/>
                <w:sz w:val="18"/>
                <w:szCs w:val="26"/>
                <w:rtl/>
              </w:rPr>
              <w:t xml:space="preserve">  </w:t>
            </w:r>
            <w:r w:rsidRPr="00207B11">
              <w:rPr>
                <w:rFonts w:hint="cs"/>
                <w:sz w:val="18"/>
                <w:szCs w:val="26"/>
                <w:rtl/>
              </w:rPr>
              <w:t>ديسمبر 2003</w:t>
            </w:r>
          </w:p>
        </w:tc>
        <w:tc>
          <w:tcPr>
            <w:tcW w:w="1018" w:type="pct"/>
          </w:tcPr>
          <w:p w:rsidR="00207B11" w:rsidRPr="00207B11" w:rsidRDefault="00207B11" w:rsidP="00207B11">
            <w:pPr>
              <w:spacing w:before="40" w:after="40" w:line="280" w:lineRule="exact"/>
              <w:ind w:left="57" w:right="57"/>
              <w:rPr>
                <w:sz w:val="18"/>
                <w:szCs w:val="26"/>
              </w:rPr>
            </w:pPr>
            <w:r w:rsidRPr="00207B11">
              <w:rPr>
                <w:rFonts w:hint="cs"/>
                <w:sz w:val="18"/>
                <w:szCs w:val="26"/>
                <w:rtl/>
              </w:rPr>
              <w:t>22 تموز/يوليه 2010</w:t>
            </w:r>
          </w:p>
        </w:tc>
        <w:tc>
          <w:tcPr>
            <w:tcW w:w="846" w:type="pct"/>
          </w:tcPr>
          <w:p w:rsidR="00207B11" w:rsidRPr="00207B11" w:rsidRDefault="00207B11" w:rsidP="00207B11">
            <w:pPr>
              <w:spacing w:before="40" w:after="40" w:line="280" w:lineRule="exact"/>
              <w:ind w:left="57" w:right="57"/>
              <w:rPr>
                <w:sz w:val="18"/>
                <w:szCs w:val="26"/>
              </w:rPr>
            </w:pPr>
          </w:p>
        </w:tc>
        <w:tc>
          <w:tcPr>
            <w:tcW w:w="532" w:type="pct"/>
          </w:tcPr>
          <w:p w:rsidR="00207B11" w:rsidRPr="00207B11" w:rsidRDefault="00207B11" w:rsidP="00207B11">
            <w:pPr>
              <w:spacing w:before="40" w:after="40" w:line="280" w:lineRule="exact"/>
              <w:ind w:left="57" w:right="57"/>
              <w:rPr>
                <w:sz w:val="18"/>
                <w:szCs w:val="26"/>
              </w:rPr>
            </w:pPr>
          </w:p>
        </w:tc>
        <w:tc>
          <w:tcPr>
            <w:tcW w:w="486" w:type="pct"/>
          </w:tcPr>
          <w:p w:rsidR="00207B11" w:rsidRPr="00207B11" w:rsidRDefault="00207B11" w:rsidP="00207B11">
            <w:pPr>
              <w:spacing w:before="40" w:after="40" w:line="280" w:lineRule="exact"/>
              <w:ind w:left="57" w:right="57"/>
              <w:rPr>
                <w:sz w:val="18"/>
                <w:szCs w:val="26"/>
              </w:rPr>
            </w:pPr>
          </w:p>
        </w:tc>
      </w:tr>
      <w:tr w:rsidR="00207B11" w:rsidRPr="00207B11" w:rsidTr="009C7937">
        <w:tc>
          <w:tcPr>
            <w:tcW w:w="1332" w:type="pct"/>
            <w:tcBorders>
              <w:bottom w:val="single" w:sz="4" w:space="0" w:color="auto"/>
            </w:tcBorders>
          </w:tcPr>
          <w:p w:rsidR="00207B11" w:rsidRPr="00207B11" w:rsidRDefault="00207B11" w:rsidP="00207B11">
            <w:pPr>
              <w:spacing w:before="40" w:after="40" w:line="280" w:lineRule="exact"/>
              <w:ind w:left="57" w:right="170"/>
              <w:rPr>
                <w:sz w:val="18"/>
                <w:szCs w:val="26"/>
              </w:rPr>
            </w:pPr>
            <w:r w:rsidRPr="00207B11">
              <w:rPr>
                <w:rFonts w:hint="cs"/>
                <w:sz w:val="18"/>
                <w:szCs w:val="26"/>
                <w:rtl/>
              </w:rPr>
              <w:t>البروتوكول الملحق بميثاق حقوق الإنسان والشعوب بشأن إنشاء محكمة أفريقيا لحقوق الإنسان وحقوق الشعوب</w:t>
            </w:r>
          </w:p>
        </w:tc>
        <w:tc>
          <w:tcPr>
            <w:tcW w:w="786" w:type="pct"/>
            <w:tcBorders>
              <w:bottom w:val="single" w:sz="4" w:space="0" w:color="auto"/>
            </w:tcBorders>
          </w:tcPr>
          <w:p w:rsidR="00207B11" w:rsidRPr="00207B11" w:rsidRDefault="00207B11" w:rsidP="00207B11">
            <w:pPr>
              <w:spacing w:before="40" w:after="40" w:line="280" w:lineRule="exact"/>
              <w:ind w:left="57" w:right="57"/>
              <w:rPr>
                <w:sz w:val="18"/>
                <w:szCs w:val="26"/>
              </w:rPr>
            </w:pPr>
            <w:r w:rsidRPr="00207B11">
              <w:rPr>
                <w:rFonts w:hint="cs"/>
                <w:sz w:val="18"/>
                <w:szCs w:val="26"/>
                <w:rtl/>
              </w:rPr>
              <w:t>1 شباط/فبراير 2001</w:t>
            </w:r>
          </w:p>
        </w:tc>
        <w:tc>
          <w:tcPr>
            <w:tcW w:w="1018" w:type="pct"/>
            <w:tcBorders>
              <w:bottom w:val="single" w:sz="4" w:space="0" w:color="auto"/>
            </w:tcBorders>
          </w:tcPr>
          <w:p w:rsidR="00207B11" w:rsidRPr="00207B11" w:rsidRDefault="00207B11" w:rsidP="00207B11">
            <w:pPr>
              <w:spacing w:before="40" w:after="40" w:line="280" w:lineRule="exact"/>
              <w:ind w:left="57" w:right="57"/>
              <w:rPr>
                <w:sz w:val="18"/>
                <w:szCs w:val="26"/>
              </w:rPr>
            </w:pPr>
            <w:r w:rsidRPr="00207B11">
              <w:rPr>
                <w:rFonts w:hint="cs"/>
                <w:sz w:val="18"/>
                <w:szCs w:val="26"/>
                <w:rtl/>
              </w:rPr>
              <w:t xml:space="preserve">16 شباط/فبراير 2001 </w:t>
            </w:r>
          </w:p>
        </w:tc>
        <w:tc>
          <w:tcPr>
            <w:tcW w:w="846" w:type="pct"/>
            <w:tcBorders>
              <w:bottom w:val="single" w:sz="4" w:space="0" w:color="auto"/>
            </w:tcBorders>
          </w:tcPr>
          <w:p w:rsidR="00207B11" w:rsidRPr="00207B11" w:rsidRDefault="00207B11" w:rsidP="00207B11">
            <w:pPr>
              <w:spacing w:before="40" w:after="40" w:line="280" w:lineRule="exact"/>
              <w:ind w:left="57" w:right="57"/>
              <w:rPr>
                <w:sz w:val="18"/>
                <w:szCs w:val="26"/>
              </w:rPr>
            </w:pPr>
          </w:p>
        </w:tc>
        <w:tc>
          <w:tcPr>
            <w:tcW w:w="532" w:type="pct"/>
            <w:tcBorders>
              <w:bottom w:val="single" w:sz="4" w:space="0" w:color="auto"/>
            </w:tcBorders>
          </w:tcPr>
          <w:p w:rsidR="00207B11" w:rsidRPr="00207B11" w:rsidRDefault="00207B11" w:rsidP="00207B11">
            <w:pPr>
              <w:spacing w:before="40" w:after="40" w:line="280" w:lineRule="exact"/>
              <w:ind w:left="57" w:right="57"/>
              <w:rPr>
                <w:sz w:val="18"/>
                <w:szCs w:val="26"/>
              </w:rPr>
            </w:pPr>
          </w:p>
        </w:tc>
        <w:tc>
          <w:tcPr>
            <w:tcW w:w="486" w:type="pct"/>
            <w:tcBorders>
              <w:bottom w:val="single" w:sz="4" w:space="0" w:color="auto"/>
            </w:tcBorders>
          </w:tcPr>
          <w:p w:rsidR="00207B11" w:rsidRPr="00207B11" w:rsidRDefault="00207B11" w:rsidP="00207B11">
            <w:pPr>
              <w:spacing w:before="40" w:after="40" w:line="280" w:lineRule="exact"/>
              <w:ind w:left="57" w:right="57"/>
              <w:rPr>
                <w:sz w:val="18"/>
                <w:szCs w:val="26"/>
              </w:rPr>
            </w:pPr>
          </w:p>
        </w:tc>
      </w:tr>
      <w:tr w:rsidR="00207B11" w:rsidRPr="00207B11" w:rsidTr="009C7937">
        <w:tc>
          <w:tcPr>
            <w:tcW w:w="1332" w:type="pct"/>
            <w:tcBorders>
              <w:bottom w:val="single" w:sz="12" w:space="0" w:color="auto"/>
            </w:tcBorders>
          </w:tcPr>
          <w:p w:rsidR="00207B11" w:rsidRPr="00207B11" w:rsidRDefault="00207B11" w:rsidP="00207B11">
            <w:pPr>
              <w:spacing w:before="40" w:after="40" w:line="280" w:lineRule="exact"/>
              <w:ind w:left="57" w:right="170"/>
              <w:rPr>
                <w:sz w:val="18"/>
                <w:szCs w:val="26"/>
              </w:rPr>
            </w:pPr>
            <w:r w:rsidRPr="00207B11">
              <w:rPr>
                <w:rFonts w:hint="cs"/>
                <w:sz w:val="18"/>
                <w:szCs w:val="26"/>
                <w:rtl/>
              </w:rPr>
              <w:t>الميثاق الأفريقي بشأن حقوق ورفاه الطفل</w:t>
            </w:r>
          </w:p>
        </w:tc>
        <w:tc>
          <w:tcPr>
            <w:tcW w:w="786" w:type="pct"/>
            <w:tcBorders>
              <w:bottom w:val="single" w:sz="12" w:space="0" w:color="auto"/>
            </w:tcBorders>
          </w:tcPr>
          <w:p w:rsidR="00207B11" w:rsidRPr="00207B11" w:rsidRDefault="00207B11" w:rsidP="00207B11">
            <w:pPr>
              <w:spacing w:before="40" w:after="40" w:line="280" w:lineRule="exact"/>
              <w:ind w:left="57" w:right="57"/>
              <w:rPr>
                <w:sz w:val="18"/>
                <w:szCs w:val="26"/>
              </w:rPr>
            </w:pPr>
            <w:r w:rsidRPr="00207B11">
              <w:rPr>
                <w:rFonts w:hint="cs"/>
                <w:sz w:val="18"/>
                <w:szCs w:val="26"/>
                <w:rtl/>
              </w:rPr>
              <w:t>26 شباط/فبراير 1992</w:t>
            </w:r>
          </w:p>
        </w:tc>
        <w:tc>
          <w:tcPr>
            <w:tcW w:w="1018" w:type="pct"/>
            <w:tcBorders>
              <w:bottom w:val="single" w:sz="12" w:space="0" w:color="auto"/>
            </w:tcBorders>
          </w:tcPr>
          <w:p w:rsidR="00207B11" w:rsidRPr="00207B11" w:rsidRDefault="00207B11" w:rsidP="00207B11">
            <w:pPr>
              <w:spacing w:before="40" w:after="40" w:line="280" w:lineRule="exact"/>
              <w:ind w:left="57" w:right="57"/>
              <w:rPr>
                <w:sz w:val="18"/>
                <w:szCs w:val="26"/>
              </w:rPr>
            </w:pPr>
            <w:r w:rsidRPr="00207B11">
              <w:rPr>
                <w:rFonts w:hint="cs"/>
                <w:sz w:val="18"/>
                <w:szCs w:val="26"/>
                <w:rtl/>
              </w:rPr>
              <w:t>17 آب/أغسطس 1994</w:t>
            </w:r>
          </w:p>
        </w:tc>
        <w:tc>
          <w:tcPr>
            <w:tcW w:w="846" w:type="pct"/>
            <w:tcBorders>
              <w:bottom w:val="single" w:sz="12" w:space="0" w:color="auto"/>
            </w:tcBorders>
          </w:tcPr>
          <w:p w:rsidR="00207B11" w:rsidRPr="00207B11" w:rsidRDefault="00207B11" w:rsidP="00207B11">
            <w:pPr>
              <w:spacing w:before="40" w:after="40" w:line="280" w:lineRule="exact"/>
              <w:ind w:left="57" w:right="57"/>
              <w:rPr>
                <w:sz w:val="18"/>
                <w:szCs w:val="26"/>
              </w:rPr>
            </w:pPr>
          </w:p>
        </w:tc>
        <w:tc>
          <w:tcPr>
            <w:tcW w:w="532" w:type="pct"/>
            <w:tcBorders>
              <w:bottom w:val="single" w:sz="12" w:space="0" w:color="auto"/>
            </w:tcBorders>
          </w:tcPr>
          <w:p w:rsidR="00207B11" w:rsidRPr="00207B11" w:rsidRDefault="00207B11" w:rsidP="00207B11">
            <w:pPr>
              <w:spacing w:before="40" w:after="40" w:line="280" w:lineRule="exact"/>
              <w:ind w:left="57" w:right="57"/>
              <w:rPr>
                <w:sz w:val="18"/>
                <w:szCs w:val="26"/>
              </w:rPr>
            </w:pPr>
          </w:p>
        </w:tc>
        <w:tc>
          <w:tcPr>
            <w:tcW w:w="486" w:type="pct"/>
            <w:tcBorders>
              <w:bottom w:val="single" w:sz="12" w:space="0" w:color="auto"/>
            </w:tcBorders>
          </w:tcPr>
          <w:p w:rsidR="00207B11" w:rsidRPr="00207B11" w:rsidRDefault="00207B11" w:rsidP="00207B11">
            <w:pPr>
              <w:spacing w:before="40" w:after="40" w:line="280" w:lineRule="exact"/>
              <w:ind w:left="57" w:right="57"/>
              <w:rPr>
                <w:sz w:val="18"/>
                <w:szCs w:val="26"/>
              </w:rPr>
            </w:pPr>
          </w:p>
        </w:tc>
      </w:tr>
    </w:tbl>
    <w:p w:rsidR="00225595" w:rsidRPr="00850A6F" w:rsidRDefault="00225595" w:rsidP="009C7937">
      <w:pPr>
        <w:tabs>
          <w:tab w:val="left" w:pos="1984"/>
          <w:tab w:val="left" w:pos="2551"/>
        </w:tabs>
        <w:spacing w:before="60"/>
        <w:ind w:left="1275"/>
        <w:rPr>
          <w:sz w:val="16"/>
          <w:szCs w:val="26"/>
          <w:rtl/>
          <w:lang w:eastAsia="ar-SA"/>
        </w:rPr>
      </w:pPr>
      <w:r w:rsidRPr="00850A6F">
        <w:rPr>
          <w:rFonts w:hint="cs"/>
          <w:i/>
          <w:iCs/>
          <w:sz w:val="16"/>
          <w:szCs w:val="26"/>
          <w:rtl/>
          <w:lang w:eastAsia="ar-SA"/>
        </w:rPr>
        <w:t>المصدر:</w:t>
      </w:r>
      <w:r w:rsidRPr="00850A6F">
        <w:rPr>
          <w:rFonts w:hint="cs"/>
          <w:sz w:val="16"/>
          <w:szCs w:val="26"/>
          <w:rtl/>
          <w:lang w:eastAsia="ar-SA"/>
        </w:rPr>
        <w:tab/>
        <w:t>مكتبة جامعة مينيسوتا، الولايات المتحدة الأمريكية.</w:t>
      </w:r>
    </w:p>
    <w:p w:rsidR="00B54045" w:rsidRPr="00207B11" w:rsidRDefault="00207B11" w:rsidP="00207B11">
      <w:pPr>
        <w:spacing w:before="120"/>
        <w:jc w:val="center"/>
        <w:rPr>
          <w:u w:val="single"/>
          <w:rtl/>
        </w:rPr>
      </w:pPr>
      <w:r>
        <w:rPr>
          <w:u w:val="single"/>
          <w:rtl/>
        </w:rPr>
        <w:tab/>
      </w:r>
      <w:r>
        <w:rPr>
          <w:u w:val="single"/>
          <w:rtl/>
        </w:rPr>
        <w:tab/>
      </w:r>
      <w:r>
        <w:rPr>
          <w:u w:val="single"/>
          <w:rtl/>
        </w:rPr>
        <w:tab/>
      </w:r>
    </w:p>
    <w:sectPr w:rsidR="00B54045" w:rsidRPr="00207B11" w:rsidSect="00225595">
      <w:headerReference w:type="even" r:id="rId11"/>
      <w:headerReference w:type="default" r:id="rId12"/>
      <w:footerReference w:type="even" r:id="rId13"/>
      <w:footerReference w:type="default" r:id="rId14"/>
      <w:footerReference w:type="first" r:id="rId15"/>
      <w:endnotePr>
        <w:numFmt w:val="decimal"/>
      </w:endnotePr>
      <w:type w:val="continuous"/>
      <w:pgSz w:w="11907" w:h="16840" w:code="9"/>
      <w:pgMar w:top="1701" w:right="1134" w:bottom="2268" w:left="1134" w:header="1134" w:footer="1701" w:gutter="0"/>
      <w:cols w:space="720"/>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53B" w:rsidRPr="002901D9" w:rsidRDefault="0058053B" w:rsidP="002901D9">
      <w:pPr>
        <w:spacing w:after="60" w:line="240" w:lineRule="auto"/>
        <w:rPr>
          <w:i/>
          <w:iCs/>
        </w:rPr>
      </w:pPr>
      <w:r>
        <w:rPr>
          <w:rFonts w:hint="cs"/>
          <w:i/>
          <w:iCs/>
          <w:rtl/>
        </w:rPr>
        <w:t>الحواشي</w:t>
      </w:r>
    </w:p>
  </w:endnote>
  <w:endnote w:type="continuationSeparator" w:id="0">
    <w:p w:rsidR="0058053B" w:rsidRDefault="0058053B" w:rsidP="006563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roman"/>
    <w:pitch w:val="default"/>
    <w:sig w:usb0="00000000" w:usb1="00000000" w:usb2="00000000"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39T30Lfz">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53B" w:rsidRPr="00225595" w:rsidRDefault="0058053B" w:rsidP="00ED405A">
    <w:pPr>
      <w:pStyle w:val="Footer"/>
      <w:tabs>
        <w:tab w:val="right" w:pos="9598"/>
      </w:tabs>
    </w:pPr>
    <w:r>
      <w:t>GE.15-07429</w:t>
    </w:r>
    <w:r>
      <w:tab/>
    </w:r>
    <w:r w:rsidRPr="00225595">
      <w:rPr>
        <w:b/>
        <w:sz w:val="18"/>
      </w:rPr>
      <w:fldChar w:fldCharType="begin"/>
    </w:r>
    <w:r w:rsidRPr="00225595">
      <w:rPr>
        <w:b/>
        <w:sz w:val="18"/>
      </w:rPr>
      <w:instrText xml:space="preserve"> PAGE  \* MERGEFORMAT </w:instrText>
    </w:r>
    <w:r w:rsidRPr="00225595">
      <w:rPr>
        <w:b/>
        <w:sz w:val="18"/>
      </w:rPr>
      <w:fldChar w:fldCharType="separate"/>
    </w:r>
    <w:r w:rsidR="00560E1D">
      <w:rPr>
        <w:b/>
        <w:noProof/>
        <w:sz w:val="18"/>
      </w:rPr>
      <w:t>30</w:t>
    </w:r>
    <w:r w:rsidRPr="00225595">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53B" w:rsidRPr="00225595" w:rsidRDefault="0058053B" w:rsidP="00ED405A">
    <w:pPr>
      <w:pStyle w:val="Footer"/>
      <w:tabs>
        <w:tab w:val="right" w:pos="9599"/>
      </w:tabs>
      <w:jc w:val="left"/>
      <w:rPr>
        <w:b/>
        <w:sz w:val="18"/>
        <w:lang w:val="en-US"/>
      </w:rPr>
    </w:pPr>
    <w:r w:rsidRPr="00225595">
      <w:rPr>
        <w:b/>
        <w:sz w:val="18"/>
        <w:lang w:val="en-US"/>
      </w:rPr>
      <w:fldChar w:fldCharType="begin"/>
    </w:r>
    <w:r w:rsidRPr="00225595">
      <w:rPr>
        <w:b/>
        <w:sz w:val="18"/>
        <w:lang w:val="en-US"/>
      </w:rPr>
      <w:instrText xml:space="preserve"> PAGE  \* MERGEFORMAT </w:instrText>
    </w:r>
    <w:r w:rsidRPr="00225595">
      <w:rPr>
        <w:b/>
        <w:sz w:val="18"/>
        <w:lang w:val="en-US"/>
      </w:rPr>
      <w:fldChar w:fldCharType="separate"/>
    </w:r>
    <w:r w:rsidR="00560E1D">
      <w:rPr>
        <w:b/>
        <w:noProof/>
        <w:sz w:val="18"/>
        <w:lang w:val="en-US"/>
      </w:rPr>
      <w:t>29</w:t>
    </w:r>
    <w:r w:rsidRPr="00225595">
      <w:rPr>
        <w:b/>
        <w:sz w:val="18"/>
        <w:lang w:val="en-US"/>
      </w:rPr>
      <w:fldChar w:fldCharType="end"/>
    </w:r>
    <w:r>
      <w:rPr>
        <w:b/>
        <w:sz w:val="18"/>
        <w:lang w:val="en-US"/>
      </w:rPr>
      <w:tab/>
    </w:r>
    <w:r>
      <w:rPr>
        <w:lang w:val="en-US"/>
      </w:rPr>
      <w:t>GE.15-07429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53B" w:rsidRDefault="0058053B" w:rsidP="00225595">
    <w:pPr>
      <w:pStyle w:val="Footer"/>
      <w:jc w:val="right"/>
    </w:pPr>
    <w:r>
      <w:rPr>
        <w:sz w:val="20"/>
      </w:rPr>
      <w:t>050615    120615    GE.15-0</w:t>
    </w:r>
    <w:r>
      <w:rPr>
        <w:noProof/>
        <w:lang w:val="en-US"/>
      </w:rPr>
      <w:drawing>
        <wp:anchor distT="0" distB="0" distL="114300" distR="114300" simplePos="0" relativeHeight="251658240" behindDoc="1" locked="1" layoutInCell="0" allowOverlap="1" wp14:anchorId="39796933" wp14:editId="01C59D14">
          <wp:simplePos x="0" y="0"/>
          <wp:positionH relativeFrom="margin">
            <wp:posOffset>706755</wp:posOffset>
          </wp:positionH>
          <wp:positionV relativeFrom="margin">
            <wp:posOffset>8202930</wp:posOffset>
          </wp:positionV>
          <wp:extent cx="1162050" cy="323850"/>
          <wp:effectExtent l="0" t="0" r="0" b="0"/>
          <wp:wrapTight wrapText="bothSides">
            <wp:wrapPolygon edited="0">
              <wp:start x="0" y="0"/>
              <wp:lineTo x="0" y="20329"/>
              <wp:lineTo x="21246" y="20329"/>
              <wp:lineTo x="21246" y="0"/>
              <wp:lineTo x="0" y="0"/>
            </wp:wrapPolygon>
          </wp:wrapTight>
          <wp:docPr id="2" name="Picture 2" descr="PleaseRecycle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easeRecycleArabic"/>
                  <pic:cNvPicPr>
                    <a:picLocks noChangeAspect="1" noChangeArrowheads="1"/>
                  </pic:cNvPicPr>
                </pic:nvPicPr>
                <pic:blipFill rotWithShape="1">
                  <a:blip r:embed="rId1">
                    <a:extLst>
                      <a:ext uri="{28A0092B-C50C-407E-A947-70E740481C1C}">
                        <a14:useLocalDpi xmlns:a14="http://schemas.microsoft.com/office/drawing/2010/main" val="0"/>
                      </a:ext>
                    </a:extLst>
                  </a:blip>
                  <a:srcRect t="4566" b="4566"/>
                  <a:stretch/>
                </pic:blipFill>
                <pic:spPr bwMode="auto">
                  <a:xfrm>
                    <a:off x="0" y="0"/>
                    <a:ext cx="11620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7429 (A)</w:t>
    </w:r>
    <w:r w:rsidR="000D7903">
      <w:br/>
    </w:r>
    <w:r w:rsidR="000D7903" w:rsidRPr="000D7903">
      <w:rPr>
        <w:rFonts w:ascii="C39T30Lfz" w:hAnsi="C39T30Lfz"/>
        <w:sz w:val="56"/>
      </w:rPr>
      <w:t></w:t>
    </w:r>
    <w:r w:rsidR="000D7903" w:rsidRPr="000D7903">
      <w:rPr>
        <w:rFonts w:ascii="C39T30Lfz" w:hAnsi="C39T30Lfz"/>
        <w:sz w:val="56"/>
      </w:rPr>
      <w:t></w:t>
    </w:r>
    <w:r w:rsidR="000D7903" w:rsidRPr="000D7903">
      <w:rPr>
        <w:rFonts w:ascii="C39T30Lfz" w:hAnsi="C39T30Lfz"/>
        <w:sz w:val="56"/>
      </w:rPr>
      <w:t></w:t>
    </w:r>
    <w:r w:rsidR="000D7903" w:rsidRPr="000D7903">
      <w:rPr>
        <w:rFonts w:ascii="C39T30Lfz" w:hAnsi="C39T30Lfz"/>
        <w:sz w:val="56"/>
      </w:rPr>
      <w:t></w:t>
    </w:r>
    <w:r w:rsidR="000D7903" w:rsidRPr="000D7903">
      <w:rPr>
        <w:rFonts w:ascii="C39T30Lfz" w:hAnsi="C39T30Lfz"/>
        <w:sz w:val="56"/>
      </w:rPr>
      <w:t></w:t>
    </w:r>
    <w:r w:rsidR="000D7903" w:rsidRPr="000D7903">
      <w:rPr>
        <w:rFonts w:ascii="C39T30Lfz" w:hAnsi="C39T30Lfz"/>
        <w:sz w:val="56"/>
      </w:rPr>
      <w:t></w:t>
    </w:r>
    <w:r w:rsidR="000D7903" w:rsidRPr="000D7903">
      <w:rPr>
        <w:rFonts w:ascii="C39T30Lfz" w:hAnsi="C39T30Lfz"/>
        <w:sz w:val="56"/>
      </w:rPr>
      <w:t></w:t>
    </w:r>
    <w:r w:rsidR="000D7903" w:rsidRPr="000D7903">
      <w:rPr>
        <w:rFonts w:ascii="C39T30Lfz" w:hAnsi="C39T30Lfz"/>
        <w:sz w:val="56"/>
      </w:rPr>
      <w:t></w:t>
    </w:r>
    <w:r w:rsidR="000D7903" w:rsidRPr="000D7903">
      <w:rPr>
        <w:rFonts w:ascii="C39T30Lfz" w:hAnsi="C39T30Lfz"/>
        <w:sz w:val="56"/>
      </w:rPr>
      <w:t></w:t>
    </w:r>
    <w:r w:rsidR="000D7903">
      <w:rPr>
        <w:rFonts w:ascii="C39T30Lfz" w:hAnsi="C39T30Lfz"/>
        <w:sz w:val="56"/>
      </w:rPr>
      <w:tab/>
    </w:r>
    <w:r w:rsidR="000D7903">
      <w:rPr>
        <w:noProof/>
        <w:lang w:val="en-US"/>
      </w:rPr>
      <w:drawing>
        <wp:anchor distT="0" distB="0" distL="114300" distR="114300" simplePos="0" relativeHeight="251659264" behindDoc="0" locked="0" layoutInCell="1" allowOverlap="1">
          <wp:simplePos x="0" y="0"/>
          <wp:positionH relativeFrom="column">
            <wp:posOffset>635</wp:posOffset>
          </wp:positionH>
          <wp:positionV relativeFrom="paragraph">
            <wp:posOffset>0</wp:posOffset>
          </wp:positionV>
          <wp:extent cx="638175" cy="638175"/>
          <wp:effectExtent l="0" t="0" r="9525" b="9525"/>
          <wp:wrapNone/>
          <wp:docPr id="4" name="Picture 1" descr="http://undocs.org/m2/QRCode.ashx?DS=HRI/CORE/UGA/2015&amp;Size=2&amp;La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HRI/CORE/UGA/2015&amp;Size=2&amp;Lang=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53B" w:rsidRDefault="0058053B" w:rsidP="00CB28F9">
      <w:pPr>
        <w:pStyle w:val="Footer"/>
        <w:bidi/>
        <w:spacing w:after="80" w:line="200" w:lineRule="exact"/>
        <w:ind w:left="680"/>
      </w:pPr>
      <w:r>
        <w:rPr>
          <w:rtl/>
        </w:rPr>
        <w:t>__________</w:t>
      </w:r>
    </w:p>
  </w:footnote>
  <w:footnote w:type="continuationSeparator" w:id="0">
    <w:p w:rsidR="0058053B" w:rsidRDefault="0058053B" w:rsidP="00656392">
      <w:pPr>
        <w:spacing w:line="240" w:lineRule="auto"/>
      </w:pPr>
      <w:r>
        <w:continuationSeparator/>
      </w:r>
    </w:p>
  </w:footnote>
  <w:footnote w:id="1">
    <w:p w:rsidR="0058053B" w:rsidRPr="00784311" w:rsidRDefault="0058053B" w:rsidP="000D7903">
      <w:pPr>
        <w:pStyle w:val="FootnoteText1"/>
        <w:spacing w:after="240"/>
        <w:ind w:left="1248" w:hanging="397"/>
      </w:pPr>
      <w:r>
        <w:rPr>
          <w:rtl/>
        </w:rPr>
        <w:t>*</w:t>
      </w:r>
      <w:r>
        <w:rPr>
          <w:rtl/>
        </w:rPr>
        <w:tab/>
      </w:r>
      <w:r>
        <w:rPr>
          <w:rFonts w:hint="cs"/>
          <w:rtl/>
        </w:rPr>
        <w:t>تصدر هذه الوثيقة من دون</w:t>
      </w:r>
      <w:bookmarkStart w:id="0" w:name="_GoBack"/>
      <w:bookmarkEnd w:id="0"/>
      <w:r>
        <w:rPr>
          <w:rFonts w:hint="cs"/>
          <w:rtl/>
        </w:rPr>
        <w:t xml:space="preserve"> تحرير رسمي.</w:t>
      </w:r>
    </w:p>
  </w:footnote>
  <w:footnote w:id="2">
    <w:p w:rsidR="0058053B" w:rsidRPr="007409EC" w:rsidRDefault="0058053B" w:rsidP="000241CD">
      <w:pPr>
        <w:pStyle w:val="FootnoteText1"/>
        <w:ind w:hanging="397"/>
        <w:rPr>
          <w:rtl/>
        </w:rPr>
      </w:pPr>
      <w:r>
        <w:rPr>
          <w:rtl/>
        </w:rPr>
        <w:t>**</w:t>
      </w:r>
      <w:r>
        <w:rPr>
          <w:rtl/>
        </w:rPr>
        <w:tab/>
      </w:r>
      <w:r>
        <w:rPr>
          <w:rFonts w:hint="cs"/>
          <w:rtl/>
        </w:rPr>
        <w:t>أُدرج المرفق كما ورد.</w:t>
      </w:r>
    </w:p>
  </w:footnote>
  <w:footnote w:id="3">
    <w:p w:rsidR="0058053B" w:rsidRPr="00784311" w:rsidRDefault="0058053B" w:rsidP="00225595">
      <w:pPr>
        <w:pStyle w:val="FootnoteText1"/>
      </w:pPr>
      <w:r w:rsidRPr="00784311">
        <w:rPr>
          <w:rtl/>
        </w:rPr>
        <w:t>(</w:t>
      </w:r>
      <w:r w:rsidRPr="00784311">
        <w:rPr>
          <w:rStyle w:val="FootnoteReference"/>
          <w:vertAlign w:val="baseline"/>
        </w:rPr>
        <w:footnoteRef/>
      </w:r>
      <w:r>
        <w:rPr>
          <w:sz w:val="26"/>
          <w:rtl/>
        </w:rPr>
        <w:t>)</w:t>
      </w:r>
      <w:r>
        <w:rPr>
          <w:sz w:val="26"/>
          <w:rtl/>
        </w:rPr>
        <w:tab/>
      </w:r>
      <w:r>
        <w:rPr>
          <w:rFonts w:hint="cs"/>
          <w:rtl/>
        </w:rPr>
        <w:t xml:space="preserve">مكتب الإحصاءات الأوغندي، </w:t>
      </w:r>
      <w:r w:rsidRPr="005023C9">
        <w:rPr>
          <w:rFonts w:hint="cs"/>
          <w:i/>
          <w:iCs/>
          <w:rtl/>
        </w:rPr>
        <w:t>النتائج الأولية للتعداد الوطني للسكان والمساكن لعام 2014</w:t>
      </w:r>
      <w:r>
        <w:rPr>
          <w:rFonts w:hint="cs"/>
          <w:rtl/>
        </w:rPr>
        <w:t>، ‘1‘.</w:t>
      </w:r>
    </w:p>
  </w:footnote>
  <w:footnote w:id="4">
    <w:p w:rsidR="0058053B" w:rsidRPr="00784311" w:rsidRDefault="0058053B" w:rsidP="00225595">
      <w:pPr>
        <w:pStyle w:val="FootnoteText1"/>
      </w:pPr>
      <w:r w:rsidRPr="00784311">
        <w:rPr>
          <w:rtl/>
        </w:rPr>
        <w:t>(</w:t>
      </w:r>
      <w:r w:rsidRPr="00784311">
        <w:rPr>
          <w:rStyle w:val="FootnoteReference"/>
          <w:vertAlign w:val="baseline"/>
        </w:rPr>
        <w:footnoteRef/>
      </w:r>
      <w:r>
        <w:rPr>
          <w:sz w:val="26"/>
          <w:rtl/>
        </w:rPr>
        <w:t>)</w:t>
      </w:r>
      <w:r>
        <w:rPr>
          <w:sz w:val="26"/>
          <w:rtl/>
        </w:rPr>
        <w:tab/>
      </w:r>
      <w:r>
        <w:rPr>
          <w:rFonts w:hint="cs"/>
          <w:rtl/>
        </w:rPr>
        <w:t>المرجع نفسه، 16.</w:t>
      </w:r>
    </w:p>
  </w:footnote>
  <w:footnote w:id="5">
    <w:p w:rsidR="0058053B" w:rsidRPr="00784311" w:rsidRDefault="0058053B" w:rsidP="00225595">
      <w:pPr>
        <w:pStyle w:val="FootnoteText1"/>
      </w:pPr>
      <w:r w:rsidRPr="00784311">
        <w:rPr>
          <w:rtl/>
        </w:rPr>
        <w:t>(</w:t>
      </w:r>
      <w:r w:rsidRPr="00784311">
        <w:rPr>
          <w:rStyle w:val="FootnoteReference"/>
          <w:vertAlign w:val="baseline"/>
        </w:rPr>
        <w:footnoteRef/>
      </w:r>
      <w:r>
        <w:rPr>
          <w:sz w:val="26"/>
          <w:rtl/>
        </w:rPr>
        <w:t>)</w:t>
      </w:r>
      <w:r>
        <w:rPr>
          <w:sz w:val="26"/>
          <w:rtl/>
        </w:rPr>
        <w:tab/>
      </w:r>
      <w:r>
        <w:rPr>
          <w:rFonts w:hint="cs"/>
          <w:rtl/>
        </w:rPr>
        <w:t>المرجع نفسه.</w:t>
      </w:r>
    </w:p>
  </w:footnote>
  <w:footnote w:id="6">
    <w:p w:rsidR="0058053B" w:rsidRPr="00784311" w:rsidRDefault="0058053B" w:rsidP="00225595">
      <w:pPr>
        <w:pStyle w:val="FootnoteText1"/>
      </w:pPr>
      <w:r w:rsidRPr="00784311">
        <w:rPr>
          <w:rtl/>
        </w:rPr>
        <w:t>(</w:t>
      </w:r>
      <w:r w:rsidRPr="00784311">
        <w:rPr>
          <w:rStyle w:val="FootnoteReference"/>
          <w:vertAlign w:val="baseline"/>
        </w:rPr>
        <w:footnoteRef/>
      </w:r>
      <w:r>
        <w:rPr>
          <w:sz w:val="26"/>
          <w:rtl/>
        </w:rPr>
        <w:t>)</w:t>
      </w:r>
      <w:r>
        <w:rPr>
          <w:sz w:val="26"/>
          <w:rtl/>
        </w:rPr>
        <w:tab/>
      </w:r>
      <w:r>
        <w:rPr>
          <w:rFonts w:hint="cs"/>
          <w:rtl/>
        </w:rPr>
        <w:t>المرجع نفسه.</w:t>
      </w:r>
    </w:p>
  </w:footnote>
  <w:footnote w:id="7">
    <w:p w:rsidR="0058053B" w:rsidRPr="00784311" w:rsidRDefault="0058053B" w:rsidP="00225595">
      <w:pPr>
        <w:pStyle w:val="FootnoteText1"/>
      </w:pPr>
      <w:r w:rsidRPr="00784311">
        <w:rPr>
          <w:rtl/>
        </w:rPr>
        <w:t>(</w:t>
      </w:r>
      <w:r w:rsidRPr="00784311">
        <w:rPr>
          <w:rStyle w:val="FootnoteReference"/>
          <w:vertAlign w:val="baseline"/>
        </w:rPr>
        <w:footnoteRef/>
      </w:r>
      <w:r>
        <w:rPr>
          <w:sz w:val="26"/>
          <w:rtl/>
        </w:rPr>
        <w:t>)</w:t>
      </w:r>
      <w:r>
        <w:rPr>
          <w:sz w:val="26"/>
          <w:rtl/>
        </w:rPr>
        <w:tab/>
      </w:r>
      <w:r>
        <w:rPr>
          <w:rFonts w:hint="cs"/>
          <w:rtl/>
        </w:rPr>
        <w:t>المرجع نفسه.</w:t>
      </w:r>
    </w:p>
  </w:footnote>
  <w:footnote w:id="8">
    <w:p w:rsidR="0058053B" w:rsidRPr="00784311" w:rsidRDefault="0058053B" w:rsidP="00225595">
      <w:pPr>
        <w:pStyle w:val="FootnoteText1"/>
      </w:pPr>
      <w:r w:rsidRPr="00784311">
        <w:rPr>
          <w:rtl/>
        </w:rPr>
        <w:t>(</w:t>
      </w:r>
      <w:r w:rsidRPr="00784311">
        <w:rPr>
          <w:rStyle w:val="FootnoteReference"/>
          <w:vertAlign w:val="baseline"/>
        </w:rPr>
        <w:footnoteRef/>
      </w:r>
      <w:r>
        <w:rPr>
          <w:sz w:val="26"/>
          <w:rtl/>
        </w:rPr>
        <w:t>)</w:t>
      </w:r>
      <w:r>
        <w:rPr>
          <w:sz w:val="26"/>
          <w:rtl/>
        </w:rPr>
        <w:tab/>
      </w:r>
      <w:r>
        <w:rPr>
          <w:rFonts w:hint="cs"/>
          <w:rtl/>
        </w:rPr>
        <w:t>المرجع نفسه.</w:t>
      </w:r>
    </w:p>
  </w:footnote>
  <w:footnote w:id="9">
    <w:p w:rsidR="0058053B" w:rsidRPr="00784311" w:rsidRDefault="0058053B" w:rsidP="00225595">
      <w:pPr>
        <w:pStyle w:val="FootnoteText1"/>
        <w:rPr>
          <w:rtl/>
        </w:rPr>
      </w:pPr>
      <w:r w:rsidRPr="00784311">
        <w:rPr>
          <w:rtl/>
        </w:rPr>
        <w:t>(</w:t>
      </w:r>
      <w:r w:rsidRPr="00784311">
        <w:rPr>
          <w:rStyle w:val="FootnoteReference"/>
          <w:vertAlign w:val="baseline"/>
        </w:rPr>
        <w:footnoteRef/>
      </w:r>
      <w:r>
        <w:rPr>
          <w:sz w:val="26"/>
          <w:rtl/>
        </w:rPr>
        <w:t>)</w:t>
      </w:r>
      <w:r>
        <w:rPr>
          <w:sz w:val="26"/>
          <w:rtl/>
        </w:rPr>
        <w:tab/>
      </w:r>
      <w:r>
        <w:rPr>
          <w:rFonts w:hint="cs"/>
          <w:rtl/>
        </w:rPr>
        <w:t>المرجع نفسه، 17.</w:t>
      </w:r>
    </w:p>
  </w:footnote>
  <w:footnote w:id="10">
    <w:p w:rsidR="0058053B" w:rsidRPr="00784311" w:rsidRDefault="0058053B" w:rsidP="00225595">
      <w:pPr>
        <w:pStyle w:val="FootnoteText1"/>
      </w:pPr>
      <w:r w:rsidRPr="00784311">
        <w:rPr>
          <w:rtl/>
        </w:rPr>
        <w:t>(</w:t>
      </w:r>
      <w:r w:rsidRPr="00784311">
        <w:rPr>
          <w:rStyle w:val="FootnoteReference"/>
          <w:vertAlign w:val="baseline"/>
        </w:rPr>
        <w:footnoteRef/>
      </w:r>
      <w:r>
        <w:rPr>
          <w:sz w:val="26"/>
          <w:rtl/>
        </w:rPr>
        <w:t>)</w:t>
      </w:r>
      <w:r>
        <w:rPr>
          <w:sz w:val="26"/>
          <w:rtl/>
        </w:rPr>
        <w:tab/>
      </w:r>
      <w:r>
        <w:rPr>
          <w:rFonts w:hint="cs"/>
          <w:rtl/>
        </w:rPr>
        <w:t>المرجع نفسه.</w:t>
      </w:r>
    </w:p>
  </w:footnote>
  <w:footnote w:id="11">
    <w:p w:rsidR="0058053B" w:rsidRPr="00784311" w:rsidRDefault="0058053B" w:rsidP="00C43876">
      <w:pPr>
        <w:pStyle w:val="FootnoteText1"/>
        <w:rPr>
          <w:rtl/>
        </w:rPr>
      </w:pPr>
      <w:r w:rsidRPr="00784311">
        <w:rPr>
          <w:rtl/>
        </w:rPr>
        <w:t>(</w:t>
      </w:r>
      <w:r w:rsidRPr="00784311">
        <w:rPr>
          <w:rStyle w:val="FootnoteReference"/>
          <w:vertAlign w:val="baseline"/>
        </w:rPr>
        <w:footnoteRef/>
      </w:r>
      <w:r>
        <w:rPr>
          <w:sz w:val="26"/>
          <w:rtl/>
        </w:rPr>
        <w:t>)</w:t>
      </w:r>
      <w:r>
        <w:rPr>
          <w:sz w:val="26"/>
          <w:rtl/>
        </w:rPr>
        <w:tab/>
      </w:r>
      <w:r>
        <w:rPr>
          <w:rFonts w:hint="cs"/>
          <w:rtl/>
        </w:rPr>
        <w:t>المرجع نفسه، ‘1‘.</w:t>
      </w:r>
    </w:p>
  </w:footnote>
  <w:footnote w:id="12">
    <w:p w:rsidR="0058053B" w:rsidRPr="00784311" w:rsidRDefault="0058053B" w:rsidP="00225595">
      <w:pPr>
        <w:pStyle w:val="FootnoteText1"/>
      </w:pPr>
      <w:r w:rsidRPr="00784311">
        <w:rPr>
          <w:rtl/>
        </w:rPr>
        <w:t>(</w:t>
      </w:r>
      <w:r w:rsidRPr="00784311">
        <w:rPr>
          <w:rStyle w:val="FootnoteReference"/>
          <w:vertAlign w:val="baseline"/>
        </w:rPr>
        <w:footnoteRef/>
      </w:r>
      <w:r>
        <w:rPr>
          <w:sz w:val="26"/>
          <w:rtl/>
        </w:rPr>
        <w:t>)</w:t>
      </w:r>
      <w:r>
        <w:rPr>
          <w:sz w:val="26"/>
          <w:rtl/>
        </w:rPr>
        <w:tab/>
      </w:r>
      <w:r>
        <w:rPr>
          <w:rFonts w:hint="cs"/>
          <w:rtl/>
        </w:rPr>
        <w:t>المرجع نفسه.</w:t>
      </w:r>
    </w:p>
  </w:footnote>
  <w:footnote w:id="13">
    <w:p w:rsidR="0058053B" w:rsidRPr="00784311" w:rsidRDefault="0058053B" w:rsidP="00225595">
      <w:pPr>
        <w:pStyle w:val="FootnoteText1"/>
      </w:pPr>
      <w:r w:rsidRPr="00784311">
        <w:rPr>
          <w:rtl/>
        </w:rPr>
        <w:t>(</w:t>
      </w:r>
      <w:r w:rsidRPr="00784311">
        <w:rPr>
          <w:rStyle w:val="FootnoteReference"/>
          <w:vertAlign w:val="baseline"/>
        </w:rPr>
        <w:footnoteRef/>
      </w:r>
      <w:r>
        <w:rPr>
          <w:sz w:val="26"/>
          <w:rtl/>
        </w:rPr>
        <w:t>)</w:t>
      </w:r>
      <w:r>
        <w:rPr>
          <w:sz w:val="26"/>
          <w:rtl/>
        </w:rPr>
        <w:tab/>
      </w:r>
      <w:r>
        <w:rPr>
          <w:rFonts w:hint="cs"/>
          <w:rtl/>
        </w:rPr>
        <w:t xml:space="preserve">مكتب الإحصاءات الأوغندي، </w:t>
      </w:r>
      <w:r w:rsidRPr="0070258A">
        <w:rPr>
          <w:rFonts w:hint="cs"/>
          <w:i/>
          <w:iCs/>
          <w:rtl/>
        </w:rPr>
        <w:t>الدراسة الاستقصائية الصحية والديمغرافية في أوغندا لعام 2011</w:t>
      </w:r>
      <w:r>
        <w:rPr>
          <w:rFonts w:hint="cs"/>
          <w:rtl/>
        </w:rPr>
        <w:t>، ص 11.</w:t>
      </w:r>
    </w:p>
  </w:footnote>
  <w:footnote w:id="14">
    <w:p w:rsidR="0058053B" w:rsidRPr="0065453D" w:rsidRDefault="0058053B" w:rsidP="00225595">
      <w:pPr>
        <w:pStyle w:val="FootnoteText1"/>
      </w:pPr>
      <w:r w:rsidRPr="0065453D">
        <w:rPr>
          <w:rtl/>
        </w:rPr>
        <w:t>(</w:t>
      </w:r>
      <w:r w:rsidRPr="0065453D">
        <w:rPr>
          <w:rStyle w:val="FootnoteReference"/>
          <w:vertAlign w:val="baseline"/>
        </w:rPr>
        <w:footnoteRef/>
      </w:r>
      <w:r>
        <w:rPr>
          <w:sz w:val="26"/>
          <w:rtl/>
        </w:rPr>
        <w:t>)</w:t>
      </w:r>
      <w:r>
        <w:rPr>
          <w:sz w:val="26"/>
          <w:rtl/>
        </w:rPr>
        <w:tab/>
      </w:r>
      <w:r>
        <w:rPr>
          <w:rFonts w:hint="cs"/>
          <w:sz w:val="26"/>
          <w:rtl/>
        </w:rPr>
        <w:t>راجع في الصفحة 3 خريطة أوغندا وتفاصيل موقعها في الفقرة 1 من هذا التقرير.</w:t>
      </w:r>
    </w:p>
  </w:footnote>
  <w:footnote w:id="15">
    <w:p w:rsidR="0058053B" w:rsidRPr="0065453D" w:rsidRDefault="0058053B" w:rsidP="00225595">
      <w:pPr>
        <w:pStyle w:val="FootnoteText1"/>
      </w:pPr>
      <w:r w:rsidRPr="0065453D">
        <w:rPr>
          <w:rtl/>
        </w:rPr>
        <w:t>(</w:t>
      </w:r>
      <w:r w:rsidRPr="0065453D">
        <w:rPr>
          <w:rStyle w:val="FootnoteReference"/>
          <w:vertAlign w:val="baseline"/>
        </w:rPr>
        <w:footnoteRef/>
      </w:r>
      <w:r>
        <w:rPr>
          <w:sz w:val="26"/>
          <w:rtl/>
        </w:rPr>
        <w:t>)</w:t>
      </w:r>
      <w:r>
        <w:rPr>
          <w:sz w:val="26"/>
          <w:rtl/>
        </w:rPr>
        <w:tab/>
      </w:r>
      <w:r>
        <w:rPr>
          <w:rFonts w:hint="cs"/>
          <w:sz w:val="26"/>
          <w:rtl/>
        </w:rPr>
        <w:t>سياسة الهجرة الأوغندية، 2013.</w:t>
      </w:r>
    </w:p>
  </w:footnote>
  <w:footnote w:id="16">
    <w:p w:rsidR="0058053B" w:rsidRPr="0065453D" w:rsidRDefault="0058053B" w:rsidP="00225595">
      <w:pPr>
        <w:pStyle w:val="FootnoteText1"/>
      </w:pPr>
      <w:r w:rsidRPr="0065453D">
        <w:rPr>
          <w:rtl/>
        </w:rPr>
        <w:t>(</w:t>
      </w:r>
      <w:r w:rsidRPr="0065453D">
        <w:rPr>
          <w:rStyle w:val="FootnoteReference"/>
          <w:vertAlign w:val="baseline"/>
        </w:rPr>
        <w:footnoteRef/>
      </w:r>
      <w:r>
        <w:rPr>
          <w:sz w:val="26"/>
          <w:rtl/>
        </w:rPr>
        <w:t>)</w:t>
      </w:r>
      <w:r>
        <w:rPr>
          <w:sz w:val="26"/>
          <w:rtl/>
        </w:rPr>
        <w:tab/>
      </w:r>
      <w:r>
        <w:rPr>
          <w:rFonts w:hint="cs"/>
          <w:sz w:val="26"/>
          <w:rtl/>
        </w:rPr>
        <w:t>يُعزى انعدام الأمن أساساً إلى الحرب الأهلية التي استمرت 20 عاماً (1986-2006) ضد قائد المتمردين جوزيف كوني، قائد جيش الرب للمقاومة، وهي حرب أدت إلى فرار حكومة أوغندا إلى جمهورية الكونغو الديمقراطية بعد الفشل في توقيع اتفاق سلام.</w:t>
      </w:r>
    </w:p>
  </w:footnote>
  <w:footnote w:id="17">
    <w:p w:rsidR="0058053B" w:rsidRPr="0065453D" w:rsidRDefault="0058053B" w:rsidP="00C43876">
      <w:pPr>
        <w:pStyle w:val="FootnoteText1"/>
        <w:rPr>
          <w:rtl/>
        </w:rPr>
      </w:pPr>
      <w:r w:rsidRPr="0065453D">
        <w:rPr>
          <w:rtl/>
        </w:rPr>
        <w:t>(</w:t>
      </w:r>
      <w:r w:rsidRPr="0065453D">
        <w:rPr>
          <w:rStyle w:val="FootnoteReference"/>
          <w:vertAlign w:val="baseline"/>
        </w:rPr>
        <w:footnoteRef/>
      </w:r>
      <w:r>
        <w:rPr>
          <w:sz w:val="26"/>
          <w:rtl/>
        </w:rPr>
        <w:t>)</w:t>
      </w:r>
      <w:r>
        <w:rPr>
          <w:sz w:val="26"/>
          <w:rtl/>
        </w:rPr>
        <w:tab/>
      </w:r>
      <w:r>
        <w:rPr>
          <w:rFonts w:hint="cs"/>
          <w:rtl/>
        </w:rPr>
        <w:t>يرجع السبب الرئيسي لانعدام الأمن إلى عمليات سرقة رؤوس الماشية والفوضى اللتين سادتا في هذا الجزء من البلد إلى حين النجاح في تنفيذ برنامج نزع السلاح الذي نفذه الجيش (نزع البنادق وغيرها من الأسلحة الصغيرة من أمراء الحرب).</w:t>
      </w:r>
    </w:p>
  </w:footnote>
  <w:footnote w:id="18">
    <w:p w:rsidR="0058053B" w:rsidRPr="0065453D" w:rsidRDefault="0058053B" w:rsidP="00225595">
      <w:pPr>
        <w:pStyle w:val="FootnoteText1"/>
      </w:pPr>
      <w:r w:rsidRPr="0065453D">
        <w:rPr>
          <w:rtl/>
        </w:rPr>
        <w:t>(</w:t>
      </w:r>
      <w:r w:rsidRPr="0065453D">
        <w:rPr>
          <w:rStyle w:val="FootnoteReference"/>
          <w:vertAlign w:val="baseline"/>
        </w:rPr>
        <w:footnoteRef/>
      </w:r>
      <w:r>
        <w:rPr>
          <w:sz w:val="26"/>
          <w:rtl/>
        </w:rPr>
        <w:t>)</w:t>
      </w:r>
      <w:r>
        <w:rPr>
          <w:sz w:val="26"/>
          <w:rtl/>
        </w:rPr>
        <w:tab/>
      </w:r>
      <w:r>
        <w:rPr>
          <w:rFonts w:hint="cs"/>
          <w:sz w:val="26"/>
          <w:rtl/>
        </w:rPr>
        <w:t>سياسة الهجرة الأوغندية، 2013.</w:t>
      </w:r>
      <w:r w:rsidRPr="0065453D">
        <w:rPr>
          <w:rtl/>
        </w:rPr>
        <w:t xml:space="preserve"> </w:t>
      </w:r>
    </w:p>
  </w:footnote>
  <w:footnote w:id="19">
    <w:p w:rsidR="0058053B" w:rsidRPr="0065453D" w:rsidRDefault="0058053B" w:rsidP="00225595">
      <w:pPr>
        <w:pStyle w:val="FootnoteText1"/>
      </w:pPr>
      <w:r w:rsidRPr="0065453D">
        <w:rPr>
          <w:rtl/>
        </w:rPr>
        <w:t>(</w:t>
      </w:r>
      <w:r w:rsidRPr="0065453D">
        <w:rPr>
          <w:rStyle w:val="FootnoteReference"/>
          <w:vertAlign w:val="baseline"/>
        </w:rPr>
        <w:footnoteRef/>
      </w:r>
      <w:r>
        <w:rPr>
          <w:sz w:val="26"/>
          <w:rtl/>
        </w:rPr>
        <w:t>)</w:t>
      </w:r>
      <w:r>
        <w:rPr>
          <w:sz w:val="26"/>
          <w:rtl/>
        </w:rPr>
        <w:tab/>
      </w:r>
      <w:r>
        <w:rPr>
          <w:rFonts w:hint="cs"/>
          <w:sz w:val="26"/>
          <w:rtl/>
        </w:rPr>
        <w:t>أُعيد تأسيس جماعة شرق أفريقيا عام 1999 من جانب كينيا وأوغندا وجمهورية تنزانيا المتحدة ثم انضم إليها لاحقاً كل من رواندا وبوروندي. ووقعت الجماعة مذكرة تعاون مع حكومة جنوب السودان الذي أصبح بلداً مستقلاً عام 2011.</w:t>
      </w:r>
    </w:p>
  </w:footnote>
  <w:footnote w:id="20">
    <w:p w:rsidR="0058053B" w:rsidRPr="00ED61E8" w:rsidRDefault="0058053B" w:rsidP="004937A6">
      <w:pPr>
        <w:pStyle w:val="FootnoteText1"/>
      </w:pPr>
      <w:r w:rsidRPr="00ED61E8">
        <w:rPr>
          <w:rtl/>
        </w:rPr>
        <w:t>(</w:t>
      </w:r>
      <w:r w:rsidRPr="00ED61E8">
        <w:rPr>
          <w:rStyle w:val="FootnoteReference"/>
          <w:szCs w:val="26"/>
          <w:vertAlign w:val="baseline"/>
        </w:rPr>
        <w:footnoteRef/>
      </w:r>
      <w:r w:rsidRPr="00ED61E8">
        <w:rPr>
          <w:rtl/>
        </w:rPr>
        <w:t>)</w:t>
      </w:r>
      <w:r w:rsidRPr="00ED61E8">
        <w:rPr>
          <w:rtl/>
        </w:rPr>
        <w:tab/>
      </w:r>
      <w:r>
        <w:rPr>
          <w:rFonts w:hint="cs"/>
          <w:rtl/>
        </w:rPr>
        <w:t xml:space="preserve">برنامج الأمم المتحدة الإنمائي، أوغندا (2013)، </w:t>
      </w:r>
      <w:r w:rsidRPr="0070258A">
        <w:rPr>
          <w:rFonts w:hint="cs"/>
          <w:i/>
          <w:iCs/>
          <w:rtl/>
        </w:rPr>
        <w:t>تقرير مرحلي عن الأهداف الإنمائية للألفية</w:t>
      </w:r>
      <w:r>
        <w:rPr>
          <w:rFonts w:hint="cs"/>
          <w:rtl/>
        </w:rPr>
        <w:t>.</w:t>
      </w:r>
    </w:p>
  </w:footnote>
  <w:footnote w:id="21">
    <w:p w:rsidR="0058053B" w:rsidRPr="00342099" w:rsidRDefault="0058053B" w:rsidP="005023C9">
      <w:pPr>
        <w:pStyle w:val="FootnoteText1"/>
        <w:spacing w:line="240" w:lineRule="exact"/>
      </w:pPr>
      <w:r w:rsidRPr="00342099">
        <w:rPr>
          <w:rtl/>
        </w:rPr>
        <w:t>(</w:t>
      </w:r>
      <w:r w:rsidRPr="00342099">
        <w:rPr>
          <w:rStyle w:val="FootnoteReference"/>
          <w:szCs w:val="26"/>
          <w:vertAlign w:val="baseline"/>
        </w:rPr>
        <w:footnoteRef/>
      </w:r>
      <w:r w:rsidRPr="00342099">
        <w:rPr>
          <w:rtl/>
        </w:rPr>
        <w:t>)</w:t>
      </w:r>
      <w:r w:rsidRPr="00342099">
        <w:rPr>
          <w:rtl/>
        </w:rPr>
        <w:tab/>
      </w:r>
      <w:r w:rsidRPr="00BE5935">
        <w:rPr>
          <w:rFonts w:eastAsia="Arial Unicode MS"/>
          <w:lang w:val="en-GB"/>
        </w:rPr>
        <w:t xml:space="preserve">Uganda Bureau of Statistics (n 21) </w:t>
      </w:r>
      <w:r w:rsidRPr="00E53045">
        <w:rPr>
          <w:rFonts w:eastAsia="Arial Unicode MS" w:hAnsi="Arial Unicode MS" w:cs="Arial Unicode MS"/>
          <w:lang w:val="en-GB"/>
        </w:rPr>
        <w:t>ix</w:t>
      </w:r>
      <w:r w:rsidRPr="00342099">
        <w:rPr>
          <w:rFonts w:hint="cs"/>
          <w:rtl/>
        </w:rPr>
        <w:t>.</w:t>
      </w:r>
    </w:p>
  </w:footnote>
  <w:footnote w:id="22">
    <w:p w:rsidR="0058053B" w:rsidRPr="00ED61E8" w:rsidRDefault="0058053B" w:rsidP="00225595">
      <w:pPr>
        <w:pStyle w:val="FootnoteText1"/>
        <w:rPr>
          <w:rtl/>
        </w:rPr>
      </w:pPr>
      <w:r w:rsidRPr="00ED61E8">
        <w:rPr>
          <w:rtl/>
        </w:rPr>
        <w:t>(</w:t>
      </w:r>
      <w:r w:rsidRPr="00ED61E8">
        <w:rPr>
          <w:rStyle w:val="FootnoteReference"/>
          <w:szCs w:val="26"/>
          <w:vertAlign w:val="baseline"/>
        </w:rPr>
        <w:footnoteRef/>
      </w:r>
      <w:r w:rsidRPr="00ED61E8">
        <w:rPr>
          <w:rtl/>
        </w:rPr>
        <w:t>)</w:t>
      </w:r>
      <w:r w:rsidRPr="00ED61E8">
        <w:rPr>
          <w:rtl/>
        </w:rPr>
        <w:tab/>
      </w:r>
      <w:r>
        <w:rPr>
          <w:rFonts w:hint="cs"/>
          <w:rtl/>
        </w:rPr>
        <w:t>المرجع نفسه.</w:t>
      </w:r>
    </w:p>
  </w:footnote>
  <w:footnote w:id="23">
    <w:p w:rsidR="0058053B" w:rsidRPr="00ED61E8" w:rsidRDefault="0058053B" w:rsidP="00225595">
      <w:pPr>
        <w:pStyle w:val="FootnoteText1"/>
      </w:pPr>
      <w:r w:rsidRPr="00ED61E8">
        <w:rPr>
          <w:rtl/>
        </w:rPr>
        <w:t>(</w:t>
      </w:r>
      <w:r w:rsidRPr="00ED61E8">
        <w:rPr>
          <w:rStyle w:val="FootnoteReference"/>
          <w:szCs w:val="26"/>
          <w:vertAlign w:val="baseline"/>
        </w:rPr>
        <w:footnoteRef/>
      </w:r>
      <w:r w:rsidRPr="00ED61E8">
        <w:rPr>
          <w:rtl/>
        </w:rPr>
        <w:t>)</w:t>
      </w:r>
      <w:r w:rsidRPr="00ED61E8">
        <w:rPr>
          <w:rtl/>
        </w:rPr>
        <w:tab/>
      </w:r>
      <w:r>
        <w:rPr>
          <w:rFonts w:hint="cs"/>
          <w:rtl/>
        </w:rPr>
        <w:t>المرجع نفسه.</w:t>
      </w:r>
    </w:p>
  </w:footnote>
  <w:footnote w:id="24">
    <w:p w:rsidR="0058053B" w:rsidRPr="00ED61E8" w:rsidRDefault="0058053B" w:rsidP="00225595">
      <w:pPr>
        <w:pStyle w:val="FootnoteText1"/>
      </w:pPr>
      <w:r w:rsidRPr="00ED61E8">
        <w:rPr>
          <w:rtl/>
        </w:rPr>
        <w:t>(</w:t>
      </w:r>
      <w:r w:rsidRPr="00ED61E8">
        <w:rPr>
          <w:rStyle w:val="FootnoteReference"/>
          <w:szCs w:val="26"/>
          <w:vertAlign w:val="baseline"/>
        </w:rPr>
        <w:footnoteRef/>
      </w:r>
      <w:r w:rsidRPr="00ED61E8">
        <w:rPr>
          <w:rtl/>
        </w:rPr>
        <w:t>)</w:t>
      </w:r>
      <w:r w:rsidRPr="00ED61E8">
        <w:rPr>
          <w:rtl/>
        </w:rPr>
        <w:tab/>
      </w:r>
      <w:r>
        <w:rPr>
          <w:rFonts w:hint="cs"/>
          <w:rtl/>
        </w:rPr>
        <w:t>المرجع نفسه.</w:t>
      </w:r>
    </w:p>
  </w:footnote>
  <w:footnote w:id="25">
    <w:p w:rsidR="0058053B" w:rsidRPr="0016009B" w:rsidRDefault="0058053B" w:rsidP="005023C9">
      <w:pPr>
        <w:pStyle w:val="FootnoteText1"/>
        <w:spacing w:line="240" w:lineRule="exact"/>
        <w:rPr>
          <w:rtl/>
          <w:lang w:val="en-GB"/>
        </w:rPr>
      </w:pPr>
      <w:r w:rsidRPr="00ED61E8">
        <w:rPr>
          <w:rtl/>
        </w:rPr>
        <w:t>(</w:t>
      </w:r>
      <w:r w:rsidRPr="00ED61E8">
        <w:rPr>
          <w:rStyle w:val="FootnoteReference"/>
          <w:szCs w:val="26"/>
          <w:vertAlign w:val="baseline"/>
        </w:rPr>
        <w:footnoteRef/>
      </w:r>
      <w:r w:rsidRPr="00ED61E8">
        <w:rPr>
          <w:rtl/>
        </w:rPr>
        <w:t>)</w:t>
      </w:r>
      <w:r w:rsidRPr="00ED61E8">
        <w:rPr>
          <w:rtl/>
        </w:rPr>
        <w:tab/>
      </w:r>
      <w:r w:rsidRPr="00BE5935">
        <w:rPr>
          <w:bCs/>
          <w:lang w:val="en-GB" w:eastAsia="en-GB"/>
        </w:rPr>
        <w:t xml:space="preserve">Fox and </w:t>
      </w:r>
      <w:proofErr w:type="spellStart"/>
      <w:r w:rsidRPr="00BE5935">
        <w:rPr>
          <w:bCs/>
          <w:lang w:val="en-GB" w:eastAsia="en-GB"/>
        </w:rPr>
        <w:t>Pimhidzai</w:t>
      </w:r>
      <w:proofErr w:type="spellEnd"/>
      <w:r w:rsidRPr="00C40E63">
        <w:rPr>
          <w:lang w:val="en-GB" w:eastAsia="en-GB"/>
        </w:rPr>
        <w:t xml:space="preserve"> (2011), “Is Informality Welfare-Enhancing Structural Transformation? Evidence from Uganda”, World Bank Policy Research Working Paper No. 5866</w:t>
      </w:r>
      <w:r>
        <w:rPr>
          <w:rFonts w:hint="cs"/>
          <w:rtl/>
          <w:lang w:val="en-GB"/>
        </w:rPr>
        <w:t>.</w:t>
      </w:r>
    </w:p>
  </w:footnote>
  <w:footnote w:id="26">
    <w:p w:rsidR="0058053B" w:rsidRPr="0016009B" w:rsidRDefault="0058053B" w:rsidP="005023C9">
      <w:pPr>
        <w:pStyle w:val="FootnoteText1"/>
        <w:spacing w:line="240" w:lineRule="exact"/>
        <w:rPr>
          <w:rtl/>
          <w:lang w:val="en-GB"/>
        </w:rPr>
      </w:pPr>
      <w:r w:rsidRPr="00ED61E8">
        <w:rPr>
          <w:rtl/>
        </w:rPr>
        <w:t>(</w:t>
      </w:r>
      <w:r w:rsidRPr="00ED61E8">
        <w:rPr>
          <w:rStyle w:val="FootnoteReference"/>
          <w:szCs w:val="26"/>
          <w:vertAlign w:val="baseline"/>
        </w:rPr>
        <w:footnoteRef/>
      </w:r>
      <w:r w:rsidRPr="00ED61E8">
        <w:rPr>
          <w:rtl/>
        </w:rPr>
        <w:t>)</w:t>
      </w:r>
      <w:r w:rsidRPr="00ED61E8">
        <w:rPr>
          <w:rtl/>
        </w:rPr>
        <w:tab/>
      </w:r>
      <w:r w:rsidRPr="00BE5935">
        <w:rPr>
          <w:rFonts w:eastAsia="Arial Unicode MS"/>
          <w:lang w:val="en-GB"/>
        </w:rPr>
        <w:t>Uganda Bureau of Statistics (n 1)</w:t>
      </w:r>
      <w:r>
        <w:rPr>
          <w:rFonts w:eastAsia="Arial Unicode MS"/>
          <w:lang w:val="en-GB"/>
        </w:rPr>
        <w:t>,</w:t>
      </w:r>
      <w:r w:rsidRPr="00BE5935">
        <w:rPr>
          <w:rFonts w:eastAsia="Arial Unicode MS"/>
          <w:lang w:val="en-GB"/>
        </w:rPr>
        <w:t> </w:t>
      </w:r>
      <w:proofErr w:type="spellStart"/>
      <w:r w:rsidRPr="00E53045">
        <w:rPr>
          <w:rFonts w:eastAsia="Arial Unicode MS" w:hAnsi="Arial Unicode MS" w:cs="Arial Unicode MS"/>
          <w:lang w:val="en-GB"/>
        </w:rPr>
        <w:t>i</w:t>
      </w:r>
      <w:proofErr w:type="spellEnd"/>
      <w:r>
        <w:rPr>
          <w:rFonts w:hint="cs"/>
          <w:rtl/>
          <w:lang w:val="en-GB"/>
        </w:rPr>
        <w:t>.</w:t>
      </w:r>
    </w:p>
  </w:footnote>
  <w:footnote w:id="27">
    <w:p w:rsidR="0058053B" w:rsidRPr="0016009B" w:rsidRDefault="0058053B" w:rsidP="00225595">
      <w:pPr>
        <w:pStyle w:val="FootnoteText1"/>
        <w:rPr>
          <w:rtl/>
          <w:lang w:val="en-GB"/>
        </w:rPr>
      </w:pPr>
      <w:r w:rsidRPr="00ED61E8">
        <w:rPr>
          <w:rtl/>
        </w:rPr>
        <w:t>(</w:t>
      </w:r>
      <w:r w:rsidRPr="00ED61E8">
        <w:rPr>
          <w:rStyle w:val="FootnoteReference"/>
          <w:szCs w:val="26"/>
          <w:vertAlign w:val="baseline"/>
        </w:rPr>
        <w:footnoteRef/>
      </w:r>
      <w:r w:rsidRPr="00ED61E8">
        <w:rPr>
          <w:rtl/>
        </w:rPr>
        <w:t>)</w:t>
      </w:r>
      <w:r w:rsidRPr="00ED61E8">
        <w:rPr>
          <w:rtl/>
        </w:rPr>
        <w:tab/>
      </w:r>
      <w:r>
        <w:rPr>
          <w:rFonts w:hint="cs"/>
          <w:rtl/>
          <w:lang w:val="en-GB"/>
        </w:rPr>
        <w:t xml:space="preserve">مكتب الإحصاءات الأوغندي، </w:t>
      </w:r>
      <w:r w:rsidRPr="0070258A">
        <w:rPr>
          <w:rFonts w:hint="cs"/>
          <w:i/>
          <w:iCs/>
          <w:rtl/>
          <w:lang w:val="en-GB"/>
        </w:rPr>
        <w:t>التعداد الوطني للسكان والمساكن، النتائج الأولية لعام 2014</w:t>
      </w:r>
      <w:r>
        <w:rPr>
          <w:rFonts w:hint="cs"/>
          <w:rtl/>
          <w:lang w:val="en-GB"/>
        </w:rPr>
        <w:t>، ‘1‘.</w:t>
      </w:r>
    </w:p>
  </w:footnote>
  <w:footnote w:id="28">
    <w:p w:rsidR="0058053B" w:rsidRPr="0016009B" w:rsidRDefault="0058053B" w:rsidP="004937A6">
      <w:pPr>
        <w:pStyle w:val="FootnoteText1"/>
        <w:spacing w:line="240" w:lineRule="exact"/>
        <w:rPr>
          <w:rtl/>
          <w:lang w:val="en-GB"/>
        </w:rPr>
      </w:pPr>
      <w:r w:rsidRPr="00ED61E8">
        <w:rPr>
          <w:rtl/>
        </w:rPr>
        <w:t>(</w:t>
      </w:r>
      <w:r w:rsidRPr="00ED61E8">
        <w:rPr>
          <w:rStyle w:val="FootnoteReference"/>
          <w:szCs w:val="26"/>
          <w:vertAlign w:val="baseline"/>
        </w:rPr>
        <w:footnoteRef/>
      </w:r>
      <w:r w:rsidRPr="00ED61E8">
        <w:rPr>
          <w:rtl/>
        </w:rPr>
        <w:t>)</w:t>
      </w:r>
      <w:r w:rsidRPr="00ED61E8">
        <w:rPr>
          <w:rtl/>
        </w:rPr>
        <w:tab/>
      </w:r>
      <w:r w:rsidRPr="00BE5935">
        <w:rPr>
          <w:rFonts w:eastAsia="Arial Unicode MS"/>
          <w:lang w:val="en-GB"/>
        </w:rPr>
        <w:t>Uganda Bureau of Statistics (n 1)</w:t>
      </w:r>
      <w:r>
        <w:rPr>
          <w:rFonts w:eastAsia="Arial Unicode MS"/>
          <w:lang w:val="en-GB"/>
        </w:rPr>
        <w:t>,</w:t>
      </w:r>
      <w:r w:rsidRPr="00BE5935">
        <w:rPr>
          <w:rFonts w:eastAsia="Arial Unicode MS"/>
          <w:lang w:val="en-GB"/>
        </w:rPr>
        <w:t> </w:t>
      </w:r>
      <w:proofErr w:type="spellStart"/>
      <w:r w:rsidRPr="00BE5935">
        <w:rPr>
          <w:rFonts w:eastAsia="Arial Unicode MS"/>
          <w:lang w:val="en-GB"/>
        </w:rPr>
        <w:t>i</w:t>
      </w:r>
      <w:proofErr w:type="spellEnd"/>
      <w:r>
        <w:rPr>
          <w:rFonts w:hint="cs"/>
          <w:rtl/>
          <w:lang w:val="en-GB"/>
        </w:rPr>
        <w:t>.</w:t>
      </w:r>
    </w:p>
  </w:footnote>
  <w:footnote w:id="29">
    <w:p w:rsidR="0058053B" w:rsidRPr="00ED61E8" w:rsidRDefault="0058053B" w:rsidP="00225595">
      <w:pPr>
        <w:pStyle w:val="FootnoteText1"/>
      </w:pPr>
      <w:r w:rsidRPr="00ED61E8">
        <w:rPr>
          <w:rtl/>
        </w:rPr>
        <w:t>(</w:t>
      </w:r>
      <w:r w:rsidRPr="00ED61E8">
        <w:rPr>
          <w:rStyle w:val="FootnoteReference"/>
          <w:szCs w:val="26"/>
          <w:vertAlign w:val="baseline"/>
        </w:rPr>
        <w:footnoteRef/>
      </w:r>
      <w:r w:rsidRPr="00ED61E8">
        <w:rPr>
          <w:rtl/>
        </w:rPr>
        <w:t>)</w:t>
      </w:r>
      <w:r w:rsidRPr="00ED61E8">
        <w:rPr>
          <w:rtl/>
        </w:rPr>
        <w:tab/>
      </w:r>
      <w:r>
        <w:rPr>
          <w:rFonts w:hint="cs"/>
          <w:rtl/>
        </w:rPr>
        <w:t>خطة الاستثمار الاستراتيجي في قطاع الصحة (2010/2011 - 2014/2015).</w:t>
      </w:r>
    </w:p>
  </w:footnote>
  <w:footnote w:id="30">
    <w:p w:rsidR="0058053B" w:rsidRPr="00594B41" w:rsidRDefault="0058053B" w:rsidP="009229EC">
      <w:pPr>
        <w:pStyle w:val="FootnoteText1"/>
        <w:spacing w:line="240" w:lineRule="exact"/>
        <w:rPr>
          <w:rtl/>
          <w:lang w:val="en-GB"/>
        </w:rPr>
      </w:pPr>
      <w:r w:rsidRPr="00816E4C">
        <w:rPr>
          <w:rtl/>
        </w:rPr>
        <w:t>(</w:t>
      </w:r>
      <w:r w:rsidRPr="00816E4C">
        <w:rPr>
          <w:rStyle w:val="FootnoteReference"/>
          <w:vertAlign w:val="baseline"/>
        </w:rPr>
        <w:footnoteRef/>
      </w:r>
      <w:r>
        <w:rPr>
          <w:sz w:val="26"/>
          <w:rtl/>
        </w:rPr>
        <w:t>)</w:t>
      </w:r>
      <w:r>
        <w:rPr>
          <w:sz w:val="26"/>
          <w:rtl/>
        </w:rPr>
        <w:tab/>
      </w:r>
      <w:r w:rsidRPr="00342099">
        <w:rPr>
          <w:lang w:val="en-GB" w:eastAsia="en-GB"/>
        </w:rPr>
        <w:t xml:space="preserve">Uganda Bureau of Statistics (n 12), </w:t>
      </w:r>
      <w:proofErr w:type="spellStart"/>
      <w:r w:rsidRPr="00342099">
        <w:rPr>
          <w:lang w:val="en-GB" w:eastAsia="en-GB"/>
        </w:rPr>
        <w:t>i</w:t>
      </w:r>
      <w:proofErr w:type="spellEnd"/>
      <w:r w:rsidRPr="00342099">
        <w:rPr>
          <w:rtl/>
          <w:lang w:val="en-GB" w:eastAsia="en-GB"/>
        </w:rPr>
        <w:t>.</w:t>
      </w:r>
    </w:p>
  </w:footnote>
  <w:footnote w:id="31">
    <w:p w:rsidR="0058053B" w:rsidRPr="00594B41" w:rsidRDefault="0058053B" w:rsidP="00225595">
      <w:pPr>
        <w:pStyle w:val="FootnoteText1"/>
        <w:rPr>
          <w:rtl/>
          <w:lang w:val="en-GB"/>
        </w:rPr>
      </w:pPr>
      <w:r w:rsidRPr="00E2182B">
        <w:rPr>
          <w:rtl/>
        </w:rPr>
        <w:t>(</w:t>
      </w:r>
      <w:r w:rsidRPr="00E2182B">
        <w:rPr>
          <w:rStyle w:val="FootnoteReference"/>
          <w:vertAlign w:val="baseline"/>
        </w:rPr>
        <w:footnoteRef/>
      </w:r>
      <w:r>
        <w:rPr>
          <w:sz w:val="26"/>
          <w:rtl/>
        </w:rPr>
        <w:t>)</w:t>
      </w:r>
      <w:r>
        <w:rPr>
          <w:sz w:val="26"/>
          <w:rtl/>
        </w:rPr>
        <w:tab/>
      </w:r>
      <w:r>
        <w:rPr>
          <w:rFonts w:hint="cs"/>
          <w:rtl/>
          <w:lang w:val="en-GB"/>
        </w:rPr>
        <w:t>المرجع نفسه، 30.</w:t>
      </w:r>
    </w:p>
  </w:footnote>
  <w:footnote w:id="32">
    <w:p w:rsidR="0058053B" w:rsidRPr="008A347B" w:rsidRDefault="0058053B" w:rsidP="00225595">
      <w:pPr>
        <w:pStyle w:val="FootnoteText1"/>
      </w:pPr>
      <w:r w:rsidRPr="008A347B">
        <w:rPr>
          <w:rtl/>
        </w:rPr>
        <w:t>(</w:t>
      </w:r>
      <w:r w:rsidRPr="008A347B">
        <w:rPr>
          <w:rStyle w:val="FootnoteReference"/>
          <w:vertAlign w:val="baseline"/>
        </w:rPr>
        <w:footnoteRef/>
      </w:r>
      <w:r>
        <w:rPr>
          <w:sz w:val="26"/>
          <w:rtl/>
        </w:rPr>
        <w:t>)</w:t>
      </w:r>
      <w:r>
        <w:rPr>
          <w:sz w:val="26"/>
          <w:rtl/>
        </w:rPr>
        <w:tab/>
      </w:r>
      <w:r>
        <w:rPr>
          <w:rFonts w:hint="cs"/>
          <w:rtl/>
        </w:rPr>
        <w:t>المرجع نفسه، 29.</w:t>
      </w:r>
    </w:p>
  </w:footnote>
  <w:footnote w:id="33">
    <w:p w:rsidR="0058053B" w:rsidRPr="00DD7AF7" w:rsidRDefault="0058053B" w:rsidP="00225595">
      <w:pPr>
        <w:pStyle w:val="FootnoteText1"/>
      </w:pPr>
      <w:r w:rsidRPr="00DD7AF7">
        <w:rPr>
          <w:rtl/>
        </w:rPr>
        <w:t>(</w:t>
      </w:r>
      <w:r w:rsidRPr="00DD7AF7">
        <w:rPr>
          <w:rStyle w:val="FootnoteReference"/>
          <w:vertAlign w:val="baseline"/>
        </w:rPr>
        <w:footnoteRef/>
      </w:r>
      <w:r>
        <w:rPr>
          <w:sz w:val="26"/>
          <w:rtl/>
        </w:rPr>
        <w:t>)</w:t>
      </w:r>
      <w:r>
        <w:rPr>
          <w:sz w:val="26"/>
          <w:rtl/>
        </w:rPr>
        <w:tab/>
      </w:r>
      <w:r>
        <w:rPr>
          <w:rFonts w:hint="cs"/>
          <w:rtl/>
        </w:rPr>
        <w:t>المرجع نفسه، 30.</w:t>
      </w:r>
    </w:p>
  </w:footnote>
  <w:footnote w:id="34">
    <w:p w:rsidR="0058053B" w:rsidRPr="00B17793" w:rsidRDefault="0058053B" w:rsidP="00225595">
      <w:pPr>
        <w:pStyle w:val="FootnoteText1"/>
        <w:rPr>
          <w:rtl/>
        </w:rPr>
      </w:pPr>
      <w:r w:rsidRPr="00B17793">
        <w:rPr>
          <w:rtl/>
        </w:rPr>
        <w:t>(</w:t>
      </w:r>
      <w:r w:rsidRPr="00B17793">
        <w:rPr>
          <w:rStyle w:val="FootnoteReference"/>
          <w:vertAlign w:val="baseline"/>
        </w:rPr>
        <w:footnoteRef/>
      </w:r>
      <w:r>
        <w:rPr>
          <w:sz w:val="26"/>
          <w:rtl/>
        </w:rPr>
        <w:t>)</w:t>
      </w:r>
      <w:r>
        <w:rPr>
          <w:sz w:val="26"/>
          <w:rtl/>
        </w:rPr>
        <w:tab/>
      </w:r>
      <w:r>
        <w:rPr>
          <w:rFonts w:hint="cs"/>
          <w:rtl/>
        </w:rPr>
        <w:t>المرجع نفسه، ‘1‘.</w:t>
      </w:r>
    </w:p>
  </w:footnote>
  <w:footnote w:id="35">
    <w:p w:rsidR="0058053B" w:rsidRPr="008A347B" w:rsidRDefault="0058053B" w:rsidP="00225595">
      <w:pPr>
        <w:pStyle w:val="FootnoteText1"/>
        <w:rPr>
          <w:rtl/>
          <w:lang w:val="en-GB"/>
        </w:rPr>
      </w:pPr>
      <w:r w:rsidRPr="00D40FE2">
        <w:rPr>
          <w:rtl/>
        </w:rPr>
        <w:t>(</w:t>
      </w:r>
      <w:r w:rsidRPr="00D40FE2">
        <w:rPr>
          <w:rStyle w:val="FootnoteReference"/>
          <w:vertAlign w:val="baseline"/>
        </w:rPr>
        <w:footnoteRef/>
      </w:r>
      <w:r>
        <w:rPr>
          <w:sz w:val="26"/>
          <w:rtl/>
        </w:rPr>
        <w:t>)</w:t>
      </w:r>
      <w:r>
        <w:rPr>
          <w:sz w:val="26"/>
          <w:rtl/>
        </w:rPr>
        <w:tab/>
      </w:r>
      <w:r w:rsidRPr="00BE5935">
        <w:rPr>
          <w:rFonts w:eastAsia="Arial Unicode MS"/>
          <w:lang w:val="en-GB"/>
        </w:rPr>
        <w:t xml:space="preserve">Uganda Bureau of Statistics, </w:t>
      </w:r>
      <w:r w:rsidRPr="00BE5935">
        <w:rPr>
          <w:rFonts w:eastAsia="Arial Unicode MS"/>
          <w:i/>
          <w:iCs/>
          <w:lang w:val="en-GB"/>
        </w:rPr>
        <w:t>2014 Statistical Abstract</w:t>
      </w:r>
      <w:r w:rsidRPr="00BE5935">
        <w:rPr>
          <w:rFonts w:eastAsia="Arial Unicode MS"/>
          <w:lang w:val="en-GB"/>
        </w:rPr>
        <w:t xml:space="preserve"> ix, 20</w:t>
      </w:r>
      <w:r>
        <w:rPr>
          <w:rFonts w:hint="cs"/>
          <w:rtl/>
          <w:lang w:val="en-GB"/>
        </w:rPr>
        <w:t>.</w:t>
      </w:r>
    </w:p>
  </w:footnote>
  <w:footnote w:id="36">
    <w:p w:rsidR="0058053B" w:rsidRPr="00954EDE" w:rsidRDefault="0058053B" w:rsidP="00225595">
      <w:pPr>
        <w:pStyle w:val="FootnoteText1"/>
        <w:rPr>
          <w:rtl/>
        </w:rPr>
      </w:pPr>
      <w:r w:rsidRPr="00954EDE">
        <w:rPr>
          <w:rtl/>
        </w:rPr>
        <w:t>(</w:t>
      </w:r>
      <w:r w:rsidRPr="00954EDE">
        <w:rPr>
          <w:rStyle w:val="FootnoteReference"/>
          <w:vertAlign w:val="baseline"/>
        </w:rPr>
        <w:footnoteRef/>
      </w:r>
      <w:r>
        <w:rPr>
          <w:sz w:val="26"/>
          <w:rtl/>
        </w:rPr>
        <w:t>)</w:t>
      </w:r>
      <w:r>
        <w:rPr>
          <w:sz w:val="26"/>
          <w:rtl/>
        </w:rPr>
        <w:tab/>
      </w:r>
      <w:r>
        <w:rPr>
          <w:rFonts w:hint="cs"/>
          <w:rtl/>
        </w:rPr>
        <w:t>المرجع نفسه، 20.</w:t>
      </w:r>
    </w:p>
  </w:footnote>
  <w:footnote w:id="37">
    <w:p w:rsidR="0058053B" w:rsidRPr="00140790" w:rsidRDefault="0058053B" w:rsidP="00225595">
      <w:pPr>
        <w:pStyle w:val="FootnoteText1"/>
      </w:pPr>
      <w:r w:rsidRPr="00140790">
        <w:rPr>
          <w:rtl/>
        </w:rPr>
        <w:t>(</w:t>
      </w:r>
      <w:r w:rsidRPr="00140790">
        <w:rPr>
          <w:rStyle w:val="FootnoteReference"/>
          <w:vertAlign w:val="baseline"/>
        </w:rPr>
        <w:footnoteRef/>
      </w:r>
      <w:r>
        <w:rPr>
          <w:sz w:val="26"/>
          <w:rtl/>
        </w:rPr>
        <w:t>)</w:t>
      </w:r>
      <w:r>
        <w:rPr>
          <w:sz w:val="26"/>
          <w:rtl/>
        </w:rPr>
        <w:tab/>
      </w:r>
      <w:r>
        <w:rPr>
          <w:rFonts w:hint="cs"/>
          <w:rtl/>
        </w:rPr>
        <w:t>المرجع نفسه، 21.</w:t>
      </w:r>
    </w:p>
  </w:footnote>
  <w:footnote w:id="38">
    <w:p w:rsidR="0058053B" w:rsidRPr="00EA3F76" w:rsidRDefault="0058053B" w:rsidP="00225595">
      <w:pPr>
        <w:pStyle w:val="FootnoteText1"/>
      </w:pPr>
      <w:r w:rsidRPr="00EA3F76">
        <w:rPr>
          <w:rtl/>
        </w:rPr>
        <w:t>(</w:t>
      </w:r>
      <w:r w:rsidRPr="00EA3F76">
        <w:rPr>
          <w:rStyle w:val="FootnoteReference"/>
          <w:vertAlign w:val="baseline"/>
        </w:rPr>
        <w:footnoteRef/>
      </w:r>
      <w:r>
        <w:rPr>
          <w:sz w:val="26"/>
          <w:rtl/>
        </w:rPr>
        <w:t>)</w:t>
      </w:r>
      <w:r>
        <w:rPr>
          <w:sz w:val="26"/>
          <w:rtl/>
        </w:rPr>
        <w:tab/>
      </w:r>
      <w:r>
        <w:rPr>
          <w:rFonts w:hint="cs"/>
          <w:rtl/>
        </w:rPr>
        <w:t>المرجع نفسه،22.</w:t>
      </w:r>
    </w:p>
  </w:footnote>
  <w:footnote w:id="39">
    <w:p w:rsidR="0058053B" w:rsidRPr="00243F8B" w:rsidRDefault="0058053B" w:rsidP="00225595">
      <w:pPr>
        <w:pStyle w:val="FootnoteText1"/>
      </w:pPr>
      <w:r w:rsidRPr="00243F8B">
        <w:rPr>
          <w:rtl/>
        </w:rPr>
        <w:t>(</w:t>
      </w:r>
      <w:r w:rsidRPr="00243F8B">
        <w:rPr>
          <w:rStyle w:val="FootnoteReference"/>
          <w:vertAlign w:val="baseline"/>
        </w:rPr>
        <w:footnoteRef/>
      </w:r>
      <w:r>
        <w:rPr>
          <w:sz w:val="26"/>
          <w:rtl/>
        </w:rPr>
        <w:t>)</w:t>
      </w:r>
      <w:r>
        <w:rPr>
          <w:sz w:val="26"/>
          <w:rtl/>
        </w:rPr>
        <w:tab/>
      </w:r>
      <w:r>
        <w:rPr>
          <w:rFonts w:hint="cs"/>
          <w:rtl/>
        </w:rPr>
        <w:t>المنطقة الشمالية والجزء الشمالي الشرقي من أوغندا هما أفقر المناطق وذلك لأسباب تاريخية فضلاً عن آثار الصراع الأهلي الذي استمر 20 عاماً (1986-2006) وعمليات سرقة رؤوس الماشية على التوالي.</w:t>
      </w:r>
    </w:p>
  </w:footnote>
  <w:footnote w:id="40">
    <w:p w:rsidR="0058053B" w:rsidRPr="00DB1E68" w:rsidRDefault="0058053B" w:rsidP="00A646C8">
      <w:pPr>
        <w:pStyle w:val="FootnoteText1"/>
        <w:spacing w:line="240" w:lineRule="exact"/>
      </w:pPr>
      <w:r w:rsidRPr="00DB1E68">
        <w:rPr>
          <w:rtl/>
        </w:rPr>
        <w:t>(</w:t>
      </w:r>
      <w:r w:rsidRPr="00DB1E68">
        <w:rPr>
          <w:rStyle w:val="FootnoteReference"/>
          <w:vertAlign w:val="baseline"/>
        </w:rPr>
        <w:footnoteRef/>
      </w:r>
      <w:r>
        <w:rPr>
          <w:sz w:val="26"/>
          <w:rtl/>
        </w:rPr>
        <w:t>)</w:t>
      </w:r>
      <w:r>
        <w:rPr>
          <w:sz w:val="26"/>
          <w:rtl/>
        </w:rPr>
        <w:tab/>
      </w:r>
      <w:r w:rsidRPr="00BE5935">
        <w:rPr>
          <w:rFonts w:eastAsia="Arial Unicode MS"/>
          <w:lang w:val="en-GB"/>
        </w:rPr>
        <w:t>Uganda Bureau of Statistics (n 21)</w:t>
      </w:r>
      <w:r>
        <w:rPr>
          <w:rFonts w:eastAsia="Arial Unicode MS"/>
          <w:lang w:val="en-GB"/>
        </w:rPr>
        <w:t>,</w:t>
      </w:r>
      <w:r w:rsidRPr="00BE5935">
        <w:rPr>
          <w:rFonts w:eastAsia="Arial Unicode MS"/>
          <w:lang w:val="en-GB"/>
        </w:rPr>
        <w:t xml:space="preserve"> 37</w:t>
      </w:r>
      <w:r>
        <w:rPr>
          <w:rFonts w:eastAsia="Arial Unicode MS" w:hint="cs"/>
          <w:rtl/>
          <w:lang w:val="en-GB"/>
        </w:rPr>
        <w:t>.</w:t>
      </w:r>
    </w:p>
  </w:footnote>
  <w:footnote w:id="41">
    <w:p w:rsidR="0058053B" w:rsidRPr="001C7116" w:rsidRDefault="0058053B" w:rsidP="00225595">
      <w:pPr>
        <w:pStyle w:val="FootnoteText1"/>
        <w:rPr>
          <w:rtl/>
        </w:rPr>
      </w:pPr>
      <w:r w:rsidRPr="001C7116">
        <w:rPr>
          <w:rtl/>
        </w:rPr>
        <w:t>(</w:t>
      </w:r>
      <w:r w:rsidRPr="001C7116">
        <w:rPr>
          <w:rStyle w:val="FootnoteReference"/>
          <w:vertAlign w:val="baseline"/>
        </w:rPr>
        <w:footnoteRef/>
      </w:r>
      <w:r>
        <w:rPr>
          <w:sz w:val="26"/>
          <w:rtl/>
        </w:rPr>
        <w:t>)</w:t>
      </w:r>
      <w:r>
        <w:rPr>
          <w:sz w:val="26"/>
          <w:rtl/>
        </w:rPr>
        <w:tab/>
      </w:r>
      <w:r>
        <w:rPr>
          <w:rFonts w:hint="cs"/>
          <w:rtl/>
        </w:rPr>
        <w:t>المرجع نفسه، 38.</w:t>
      </w:r>
    </w:p>
  </w:footnote>
  <w:footnote w:id="42">
    <w:p w:rsidR="0058053B" w:rsidRPr="00C140E6" w:rsidRDefault="0058053B" w:rsidP="00225595">
      <w:pPr>
        <w:pStyle w:val="FootnoteText1"/>
      </w:pPr>
      <w:r w:rsidRPr="00C140E6">
        <w:rPr>
          <w:rtl/>
        </w:rPr>
        <w:t>(</w:t>
      </w:r>
      <w:r w:rsidRPr="00C140E6">
        <w:rPr>
          <w:rStyle w:val="FootnoteReference"/>
          <w:vertAlign w:val="baseline"/>
        </w:rPr>
        <w:footnoteRef/>
      </w:r>
      <w:r>
        <w:rPr>
          <w:sz w:val="26"/>
          <w:rtl/>
        </w:rPr>
        <w:t>)</w:t>
      </w:r>
      <w:r>
        <w:rPr>
          <w:sz w:val="26"/>
          <w:rtl/>
        </w:rPr>
        <w:tab/>
      </w:r>
      <w:r>
        <w:rPr>
          <w:rFonts w:hint="cs"/>
          <w:sz w:val="26"/>
          <w:rtl/>
        </w:rPr>
        <w:t>المرجع نفسه.</w:t>
      </w:r>
    </w:p>
  </w:footnote>
  <w:footnote w:id="43">
    <w:p w:rsidR="0058053B" w:rsidRPr="00AB6FEA" w:rsidRDefault="0058053B" w:rsidP="00225595">
      <w:pPr>
        <w:pStyle w:val="FootnoteText1"/>
      </w:pPr>
      <w:r w:rsidRPr="00AB6FEA">
        <w:rPr>
          <w:rtl/>
        </w:rPr>
        <w:t>(</w:t>
      </w:r>
      <w:r w:rsidRPr="00AB6FEA">
        <w:rPr>
          <w:rStyle w:val="FootnoteReference"/>
          <w:vertAlign w:val="baseline"/>
        </w:rPr>
        <w:footnoteRef/>
      </w:r>
      <w:r>
        <w:rPr>
          <w:sz w:val="26"/>
          <w:rtl/>
        </w:rPr>
        <w:t>)</w:t>
      </w:r>
      <w:r>
        <w:rPr>
          <w:sz w:val="26"/>
          <w:rtl/>
        </w:rPr>
        <w:tab/>
      </w:r>
      <w:r>
        <w:rPr>
          <w:rFonts w:hint="cs"/>
          <w:rtl/>
        </w:rPr>
        <w:t>المرجع نفسه.</w:t>
      </w:r>
    </w:p>
  </w:footnote>
  <w:footnote w:id="44">
    <w:p w:rsidR="0058053B" w:rsidRPr="002C17D9" w:rsidRDefault="0058053B" w:rsidP="00225595">
      <w:pPr>
        <w:pStyle w:val="FootnoteText1"/>
      </w:pPr>
      <w:r w:rsidRPr="002C17D9">
        <w:rPr>
          <w:rtl/>
        </w:rPr>
        <w:t>(</w:t>
      </w:r>
      <w:r w:rsidRPr="002C17D9">
        <w:rPr>
          <w:rStyle w:val="FootnoteReference"/>
          <w:vertAlign w:val="baseline"/>
        </w:rPr>
        <w:footnoteRef/>
      </w:r>
      <w:r>
        <w:rPr>
          <w:sz w:val="26"/>
          <w:rtl/>
        </w:rPr>
        <w:t>)</w:t>
      </w:r>
      <w:r>
        <w:rPr>
          <w:sz w:val="26"/>
          <w:rtl/>
        </w:rPr>
        <w:tab/>
      </w:r>
      <w:r>
        <w:rPr>
          <w:rFonts w:hint="cs"/>
          <w:rtl/>
        </w:rPr>
        <w:t>المرجع نفسه.</w:t>
      </w:r>
    </w:p>
  </w:footnote>
  <w:footnote w:id="45">
    <w:p w:rsidR="0058053B" w:rsidRPr="00D46E5B" w:rsidRDefault="0058053B" w:rsidP="00225595">
      <w:pPr>
        <w:pStyle w:val="FootnoteText1"/>
      </w:pPr>
      <w:r w:rsidRPr="00D46E5B">
        <w:rPr>
          <w:rtl/>
        </w:rPr>
        <w:t>(</w:t>
      </w:r>
      <w:r w:rsidRPr="00D46E5B">
        <w:rPr>
          <w:rStyle w:val="FootnoteReference"/>
          <w:vertAlign w:val="baseline"/>
        </w:rPr>
        <w:footnoteRef/>
      </w:r>
      <w:r>
        <w:rPr>
          <w:sz w:val="26"/>
          <w:rtl/>
        </w:rPr>
        <w:t>)</w:t>
      </w:r>
      <w:r>
        <w:rPr>
          <w:sz w:val="26"/>
          <w:rtl/>
        </w:rPr>
        <w:tab/>
      </w:r>
      <w:r>
        <w:rPr>
          <w:rFonts w:hint="cs"/>
          <w:sz w:val="26"/>
          <w:rtl/>
        </w:rPr>
        <w:t>ا</w:t>
      </w:r>
      <w:r>
        <w:rPr>
          <w:rFonts w:hint="cs"/>
          <w:rtl/>
        </w:rPr>
        <w:t>لمرجع نفسه، 37.</w:t>
      </w:r>
    </w:p>
  </w:footnote>
  <w:footnote w:id="46">
    <w:p w:rsidR="0058053B" w:rsidRPr="00C5789E" w:rsidRDefault="0058053B" w:rsidP="00225595">
      <w:pPr>
        <w:pStyle w:val="FootnoteText1"/>
      </w:pPr>
      <w:r w:rsidRPr="00C5789E">
        <w:rPr>
          <w:rtl/>
        </w:rPr>
        <w:t>(</w:t>
      </w:r>
      <w:r w:rsidRPr="00C5789E">
        <w:rPr>
          <w:rStyle w:val="FootnoteReference"/>
          <w:vertAlign w:val="baseline"/>
        </w:rPr>
        <w:footnoteRef/>
      </w:r>
      <w:r>
        <w:rPr>
          <w:sz w:val="26"/>
          <w:rtl/>
        </w:rPr>
        <w:t>)</w:t>
      </w:r>
      <w:r>
        <w:rPr>
          <w:sz w:val="26"/>
          <w:rtl/>
        </w:rPr>
        <w:tab/>
      </w:r>
      <w:r>
        <w:rPr>
          <w:rFonts w:hint="cs"/>
          <w:rtl/>
        </w:rPr>
        <w:t>دستور أوغندا، 1995، المادة 2.</w:t>
      </w:r>
    </w:p>
  </w:footnote>
  <w:footnote w:id="47">
    <w:p w:rsidR="0058053B" w:rsidRPr="004B6985" w:rsidRDefault="0058053B" w:rsidP="00225595">
      <w:pPr>
        <w:pStyle w:val="FootnoteText1"/>
      </w:pPr>
      <w:r w:rsidRPr="004B6985">
        <w:rPr>
          <w:rtl/>
        </w:rPr>
        <w:t>(</w:t>
      </w:r>
      <w:r w:rsidRPr="004B6985">
        <w:rPr>
          <w:rStyle w:val="FootnoteReference"/>
          <w:vertAlign w:val="baseline"/>
        </w:rPr>
        <w:footnoteRef/>
      </w:r>
      <w:r>
        <w:rPr>
          <w:sz w:val="26"/>
          <w:rtl/>
        </w:rPr>
        <w:t>)</w:t>
      </w:r>
      <w:r>
        <w:rPr>
          <w:sz w:val="26"/>
          <w:rtl/>
        </w:rPr>
        <w:tab/>
      </w:r>
      <w:r>
        <w:rPr>
          <w:rFonts w:hint="cs"/>
          <w:rtl/>
        </w:rPr>
        <w:t xml:space="preserve">المرجع نفسه، المواد 69-71 و99. </w:t>
      </w:r>
    </w:p>
  </w:footnote>
  <w:footnote w:id="48">
    <w:p w:rsidR="0058053B" w:rsidRPr="008B3105" w:rsidRDefault="0058053B" w:rsidP="00225595">
      <w:pPr>
        <w:pStyle w:val="FootnoteText1"/>
      </w:pPr>
      <w:r w:rsidRPr="008B3105">
        <w:rPr>
          <w:rtl/>
        </w:rPr>
        <w:t>(</w:t>
      </w:r>
      <w:r w:rsidRPr="008B3105">
        <w:rPr>
          <w:rStyle w:val="FootnoteReference"/>
          <w:vertAlign w:val="baseline"/>
        </w:rPr>
        <w:footnoteRef/>
      </w:r>
      <w:r>
        <w:rPr>
          <w:sz w:val="26"/>
          <w:rtl/>
        </w:rPr>
        <w:t>)</w:t>
      </w:r>
      <w:r>
        <w:rPr>
          <w:sz w:val="26"/>
          <w:rtl/>
        </w:rPr>
        <w:tab/>
      </w:r>
      <w:r>
        <w:rPr>
          <w:rFonts w:hint="cs"/>
          <w:sz w:val="26"/>
          <w:rtl/>
        </w:rPr>
        <w:t xml:space="preserve">المرجع </w:t>
      </w:r>
      <w:r>
        <w:rPr>
          <w:rFonts w:hint="cs"/>
          <w:rtl/>
        </w:rPr>
        <w:t>نفسه، المواد 77-79 و126.</w:t>
      </w:r>
    </w:p>
  </w:footnote>
  <w:footnote w:id="49">
    <w:p w:rsidR="0058053B" w:rsidRPr="00F1340B" w:rsidRDefault="0058053B" w:rsidP="00225595">
      <w:pPr>
        <w:pStyle w:val="FootnoteText1"/>
      </w:pPr>
      <w:r w:rsidRPr="00F1340B">
        <w:rPr>
          <w:rtl/>
        </w:rPr>
        <w:t>(</w:t>
      </w:r>
      <w:r w:rsidRPr="00F1340B">
        <w:rPr>
          <w:rStyle w:val="FootnoteReference"/>
          <w:vertAlign w:val="baseline"/>
        </w:rPr>
        <w:footnoteRef/>
      </w:r>
      <w:r>
        <w:rPr>
          <w:sz w:val="26"/>
          <w:rtl/>
        </w:rPr>
        <w:t>)</w:t>
      </w:r>
      <w:r>
        <w:rPr>
          <w:sz w:val="26"/>
          <w:rtl/>
        </w:rPr>
        <w:tab/>
      </w:r>
      <w:r>
        <w:rPr>
          <w:rFonts w:hint="cs"/>
          <w:rtl/>
        </w:rPr>
        <w:t>المرجع نفسه، المادة 11 والمادة 113(1) و(2)؛ وفي أوغندا 23 وزيراً إضافة إلى الرئيس، ونائب الرئيس، ورئيس الوزراء، وثلاثة نواب لرئيس الوزراء يشكلون مجلس الوزراء. وفيها 46 وزير دولة.</w:t>
      </w:r>
    </w:p>
  </w:footnote>
  <w:footnote w:id="50">
    <w:p w:rsidR="0058053B" w:rsidRPr="00B03F9C" w:rsidRDefault="0058053B" w:rsidP="00225595">
      <w:pPr>
        <w:pStyle w:val="FootnoteText1"/>
      </w:pPr>
      <w:r w:rsidRPr="00B03F9C">
        <w:rPr>
          <w:rtl/>
        </w:rPr>
        <w:t>(</w:t>
      </w:r>
      <w:r w:rsidRPr="00B03F9C">
        <w:rPr>
          <w:rStyle w:val="FootnoteReference"/>
          <w:vertAlign w:val="baseline"/>
        </w:rPr>
        <w:footnoteRef/>
      </w:r>
      <w:r>
        <w:rPr>
          <w:sz w:val="26"/>
          <w:rtl/>
        </w:rPr>
        <w:t>)</w:t>
      </w:r>
      <w:r>
        <w:rPr>
          <w:sz w:val="26"/>
          <w:rtl/>
        </w:rPr>
        <w:tab/>
      </w:r>
      <w:r>
        <w:rPr>
          <w:rFonts w:hint="cs"/>
          <w:rtl/>
        </w:rPr>
        <w:t>المرجع نفسه، المادة 114.</w:t>
      </w:r>
    </w:p>
  </w:footnote>
  <w:footnote w:id="51">
    <w:p w:rsidR="0058053B" w:rsidRPr="00C651CD" w:rsidRDefault="0058053B" w:rsidP="00225595">
      <w:pPr>
        <w:pStyle w:val="FootnoteText1"/>
      </w:pPr>
      <w:r w:rsidRPr="00C651CD">
        <w:rPr>
          <w:rtl/>
        </w:rPr>
        <w:t>(</w:t>
      </w:r>
      <w:r w:rsidRPr="00C651CD">
        <w:rPr>
          <w:rStyle w:val="FootnoteReference"/>
          <w:vertAlign w:val="baseline"/>
        </w:rPr>
        <w:footnoteRef/>
      </w:r>
      <w:r>
        <w:rPr>
          <w:sz w:val="26"/>
          <w:rtl/>
        </w:rPr>
        <w:t>)</w:t>
      </w:r>
      <w:r>
        <w:rPr>
          <w:sz w:val="26"/>
          <w:rtl/>
        </w:rPr>
        <w:tab/>
      </w:r>
      <w:r>
        <w:rPr>
          <w:rFonts w:hint="cs"/>
          <w:rtl/>
        </w:rPr>
        <w:t xml:space="preserve">نُظمت انتخابات عامي 1996 و2001 وفقاً لنظام حكم الحركة (حركة المقاومة الوطنية) (وليس النظام القائم على الأحزاب) وهو نظم يُنتخب القادة فيه على أساس الجدارة الفردية. </w:t>
      </w:r>
    </w:p>
  </w:footnote>
  <w:footnote w:id="52">
    <w:p w:rsidR="0058053B" w:rsidRPr="009A1EE9" w:rsidRDefault="0058053B" w:rsidP="00225595">
      <w:pPr>
        <w:pStyle w:val="FootnoteText1"/>
      </w:pPr>
      <w:r w:rsidRPr="009A1EE9">
        <w:rPr>
          <w:rtl/>
        </w:rPr>
        <w:t>(</w:t>
      </w:r>
      <w:r w:rsidRPr="009A1EE9">
        <w:rPr>
          <w:rStyle w:val="FootnoteReference"/>
          <w:vertAlign w:val="baseline"/>
        </w:rPr>
        <w:footnoteRef/>
      </w:r>
      <w:r>
        <w:rPr>
          <w:sz w:val="26"/>
          <w:rtl/>
        </w:rPr>
        <w:t>)</w:t>
      </w:r>
      <w:r>
        <w:rPr>
          <w:sz w:val="26"/>
          <w:rtl/>
        </w:rPr>
        <w:tab/>
      </w:r>
      <w:r>
        <w:rPr>
          <w:rFonts w:hint="cs"/>
          <w:rtl/>
        </w:rPr>
        <w:t>المرجع نفسه، المادة 78.</w:t>
      </w:r>
    </w:p>
  </w:footnote>
  <w:footnote w:id="53">
    <w:p w:rsidR="0058053B" w:rsidRPr="00041BF8" w:rsidRDefault="0058053B" w:rsidP="00225595">
      <w:pPr>
        <w:pStyle w:val="FootnoteText1"/>
      </w:pPr>
      <w:r w:rsidRPr="00041BF8">
        <w:rPr>
          <w:rtl/>
        </w:rPr>
        <w:t>(</w:t>
      </w:r>
      <w:r w:rsidRPr="00041BF8">
        <w:rPr>
          <w:rStyle w:val="FootnoteReference"/>
          <w:vertAlign w:val="baseline"/>
        </w:rPr>
        <w:footnoteRef/>
      </w:r>
      <w:r>
        <w:rPr>
          <w:sz w:val="26"/>
          <w:rtl/>
        </w:rPr>
        <w:t>)</w:t>
      </w:r>
      <w:r>
        <w:rPr>
          <w:sz w:val="26"/>
          <w:rtl/>
        </w:rPr>
        <w:tab/>
      </w:r>
      <w:r>
        <w:rPr>
          <w:rFonts w:hint="cs"/>
          <w:rtl/>
        </w:rPr>
        <w:t>المرجع نفسه، المادة 79(1).</w:t>
      </w:r>
    </w:p>
  </w:footnote>
  <w:footnote w:id="54">
    <w:p w:rsidR="0058053B" w:rsidRPr="00982CAB" w:rsidRDefault="0058053B" w:rsidP="00225595">
      <w:pPr>
        <w:pStyle w:val="FootnoteText1"/>
      </w:pPr>
      <w:r w:rsidRPr="00982CAB">
        <w:rPr>
          <w:rtl/>
        </w:rPr>
        <w:t>(</w:t>
      </w:r>
      <w:r w:rsidRPr="00982CAB">
        <w:rPr>
          <w:rStyle w:val="FootnoteReference"/>
          <w:vertAlign w:val="baseline"/>
        </w:rPr>
        <w:footnoteRef/>
      </w:r>
      <w:r>
        <w:rPr>
          <w:sz w:val="26"/>
          <w:rtl/>
        </w:rPr>
        <w:t>)</w:t>
      </w:r>
      <w:r>
        <w:rPr>
          <w:sz w:val="26"/>
          <w:rtl/>
        </w:rPr>
        <w:tab/>
      </w:r>
      <w:r>
        <w:rPr>
          <w:rFonts w:hint="cs"/>
          <w:rtl/>
        </w:rPr>
        <w:t>المرجع نفسه، المادة 82(ألف).</w:t>
      </w:r>
    </w:p>
  </w:footnote>
  <w:footnote w:id="55">
    <w:p w:rsidR="0058053B" w:rsidRPr="00C6074E" w:rsidRDefault="0058053B" w:rsidP="00225595">
      <w:pPr>
        <w:pStyle w:val="FootnoteText1"/>
      </w:pPr>
      <w:r w:rsidRPr="00C6074E">
        <w:rPr>
          <w:rtl/>
        </w:rPr>
        <w:t>(</w:t>
      </w:r>
      <w:r w:rsidRPr="00C6074E">
        <w:rPr>
          <w:rStyle w:val="FootnoteReference"/>
          <w:vertAlign w:val="baseline"/>
        </w:rPr>
        <w:footnoteRef/>
      </w:r>
      <w:r>
        <w:rPr>
          <w:sz w:val="26"/>
          <w:rtl/>
        </w:rPr>
        <w:t>)</w:t>
      </w:r>
      <w:r>
        <w:rPr>
          <w:sz w:val="26"/>
          <w:rtl/>
        </w:rPr>
        <w:tab/>
      </w:r>
      <w:r>
        <w:rPr>
          <w:rFonts w:hint="cs"/>
          <w:rtl/>
        </w:rPr>
        <w:t>المرجع نفسه، المادة 78(3).</w:t>
      </w:r>
    </w:p>
  </w:footnote>
  <w:footnote w:id="56">
    <w:p w:rsidR="0058053B" w:rsidRPr="000A2DAC" w:rsidRDefault="0058053B" w:rsidP="00225595">
      <w:pPr>
        <w:pStyle w:val="FootnoteText1"/>
      </w:pPr>
      <w:r w:rsidRPr="000A2DAC">
        <w:rPr>
          <w:rtl/>
        </w:rPr>
        <w:t>(</w:t>
      </w:r>
      <w:r w:rsidRPr="000A2DAC">
        <w:rPr>
          <w:rStyle w:val="FootnoteReference"/>
          <w:vertAlign w:val="baseline"/>
        </w:rPr>
        <w:footnoteRef/>
      </w:r>
      <w:r>
        <w:rPr>
          <w:sz w:val="26"/>
          <w:rtl/>
        </w:rPr>
        <w:t>)</w:t>
      </w:r>
      <w:r>
        <w:rPr>
          <w:sz w:val="26"/>
          <w:rtl/>
        </w:rPr>
        <w:tab/>
      </w:r>
      <w:r>
        <w:rPr>
          <w:rFonts w:hint="cs"/>
          <w:rtl/>
        </w:rPr>
        <w:t>المرجع نفسه، المواد 128-138.</w:t>
      </w:r>
    </w:p>
  </w:footnote>
  <w:footnote w:id="57">
    <w:p w:rsidR="0058053B" w:rsidRPr="00A71955" w:rsidRDefault="0058053B" w:rsidP="00225595">
      <w:pPr>
        <w:pStyle w:val="FootnoteText1"/>
      </w:pPr>
      <w:r w:rsidRPr="00A71955">
        <w:rPr>
          <w:rtl/>
        </w:rPr>
        <w:t>(</w:t>
      </w:r>
      <w:r w:rsidRPr="00A71955">
        <w:rPr>
          <w:rStyle w:val="FootnoteReference"/>
          <w:vertAlign w:val="baseline"/>
        </w:rPr>
        <w:footnoteRef/>
      </w:r>
      <w:r>
        <w:rPr>
          <w:sz w:val="26"/>
          <w:rtl/>
        </w:rPr>
        <w:t>)</w:t>
      </w:r>
      <w:r>
        <w:rPr>
          <w:sz w:val="26"/>
          <w:rtl/>
        </w:rPr>
        <w:tab/>
      </w:r>
      <w:r>
        <w:rPr>
          <w:rFonts w:hint="cs"/>
          <w:rtl/>
        </w:rPr>
        <w:t>المرجع نفسه، الأهداف الوطنية والمبادئ التوجيهية لسياسة الدولة، رابع وعشرون.</w:t>
      </w:r>
    </w:p>
  </w:footnote>
  <w:footnote w:id="58">
    <w:p w:rsidR="0058053B" w:rsidRPr="00B75ECE" w:rsidRDefault="0058053B" w:rsidP="00225595">
      <w:pPr>
        <w:pStyle w:val="FootnoteText1"/>
      </w:pPr>
      <w:r w:rsidRPr="00B75ECE">
        <w:rPr>
          <w:rtl/>
        </w:rPr>
        <w:t>(</w:t>
      </w:r>
      <w:r w:rsidRPr="00B75ECE">
        <w:rPr>
          <w:rStyle w:val="FootnoteReference"/>
          <w:vertAlign w:val="baseline"/>
        </w:rPr>
        <w:footnoteRef/>
      </w:r>
      <w:r>
        <w:rPr>
          <w:sz w:val="26"/>
          <w:rtl/>
        </w:rPr>
        <w:t>)</w:t>
      </w:r>
      <w:r>
        <w:rPr>
          <w:sz w:val="26"/>
          <w:rtl/>
        </w:rPr>
        <w:tab/>
      </w:r>
      <w:r>
        <w:rPr>
          <w:rFonts w:hint="cs"/>
          <w:rtl/>
        </w:rPr>
        <w:t>قانون الأراضي، 1998، الفصل 227، أوغندا، المادة 2-9، وقانون (تسجيل) الزواج التقليدي، 1973، أوغندا، المادة 4.</w:t>
      </w:r>
    </w:p>
  </w:footnote>
  <w:footnote w:id="59">
    <w:p w:rsidR="0058053B" w:rsidRPr="00455F1A" w:rsidRDefault="0058053B" w:rsidP="00225595">
      <w:pPr>
        <w:pStyle w:val="FootnoteText1"/>
      </w:pPr>
      <w:r w:rsidRPr="00455F1A">
        <w:rPr>
          <w:rtl/>
        </w:rPr>
        <w:t>(</w:t>
      </w:r>
      <w:r w:rsidRPr="00455F1A">
        <w:rPr>
          <w:rStyle w:val="FootnoteReference"/>
          <w:vertAlign w:val="baseline"/>
        </w:rPr>
        <w:footnoteRef/>
      </w:r>
      <w:r>
        <w:rPr>
          <w:sz w:val="26"/>
          <w:rtl/>
        </w:rPr>
        <w:t>)</w:t>
      </w:r>
      <w:r>
        <w:rPr>
          <w:sz w:val="26"/>
          <w:rtl/>
        </w:rPr>
        <w:tab/>
      </w:r>
      <w:r>
        <w:rPr>
          <w:rFonts w:hint="cs"/>
          <w:rtl/>
        </w:rPr>
        <w:t xml:space="preserve">يمكن الاطلاع على قائمة النقابات العشرين المنضمة إلى هذه المنظمة على الموقع الشبكي للمنظمة </w:t>
      </w:r>
      <w:hyperlink r:id="rId1" w:history="1">
        <w:r w:rsidRPr="00C40E63">
          <w:rPr>
            <w:rStyle w:val="Hyperlink"/>
            <w:lang w:val="en-GB"/>
          </w:rPr>
          <w:t>www.notu.or.ug</w:t>
        </w:r>
      </w:hyperlink>
      <w:r>
        <w:rPr>
          <w:rStyle w:val="Hyperlink"/>
          <w:rFonts w:hint="cs"/>
          <w:rtl/>
          <w:lang w:val="en-GB"/>
        </w:rPr>
        <w:t>.</w:t>
      </w:r>
    </w:p>
  </w:footnote>
  <w:footnote w:id="60">
    <w:p w:rsidR="0058053B" w:rsidRPr="0043124B" w:rsidRDefault="0058053B" w:rsidP="00165B79">
      <w:pPr>
        <w:pStyle w:val="FootnoteText1"/>
      </w:pPr>
      <w:r w:rsidRPr="0043124B">
        <w:rPr>
          <w:rtl/>
        </w:rPr>
        <w:t>(</w:t>
      </w:r>
      <w:r w:rsidRPr="0043124B">
        <w:rPr>
          <w:rStyle w:val="FootnoteReference"/>
          <w:vertAlign w:val="baseline"/>
        </w:rPr>
        <w:footnoteRef/>
      </w:r>
      <w:r>
        <w:rPr>
          <w:sz w:val="26"/>
          <w:rtl/>
        </w:rPr>
        <w:t>)</w:t>
      </w:r>
      <w:r>
        <w:rPr>
          <w:sz w:val="26"/>
          <w:rtl/>
        </w:rPr>
        <w:tab/>
      </w:r>
      <w:r>
        <w:rPr>
          <w:rFonts w:hint="cs"/>
          <w:rtl/>
        </w:rPr>
        <w:t>"التقيد بالمعاهدات الدولية: أوغندا"، 31 أيار/مايو 2011،</w:t>
      </w:r>
      <w:r w:rsidRPr="00C17581">
        <w:rPr>
          <w:rFonts w:eastAsia="Arial Unicode MS"/>
        </w:rPr>
        <w:t>http://www.geneva-academy.ch/RULAC/</w:t>
      </w:r>
      <w:r>
        <w:rPr>
          <w:rFonts w:eastAsia="Arial Unicode MS"/>
        </w:rPr>
        <w:t xml:space="preserve"> </w:t>
      </w:r>
      <w:proofErr w:type="spellStart"/>
      <w:r w:rsidRPr="00C17581">
        <w:rPr>
          <w:rFonts w:eastAsia="Arial Unicode MS"/>
        </w:rPr>
        <w:t>international_treaties.php?id_state</w:t>
      </w:r>
      <w:proofErr w:type="spellEnd"/>
      <w:r w:rsidRPr="00C17581">
        <w:rPr>
          <w:rFonts w:eastAsia="Arial Unicode MS"/>
        </w:rPr>
        <w:t>=163</w:t>
      </w:r>
      <w:r>
        <w:rPr>
          <w:rFonts w:eastAsia="Arial Unicode MS" w:hint="cs"/>
          <w:rtl/>
        </w:rPr>
        <w:t>، تمت زيارته في 10 آذار/مارس 2015.</w:t>
      </w:r>
    </w:p>
  </w:footnote>
  <w:footnote w:id="61">
    <w:p w:rsidR="0058053B" w:rsidRPr="00DC414F" w:rsidRDefault="0058053B" w:rsidP="00225595">
      <w:pPr>
        <w:pStyle w:val="FootnoteText1"/>
      </w:pPr>
      <w:r w:rsidRPr="00DC414F">
        <w:rPr>
          <w:rtl/>
        </w:rPr>
        <w:t>(</w:t>
      </w:r>
      <w:r w:rsidRPr="00DC414F">
        <w:rPr>
          <w:rStyle w:val="FootnoteReference"/>
          <w:vertAlign w:val="baseline"/>
        </w:rPr>
        <w:footnoteRef/>
      </w:r>
      <w:r>
        <w:rPr>
          <w:sz w:val="26"/>
          <w:rtl/>
        </w:rPr>
        <w:t>)</w:t>
      </w:r>
      <w:r>
        <w:rPr>
          <w:sz w:val="26"/>
          <w:rtl/>
        </w:rPr>
        <w:tab/>
      </w:r>
      <w:r>
        <w:rPr>
          <w:rFonts w:hint="cs"/>
          <w:sz w:val="26"/>
          <w:rtl/>
        </w:rPr>
        <w:t>المصدر نفسه، المادتان 51 و52 وقانون اللجنة الأوغندية لحقوق الإنسان، المادة 7.</w:t>
      </w:r>
    </w:p>
  </w:footnote>
  <w:footnote w:id="62">
    <w:p w:rsidR="0058053B" w:rsidRPr="00DC414F" w:rsidRDefault="0058053B" w:rsidP="00225595">
      <w:pPr>
        <w:pStyle w:val="FootnoteText1"/>
      </w:pPr>
      <w:r w:rsidRPr="00DC414F">
        <w:rPr>
          <w:rtl/>
        </w:rPr>
        <w:t>(</w:t>
      </w:r>
      <w:r w:rsidRPr="00DC414F">
        <w:rPr>
          <w:rStyle w:val="FootnoteReference"/>
          <w:vertAlign w:val="baseline"/>
        </w:rPr>
        <w:footnoteRef/>
      </w:r>
      <w:r>
        <w:rPr>
          <w:sz w:val="26"/>
          <w:rtl/>
        </w:rPr>
        <w:t>)</w:t>
      </w:r>
      <w:r>
        <w:rPr>
          <w:sz w:val="26"/>
          <w:rtl/>
        </w:rPr>
        <w:tab/>
      </w:r>
      <w:r>
        <w:rPr>
          <w:rFonts w:hint="cs"/>
          <w:sz w:val="26"/>
          <w:rtl/>
        </w:rPr>
        <w:t>المادة 7(3) من قانون لجنة حقوق الإنسان الأوغندية.</w:t>
      </w:r>
    </w:p>
  </w:footnote>
  <w:footnote w:id="63">
    <w:p w:rsidR="0058053B" w:rsidRPr="00DC414F" w:rsidRDefault="0058053B" w:rsidP="00225595">
      <w:pPr>
        <w:pStyle w:val="FootnoteText1"/>
      </w:pPr>
      <w:r w:rsidRPr="00DC414F">
        <w:rPr>
          <w:rtl/>
        </w:rPr>
        <w:t>(</w:t>
      </w:r>
      <w:r w:rsidRPr="00DC414F">
        <w:rPr>
          <w:rStyle w:val="FootnoteReference"/>
          <w:vertAlign w:val="baseline"/>
        </w:rPr>
        <w:footnoteRef/>
      </w:r>
      <w:r>
        <w:rPr>
          <w:sz w:val="26"/>
          <w:rtl/>
        </w:rPr>
        <w:t>)</w:t>
      </w:r>
      <w:r>
        <w:rPr>
          <w:sz w:val="26"/>
          <w:rtl/>
        </w:rPr>
        <w:tab/>
      </w:r>
      <w:r>
        <w:rPr>
          <w:rFonts w:hint="cs"/>
          <w:sz w:val="26"/>
          <w:rtl/>
        </w:rPr>
        <w:t>المادة 53(2) من دستور جمهورية أوغندا.</w:t>
      </w:r>
    </w:p>
  </w:footnote>
  <w:footnote w:id="64">
    <w:p w:rsidR="0058053B" w:rsidRPr="00DC414F" w:rsidRDefault="0058053B" w:rsidP="00225595">
      <w:pPr>
        <w:pStyle w:val="FootnoteText1"/>
      </w:pPr>
      <w:r w:rsidRPr="00DC414F">
        <w:rPr>
          <w:rtl/>
        </w:rPr>
        <w:t>(</w:t>
      </w:r>
      <w:r w:rsidRPr="00DC414F">
        <w:rPr>
          <w:rStyle w:val="FootnoteReference"/>
          <w:vertAlign w:val="baseline"/>
        </w:rPr>
        <w:footnoteRef/>
      </w:r>
      <w:r>
        <w:rPr>
          <w:sz w:val="26"/>
          <w:rtl/>
        </w:rPr>
        <w:t>)</w:t>
      </w:r>
      <w:r>
        <w:rPr>
          <w:sz w:val="26"/>
          <w:rtl/>
        </w:rPr>
        <w:tab/>
      </w:r>
      <w:r>
        <w:rPr>
          <w:rFonts w:hint="cs"/>
          <w:sz w:val="26"/>
          <w:rtl/>
        </w:rPr>
        <w:t>المرجع نفسه، المادة 48 من الدستور.</w:t>
      </w:r>
    </w:p>
  </w:footnote>
  <w:footnote w:id="65">
    <w:p w:rsidR="0058053B" w:rsidRPr="00DC414F" w:rsidRDefault="0058053B" w:rsidP="00225595">
      <w:pPr>
        <w:pStyle w:val="FootnoteText1"/>
      </w:pPr>
      <w:r w:rsidRPr="00DC414F">
        <w:rPr>
          <w:rtl/>
        </w:rPr>
        <w:t>(</w:t>
      </w:r>
      <w:r w:rsidRPr="00DC414F">
        <w:rPr>
          <w:rStyle w:val="FootnoteReference"/>
          <w:vertAlign w:val="baseline"/>
        </w:rPr>
        <w:footnoteRef/>
      </w:r>
      <w:r>
        <w:rPr>
          <w:sz w:val="26"/>
          <w:rtl/>
        </w:rPr>
        <w:t>)</w:t>
      </w:r>
      <w:r>
        <w:rPr>
          <w:sz w:val="26"/>
          <w:rtl/>
        </w:rPr>
        <w:tab/>
      </w:r>
      <w:r>
        <w:rPr>
          <w:rFonts w:hint="cs"/>
          <w:sz w:val="26"/>
          <w:rtl/>
        </w:rPr>
        <w:t>المادة 7(1)(د) من قانون اللجنة الأوغندية لحقوق الإنسان.</w:t>
      </w:r>
    </w:p>
  </w:footnote>
  <w:footnote w:id="66">
    <w:p w:rsidR="0058053B" w:rsidRPr="00DC414F" w:rsidRDefault="0058053B" w:rsidP="00CB2109">
      <w:pPr>
        <w:pStyle w:val="FootnoteText1"/>
        <w:spacing w:line="240" w:lineRule="exact"/>
        <w:rPr>
          <w:rtl/>
        </w:rPr>
      </w:pPr>
      <w:r w:rsidRPr="00DC414F">
        <w:rPr>
          <w:rtl/>
        </w:rPr>
        <w:t>(</w:t>
      </w:r>
      <w:r w:rsidRPr="00DC414F">
        <w:rPr>
          <w:rStyle w:val="FootnoteReference"/>
          <w:vertAlign w:val="baseline"/>
        </w:rPr>
        <w:footnoteRef/>
      </w:r>
      <w:r>
        <w:rPr>
          <w:sz w:val="26"/>
          <w:rtl/>
        </w:rPr>
        <w:t>)</w:t>
      </w:r>
      <w:r>
        <w:rPr>
          <w:sz w:val="26"/>
          <w:rtl/>
        </w:rPr>
        <w:tab/>
      </w:r>
      <w:r w:rsidRPr="00BE5935">
        <w:rPr>
          <w:rFonts w:eastAsia="Arial Unicode MS"/>
          <w:szCs w:val="18"/>
          <w:lang w:val="en-GB"/>
        </w:rPr>
        <w:t xml:space="preserve">High Court of Uganda, </w:t>
      </w:r>
      <w:proofErr w:type="spellStart"/>
      <w:r w:rsidRPr="00BE5935">
        <w:rPr>
          <w:rFonts w:eastAsia="Arial Unicode MS"/>
          <w:i/>
          <w:iCs/>
          <w:szCs w:val="18"/>
          <w:lang w:val="en-GB"/>
        </w:rPr>
        <w:t>Nabasagera</w:t>
      </w:r>
      <w:proofErr w:type="spellEnd"/>
      <w:r w:rsidRPr="00BE5935">
        <w:rPr>
          <w:rFonts w:eastAsia="Arial Unicode MS"/>
          <w:i/>
          <w:iCs/>
          <w:szCs w:val="18"/>
          <w:lang w:val="en-GB"/>
        </w:rPr>
        <w:t xml:space="preserve"> &amp; three others v Attorney General and Another, </w:t>
      </w:r>
      <w:r w:rsidRPr="00BE5935">
        <w:rPr>
          <w:rFonts w:eastAsia="Arial Unicode MS"/>
          <w:szCs w:val="18"/>
          <w:lang w:val="en-GB"/>
        </w:rPr>
        <w:t>No. 033 of 2012, pg. 10–11</w:t>
      </w:r>
      <w:r>
        <w:rPr>
          <w:rFonts w:hint="cs"/>
          <w:sz w:val="26"/>
          <w:rtl/>
        </w:rPr>
        <w:t>.</w:t>
      </w:r>
    </w:p>
  </w:footnote>
  <w:footnote w:id="67">
    <w:p w:rsidR="0058053B" w:rsidRPr="00DC414F" w:rsidRDefault="0058053B" w:rsidP="00225595">
      <w:pPr>
        <w:pStyle w:val="FootnoteText1"/>
      </w:pPr>
      <w:r w:rsidRPr="00DC414F">
        <w:rPr>
          <w:rtl/>
        </w:rPr>
        <w:t>(</w:t>
      </w:r>
      <w:r w:rsidRPr="00DC414F">
        <w:rPr>
          <w:rStyle w:val="FootnoteReference"/>
          <w:vertAlign w:val="baseline"/>
        </w:rPr>
        <w:footnoteRef/>
      </w:r>
      <w:r>
        <w:rPr>
          <w:sz w:val="26"/>
          <w:rtl/>
        </w:rPr>
        <w:t>)</w:t>
      </w:r>
      <w:r>
        <w:rPr>
          <w:sz w:val="26"/>
          <w:rtl/>
        </w:rPr>
        <w:tab/>
      </w:r>
      <w:r>
        <w:rPr>
          <w:rFonts w:hint="cs"/>
          <w:sz w:val="26"/>
          <w:rtl/>
        </w:rPr>
        <w:t>المرجع نفسه.</w:t>
      </w:r>
    </w:p>
  </w:footnote>
  <w:footnote w:id="68">
    <w:p w:rsidR="0058053B" w:rsidRPr="00DC414F" w:rsidRDefault="0058053B" w:rsidP="00225595">
      <w:pPr>
        <w:pStyle w:val="FootnoteText1"/>
      </w:pPr>
      <w:r w:rsidRPr="00DC414F">
        <w:rPr>
          <w:rtl/>
        </w:rPr>
        <w:t>(</w:t>
      </w:r>
      <w:r w:rsidRPr="00DC414F">
        <w:rPr>
          <w:rStyle w:val="FootnoteReference"/>
          <w:vertAlign w:val="baseline"/>
        </w:rPr>
        <w:footnoteRef/>
      </w:r>
      <w:r>
        <w:rPr>
          <w:sz w:val="26"/>
          <w:rtl/>
        </w:rPr>
        <w:t>)</w:t>
      </w:r>
      <w:r>
        <w:rPr>
          <w:sz w:val="26"/>
          <w:rtl/>
        </w:rPr>
        <w:tab/>
      </w:r>
      <w:r>
        <w:rPr>
          <w:rFonts w:hint="cs"/>
          <w:sz w:val="26"/>
          <w:rtl/>
        </w:rPr>
        <w:t>المواد 32-34.</w:t>
      </w:r>
    </w:p>
  </w:footnote>
  <w:footnote w:id="69">
    <w:p w:rsidR="0058053B" w:rsidRPr="00DC414F" w:rsidRDefault="0058053B" w:rsidP="00225595">
      <w:pPr>
        <w:pStyle w:val="FootnoteText1"/>
      </w:pPr>
      <w:r w:rsidRPr="00DC414F">
        <w:rPr>
          <w:rtl/>
        </w:rPr>
        <w:t>(</w:t>
      </w:r>
      <w:r w:rsidRPr="00DC414F">
        <w:rPr>
          <w:rStyle w:val="FootnoteReference"/>
          <w:vertAlign w:val="baseline"/>
        </w:rPr>
        <w:footnoteRef/>
      </w:r>
      <w:r>
        <w:rPr>
          <w:sz w:val="26"/>
          <w:rtl/>
        </w:rPr>
        <w:t>)</w:t>
      </w:r>
      <w:r>
        <w:rPr>
          <w:sz w:val="26"/>
          <w:rtl/>
        </w:rPr>
        <w:tab/>
      </w:r>
      <w:r>
        <w:rPr>
          <w:rFonts w:hint="cs"/>
          <w:sz w:val="26"/>
          <w:rtl/>
        </w:rPr>
        <w:t>المادتان 35 و36.</w:t>
      </w:r>
    </w:p>
  </w:footnote>
  <w:footnote w:id="70">
    <w:p w:rsidR="0058053B" w:rsidRPr="00DC414F" w:rsidRDefault="0058053B" w:rsidP="00225595">
      <w:pPr>
        <w:pStyle w:val="FootnoteText1"/>
      </w:pPr>
      <w:r w:rsidRPr="00DC414F">
        <w:rPr>
          <w:rtl/>
        </w:rPr>
        <w:t>(</w:t>
      </w:r>
      <w:r w:rsidRPr="00DC414F">
        <w:rPr>
          <w:rStyle w:val="FootnoteReference"/>
          <w:vertAlign w:val="baseline"/>
        </w:rPr>
        <w:footnoteRef/>
      </w:r>
      <w:r>
        <w:rPr>
          <w:sz w:val="26"/>
          <w:rtl/>
        </w:rPr>
        <w:t>)</w:t>
      </w:r>
      <w:r>
        <w:rPr>
          <w:sz w:val="26"/>
          <w:rtl/>
        </w:rPr>
        <w:tab/>
      </w:r>
      <w:r>
        <w:rPr>
          <w:rFonts w:hint="cs"/>
          <w:sz w:val="26"/>
          <w:rtl/>
        </w:rPr>
        <w:t>انظر على سبيل المثال قانون الأشخاص ذوي الإعاقة، أوغندا، 2006. وانظر أيضاً قانون مكافحة المثلية، أوغندا، 2014، الذي يتناول حقوق الأقليات الجنسية.</w:t>
      </w:r>
    </w:p>
  </w:footnote>
  <w:footnote w:id="71">
    <w:p w:rsidR="0058053B" w:rsidRPr="004060F9" w:rsidRDefault="0058053B" w:rsidP="004060F9">
      <w:pPr>
        <w:pStyle w:val="FootnoteText1"/>
        <w:rPr>
          <w:spacing w:val="-4"/>
        </w:rPr>
      </w:pPr>
      <w:r w:rsidRPr="004060F9">
        <w:rPr>
          <w:spacing w:val="-4"/>
          <w:rtl/>
        </w:rPr>
        <w:t>(</w:t>
      </w:r>
      <w:r w:rsidRPr="004060F9">
        <w:rPr>
          <w:rStyle w:val="FootnoteReference"/>
          <w:spacing w:val="-4"/>
          <w:vertAlign w:val="baseline"/>
        </w:rPr>
        <w:footnoteRef/>
      </w:r>
      <w:r w:rsidRPr="004060F9">
        <w:rPr>
          <w:spacing w:val="-4"/>
          <w:sz w:val="26"/>
          <w:rtl/>
        </w:rPr>
        <w:t>)</w:t>
      </w:r>
      <w:r w:rsidRPr="004060F9">
        <w:rPr>
          <w:spacing w:val="-4"/>
          <w:sz w:val="26"/>
          <w:rtl/>
        </w:rPr>
        <w:tab/>
      </w:r>
      <w:r w:rsidRPr="004060F9">
        <w:rPr>
          <w:rFonts w:hint="cs"/>
          <w:spacing w:val="-4"/>
          <w:sz w:val="26"/>
          <w:rtl/>
        </w:rPr>
        <w:t>"بروتوكول الميثاق الأفريقي لحقوق الإنسان والشعوب"، المتعلق بإنشاء محكمة أفريقية لحقوق الإنسان والشعوب 23</w:t>
      </w:r>
      <w:r w:rsidR="004060F9" w:rsidRPr="004060F9">
        <w:rPr>
          <w:rFonts w:hint="cs"/>
          <w:spacing w:val="-4"/>
          <w:sz w:val="26"/>
          <w:rtl/>
        </w:rPr>
        <w:t xml:space="preserve"> تموز/يوليه 201</w:t>
      </w:r>
      <w:r w:rsidRPr="004060F9">
        <w:rPr>
          <w:rFonts w:hint="cs"/>
          <w:spacing w:val="-4"/>
          <w:sz w:val="26"/>
          <w:rtl/>
        </w:rPr>
        <w:t xml:space="preserve">، </w:t>
      </w:r>
      <w:r w:rsidRPr="004060F9">
        <w:rPr>
          <w:rStyle w:val="Link"/>
          <w:rFonts w:eastAsia="Arial Unicode MS"/>
          <w:spacing w:val="-4"/>
          <w:u w:val="none"/>
        </w:rPr>
        <w:t>www.african-court.org/en/images/documents/New/Statuts_of_the_Ratification_</w:t>
      </w:r>
      <w:r w:rsidRPr="004060F9">
        <w:rPr>
          <w:rStyle w:val="Link"/>
          <w:rFonts w:eastAsia="Arial Unicode MS"/>
          <w:spacing w:val="-4"/>
          <w:u w:val="none"/>
        </w:rPr>
        <w:br/>
      </w:r>
      <w:proofErr w:type="spellStart"/>
      <w:r w:rsidRPr="004060F9">
        <w:rPr>
          <w:rStyle w:val="Link"/>
          <w:rFonts w:eastAsia="Arial Unicode MS"/>
          <w:spacing w:val="-4"/>
          <w:u w:val="none"/>
        </w:rPr>
        <w:t>of_Protocol_Establishing_African_Court</w:t>
      </w:r>
      <w:proofErr w:type="spellEnd"/>
      <w:r w:rsidRPr="004060F9">
        <w:rPr>
          <w:rFonts w:hint="cs"/>
          <w:spacing w:val="-4"/>
          <w:sz w:val="26"/>
          <w:rtl/>
        </w:rPr>
        <w:t>، تمت زيارته في 11 آذار/مارس 2015.</w:t>
      </w:r>
    </w:p>
  </w:footnote>
  <w:footnote w:id="72">
    <w:p w:rsidR="0058053B" w:rsidRPr="004060F9" w:rsidRDefault="0058053B" w:rsidP="00225595">
      <w:pPr>
        <w:pStyle w:val="FootnoteText1"/>
      </w:pPr>
      <w:r w:rsidRPr="004060F9">
        <w:rPr>
          <w:rtl/>
        </w:rPr>
        <w:t>(</w:t>
      </w:r>
      <w:r w:rsidRPr="004060F9">
        <w:rPr>
          <w:rStyle w:val="FootnoteReference"/>
          <w:vertAlign w:val="baseline"/>
        </w:rPr>
        <w:footnoteRef/>
      </w:r>
      <w:r w:rsidRPr="004060F9">
        <w:rPr>
          <w:sz w:val="26"/>
          <w:rtl/>
        </w:rPr>
        <w:t>)</w:t>
      </w:r>
      <w:r w:rsidRPr="004060F9">
        <w:rPr>
          <w:sz w:val="26"/>
          <w:rtl/>
        </w:rPr>
        <w:tab/>
      </w:r>
      <w:r w:rsidRPr="004060F9">
        <w:rPr>
          <w:rFonts w:hint="cs"/>
          <w:sz w:val="26"/>
          <w:rtl/>
        </w:rPr>
        <w:t xml:space="preserve">"اللجنة الأفريقية لحقوق الإنسان والشعوب - تقديم التقارير الحكومية": </w:t>
      </w:r>
      <w:hyperlink r:id="rId2" w:history="1">
        <w:r w:rsidRPr="004060F9">
          <w:rPr>
            <w:rStyle w:val="Link"/>
            <w:rFonts w:eastAsia="Arial Unicode MS"/>
            <w:u w:val="none"/>
          </w:rPr>
          <w:t>http://www.achpr.org/states/</w:t>
        </w:r>
      </w:hyperlink>
      <w:r w:rsidRPr="004060F9">
        <w:rPr>
          <w:rFonts w:hint="cs"/>
          <w:sz w:val="26"/>
          <w:rtl/>
        </w:rPr>
        <w:t>، تمت زيارته في 11 آذار/مارس 2015.</w:t>
      </w:r>
    </w:p>
  </w:footnote>
  <w:footnote w:id="73">
    <w:p w:rsidR="0058053B" w:rsidRPr="00DC414F" w:rsidRDefault="0058053B" w:rsidP="00225595">
      <w:pPr>
        <w:pStyle w:val="FootnoteText1"/>
      </w:pPr>
      <w:r w:rsidRPr="00DC414F">
        <w:rPr>
          <w:rtl/>
        </w:rPr>
        <w:t>(</w:t>
      </w:r>
      <w:r w:rsidRPr="00DC414F">
        <w:rPr>
          <w:rStyle w:val="FootnoteReference"/>
          <w:vertAlign w:val="baseline"/>
        </w:rPr>
        <w:footnoteRef/>
      </w:r>
      <w:r>
        <w:rPr>
          <w:sz w:val="26"/>
          <w:rtl/>
        </w:rPr>
        <w:t>)</w:t>
      </w:r>
      <w:r>
        <w:rPr>
          <w:sz w:val="26"/>
          <w:rtl/>
        </w:rPr>
        <w:tab/>
      </w:r>
      <w:r>
        <w:rPr>
          <w:rFonts w:hint="cs"/>
          <w:sz w:val="26"/>
          <w:rtl/>
        </w:rPr>
        <w:t>تشمل القوانين التي سُنّت قانونَ اللجنة المعنية بتكافؤ الفرص، 2007، وقانون أوغندا الخاص بالجنسية ومراقبة الهجرة، وقانون مكافحة الفساد، 2009، وقانون منع الاتجار بالأشخاص، 2009، وقانون الأراضي (المعدل)، 2010، وقانون العنف المنزلي، 2010، وقانون الأحزاب والمنظمات (المعدل)، 2010؛ وقانون حظر تشويه الأعضاء التناسلية للإناث، 2010؛ وقانون حماية المبلغين عن المخالفات، وقوانين أخرى.</w:t>
      </w:r>
    </w:p>
  </w:footnote>
  <w:footnote w:id="74">
    <w:p w:rsidR="0058053B" w:rsidRPr="00DC414F" w:rsidRDefault="0058053B" w:rsidP="00225595">
      <w:pPr>
        <w:pStyle w:val="FootnoteText1"/>
      </w:pPr>
      <w:r w:rsidRPr="00DC414F">
        <w:rPr>
          <w:rtl/>
        </w:rPr>
        <w:t>(</w:t>
      </w:r>
      <w:r w:rsidRPr="00DC414F">
        <w:rPr>
          <w:rStyle w:val="FootnoteReference"/>
          <w:vertAlign w:val="baseline"/>
        </w:rPr>
        <w:footnoteRef/>
      </w:r>
      <w:r>
        <w:rPr>
          <w:sz w:val="26"/>
          <w:rtl/>
        </w:rPr>
        <w:t>)</w:t>
      </w:r>
      <w:r>
        <w:rPr>
          <w:sz w:val="26"/>
          <w:rtl/>
        </w:rPr>
        <w:tab/>
      </w:r>
      <w:r>
        <w:rPr>
          <w:rFonts w:hint="cs"/>
          <w:sz w:val="26"/>
          <w:rtl/>
        </w:rPr>
        <w:t xml:space="preserve">تشمل الأمثلة على هذه القوانين ما يلي: قانون الحكومة المحلية (إقليم </w:t>
      </w:r>
      <w:proofErr w:type="spellStart"/>
      <w:r>
        <w:rPr>
          <w:rFonts w:hint="cs"/>
          <w:sz w:val="26"/>
          <w:rtl/>
        </w:rPr>
        <w:t>إغانغا</w:t>
      </w:r>
      <w:proofErr w:type="spellEnd"/>
      <w:r>
        <w:rPr>
          <w:rFonts w:hint="cs"/>
          <w:sz w:val="26"/>
          <w:rtl/>
        </w:rPr>
        <w:t xml:space="preserve">) (الأشخاص ذوو الإعاقة)، 2013؛ وقانون الحكومة المحلية (مقاطعة </w:t>
      </w:r>
      <w:proofErr w:type="spellStart"/>
      <w:r>
        <w:rPr>
          <w:rFonts w:hint="cs"/>
          <w:sz w:val="26"/>
          <w:rtl/>
        </w:rPr>
        <w:t>أمولاتور</w:t>
      </w:r>
      <w:proofErr w:type="spellEnd"/>
      <w:r>
        <w:rPr>
          <w:rFonts w:hint="cs"/>
          <w:sz w:val="26"/>
          <w:rtl/>
        </w:rPr>
        <w:t xml:space="preserve">) (التعليم)، 2013؛ وقانون الحكومة المحلية (إقليم </w:t>
      </w:r>
      <w:proofErr w:type="spellStart"/>
      <w:r>
        <w:rPr>
          <w:rFonts w:hint="cs"/>
          <w:sz w:val="26"/>
          <w:rtl/>
        </w:rPr>
        <w:t>كاسيسي</w:t>
      </w:r>
      <w:proofErr w:type="spellEnd"/>
      <w:r>
        <w:rPr>
          <w:rFonts w:hint="cs"/>
          <w:sz w:val="26"/>
          <w:rtl/>
        </w:rPr>
        <w:t xml:space="preserve">) (حماية الطفل وتوظيف العمال)، 2012. واعتمدت أباك وأروا </w:t>
      </w:r>
      <w:proofErr w:type="spellStart"/>
      <w:r>
        <w:rPr>
          <w:rFonts w:hint="cs"/>
          <w:sz w:val="26"/>
          <w:rtl/>
        </w:rPr>
        <w:t>وأويام</w:t>
      </w:r>
      <w:proofErr w:type="spellEnd"/>
      <w:r>
        <w:rPr>
          <w:rFonts w:hint="cs"/>
          <w:sz w:val="26"/>
          <w:rtl/>
        </w:rPr>
        <w:t xml:space="preserve"> </w:t>
      </w:r>
      <w:proofErr w:type="spellStart"/>
      <w:r>
        <w:rPr>
          <w:rFonts w:hint="cs"/>
          <w:sz w:val="26"/>
          <w:rtl/>
        </w:rPr>
        <w:t>وكيتغوم</w:t>
      </w:r>
      <w:proofErr w:type="spellEnd"/>
      <w:r>
        <w:rPr>
          <w:rFonts w:hint="cs"/>
          <w:sz w:val="26"/>
          <w:rtl/>
        </w:rPr>
        <w:t xml:space="preserve"> وبادر </w:t>
      </w:r>
      <w:proofErr w:type="spellStart"/>
      <w:r>
        <w:rPr>
          <w:rFonts w:hint="cs"/>
          <w:sz w:val="26"/>
          <w:rtl/>
        </w:rPr>
        <w:t>وأموريا</w:t>
      </w:r>
      <w:proofErr w:type="spellEnd"/>
      <w:r>
        <w:rPr>
          <w:rFonts w:hint="cs"/>
          <w:sz w:val="26"/>
          <w:rtl/>
        </w:rPr>
        <w:t xml:space="preserve"> قوانين لتعزيز حماية الحق في التعليم عام 2011.</w:t>
      </w:r>
    </w:p>
  </w:footnote>
  <w:footnote w:id="75">
    <w:p w:rsidR="0058053B" w:rsidRPr="00E22770" w:rsidRDefault="0058053B" w:rsidP="00225595">
      <w:pPr>
        <w:pStyle w:val="FootnoteText1"/>
      </w:pPr>
      <w:r w:rsidRPr="00DC414F">
        <w:rPr>
          <w:rtl/>
        </w:rPr>
        <w:t>(</w:t>
      </w:r>
      <w:r w:rsidRPr="00DC414F">
        <w:rPr>
          <w:rStyle w:val="FootnoteReference"/>
          <w:vertAlign w:val="baseline"/>
        </w:rPr>
        <w:footnoteRef/>
      </w:r>
      <w:r>
        <w:rPr>
          <w:sz w:val="26"/>
          <w:rtl/>
        </w:rPr>
        <w:t>)</w:t>
      </w:r>
      <w:r>
        <w:rPr>
          <w:sz w:val="26"/>
          <w:rtl/>
        </w:rPr>
        <w:tab/>
      </w:r>
      <w:r>
        <w:rPr>
          <w:rFonts w:hint="cs"/>
          <w:sz w:val="26"/>
          <w:rtl/>
        </w:rPr>
        <w:t xml:space="preserve">دستور جمهورية أوغندا، (1995)؛ </w:t>
      </w:r>
      <w:r>
        <w:rPr>
          <w:rFonts w:hint="cs"/>
          <w:i/>
          <w:iCs/>
          <w:sz w:val="26"/>
          <w:rtl/>
        </w:rPr>
        <w:t>الأهداف والمبادئ التوجيهية الوطنية لسياسة الدولة</w:t>
      </w:r>
      <w:r>
        <w:rPr>
          <w:rFonts w:hint="cs"/>
          <w:sz w:val="26"/>
          <w:rtl/>
        </w:rPr>
        <w:t>. وتوجد هذه الأهداف والمبادئ في بداية الدستور، وهي باتت منذ التعديلات الدستورية لعام 2005 جزءاً قابلاً للتنفيذ من الدستور، وبالتالي فهي لم تعد مجرد طموحات بل يمكن التقاضي بشأنها.</w:t>
      </w:r>
    </w:p>
  </w:footnote>
  <w:footnote w:id="76">
    <w:p w:rsidR="0058053B" w:rsidRPr="00E22770" w:rsidRDefault="0058053B" w:rsidP="00225595">
      <w:pPr>
        <w:pStyle w:val="FootnoteText1"/>
      </w:pPr>
      <w:r w:rsidRPr="00DC414F">
        <w:rPr>
          <w:rtl/>
        </w:rPr>
        <w:t>(</w:t>
      </w:r>
      <w:r w:rsidRPr="00DC414F">
        <w:rPr>
          <w:rStyle w:val="FootnoteReference"/>
          <w:vertAlign w:val="baseline"/>
        </w:rPr>
        <w:footnoteRef/>
      </w:r>
      <w:r>
        <w:rPr>
          <w:sz w:val="26"/>
          <w:rtl/>
        </w:rPr>
        <w:t>)</w:t>
      </w:r>
      <w:r>
        <w:rPr>
          <w:sz w:val="26"/>
          <w:rtl/>
        </w:rPr>
        <w:tab/>
      </w:r>
      <w:r>
        <w:rPr>
          <w:rFonts w:hint="cs"/>
          <w:sz w:val="26"/>
          <w:rtl/>
        </w:rPr>
        <w:t>على سبيل المثال، وضع قوانين تيسر تنفيذ المادتين 32 و33 من الدستور.</w:t>
      </w:r>
    </w:p>
  </w:footnote>
  <w:footnote w:id="77">
    <w:p w:rsidR="0058053B" w:rsidRPr="00E22770" w:rsidRDefault="0058053B" w:rsidP="00225595">
      <w:pPr>
        <w:pStyle w:val="FootnoteText1"/>
      </w:pPr>
      <w:r w:rsidRPr="00DC414F">
        <w:rPr>
          <w:rtl/>
        </w:rPr>
        <w:t>(</w:t>
      </w:r>
      <w:r w:rsidRPr="00DC414F">
        <w:rPr>
          <w:rStyle w:val="FootnoteReference"/>
          <w:vertAlign w:val="baseline"/>
        </w:rPr>
        <w:footnoteRef/>
      </w:r>
      <w:r>
        <w:rPr>
          <w:sz w:val="26"/>
          <w:rtl/>
        </w:rPr>
        <w:t>)</w:t>
      </w:r>
      <w:r>
        <w:rPr>
          <w:sz w:val="26"/>
          <w:rtl/>
        </w:rPr>
        <w:tab/>
      </w:r>
      <w:hyperlink r:id="rId3" w:history="1">
        <w:r w:rsidRPr="00096833">
          <w:rPr>
            <w:rStyle w:val="Hyperlink"/>
          </w:rPr>
          <w:t>www.jlos.go.ug</w:t>
        </w:r>
      </w:hyperlink>
      <w:r>
        <w:rPr>
          <w:rFonts w:hint="cs"/>
          <w:sz w:val="26"/>
          <w:rtl/>
        </w:rPr>
        <w:t>.</w:t>
      </w:r>
    </w:p>
  </w:footnote>
  <w:footnote w:id="78">
    <w:p w:rsidR="0058053B" w:rsidRPr="00E22770" w:rsidRDefault="0058053B" w:rsidP="00225595">
      <w:pPr>
        <w:pStyle w:val="FootnoteText1"/>
      </w:pPr>
      <w:r w:rsidRPr="00DC414F">
        <w:rPr>
          <w:rtl/>
        </w:rPr>
        <w:t>(</w:t>
      </w:r>
      <w:r w:rsidRPr="00DC414F">
        <w:rPr>
          <w:rStyle w:val="FootnoteReference"/>
          <w:vertAlign w:val="baseline"/>
        </w:rPr>
        <w:footnoteRef/>
      </w:r>
      <w:r>
        <w:rPr>
          <w:sz w:val="26"/>
          <w:rtl/>
        </w:rPr>
        <w:t>)</w:t>
      </w:r>
      <w:r>
        <w:rPr>
          <w:sz w:val="26"/>
          <w:rtl/>
        </w:rPr>
        <w:tab/>
      </w:r>
      <w:r>
        <w:rPr>
          <w:rFonts w:hint="cs"/>
          <w:sz w:val="26"/>
          <w:rtl/>
        </w:rPr>
        <w:t>المادة 32.</w:t>
      </w:r>
    </w:p>
  </w:footnote>
  <w:footnote w:id="79">
    <w:p w:rsidR="0058053B" w:rsidRPr="00E22770" w:rsidRDefault="0058053B" w:rsidP="00225595">
      <w:pPr>
        <w:pStyle w:val="FootnoteText1"/>
      </w:pPr>
      <w:r w:rsidRPr="00DC414F">
        <w:rPr>
          <w:rtl/>
        </w:rPr>
        <w:t>(</w:t>
      </w:r>
      <w:r w:rsidRPr="00DC414F">
        <w:rPr>
          <w:rStyle w:val="FootnoteReference"/>
          <w:vertAlign w:val="baseline"/>
        </w:rPr>
        <w:footnoteRef/>
      </w:r>
      <w:r>
        <w:rPr>
          <w:sz w:val="26"/>
          <w:rtl/>
        </w:rPr>
        <w:t>)</w:t>
      </w:r>
      <w:r>
        <w:rPr>
          <w:sz w:val="26"/>
          <w:rtl/>
        </w:rPr>
        <w:tab/>
      </w:r>
      <w:r>
        <w:rPr>
          <w:rFonts w:hint="cs"/>
          <w:sz w:val="26"/>
          <w:rtl/>
        </w:rPr>
        <w:t>المرجع نفسه.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53B" w:rsidRPr="00225595" w:rsidRDefault="0058053B" w:rsidP="00225595">
    <w:pPr>
      <w:pStyle w:val="Header"/>
      <w:jc w:val="right"/>
    </w:pPr>
    <w:r w:rsidRPr="00225595">
      <w:t>HRI/CORE/UGA/2015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53B" w:rsidRPr="00225595" w:rsidRDefault="0058053B" w:rsidP="00225595">
    <w:pPr>
      <w:pStyle w:val="Header"/>
      <w:jc w:val="left"/>
    </w:pPr>
    <w:r w:rsidRPr="00225595">
      <w:t>HRI/CORE/UGA/2015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51AF4"/>
    <w:multiLevelType w:val="hybridMultilevel"/>
    <w:tmpl w:val="7740538E"/>
    <w:lvl w:ilvl="0" w:tplc="E89AD7DE">
      <w:start w:val="1"/>
      <w:numFmt w:val="bullet"/>
      <w:pStyle w:val="Bullet1GA"/>
      <w:lvlText w:val=""/>
      <w:lvlJc w:val="left"/>
      <w:pPr>
        <w:tabs>
          <w:tab w:val="num" w:pos="2495"/>
        </w:tabs>
        <w:ind w:left="2495" w:hanging="54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5F272F0"/>
    <w:multiLevelType w:val="hybridMultilevel"/>
    <w:tmpl w:val="842AD3E4"/>
    <w:lvl w:ilvl="0" w:tplc="E6B8D5B8">
      <w:start w:val="1"/>
      <w:numFmt w:val="decimal"/>
      <w:pStyle w:val="Roman1GA"/>
      <w:lvlText w:val="'%1'"/>
      <w:lvlJc w:val="right"/>
      <w:pPr>
        <w:tabs>
          <w:tab w:val="num" w:pos="2310"/>
        </w:tabs>
        <w:ind w:left="2310" w:hanging="360"/>
      </w:pPr>
      <w:rPr>
        <w:rFonts w:ascii="Times New Roman" w:hAnsi="Times New Roman" w:cs="Traditional Arabic" w:hint="default"/>
        <w:sz w:val="20"/>
        <w:szCs w:val="28"/>
      </w:rPr>
    </w:lvl>
    <w:lvl w:ilvl="1" w:tplc="04090003" w:tentative="1">
      <w:start w:val="1"/>
      <w:numFmt w:val="bullet"/>
      <w:lvlText w:val="o"/>
      <w:lvlJc w:val="left"/>
      <w:pPr>
        <w:tabs>
          <w:tab w:val="num" w:pos="3028"/>
        </w:tabs>
        <w:ind w:left="3028" w:hanging="360"/>
      </w:pPr>
      <w:rPr>
        <w:rFonts w:ascii="Courier New" w:hAnsi="Courier New" w:cs="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cs="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cs="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2">
    <w:nsid w:val="32A75D52"/>
    <w:multiLevelType w:val="hybridMultilevel"/>
    <w:tmpl w:val="AF6C6348"/>
    <w:lvl w:ilvl="0" w:tplc="308CB36A">
      <w:start w:val="1"/>
      <w:numFmt w:val="decimal"/>
      <w:pStyle w:val="ParaNoGA"/>
      <w:lvlText w:val="%1-"/>
      <w:lvlJc w:val="left"/>
      <w:pPr>
        <w:tabs>
          <w:tab w:val="num" w:pos="1361"/>
        </w:tabs>
        <w:ind w:left="1247"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B1137F0"/>
    <w:multiLevelType w:val="hybridMultilevel"/>
    <w:tmpl w:val="3DC4F640"/>
    <w:lvl w:ilvl="0" w:tplc="04090001">
      <w:start w:val="1"/>
      <w:numFmt w:val="bullet"/>
      <w:lvlText w:val=""/>
      <w:lvlJc w:val="left"/>
      <w:pPr>
        <w:ind w:left="2080" w:hanging="360"/>
      </w:pPr>
      <w:rPr>
        <w:rFonts w:ascii="Symbol" w:hAnsi="Symbol" w:hint="default"/>
      </w:rPr>
    </w:lvl>
    <w:lvl w:ilvl="1" w:tplc="04090003" w:tentative="1">
      <w:start w:val="1"/>
      <w:numFmt w:val="bullet"/>
      <w:lvlText w:val="o"/>
      <w:lvlJc w:val="left"/>
      <w:pPr>
        <w:ind w:left="2800" w:hanging="360"/>
      </w:pPr>
      <w:rPr>
        <w:rFonts w:ascii="Courier New" w:hAnsi="Courier New" w:cs="Courier New" w:hint="default"/>
      </w:rPr>
    </w:lvl>
    <w:lvl w:ilvl="2" w:tplc="04090005" w:tentative="1">
      <w:start w:val="1"/>
      <w:numFmt w:val="bullet"/>
      <w:lvlText w:val=""/>
      <w:lvlJc w:val="left"/>
      <w:pPr>
        <w:ind w:left="3520" w:hanging="360"/>
      </w:pPr>
      <w:rPr>
        <w:rFonts w:ascii="Wingdings" w:hAnsi="Wingdings" w:hint="default"/>
      </w:rPr>
    </w:lvl>
    <w:lvl w:ilvl="3" w:tplc="04090001" w:tentative="1">
      <w:start w:val="1"/>
      <w:numFmt w:val="bullet"/>
      <w:lvlText w:val=""/>
      <w:lvlJc w:val="left"/>
      <w:pPr>
        <w:ind w:left="4240" w:hanging="360"/>
      </w:pPr>
      <w:rPr>
        <w:rFonts w:ascii="Symbol" w:hAnsi="Symbol" w:hint="default"/>
      </w:rPr>
    </w:lvl>
    <w:lvl w:ilvl="4" w:tplc="04090003" w:tentative="1">
      <w:start w:val="1"/>
      <w:numFmt w:val="bullet"/>
      <w:lvlText w:val="o"/>
      <w:lvlJc w:val="left"/>
      <w:pPr>
        <w:ind w:left="4960" w:hanging="360"/>
      </w:pPr>
      <w:rPr>
        <w:rFonts w:ascii="Courier New" w:hAnsi="Courier New" w:cs="Courier New" w:hint="default"/>
      </w:rPr>
    </w:lvl>
    <w:lvl w:ilvl="5" w:tplc="04090005" w:tentative="1">
      <w:start w:val="1"/>
      <w:numFmt w:val="bullet"/>
      <w:lvlText w:val=""/>
      <w:lvlJc w:val="left"/>
      <w:pPr>
        <w:ind w:left="5680" w:hanging="360"/>
      </w:pPr>
      <w:rPr>
        <w:rFonts w:ascii="Wingdings" w:hAnsi="Wingdings" w:hint="default"/>
      </w:rPr>
    </w:lvl>
    <w:lvl w:ilvl="6" w:tplc="04090001" w:tentative="1">
      <w:start w:val="1"/>
      <w:numFmt w:val="bullet"/>
      <w:lvlText w:val=""/>
      <w:lvlJc w:val="left"/>
      <w:pPr>
        <w:ind w:left="6400" w:hanging="360"/>
      </w:pPr>
      <w:rPr>
        <w:rFonts w:ascii="Symbol" w:hAnsi="Symbol" w:hint="default"/>
      </w:rPr>
    </w:lvl>
    <w:lvl w:ilvl="7" w:tplc="04090003" w:tentative="1">
      <w:start w:val="1"/>
      <w:numFmt w:val="bullet"/>
      <w:lvlText w:val="o"/>
      <w:lvlJc w:val="left"/>
      <w:pPr>
        <w:ind w:left="7120" w:hanging="360"/>
      </w:pPr>
      <w:rPr>
        <w:rFonts w:ascii="Courier New" w:hAnsi="Courier New" w:cs="Courier New" w:hint="default"/>
      </w:rPr>
    </w:lvl>
    <w:lvl w:ilvl="8" w:tplc="04090005" w:tentative="1">
      <w:start w:val="1"/>
      <w:numFmt w:val="bullet"/>
      <w:lvlText w:val=""/>
      <w:lvlJc w:val="left"/>
      <w:pPr>
        <w:ind w:left="7840" w:hanging="360"/>
      </w:pPr>
      <w:rPr>
        <w:rFonts w:ascii="Wingdings" w:hAnsi="Wingdings" w:hint="default"/>
      </w:rPr>
    </w:lvl>
  </w:abstractNum>
  <w:abstractNum w:abstractNumId="4">
    <w:nsid w:val="454B2370"/>
    <w:multiLevelType w:val="hybridMultilevel"/>
    <w:tmpl w:val="64AEC0BA"/>
    <w:lvl w:ilvl="0" w:tplc="DE1A3C16">
      <w:start w:val="1"/>
      <w:numFmt w:val="bullet"/>
      <w:pStyle w:val="Bullet2GA"/>
      <w:lvlText w:val=""/>
      <w:lvlJc w:val="left"/>
      <w:pPr>
        <w:tabs>
          <w:tab w:val="num" w:pos="3215"/>
        </w:tabs>
        <w:ind w:left="3215" w:hanging="360"/>
      </w:pPr>
      <w:rPr>
        <w:rFonts w:ascii="Symbol" w:hAnsi="Symbol" w:hint="default"/>
      </w:rPr>
    </w:lvl>
    <w:lvl w:ilvl="1" w:tplc="04090003" w:tentative="1">
      <w:start w:val="1"/>
      <w:numFmt w:val="bullet"/>
      <w:lvlText w:val="o"/>
      <w:lvlJc w:val="left"/>
      <w:pPr>
        <w:tabs>
          <w:tab w:val="num" w:pos="3935"/>
        </w:tabs>
        <w:ind w:left="3935" w:hanging="360"/>
      </w:pPr>
      <w:rPr>
        <w:rFonts w:ascii="Courier New" w:hAnsi="Courier New" w:cs="Courier New" w:hint="default"/>
      </w:rPr>
    </w:lvl>
    <w:lvl w:ilvl="2" w:tplc="04090005" w:tentative="1">
      <w:start w:val="1"/>
      <w:numFmt w:val="bullet"/>
      <w:lvlText w:val=""/>
      <w:lvlJc w:val="left"/>
      <w:pPr>
        <w:tabs>
          <w:tab w:val="num" w:pos="4655"/>
        </w:tabs>
        <w:ind w:left="4655" w:hanging="360"/>
      </w:pPr>
      <w:rPr>
        <w:rFonts w:ascii="Wingdings" w:hAnsi="Wingdings" w:hint="default"/>
      </w:rPr>
    </w:lvl>
    <w:lvl w:ilvl="3" w:tplc="04090001" w:tentative="1">
      <w:start w:val="1"/>
      <w:numFmt w:val="bullet"/>
      <w:lvlText w:val=""/>
      <w:lvlJc w:val="left"/>
      <w:pPr>
        <w:tabs>
          <w:tab w:val="num" w:pos="5375"/>
        </w:tabs>
        <w:ind w:left="5375" w:hanging="360"/>
      </w:pPr>
      <w:rPr>
        <w:rFonts w:ascii="Symbol" w:hAnsi="Symbol" w:hint="default"/>
      </w:rPr>
    </w:lvl>
    <w:lvl w:ilvl="4" w:tplc="04090003" w:tentative="1">
      <w:start w:val="1"/>
      <w:numFmt w:val="bullet"/>
      <w:lvlText w:val="o"/>
      <w:lvlJc w:val="left"/>
      <w:pPr>
        <w:tabs>
          <w:tab w:val="num" w:pos="6095"/>
        </w:tabs>
        <w:ind w:left="6095" w:hanging="360"/>
      </w:pPr>
      <w:rPr>
        <w:rFonts w:ascii="Courier New" w:hAnsi="Courier New" w:cs="Courier New" w:hint="default"/>
      </w:rPr>
    </w:lvl>
    <w:lvl w:ilvl="5" w:tplc="04090005" w:tentative="1">
      <w:start w:val="1"/>
      <w:numFmt w:val="bullet"/>
      <w:lvlText w:val=""/>
      <w:lvlJc w:val="left"/>
      <w:pPr>
        <w:tabs>
          <w:tab w:val="num" w:pos="6815"/>
        </w:tabs>
        <w:ind w:left="6815" w:hanging="360"/>
      </w:pPr>
      <w:rPr>
        <w:rFonts w:ascii="Wingdings" w:hAnsi="Wingdings" w:hint="default"/>
      </w:rPr>
    </w:lvl>
    <w:lvl w:ilvl="6" w:tplc="04090001" w:tentative="1">
      <w:start w:val="1"/>
      <w:numFmt w:val="bullet"/>
      <w:lvlText w:val=""/>
      <w:lvlJc w:val="left"/>
      <w:pPr>
        <w:tabs>
          <w:tab w:val="num" w:pos="7535"/>
        </w:tabs>
        <w:ind w:left="7535" w:hanging="360"/>
      </w:pPr>
      <w:rPr>
        <w:rFonts w:ascii="Symbol" w:hAnsi="Symbol" w:hint="default"/>
      </w:rPr>
    </w:lvl>
    <w:lvl w:ilvl="7" w:tplc="04090003" w:tentative="1">
      <w:start w:val="1"/>
      <w:numFmt w:val="bullet"/>
      <w:lvlText w:val="o"/>
      <w:lvlJc w:val="left"/>
      <w:pPr>
        <w:tabs>
          <w:tab w:val="num" w:pos="8255"/>
        </w:tabs>
        <w:ind w:left="8255" w:hanging="360"/>
      </w:pPr>
      <w:rPr>
        <w:rFonts w:ascii="Courier New" w:hAnsi="Courier New" w:cs="Courier New" w:hint="default"/>
      </w:rPr>
    </w:lvl>
    <w:lvl w:ilvl="8" w:tplc="04090005" w:tentative="1">
      <w:start w:val="1"/>
      <w:numFmt w:val="bullet"/>
      <w:lvlText w:val=""/>
      <w:lvlJc w:val="left"/>
      <w:pPr>
        <w:tabs>
          <w:tab w:val="num" w:pos="8975"/>
        </w:tabs>
        <w:ind w:left="8975" w:hanging="360"/>
      </w:pPr>
      <w:rPr>
        <w:rFonts w:ascii="Wingdings" w:hAnsi="Wingdings" w:hint="default"/>
      </w:rPr>
    </w:lvl>
  </w:abstractNum>
  <w:abstractNum w:abstractNumId="5">
    <w:nsid w:val="48F8044A"/>
    <w:multiLevelType w:val="hybridMultilevel"/>
    <w:tmpl w:val="973C8384"/>
    <w:lvl w:ilvl="0" w:tplc="F1944034">
      <w:start w:val="1"/>
      <w:numFmt w:val="decimal"/>
      <w:lvlText w:val="(%1)"/>
      <w:lvlJc w:val="right"/>
      <w:pPr>
        <w:ind w:left="720" w:hanging="360"/>
      </w:pPr>
      <w:rPr>
        <w:rFonts w:ascii="Traditional Arabic" w:hAnsi="Traditional Arabic" w:cs="Traditional Arabic"/>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CD5A59"/>
    <w:multiLevelType w:val="hybridMultilevel"/>
    <w:tmpl w:val="5D8E7F50"/>
    <w:lvl w:ilvl="0" w:tplc="F1944034">
      <w:start w:val="1"/>
      <w:numFmt w:val="decimal"/>
      <w:lvlRestart w:val="0"/>
      <w:lvlText w:val="(%1)"/>
      <w:lvlJc w:val="right"/>
      <w:pPr>
        <w:tabs>
          <w:tab w:val="num" w:pos="1292"/>
        </w:tabs>
        <w:ind w:left="1292" w:hanging="227"/>
      </w:pPr>
      <w:rPr>
        <w:rFonts w:ascii="Traditional Arabic" w:hAnsi="Traditional Arabic" w:cs="Traditional Arabic"/>
        <w:sz w:val="26"/>
        <w:szCs w:val="26"/>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nsid w:val="7AE32A09"/>
    <w:multiLevelType w:val="hybridMultilevel"/>
    <w:tmpl w:val="8F4C0150"/>
    <w:lvl w:ilvl="0" w:tplc="C9160F04">
      <w:start w:val="1"/>
      <w:numFmt w:val="decimal"/>
      <w:pStyle w:val="Roman2GA"/>
      <w:lvlText w:val="'%1'"/>
      <w:lvlJc w:val="right"/>
      <w:pPr>
        <w:tabs>
          <w:tab w:val="num" w:pos="2877"/>
        </w:tabs>
        <w:ind w:left="2877" w:hanging="360"/>
      </w:pPr>
      <w:rPr>
        <w:rFonts w:ascii="Times New Roman" w:hAnsi="Times New Roman" w:cs="Traditional Arabic" w:hint="default"/>
        <w:sz w:val="20"/>
        <w:szCs w:val="28"/>
      </w:rPr>
    </w:lvl>
    <w:lvl w:ilvl="1" w:tplc="04090003" w:tentative="1">
      <w:start w:val="1"/>
      <w:numFmt w:val="bullet"/>
      <w:lvlText w:val="o"/>
      <w:lvlJc w:val="left"/>
      <w:pPr>
        <w:tabs>
          <w:tab w:val="num" w:pos="3595"/>
        </w:tabs>
        <w:ind w:left="3595" w:hanging="360"/>
      </w:pPr>
      <w:rPr>
        <w:rFonts w:ascii="Courier New" w:hAnsi="Courier New" w:cs="Courier New" w:hint="default"/>
      </w:rPr>
    </w:lvl>
    <w:lvl w:ilvl="2" w:tplc="04090005" w:tentative="1">
      <w:start w:val="1"/>
      <w:numFmt w:val="bullet"/>
      <w:lvlText w:val=""/>
      <w:lvlJc w:val="left"/>
      <w:pPr>
        <w:tabs>
          <w:tab w:val="num" w:pos="4315"/>
        </w:tabs>
        <w:ind w:left="4315" w:hanging="360"/>
      </w:pPr>
      <w:rPr>
        <w:rFonts w:ascii="Wingdings" w:hAnsi="Wingdings" w:hint="default"/>
      </w:rPr>
    </w:lvl>
    <w:lvl w:ilvl="3" w:tplc="04090001" w:tentative="1">
      <w:start w:val="1"/>
      <w:numFmt w:val="bullet"/>
      <w:lvlText w:val=""/>
      <w:lvlJc w:val="left"/>
      <w:pPr>
        <w:tabs>
          <w:tab w:val="num" w:pos="5035"/>
        </w:tabs>
        <w:ind w:left="5035" w:hanging="360"/>
      </w:pPr>
      <w:rPr>
        <w:rFonts w:ascii="Symbol" w:hAnsi="Symbol" w:hint="default"/>
      </w:rPr>
    </w:lvl>
    <w:lvl w:ilvl="4" w:tplc="04090003" w:tentative="1">
      <w:start w:val="1"/>
      <w:numFmt w:val="bullet"/>
      <w:lvlText w:val="o"/>
      <w:lvlJc w:val="left"/>
      <w:pPr>
        <w:tabs>
          <w:tab w:val="num" w:pos="5755"/>
        </w:tabs>
        <w:ind w:left="5755" w:hanging="360"/>
      </w:pPr>
      <w:rPr>
        <w:rFonts w:ascii="Courier New" w:hAnsi="Courier New" w:cs="Courier New" w:hint="default"/>
      </w:rPr>
    </w:lvl>
    <w:lvl w:ilvl="5" w:tplc="04090005" w:tentative="1">
      <w:start w:val="1"/>
      <w:numFmt w:val="bullet"/>
      <w:lvlText w:val=""/>
      <w:lvlJc w:val="left"/>
      <w:pPr>
        <w:tabs>
          <w:tab w:val="num" w:pos="6475"/>
        </w:tabs>
        <w:ind w:left="6475" w:hanging="360"/>
      </w:pPr>
      <w:rPr>
        <w:rFonts w:ascii="Wingdings" w:hAnsi="Wingdings" w:hint="default"/>
      </w:rPr>
    </w:lvl>
    <w:lvl w:ilvl="6" w:tplc="04090001" w:tentative="1">
      <w:start w:val="1"/>
      <w:numFmt w:val="bullet"/>
      <w:lvlText w:val=""/>
      <w:lvlJc w:val="left"/>
      <w:pPr>
        <w:tabs>
          <w:tab w:val="num" w:pos="7195"/>
        </w:tabs>
        <w:ind w:left="7195" w:hanging="360"/>
      </w:pPr>
      <w:rPr>
        <w:rFonts w:ascii="Symbol" w:hAnsi="Symbol" w:hint="default"/>
      </w:rPr>
    </w:lvl>
    <w:lvl w:ilvl="7" w:tplc="04090003" w:tentative="1">
      <w:start w:val="1"/>
      <w:numFmt w:val="bullet"/>
      <w:lvlText w:val="o"/>
      <w:lvlJc w:val="left"/>
      <w:pPr>
        <w:tabs>
          <w:tab w:val="num" w:pos="7915"/>
        </w:tabs>
        <w:ind w:left="7915" w:hanging="360"/>
      </w:pPr>
      <w:rPr>
        <w:rFonts w:ascii="Courier New" w:hAnsi="Courier New" w:cs="Courier New" w:hint="default"/>
      </w:rPr>
    </w:lvl>
    <w:lvl w:ilvl="8" w:tplc="04090005" w:tentative="1">
      <w:start w:val="1"/>
      <w:numFmt w:val="bullet"/>
      <w:lvlText w:val=""/>
      <w:lvlJc w:val="left"/>
      <w:pPr>
        <w:tabs>
          <w:tab w:val="num" w:pos="8635"/>
        </w:tabs>
        <w:ind w:left="8635" w:hanging="360"/>
      </w:pPr>
      <w:rPr>
        <w:rFonts w:ascii="Wingdings" w:hAnsi="Wingdings" w:hint="default"/>
      </w:rPr>
    </w:lvl>
  </w:abstractNum>
  <w:num w:numId="1">
    <w:abstractNumId w:val="6"/>
  </w:num>
  <w:num w:numId="2">
    <w:abstractNumId w:val="5"/>
  </w:num>
  <w:num w:numId="3">
    <w:abstractNumId w:val="0"/>
  </w:num>
  <w:num w:numId="4">
    <w:abstractNumId w:val="4"/>
  </w:num>
  <w:num w:numId="5">
    <w:abstractNumId w:val="2"/>
  </w:num>
  <w:num w:numId="6">
    <w:abstractNumId w:val="1"/>
  </w:num>
  <w:num w:numId="7">
    <w:abstractNumId w:val="7"/>
  </w:num>
  <w:num w:numId="8">
    <w:abstractNumId w:val="0"/>
  </w:num>
  <w:num w:numId="9">
    <w:abstractNumId w:val="4"/>
  </w:num>
  <w:num w:numId="10">
    <w:abstractNumId w:val="1"/>
  </w:num>
  <w:num w:numId="11">
    <w:abstractNumId w:val="7"/>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attachedTemplate r:id="rId1"/>
  <w:defaultTabStop w:val="567"/>
  <w:evenAndOddHeaders/>
  <w:characterSpacingControl w:val="doNotCompress"/>
  <w:hdrShapeDefaults>
    <o:shapedefaults v:ext="edit" spidmax="16386"/>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autofitToFirstFixedWidthCell/>
    <w:underlineTabInNumList/>
    <w:displayHangulFixedWidth/>
    <w:splitPgBreakAndParaMark/>
    <w:doNotBreakConstrainedForcedTable/>
    <w:doNotVertAlignInTxbx/>
    <w:useAnsiKerningPairs/>
    <w:cachedColBalance/>
    <w:compatSetting w:name="compatibilityMode" w:uri="http://schemas.microsoft.com/office/word" w:val="14"/>
  </w:compat>
  <w:rsids>
    <w:rsidRoot w:val="006B5F81"/>
    <w:rsid w:val="000076D5"/>
    <w:rsid w:val="000241CD"/>
    <w:rsid w:val="00043663"/>
    <w:rsid w:val="000505CF"/>
    <w:rsid w:val="000637D8"/>
    <w:rsid w:val="000D65D7"/>
    <w:rsid w:val="000D701C"/>
    <w:rsid w:val="000D7903"/>
    <w:rsid w:val="000E05B2"/>
    <w:rsid w:val="000E2A71"/>
    <w:rsid w:val="00154E9B"/>
    <w:rsid w:val="00160263"/>
    <w:rsid w:val="00165B79"/>
    <w:rsid w:val="00181F96"/>
    <w:rsid w:val="001A1371"/>
    <w:rsid w:val="001B346A"/>
    <w:rsid w:val="001E1CAD"/>
    <w:rsid w:val="001E290D"/>
    <w:rsid w:val="001F3DE8"/>
    <w:rsid w:val="00207B11"/>
    <w:rsid w:val="002144FA"/>
    <w:rsid w:val="00225595"/>
    <w:rsid w:val="0023469A"/>
    <w:rsid w:val="00243C8A"/>
    <w:rsid w:val="0024789D"/>
    <w:rsid w:val="00267A0E"/>
    <w:rsid w:val="002901D9"/>
    <w:rsid w:val="002976C2"/>
    <w:rsid w:val="002B7D62"/>
    <w:rsid w:val="002E2803"/>
    <w:rsid w:val="00321C43"/>
    <w:rsid w:val="003260FF"/>
    <w:rsid w:val="00343D95"/>
    <w:rsid w:val="00354CC2"/>
    <w:rsid w:val="00357226"/>
    <w:rsid w:val="00364034"/>
    <w:rsid w:val="00374341"/>
    <w:rsid w:val="003D1062"/>
    <w:rsid w:val="004060F9"/>
    <w:rsid w:val="00420D7B"/>
    <w:rsid w:val="00430A1B"/>
    <w:rsid w:val="00441F02"/>
    <w:rsid w:val="00450B21"/>
    <w:rsid w:val="00453B63"/>
    <w:rsid w:val="00455780"/>
    <w:rsid w:val="00461417"/>
    <w:rsid w:val="004937A6"/>
    <w:rsid w:val="004B0A1C"/>
    <w:rsid w:val="004D298E"/>
    <w:rsid w:val="005023C9"/>
    <w:rsid w:val="00503148"/>
    <w:rsid w:val="0052244C"/>
    <w:rsid w:val="0054472E"/>
    <w:rsid w:val="00560699"/>
    <w:rsid w:val="00560E1D"/>
    <w:rsid w:val="00563BDF"/>
    <w:rsid w:val="005662A9"/>
    <w:rsid w:val="0058053B"/>
    <w:rsid w:val="005827D4"/>
    <w:rsid w:val="0059622A"/>
    <w:rsid w:val="005C5878"/>
    <w:rsid w:val="005C7CEA"/>
    <w:rsid w:val="005D3C0B"/>
    <w:rsid w:val="005E5217"/>
    <w:rsid w:val="005F0FA4"/>
    <w:rsid w:val="005F30EE"/>
    <w:rsid w:val="0060473A"/>
    <w:rsid w:val="00656392"/>
    <w:rsid w:val="0068781D"/>
    <w:rsid w:val="006959B0"/>
    <w:rsid w:val="006B3E27"/>
    <w:rsid w:val="006B5F81"/>
    <w:rsid w:val="006B6507"/>
    <w:rsid w:val="006C104C"/>
    <w:rsid w:val="00720F4B"/>
    <w:rsid w:val="00733704"/>
    <w:rsid w:val="007409EC"/>
    <w:rsid w:val="0078071A"/>
    <w:rsid w:val="00850A6F"/>
    <w:rsid w:val="00852A9A"/>
    <w:rsid w:val="008F49E1"/>
    <w:rsid w:val="0090370F"/>
    <w:rsid w:val="009229EC"/>
    <w:rsid w:val="009269D2"/>
    <w:rsid w:val="00942135"/>
    <w:rsid w:val="009521B0"/>
    <w:rsid w:val="00994130"/>
    <w:rsid w:val="009A7E9F"/>
    <w:rsid w:val="009C7937"/>
    <w:rsid w:val="009D4FC6"/>
    <w:rsid w:val="009E2388"/>
    <w:rsid w:val="009E5018"/>
    <w:rsid w:val="00A12B37"/>
    <w:rsid w:val="00A646C8"/>
    <w:rsid w:val="00AB6758"/>
    <w:rsid w:val="00B13763"/>
    <w:rsid w:val="00B477A4"/>
    <w:rsid w:val="00B54045"/>
    <w:rsid w:val="00C4241C"/>
    <w:rsid w:val="00C43876"/>
    <w:rsid w:val="00C438D7"/>
    <w:rsid w:val="00C81B50"/>
    <w:rsid w:val="00CB2109"/>
    <w:rsid w:val="00CB28F9"/>
    <w:rsid w:val="00CD1801"/>
    <w:rsid w:val="00D10EF1"/>
    <w:rsid w:val="00D42810"/>
    <w:rsid w:val="00D914A7"/>
    <w:rsid w:val="00DD13C3"/>
    <w:rsid w:val="00DD596E"/>
    <w:rsid w:val="00DD621E"/>
    <w:rsid w:val="00DE1CAF"/>
    <w:rsid w:val="00DF0575"/>
    <w:rsid w:val="00E60EE1"/>
    <w:rsid w:val="00E70E04"/>
    <w:rsid w:val="00E72584"/>
    <w:rsid w:val="00E76499"/>
    <w:rsid w:val="00EC05A7"/>
    <w:rsid w:val="00EC4B6B"/>
    <w:rsid w:val="00ED405A"/>
    <w:rsid w:val="00EF1EE5"/>
    <w:rsid w:val="00F03BEA"/>
    <w:rsid w:val="00F45701"/>
    <w:rsid w:val="00F61077"/>
    <w:rsid w:val="00F763B4"/>
    <w:rsid w:val="00F900C3"/>
    <w:rsid w:val="00FF2AB2"/>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text"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B3E27"/>
    <w:pPr>
      <w:bidi/>
      <w:spacing w:after="0" w:line="240" w:lineRule="atLeast"/>
      <w:jc w:val="lowKashida"/>
    </w:pPr>
    <w:rPr>
      <w:rFonts w:ascii="Times New Roman" w:hAnsi="Times New Roman" w:cs="Traditional Arabic"/>
      <w:sz w:val="20"/>
      <w:szCs w:val="30"/>
    </w:rPr>
  </w:style>
  <w:style w:type="paragraph" w:styleId="Heading1">
    <w:name w:val="heading 1"/>
    <w:aliases w:val="Table_GA"/>
    <w:basedOn w:val="SingleTxtGA"/>
    <w:next w:val="Normal"/>
    <w:link w:val="Heading1Char"/>
    <w:qFormat/>
    <w:rsid w:val="00AB6758"/>
    <w:pPr>
      <w:suppressAutoHyphens/>
      <w:bidi w:val="0"/>
      <w:outlineLvl w:val="0"/>
    </w:pPr>
  </w:style>
  <w:style w:type="paragraph" w:styleId="Heading2">
    <w:name w:val="heading 2"/>
    <w:basedOn w:val="Normal"/>
    <w:next w:val="Normal"/>
    <w:link w:val="Heading2Char"/>
    <w:uiPriority w:val="9"/>
    <w:unhideWhenUsed/>
    <w:rsid w:val="004557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rsid w:val="00EC4B6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EC4B6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EC4B6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EC4B6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EC4B6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EC4B6B"/>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rsid w:val="00EC4B6B"/>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A1371"/>
    <w:pPr>
      <w:spacing w:line="240" w:lineRule="auto"/>
    </w:pPr>
    <w:rPr>
      <w:szCs w:val="20"/>
    </w:rPr>
  </w:style>
  <w:style w:type="character" w:customStyle="1" w:styleId="FootnoteTextChar">
    <w:name w:val="Footnote Text Char"/>
    <w:basedOn w:val="DefaultParagraphFont"/>
    <w:link w:val="FootnoteText"/>
    <w:uiPriority w:val="99"/>
    <w:semiHidden/>
    <w:rsid w:val="001A1371"/>
    <w:rPr>
      <w:sz w:val="20"/>
      <w:szCs w:val="20"/>
    </w:rPr>
  </w:style>
  <w:style w:type="character" w:styleId="FootnoteReference">
    <w:name w:val="footnote reference"/>
    <w:aliases w:val="4_GA"/>
    <w:basedOn w:val="DefaultParagraphFont"/>
    <w:qFormat/>
    <w:rsid w:val="00AB6758"/>
    <w:rPr>
      <w:rFonts w:ascii="Times New Roman" w:hAnsi="Times New Roman" w:cs="Traditional Arabic"/>
      <w:b/>
      <w:kern w:val="0"/>
      <w:sz w:val="18"/>
      <w:szCs w:val="28"/>
      <w:vertAlign w:val="superscript"/>
    </w:rPr>
  </w:style>
  <w:style w:type="paragraph" w:customStyle="1" w:styleId="HMGA">
    <w:name w:val="_ H __M_GA"/>
    <w:basedOn w:val="Normal"/>
    <w:next w:val="Normal"/>
    <w:qFormat/>
    <w:rsid w:val="00AB6758"/>
    <w:pPr>
      <w:keepNext/>
      <w:keepLines/>
      <w:tabs>
        <w:tab w:val="right" w:pos="1021"/>
      </w:tabs>
      <w:suppressAutoHyphens/>
      <w:spacing w:before="360" w:after="240" w:line="480" w:lineRule="exact"/>
      <w:ind w:left="1247" w:right="1247" w:hanging="1247"/>
    </w:pPr>
    <w:rPr>
      <w:b/>
      <w:bCs/>
      <w:sz w:val="34"/>
      <w:szCs w:val="44"/>
    </w:rPr>
  </w:style>
  <w:style w:type="paragraph" w:customStyle="1" w:styleId="HChGA">
    <w:name w:val="_ H _Ch_GA"/>
    <w:basedOn w:val="Normal"/>
    <w:next w:val="Normal"/>
    <w:qFormat/>
    <w:rsid w:val="00AB6758"/>
    <w:pPr>
      <w:keepNext/>
      <w:keepLines/>
      <w:tabs>
        <w:tab w:val="right" w:pos="1021"/>
      </w:tabs>
      <w:suppressAutoHyphens/>
      <w:spacing w:before="360" w:after="240" w:line="440" w:lineRule="exact"/>
      <w:ind w:left="1247" w:right="1247" w:hanging="1247"/>
    </w:pPr>
    <w:rPr>
      <w:b/>
      <w:bCs/>
      <w:sz w:val="28"/>
      <w:szCs w:val="38"/>
    </w:rPr>
  </w:style>
  <w:style w:type="paragraph" w:customStyle="1" w:styleId="H1GA">
    <w:name w:val="_ H_1_GA"/>
    <w:basedOn w:val="Normal"/>
    <w:next w:val="Normal"/>
    <w:qFormat/>
    <w:rsid w:val="00AB6758"/>
    <w:pPr>
      <w:keepNext/>
      <w:keepLines/>
      <w:tabs>
        <w:tab w:val="right" w:pos="1021"/>
      </w:tabs>
      <w:suppressAutoHyphens/>
      <w:spacing w:before="240" w:after="240" w:line="400" w:lineRule="exact"/>
      <w:ind w:left="1247" w:right="1247" w:hanging="1247"/>
    </w:pPr>
    <w:rPr>
      <w:b/>
      <w:bCs/>
      <w:sz w:val="24"/>
      <w:szCs w:val="34"/>
    </w:rPr>
  </w:style>
  <w:style w:type="paragraph" w:customStyle="1" w:styleId="H23GA">
    <w:name w:val="_ H_2/3_GA"/>
    <w:basedOn w:val="Normal"/>
    <w:next w:val="Normal"/>
    <w:qFormat/>
    <w:rsid w:val="00F900C3"/>
    <w:pPr>
      <w:tabs>
        <w:tab w:val="right" w:pos="1021"/>
      </w:tabs>
      <w:spacing w:before="120" w:after="120" w:line="380" w:lineRule="exact"/>
      <w:ind w:left="1247" w:right="1247" w:hanging="1247"/>
    </w:pPr>
    <w:rPr>
      <w:b/>
      <w:bCs/>
      <w:lang w:eastAsia="ar-SA"/>
    </w:rPr>
  </w:style>
  <w:style w:type="paragraph" w:customStyle="1" w:styleId="H4GA">
    <w:name w:val="_ H_4_GA"/>
    <w:basedOn w:val="Normal"/>
    <w:next w:val="Normal"/>
    <w:qFormat/>
    <w:rsid w:val="00AB6758"/>
    <w:pPr>
      <w:keepNext/>
      <w:keepLines/>
      <w:tabs>
        <w:tab w:val="right" w:pos="1021"/>
      </w:tabs>
      <w:suppressAutoHyphens/>
      <w:spacing w:before="120" w:after="120" w:line="380" w:lineRule="exact"/>
      <w:ind w:left="1247" w:right="1247" w:hanging="1247"/>
    </w:pPr>
    <w:rPr>
      <w:i/>
      <w:iCs/>
    </w:rPr>
  </w:style>
  <w:style w:type="paragraph" w:customStyle="1" w:styleId="H56GA">
    <w:name w:val="_ H_5/6_GA"/>
    <w:basedOn w:val="Normal"/>
    <w:next w:val="Normal"/>
    <w:qFormat/>
    <w:rsid w:val="00AB6758"/>
    <w:pPr>
      <w:keepNext/>
      <w:keepLines/>
      <w:tabs>
        <w:tab w:val="right" w:pos="1021"/>
      </w:tabs>
      <w:suppressAutoHyphens/>
      <w:spacing w:before="120" w:after="120" w:line="380" w:lineRule="exact"/>
      <w:ind w:left="1247" w:right="1247" w:hanging="1247"/>
    </w:pPr>
  </w:style>
  <w:style w:type="paragraph" w:customStyle="1" w:styleId="SingleTxtGA">
    <w:name w:val="_ Single Txt_GA"/>
    <w:basedOn w:val="Normal"/>
    <w:qFormat/>
    <w:rsid w:val="00AB6758"/>
    <w:pPr>
      <w:tabs>
        <w:tab w:val="left" w:pos="1928"/>
        <w:tab w:val="left" w:pos="2608"/>
        <w:tab w:val="left" w:pos="3289"/>
        <w:tab w:val="left" w:pos="3969"/>
        <w:tab w:val="left" w:pos="4649"/>
        <w:tab w:val="left" w:pos="5330"/>
      </w:tabs>
      <w:spacing w:after="120" w:line="380" w:lineRule="exact"/>
      <w:ind w:left="1247" w:right="1247"/>
    </w:pPr>
  </w:style>
  <w:style w:type="paragraph" w:customStyle="1" w:styleId="SLGA">
    <w:name w:val="__S_L_GA"/>
    <w:basedOn w:val="Normal"/>
    <w:next w:val="Normal"/>
    <w:qFormat/>
    <w:rsid w:val="00AB6758"/>
    <w:pPr>
      <w:keepNext/>
      <w:keepLines/>
      <w:suppressAutoHyphens/>
      <w:bidi w:val="0"/>
      <w:spacing w:before="240" w:after="240" w:line="800" w:lineRule="exact"/>
      <w:ind w:left="1247" w:right="1247"/>
    </w:pPr>
    <w:rPr>
      <w:b/>
      <w:bCs/>
      <w:sz w:val="56"/>
      <w:szCs w:val="84"/>
    </w:rPr>
  </w:style>
  <w:style w:type="paragraph" w:customStyle="1" w:styleId="SMGA">
    <w:name w:val="__S_M_GA"/>
    <w:basedOn w:val="Normal"/>
    <w:next w:val="Normal"/>
    <w:qFormat/>
    <w:rsid w:val="00AB6758"/>
    <w:pPr>
      <w:keepNext/>
      <w:keepLines/>
      <w:suppressAutoHyphens/>
      <w:bidi w:val="0"/>
      <w:spacing w:before="240" w:after="240" w:line="560" w:lineRule="exact"/>
      <w:ind w:left="1247" w:right="1247"/>
    </w:pPr>
    <w:rPr>
      <w:b/>
      <w:bCs/>
      <w:sz w:val="40"/>
      <w:szCs w:val="60"/>
    </w:rPr>
  </w:style>
  <w:style w:type="paragraph" w:customStyle="1" w:styleId="SSGA">
    <w:name w:val="__S_S_GA"/>
    <w:basedOn w:val="Normal"/>
    <w:next w:val="Normal"/>
    <w:qFormat/>
    <w:rsid w:val="00AB6758"/>
    <w:pPr>
      <w:keepNext/>
      <w:keepLines/>
      <w:suppressAutoHyphens/>
      <w:bidi w:val="0"/>
      <w:spacing w:before="240" w:after="240" w:line="440" w:lineRule="exact"/>
      <w:ind w:left="1134" w:right="1134"/>
    </w:pPr>
    <w:rPr>
      <w:b/>
      <w:bCs/>
      <w:sz w:val="28"/>
      <w:szCs w:val="38"/>
    </w:rPr>
  </w:style>
  <w:style w:type="paragraph" w:customStyle="1" w:styleId="XLargeGA">
    <w:name w:val="__XLarge_GA"/>
    <w:basedOn w:val="Normal"/>
    <w:qFormat/>
    <w:rsid w:val="00AB6758"/>
    <w:pPr>
      <w:keepNext/>
      <w:keepLines/>
      <w:tabs>
        <w:tab w:val="right" w:leader="dot" w:pos="360"/>
      </w:tabs>
      <w:suppressAutoHyphens/>
      <w:spacing w:before="240" w:after="240" w:line="580" w:lineRule="exact"/>
      <w:ind w:left="1247" w:right="1247"/>
    </w:pPr>
    <w:rPr>
      <w:b/>
      <w:bCs/>
      <w:sz w:val="40"/>
      <w:szCs w:val="60"/>
    </w:rPr>
  </w:style>
  <w:style w:type="paragraph" w:customStyle="1" w:styleId="Bullet1GA">
    <w:name w:val="_Bullet 1_GA"/>
    <w:basedOn w:val="Normal"/>
    <w:qFormat/>
    <w:rsid w:val="00F900C3"/>
    <w:pPr>
      <w:numPr>
        <w:numId w:val="8"/>
      </w:numPr>
      <w:suppressAutoHyphens/>
      <w:bidi w:val="0"/>
      <w:spacing w:after="120" w:line="380" w:lineRule="exact"/>
      <w:ind w:right="1247"/>
    </w:pPr>
  </w:style>
  <w:style w:type="paragraph" w:customStyle="1" w:styleId="Bullet2GA">
    <w:name w:val="_Bullet 2_GA"/>
    <w:basedOn w:val="Normal"/>
    <w:qFormat/>
    <w:rsid w:val="00F900C3"/>
    <w:pPr>
      <w:numPr>
        <w:numId w:val="9"/>
      </w:numPr>
      <w:tabs>
        <w:tab w:val="left" w:pos="3062"/>
      </w:tabs>
      <w:suppressAutoHyphens/>
      <w:bidi w:val="0"/>
      <w:spacing w:after="120" w:line="380" w:lineRule="exact"/>
      <w:ind w:right="1247"/>
    </w:pPr>
  </w:style>
  <w:style w:type="paragraph" w:customStyle="1" w:styleId="ParaNoGA">
    <w:name w:val="_ParaNo._GA"/>
    <w:basedOn w:val="SingleTxtGA"/>
    <w:qFormat/>
    <w:rsid w:val="00AB6758"/>
    <w:pPr>
      <w:numPr>
        <w:numId w:val="5"/>
      </w:numPr>
      <w:suppressAutoHyphens/>
      <w:bidi w:val="0"/>
    </w:pPr>
  </w:style>
  <w:style w:type="paragraph" w:customStyle="1" w:styleId="Roman1GA">
    <w:name w:val="_Roman 1_GA"/>
    <w:basedOn w:val="Bullet1GA"/>
    <w:qFormat/>
    <w:rsid w:val="00F900C3"/>
    <w:pPr>
      <w:numPr>
        <w:numId w:val="10"/>
      </w:numPr>
    </w:pPr>
  </w:style>
  <w:style w:type="paragraph" w:customStyle="1" w:styleId="Roman2GA">
    <w:name w:val="_Roman 2_GA"/>
    <w:basedOn w:val="Bullet2GA"/>
    <w:next w:val="Normal"/>
    <w:qFormat/>
    <w:rsid w:val="00F900C3"/>
    <w:pPr>
      <w:numPr>
        <w:numId w:val="11"/>
      </w:numPr>
    </w:pPr>
  </w:style>
  <w:style w:type="paragraph" w:styleId="EndnoteText">
    <w:name w:val="endnote text"/>
    <w:aliases w:val="2_ GA"/>
    <w:basedOn w:val="Normal"/>
    <w:link w:val="EndnoteTextChar"/>
    <w:qFormat/>
    <w:rsid w:val="00AB6758"/>
    <w:pPr>
      <w:tabs>
        <w:tab w:val="right" w:pos="1021"/>
      </w:tabs>
      <w:spacing w:after="120" w:line="300" w:lineRule="exact"/>
      <w:ind w:left="1247" w:right="1247" w:hanging="1247"/>
    </w:pPr>
    <w:rPr>
      <w:sz w:val="18"/>
      <w:szCs w:val="26"/>
    </w:rPr>
  </w:style>
  <w:style w:type="character" w:customStyle="1" w:styleId="EndnoteTextChar">
    <w:name w:val="Endnote Text Char"/>
    <w:aliases w:val="2_ GA Char"/>
    <w:basedOn w:val="DefaultParagraphFont"/>
    <w:link w:val="EndnoteText"/>
    <w:rsid w:val="00AB6758"/>
    <w:rPr>
      <w:rFonts w:ascii="Times New Roman" w:eastAsia="Times New Roman" w:hAnsi="Times New Roman" w:cs="Traditional Arabic"/>
      <w:sz w:val="18"/>
      <w:szCs w:val="26"/>
    </w:rPr>
  </w:style>
  <w:style w:type="character" w:customStyle="1" w:styleId="EndtnoteReference">
    <w:name w:val="Endtnote Reference"/>
    <w:aliases w:val="1_GA"/>
    <w:basedOn w:val="DefaultParagraphFont"/>
    <w:qFormat/>
    <w:rsid w:val="00F900C3"/>
    <w:rPr>
      <w:rFonts w:ascii="Times New Roman" w:hAnsi="Times New Roman" w:cs="Traditional Arabic"/>
      <w:b/>
      <w:kern w:val="0"/>
      <w:sz w:val="18"/>
      <w:szCs w:val="28"/>
      <w:vertAlign w:val="superscript"/>
    </w:rPr>
  </w:style>
  <w:style w:type="paragraph" w:styleId="Footer">
    <w:name w:val="footer"/>
    <w:aliases w:val="3_GA,3_G"/>
    <w:basedOn w:val="Normal"/>
    <w:link w:val="FooterChar"/>
    <w:qFormat/>
    <w:rsid w:val="00AB6758"/>
    <w:pPr>
      <w:suppressAutoHyphens/>
      <w:bidi w:val="0"/>
      <w:spacing w:line="240" w:lineRule="auto"/>
    </w:pPr>
    <w:rPr>
      <w:sz w:val="16"/>
      <w:szCs w:val="22"/>
      <w:lang w:val="en-GB"/>
    </w:rPr>
  </w:style>
  <w:style w:type="character" w:customStyle="1" w:styleId="FooterChar">
    <w:name w:val="Footer Char"/>
    <w:aliases w:val="3_GA Char,3_G Char"/>
    <w:basedOn w:val="DefaultParagraphFont"/>
    <w:link w:val="Footer"/>
    <w:rsid w:val="00AB6758"/>
    <w:rPr>
      <w:rFonts w:ascii="Times New Roman" w:eastAsia="Times New Roman" w:hAnsi="Times New Roman" w:cs="Traditional Arabic"/>
      <w:sz w:val="16"/>
      <w:lang w:val="en-GB"/>
    </w:rPr>
  </w:style>
  <w:style w:type="paragraph" w:customStyle="1" w:styleId="FootnoteText1">
    <w:name w:val="Footnote Text1"/>
    <w:aliases w:val="5_GA"/>
    <w:basedOn w:val="Normal"/>
    <w:qFormat/>
    <w:rsid w:val="00994130"/>
    <w:pPr>
      <w:spacing w:after="60" w:line="300" w:lineRule="exact"/>
      <w:ind w:left="1247" w:right="1247" w:hanging="567"/>
    </w:pPr>
    <w:rPr>
      <w:sz w:val="18"/>
      <w:szCs w:val="26"/>
    </w:rPr>
  </w:style>
  <w:style w:type="paragraph" w:styleId="Header">
    <w:name w:val="header"/>
    <w:aliases w:val="6_GA"/>
    <w:basedOn w:val="Normal"/>
    <w:link w:val="HeaderChar"/>
    <w:qFormat/>
    <w:rsid w:val="00AB6758"/>
    <w:pPr>
      <w:pBdr>
        <w:bottom w:val="single" w:sz="4" w:space="4" w:color="auto"/>
      </w:pBdr>
      <w:suppressAutoHyphens/>
      <w:bidi w:val="0"/>
    </w:pPr>
    <w:rPr>
      <w:b/>
      <w:bCs/>
      <w:sz w:val="18"/>
      <w:szCs w:val="26"/>
    </w:rPr>
  </w:style>
  <w:style w:type="character" w:customStyle="1" w:styleId="HeaderChar">
    <w:name w:val="Header Char"/>
    <w:aliases w:val="6_GA Char"/>
    <w:basedOn w:val="DefaultParagraphFont"/>
    <w:link w:val="Header"/>
    <w:rsid w:val="00AB6758"/>
    <w:rPr>
      <w:rFonts w:ascii="Times New Roman" w:eastAsia="Times New Roman" w:hAnsi="Times New Roman" w:cs="Traditional Arabic"/>
      <w:b/>
      <w:bCs/>
      <w:sz w:val="18"/>
      <w:szCs w:val="26"/>
    </w:rPr>
  </w:style>
  <w:style w:type="character" w:customStyle="1" w:styleId="Heading1Char">
    <w:name w:val="Heading 1 Char"/>
    <w:aliases w:val="Table_GA Char"/>
    <w:basedOn w:val="DefaultParagraphFont"/>
    <w:link w:val="Heading1"/>
    <w:rsid w:val="00AB6758"/>
    <w:rPr>
      <w:rFonts w:ascii="Times New Roman" w:eastAsia="Times New Roman" w:hAnsi="Times New Roman" w:cs="Traditional Arabic"/>
      <w:sz w:val="20"/>
      <w:szCs w:val="30"/>
    </w:rPr>
  </w:style>
  <w:style w:type="character" w:styleId="PageNumber">
    <w:name w:val="page number"/>
    <w:aliases w:val="7_GA"/>
    <w:basedOn w:val="DefaultParagraphFont"/>
    <w:qFormat/>
    <w:rsid w:val="00AB6758"/>
    <w:rPr>
      <w:rFonts w:ascii="Times New Roman" w:hAnsi="Times New Roman"/>
      <w:b/>
      <w:sz w:val="18"/>
    </w:rPr>
  </w:style>
  <w:style w:type="paragraph" w:customStyle="1" w:styleId="XXLargeGA">
    <w:name w:val="XXLarge_GA"/>
    <w:basedOn w:val="XLargeGA"/>
    <w:next w:val="Normal"/>
    <w:qFormat/>
    <w:rsid w:val="00AB6758"/>
    <w:pPr>
      <w:spacing w:line="820" w:lineRule="exact"/>
    </w:pPr>
    <w:rPr>
      <w:spacing w:val="-8"/>
      <w:w w:val="96"/>
      <w:sz w:val="57"/>
      <w:szCs w:val="86"/>
    </w:rPr>
  </w:style>
  <w:style w:type="character" w:customStyle="1" w:styleId="Heading2Char">
    <w:name w:val="Heading 2 Char"/>
    <w:basedOn w:val="DefaultParagraphFont"/>
    <w:link w:val="Heading2"/>
    <w:uiPriority w:val="9"/>
    <w:rsid w:val="00455780"/>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rsid w:val="00455780"/>
    <w:rPr>
      <w:b/>
      <w:bCs/>
      <w:smallCaps/>
      <w:spacing w:val="5"/>
    </w:rPr>
  </w:style>
  <w:style w:type="character" w:customStyle="1" w:styleId="Heading3Char">
    <w:name w:val="Heading 3 Char"/>
    <w:basedOn w:val="DefaultParagraphFont"/>
    <w:link w:val="Heading3"/>
    <w:uiPriority w:val="9"/>
    <w:rsid w:val="00EC4B6B"/>
    <w:rPr>
      <w:rFonts w:asciiTheme="majorHAnsi" w:eastAsiaTheme="majorEastAsia" w:hAnsiTheme="majorHAnsi" w:cstheme="majorBidi"/>
      <w:b/>
      <w:bCs/>
      <w:color w:val="4F81BD" w:themeColor="accent1"/>
      <w:sz w:val="20"/>
      <w:szCs w:val="30"/>
    </w:rPr>
  </w:style>
  <w:style w:type="character" w:customStyle="1" w:styleId="Heading4Char">
    <w:name w:val="Heading 4 Char"/>
    <w:basedOn w:val="DefaultParagraphFont"/>
    <w:link w:val="Heading4"/>
    <w:uiPriority w:val="9"/>
    <w:rsid w:val="00EC4B6B"/>
    <w:rPr>
      <w:rFonts w:asciiTheme="majorHAnsi" w:eastAsiaTheme="majorEastAsia" w:hAnsiTheme="majorHAnsi" w:cstheme="majorBidi"/>
      <w:b/>
      <w:bCs/>
      <w:i/>
      <w:iCs/>
      <w:color w:val="4F81BD" w:themeColor="accent1"/>
      <w:sz w:val="20"/>
      <w:szCs w:val="30"/>
    </w:rPr>
  </w:style>
  <w:style w:type="character" w:customStyle="1" w:styleId="Heading5Char">
    <w:name w:val="Heading 5 Char"/>
    <w:basedOn w:val="DefaultParagraphFont"/>
    <w:link w:val="Heading5"/>
    <w:uiPriority w:val="9"/>
    <w:rsid w:val="00EC4B6B"/>
    <w:rPr>
      <w:rFonts w:asciiTheme="majorHAnsi" w:eastAsiaTheme="majorEastAsia" w:hAnsiTheme="majorHAnsi" w:cstheme="majorBidi"/>
      <w:color w:val="243F60" w:themeColor="accent1" w:themeShade="7F"/>
      <w:sz w:val="20"/>
      <w:szCs w:val="30"/>
    </w:rPr>
  </w:style>
  <w:style w:type="character" w:customStyle="1" w:styleId="Heading6Char">
    <w:name w:val="Heading 6 Char"/>
    <w:basedOn w:val="DefaultParagraphFont"/>
    <w:link w:val="Heading6"/>
    <w:uiPriority w:val="9"/>
    <w:rsid w:val="00EC4B6B"/>
    <w:rPr>
      <w:rFonts w:asciiTheme="majorHAnsi" w:eastAsiaTheme="majorEastAsia" w:hAnsiTheme="majorHAnsi" w:cstheme="majorBidi"/>
      <w:i/>
      <w:iCs/>
      <w:color w:val="243F60" w:themeColor="accent1" w:themeShade="7F"/>
      <w:sz w:val="20"/>
      <w:szCs w:val="30"/>
    </w:rPr>
  </w:style>
  <w:style w:type="character" w:customStyle="1" w:styleId="Heading7Char">
    <w:name w:val="Heading 7 Char"/>
    <w:basedOn w:val="DefaultParagraphFont"/>
    <w:link w:val="Heading7"/>
    <w:uiPriority w:val="9"/>
    <w:rsid w:val="00EC4B6B"/>
    <w:rPr>
      <w:rFonts w:asciiTheme="majorHAnsi" w:eastAsiaTheme="majorEastAsia" w:hAnsiTheme="majorHAnsi" w:cstheme="majorBidi"/>
      <w:i/>
      <w:iCs/>
      <w:color w:val="404040" w:themeColor="text1" w:themeTint="BF"/>
      <w:sz w:val="20"/>
      <w:szCs w:val="30"/>
    </w:rPr>
  </w:style>
  <w:style w:type="character" w:customStyle="1" w:styleId="Heading8Char">
    <w:name w:val="Heading 8 Char"/>
    <w:basedOn w:val="DefaultParagraphFont"/>
    <w:link w:val="Heading8"/>
    <w:uiPriority w:val="9"/>
    <w:rsid w:val="00EC4B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EC4B6B"/>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rsid w:val="00EC4B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4B6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EC4B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C4B6B"/>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EC4B6B"/>
    <w:rPr>
      <w:i/>
      <w:iCs/>
      <w:color w:val="808080" w:themeColor="text1" w:themeTint="7F"/>
    </w:rPr>
  </w:style>
  <w:style w:type="table" w:styleId="ColorfulGrid-Accent6">
    <w:name w:val="Colorful Grid Accent 6"/>
    <w:basedOn w:val="TableNormal"/>
    <w:uiPriority w:val="73"/>
    <w:rsid w:val="00EC4B6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Emphasis">
    <w:name w:val="Emphasis"/>
    <w:basedOn w:val="DefaultParagraphFont"/>
    <w:uiPriority w:val="20"/>
    <w:rsid w:val="003260FF"/>
    <w:rPr>
      <w:i/>
      <w:iCs/>
    </w:rPr>
  </w:style>
  <w:style w:type="character" w:styleId="IntenseEmphasis">
    <w:name w:val="Intense Emphasis"/>
    <w:basedOn w:val="DefaultParagraphFont"/>
    <w:uiPriority w:val="21"/>
    <w:rsid w:val="003260FF"/>
    <w:rPr>
      <w:b/>
      <w:bCs/>
      <w:i/>
      <w:iCs/>
      <w:color w:val="4F81BD" w:themeColor="accent1"/>
    </w:rPr>
  </w:style>
  <w:style w:type="character" w:styleId="Strong">
    <w:name w:val="Strong"/>
    <w:basedOn w:val="DefaultParagraphFont"/>
    <w:uiPriority w:val="22"/>
    <w:rsid w:val="003260FF"/>
    <w:rPr>
      <w:b/>
      <w:bCs/>
    </w:rPr>
  </w:style>
  <w:style w:type="paragraph" w:styleId="Quote">
    <w:name w:val="Quote"/>
    <w:basedOn w:val="Normal"/>
    <w:next w:val="Normal"/>
    <w:link w:val="QuoteChar"/>
    <w:uiPriority w:val="29"/>
    <w:rsid w:val="003260FF"/>
    <w:rPr>
      <w:i/>
      <w:iCs/>
      <w:color w:val="000000" w:themeColor="text1"/>
    </w:rPr>
  </w:style>
  <w:style w:type="character" w:customStyle="1" w:styleId="QuoteChar">
    <w:name w:val="Quote Char"/>
    <w:basedOn w:val="DefaultParagraphFont"/>
    <w:link w:val="Quote"/>
    <w:uiPriority w:val="29"/>
    <w:rsid w:val="003260FF"/>
    <w:rPr>
      <w:rFonts w:ascii="Times New Roman" w:hAnsi="Times New Roman" w:cs="Traditional Arabic"/>
      <w:i/>
      <w:iCs/>
      <w:color w:val="000000" w:themeColor="text1"/>
      <w:sz w:val="20"/>
      <w:szCs w:val="30"/>
    </w:rPr>
  </w:style>
  <w:style w:type="paragraph" w:styleId="IntenseQuote">
    <w:name w:val="Intense Quote"/>
    <w:basedOn w:val="Normal"/>
    <w:next w:val="Normal"/>
    <w:link w:val="IntenseQuoteChar"/>
    <w:uiPriority w:val="30"/>
    <w:rsid w:val="003260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260FF"/>
    <w:rPr>
      <w:rFonts w:ascii="Times New Roman" w:hAnsi="Times New Roman" w:cs="Traditional Arabic"/>
      <w:b/>
      <w:bCs/>
      <w:i/>
      <w:iCs/>
      <w:color w:val="4F81BD" w:themeColor="accent1"/>
      <w:sz w:val="20"/>
      <w:szCs w:val="30"/>
    </w:rPr>
  </w:style>
  <w:style w:type="character" w:styleId="SubtleReference">
    <w:name w:val="Subtle Reference"/>
    <w:basedOn w:val="DefaultParagraphFont"/>
    <w:uiPriority w:val="31"/>
    <w:rsid w:val="003260FF"/>
    <w:rPr>
      <w:smallCaps/>
      <w:color w:val="C0504D" w:themeColor="accent2"/>
      <w:u w:val="single"/>
    </w:rPr>
  </w:style>
  <w:style w:type="character" w:styleId="IntenseReference">
    <w:name w:val="Intense Reference"/>
    <w:basedOn w:val="DefaultParagraphFont"/>
    <w:uiPriority w:val="32"/>
    <w:rsid w:val="003260FF"/>
    <w:rPr>
      <w:b/>
      <w:bCs/>
      <w:smallCaps/>
      <w:color w:val="C0504D" w:themeColor="accent2"/>
      <w:spacing w:val="5"/>
      <w:u w:val="single"/>
    </w:rPr>
  </w:style>
  <w:style w:type="paragraph" w:styleId="ListParagraph">
    <w:name w:val="List Paragraph"/>
    <w:basedOn w:val="Normal"/>
    <w:uiPriority w:val="34"/>
    <w:rsid w:val="003260FF"/>
    <w:pPr>
      <w:ind w:left="720"/>
      <w:contextualSpacing/>
    </w:pPr>
  </w:style>
  <w:style w:type="table" w:styleId="MediumShading1-Accent4">
    <w:name w:val="Medium Shading 1 Accent 4"/>
    <w:basedOn w:val="TableNormal"/>
    <w:uiPriority w:val="63"/>
    <w:rsid w:val="003260F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EndnoteReference">
    <w:name w:val="endnote reference"/>
    <w:basedOn w:val="DefaultParagraphFont"/>
    <w:uiPriority w:val="99"/>
    <w:semiHidden/>
    <w:unhideWhenUsed/>
    <w:rsid w:val="00F900C3"/>
    <w:rPr>
      <w:vertAlign w:val="superscript"/>
    </w:rPr>
  </w:style>
  <w:style w:type="table" w:styleId="TableGrid">
    <w:name w:val="Table Grid"/>
    <w:basedOn w:val="TableNormal"/>
    <w:rsid w:val="006B3E27"/>
    <w:pPr>
      <w:bidi/>
      <w:spacing w:after="0" w:line="240" w:lineRule="auto"/>
      <w:jc w:val="lowKashida"/>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3E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E27"/>
    <w:rPr>
      <w:rFonts w:ascii="Tahoma" w:hAnsi="Tahoma" w:cs="Tahoma"/>
      <w:sz w:val="16"/>
      <w:szCs w:val="16"/>
    </w:rPr>
  </w:style>
  <w:style w:type="character" w:styleId="Hyperlink">
    <w:name w:val="Hyperlink"/>
    <w:uiPriority w:val="99"/>
    <w:rsid w:val="00225595"/>
    <w:rPr>
      <w:color w:val="auto"/>
      <w:u w:val="none"/>
    </w:rPr>
  </w:style>
  <w:style w:type="paragraph" w:customStyle="1" w:styleId="SingleTxtG">
    <w:name w:val="_ Single Txt_G"/>
    <w:basedOn w:val="Normal"/>
    <w:link w:val="SingleTxtGChar"/>
    <w:uiPriority w:val="99"/>
    <w:rsid w:val="00225595"/>
    <w:pPr>
      <w:suppressAutoHyphens/>
      <w:bidi w:val="0"/>
      <w:spacing w:after="120"/>
      <w:ind w:left="1134" w:right="1134"/>
      <w:jc w:val="both"/>
    </w:pPr>
    <w:rPr>
      <w:rFonts w:cs="Times New Roman"/>
      <w:szCs w:val="20"/>
      <w:lang w:val="fr-CH"/>
    </w:rPr>
  </w:style>
  <w:style w:type="character" w:customStyle="1" w:styleId="SingleTxtGChar">
    <w:name w:val="_ Single Txt_G Char"/>
    <w:link w:val="SingleTxtG"/>
    <w:uiPriority w:val="99"/>
    <w:locked/>
    <w:rsid w:val="00225595"/>
    <w:rPr>
      <w:rFonts w:ascii="Times New Roman" w:hAnsi="Times New Roman" w:cs="Times New Roman"/>
      <w:sz w:val="20"/>
      <w:szCs w:val="20"/>
      <w:lang w:val="fr-CH"/>
    </w:rPr>
  </w:style>
  <w:style w:type="character" w:customStyle="1" w:styleId="Link">
    <w:name w:val="Link"/>
    <w:rsid w:val="00225595"/>
    <w:rPr>
      <w:color w:val="0000FF"/>
      <w:u w:val="single" w:color="0000FF"/>
    </w:rPr>
  </w:style>
  <w:style w:type="paragraph" w:styleId="TOC1">
    <w:name w:val="toc 1"/>
    <w:basedOn w:val="Normal"/>
    <w:next w:val="Normal"/>
    <w:autoRedefine/>
    <w:uiPriority w:val="39"/>
    <w:unhideWhenUsed/>
    <w:rsid w:val="009D4FC6"/>
    <w:pPr>
      <w:spacing w:after="100"/>
    </w:pPr>
  </w:style>
  <w:style w:type="paragraph" w:styleId="TOC2">
    <w:name w:val="toc 2"/>
    <w:basedOn w:val="Normal"/>
    <w:next w:val="Normal"/>
    <w:autoRedefine/>
    <w:uiPriority w:val="39"/>
    <w:unhideWhenUsed/>
    <w:rsid w:val="009D4FC6"/>
    <w:pPr>
      <w:spacing w:after="100"/>
      <w:ind w:left="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text"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B3E27"/>
    <w:pPr>
      <w:bidi/>
      <w:spacing w:after="0" w:line="240" w:lineRule="atLeast"/>
      <w:jc w:val="lowKashida"/>
    </w:pPr>
    <w:rPr>
      <w:rFonts w:ascii="Times New Roman" w:hAnsi="Times New Roman" w:cs="Traditional Arabic"/>
      <w:sz w:val="20"/>
      <w:szCs w:val="30"/>
    </w:rPr>
  </w:style>
  <w:style w:type="paragraph" w:styleId="Heading1">
    <w:name w:val="heading 1"/>
    <w:aliases w:val="Table_GA"/>
    <w:basedOn w:val="SingleTxtGA"/>
    <w:next w:val="Normal"/>
    <w:link w:val="Heading1Char"/>
    <w:qFormat/>
    <w:rsid w:val="00AB6758"/>
    <w:pPr>
      <w:suppressAutoHyphens/>
      <w:bidi w:val="0"/>
      <w:outlineLvl w:val="0"/>
    </w:pPr>
  </w:style>
  <w:style w:type="paragraph" w:styleId="Heading2">
    <w:name w:val="heading 2"/>
    <w:basedOn w:val="Normal"/>
    <w:next w:val="Normal"/>
    <w:link w:val="Heading2Char"/>
    <w:uiPriority w:val="9"/>
    <w:unhideWhenUsed/>
    <w:rsid w:val="004557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rsid w:val="00EC4B6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EC4B6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EC4B6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EC4B6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EC4B6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EC4B6B"/>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rsid w:val="00EC4B6B"/>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A1371"/>
    <w:pPr>
      <w:spacing w:line="240" w:lineRule="auto"/>
    </w:pPr>
    <w:rPr>
      <w:szCs w:val="20"/>
    </w:rPr>
  </w:style>
  <w:style w:type="character" w:customStyle="1" w:styleId="FootnoteTextChar">
    <w:name w:val="Footnote Text Char"/>
    <w:basedOn w:val="DefaultParagraphFont"/>
    <w:link w:val="FootnoteText"/>
    <w:uiPriority w:val="99"/>
    <w:semiHidden/>
    <w:rsid w:val="001A1371"/>
    <w:rPr>
      <w:sz w:val="20"/>
      <w:szCs w:val="20"/>
    </w:rPr>
  </w:style>
  <w:style w:type="character" w:styleId="FootnoteReference">
    <w:name w:val="footnote reference"/>
    <w:aliases w:val="4_GA"/>
    <w:basedOn w:val="DefaultParagraphFont"/>
    <w:qFormat/>
    <w:rsid w:val="00AB6758"/>
    <w:rPr>
      <w:rFonts w:ascii="Times New Roman" w:hAnsi="Times New Roman" w:cs="Traditional Arabic"/>
      <w:b/>
      <w:kern w:val="0"/>
      <w:sz w:val="18"/>
      <w:szCs w:val="28"/>
      <w:vertAlign w:val="superscript"/>
    </w:rPr>
  </w:style>
  <w:style w:type="paragraph" w:customStyle="1" w:styleId="HMGA">
    <w:name w:val="_ H __M_GA"/>
    <w:basedOn w:val="Normal"/>
    <w:next w:val="Normal"/>
    <w:qFormat/>
    <w:rsid w:val="00AB6758"/>
    <w:pPr>
      <w:keepNext/>
      <w:keepLines/>
      <w:tabs>
        <w:tab w:val="right" w:pos="1021"/>
      </w:tabs>
      <w:suppressAutoHyphens/>
      <w:spacing w:before="360" w:after="240" w:line="480" w:lineRule="exact"/>
      <w:ind w:left="1247" w:right="1247" w:hanging="1247"/>
    </w:pPr>
    <w:rPr>
      <w:b/>
      <w:bCs/>
      <w:sz w:val="34"/>
      <w:szCs w:val="44"/>
    </w:rPr>
  </w:style>
  <w:style w:type="paragraph" w:customStyle="1" w:styleId="HChGA">
    <w:name w:val="_ H _Ch_GA"/>
    <w:basedOn w:val="Normal"/>
    <w:next w:val="Normal"/>
    <w:qFormat/>
    <w:rsid w:val="00AB6758"/>
    <w:pPr>
      <w:keepNext/>
      <w:keepLines/>
      <w:tabs>
        <w:tab w:val="right" w:pos="1021"/>
      </w:tabs>
      <w:suppressAutoHyphens/>
      <w:spacing w:before="360" w:after="240" w:line="440" w:lineRule="exact"/>
      <w:ind w:left="1247" w:right="1247" w:hanging="1247"/>
    </w:pPr>
    <w:rPr>
      <w:b/>
      <w:bCs/>
      <w:sz w:val="28"/>
      <w:szCs w:val="38"/>
    </w:rPr>
  </w:style>
  <w:style w:type="paragraph" w:customStyle="1" w:styleId="H1GA">
    <w:name w:val="_ H_1_GA"/>
    <w:basedOn w:val="Normal"/>
    <w:next w:val="Normal"/>
    <w:qFormat/>
    <w:rsid w:val="00AB6758"/>
    <w:pPr>
      <w:keepNext/>
      <w:keepLines/>
      <w:tabs>
        <w:tab w:val="right" w:pos="1021"/>
      </w:tabs>
      <w:suppressAutoHyphens/>
      <w:spacing w:before="240" w:after="240" w:line="400" w:lineRule="exact"/>
      <w:ind w:left="1247" w:right="1247" w:hanging="1247"/>
    </w:pPr>
    <w:rPr>
      <w:b/>
      <w:bCs/>
      <w:sz w:val="24"/>
      <w:szCs w:val="34"/>
    </w:rPr>
  </w:style>
  <w:style w:type="paragraph" w:customStyle="1" w:styleId="H23GA">
    <w:name w:val="_ H_2/3_GA"/>
    <w:basedOn w:val="Normal"/>
    <w:next w:val="Normal"/>
    <w:qFormat/>
    <w:rsid w:val="00F900C3"/>
    <w:pPr>
      <w:tabs>
        <w:tab w:val="right" w:pos="1021"/>
      </w:tabs>
      <w:spacing w:before="120" w:after="120" w:line="380" w:lineRule="exact"/>
      <w:ind w:left="1247" w:right="1247" w:hanging="1247"/>
    </w:pPr>
    <w:rPr>
      <w:b/>
      <w:bCs/>
      <w:lang w:eastAsia="ar-SA"/>
    </w:rPr>
  </w:style>
  <w:style w:type="paragraph" w:customStyle="1" w:styleId="H4GA">
    <w:name w:val="_ H_4_GA"/>
    <w:basedOn w:val="Normal"/>
    <w:next w:val="Normal"/>
    <w:qFormat/>
    <w:rsid w:val="00AB6758"/>
    <w:pPr>
      <w:keepNext/>
      <w:keepLines/>
      <w:tabs>
        <w:tab w:val="right" w:pos="1021"/>
      </w:tabs>
      <w:suppressAutoHyphens/>
      <w:spacing w:before="120" w:after="120" w:line="380" w:lineRule="exact"/>
      <w:ind w:left="1247" w:right="1247" w:hanging="1247"/>
    </w:pPr>
    <w:rPr>
      <w:i/>
      <w:iCs/>
    </w:rPr>
  </w:style>
  <w:style w:type="paragraph" w:customStyle="1" w:styleId="H56GA">
    <w:name w:val="_ H_5/6_GA"/>
    <w:basedOn w:val="Normal"/>
    <w:next w:val="Normal"/>
    <w:qFormat/>
    <w:rsid w:val="00AB6758"/>
    <w:pPr>
      <w:keepNext/>
      <w:keepLines/>
      <w:tabs>
        <w:tab w:val="right" w:pos="1021"/>
      </w:tabs>
      <w:suppressAutoHyphens/>
      <w:spacing w:before="120" w:after="120" w:line="380" w:lineRule="exact"/>
      <w:ind w:left="1247" w:right="1247" w:hanging="1247"/>
    </w:pPr>
  </w:style>
  <w:style w:type="paragraph" w:customStyle="1" w:styleId="SingleTxtGA">
    <w:name w:val="_ Single Txt_GA"/>
    <w:basedOn w:val="Normal"/>
    <w:qFormat/>
    <w:rsid w:val="00AB6758"/>
    <w:pPr>
      <w:tabs>
        <w:tab w:val="left" w:pos="1928"/>
        <w:tab w:val="left" w:pos="2608"/>
        <w:tab w:val="left" w:pos="3289"/>
        <w:tab w:val="left" w:pos="3969"/>
        <w:tab w:val="left" w:pos="4649"/>
        <w:tab w:val="left" w:pos="5330"/>
      </w:tabs>
      <w:spacing w:after="120" w:line="380" w:lineRule="exact"/>
      <w:ind w:left="1247" w:right="1247"/>
    </w:pPr>
  </w:style>
  <w:style w:type="paragraph" w:customStyle="1" w:styleId="SLGA">
    <w:name w:val="__S_L_GA"/>
    <w:basedOn w:val="Normal"/>
    <w:next w:val="Normal"/>
    <w:qFormat/>
    <w:rsid w:val="00AB6758"/>
    <w:pPr>
      <w:keepNext/>
      <w:keepLines/>
      <w:suppressAutoHyphens/>
      <w:bidi w:val="0"/>
      <w:spacing w:before="240" w:after="240" w:line="800" w:lineRule="exact"/>
      <w:ind w:left="1247" w:right="1247"/>
    </w:pPr>
    <w:rPr>
      <w:b/>
      <w:bCs/>
      <w:sz w:val="56"/>
      <w:szCs w:val="84"/>
    </w:rPr>
  </w:style>
  <w:style w:type="paragraph" w:customStyle="1" w:styleId="SMGA">
    <w:name w:val="__S_M_GA"/>
    <w:basedOn w:val="Normal"/>
    <w:next w:val="Normal"/>
    <w:qFormat/>
    <w:rsid w:val="00AB6758"/>
    <w:pPr>
      <w:keepNext/>
      <w:keepLines/>
      <w:suppressAutoHyphens/>
      <w:bidi w:val="0"/>
      <w:spacing w:before="240" w:after="240" w:line="560" w:lineRule="exact"/>
      <w:ind w:left="1247" w:right="1247"/>
    </w:pPr>
    <w:rPr>
      <w:b/>
      <w:bCs/>
      <w:sz w:val="40"/>
      <w:szCs w:val="60"/>
    </w:rPr>
  </w:style>
  <w:style w:type="paragraph" w:customStyle="1" w:styleId="SSGA">
    <w:name w:val="__S_S_GA"/>
    <w:basedOn w:val="Normal"/>
    <w:next w:val="Normal"/>
    <w:qFormat/>
    <w:rsid w:val="00AB6758"/>
    <w:pPr>
      <w:keepNext/>
      <w:keepLines/>
      <w:suppressAutoHyphens/>
      <w:bidi w:val="0"/>
      <w:spacing w:before="240" w:after="240" w:line="440" w:lineRule="exact"/>
      <w:ind w:left="1134" w:right="1134"/>
    </w:pPr>
    <w:rPr>
      <w:b/>
      <w:bCs/>
      <w:sz w:val="28"/>
      <w:szCs w:val="38"/>
    </w:rPr>
  </w:style>
  <w:style w:type="paragraph" w:customStyle="1" w:styleId="XLargeGA">
    <w:name w:val="__XLarge_GA"/>
    <w:basedOn w:val="Normal"/>
    <w:qFormat/>
    <w:rsid w:val="00AB6758"/>
    <w:pPr>
      <w:keepNext/>
      <w:keepLines/>
      <w:tabs>
        <w:tab w:val="right" w:leader="dot" w:pos="360"/>
      </w:tabs>
      <w:suppressAutoHyphens/>
      <w:spacing w:before="240" w:after="240" w:line="580" w:lineRule="exact"/>
      <w:ind w:left="1247" w:right="1247"/>
    </w:pPr>
    <w:rPr>
      <w:b/>
      <w:bCs/>
      <w:sz w:val="40"/>
      <w:szCs w:val="60"/>
    </w:rPr>
  </w:style>
  <w:style w:type="paragraph" w:customStyle="1" w:styleId="Bullet1GA">
    <w:name w:val="_Bullet 1_GA"/>
    <w:basedOn w:val="Normal"/>
    <w:qFormat/>
    <w:rsid w:val="00F900C3"/>
    <w:pPr>
      <w:numPr>
        <w:numId w:val="8"/>
      </w:numPr>
      <w:suppressAutoHyphens/>
      <w:bidi w:val="0"/>
      <w:spacing w:after="120" w:line="380" w:lineRule="exact"/>
      <w:ind w:right="1247"/>
    </w:pPr>
  </w:style>
  <w:style w:type="paragraph" w:customStyle="1" w:styleId="Bullet2GA">
    <w:name w:val="_Bullet 2_GA"/>
    <w:basedOn w:val="Normal"/>
    <w:qFormat/>
    <w:rsid w:val="00F900C3"/>
    <w:pPr>
      <w:numPr>
        <w:numId w:val="9"/>
      </w:numPr>
      <w:tabs>
        <w:tab w:val="left" w:pos="3062"/>
      </w:tabs>
      <w:suppressAutoHyphens/>
      <w:bidi w:val="0"/>
      <w:spacing w:after="120" w:line="380" w:lineRule="exact"/>
      <w:ind w:right="1247"/>
    </w:pPr>
  </w:style>
  <w:style w:type="paragraph" w:customStyle="1" w:styleId="ParaNoGA">
    <w:name w:val="_ParaNo._GA"/>
    <w:basedOn w:val="SingleTxtGA"/>
    <w:qFormat/>
    <w:rsid w:val="00AB6758"/>
    <w:pPr>
      <w:numPr>
        <w:numId w:val="5"/>
      </w:numPr>
      <w:suppressAutoHyphens/>
      <w:bidi w:val="0"/>
    </w:pPr>
  </w:style>
  <w:style w:type="paragraph" w:customStyle="1" w:styleId="Roman1GA">
    <w:name w:val="_Roman 1_GA"/>
    <w:basedOn w:val="Bullet1GA"/>
    <w:qFormat/>
    <w:rsid w:val="00F900C3"/>
    <w:pPr>
      <w:numPr>
        <w:numId w:val="10"/>
      </w:numPr>
    </w:pPr>
  </w:style>
  <w:style w:type="paragraph" w:customStyle="1" w:styleId="Roman2GA">
    <w:name w:val="_Roman 2_GA"/>
    <w:basedOn w:val="Bullet2GA"/>
    <w:next w:val="Normal"/>
    <w:qFormat/>
    <w:rsid w:val="00F900C3"/>
    <w:pPr>
      <w:numPr>
        <w:numId w:val="11"/>
      </w:numPr>
    </w:pPr>
  </w:style>
  <w:style w:type="paragraph" w:styleId="EndnoteText">
    <w:name w:val="endnote text"/>
    <w:aliases w:val="2_ GA"/>
    <w:basedOn w:val="Normal"/>
    <w:link w:val="EndnoteTextChar"/>
    <w:qFormat/>
    <w:rsid w:val="00AB6758"/>
    <w:pPr>
      <w:tabs>
        <w:tab w:val="right" w:pos="1021"/>
      </w:tabs>
      <w:spacing w:after="120" w:line="300" w:lineRule="exact"/>
      <w:ind w:left="1247" w:right="1247" w:hanging="1247"/>
    </w:pPr>
    <w:rPr>
      <w:sz w:val="18"/>
      <w:szCs w:val="26"/>
    </w:rPr>
  </w:style>
  <w:style w:type="character" w:customStyle="1" w:styleId="EndnoteTextChar">
    <w:name w:val="Endnote Text Char"/>
    <w:aliases w:val="2_ GA Char"/>
    <w:basedOn w:val="DefaultParagraphFont"/>
    <w:link w:val="EndnoteText"/>
    <w:rsid w:val="00AB6758"/>
    <w:rPr>
      <w:rFonts w:ascii="Times New Roman" w:eastAsia="Times New Roman" w:hAnsi="Times New Roman" w:cs="Traditional Arabic"/>
      <w:sz w:val="18"/>
      <w:szCs w:val="26"/>
    </w:rPr>
  </w:style>
  <w:style w:type="character" w:customStyle="1" w:styleId="EndtnoteReference">
    <w:name w:val="Endtnote Reference"/>
    <w:aliases w:val="1_GA"/>
    <w:basedOn w:val="DefaultParagraphFont"/>
    <w:qFormat/>
    <w:rsid w:val="00F900C3"/>
    <w:rPr>
      <w:rFonts w:ascii="Times New Roman" w:hAnsi="Times New Roman" w:cs="Traditional Arabic"/>
      <w:b/>
      <w:kern w:val="0"/>
      <w:sz w:val="18"/>
      <w:szCs w:val="28"/>
      <w:vertAlign w:val="superscript"/>
    </w:rPr>
  </w:style>
  <w:style w:type="paragraph" w:styleId="Footer">
    <w:name w:val="footer"/>
    <w:aliases w:val="3_GA,3_G"/>
    <w:basedOn w:val="Normal"/>
    <w:link w:val="FooterChar"/>
    <w:qFormat/>
    <w:rsid w:val="00AB6758"/>
    <w:pPr>
      <w:suppressAutoHyphens/>
      <w:bidi w:val="0"/>
      <w:spacing w:line="240" w:lineRule="auto"/>
    </w:pPr>
    <w:rPr>
      <w:sz w:val="16"/>
      <w:szCs w:val="22"/>
      <w:lang w:val="en-GB"/>
    </w:rPr>
  </w:style>
  <w:style w:type="character" w:customStyle="1" w:styleId="FooterChar">
    <w:name w:val="Footer Char"/>
    <w:aliases w:val="3_GA Char,3_G Char"/>
    <w:basedOn w:val="DefaultParagraphFont"/>
    <w:link w:val="Footer"/>
    <w:rsid w:val="00AB6758"/>
    <w:rPr>
      <w:rFonts w:ascii="Times New Roman" w:eastAsia="Times New Roman" w:hAnsi="Times New Roman" w:cs="Traditional Arabic"/>
      <w:sz w:val="16"/>
      <w:lang w:val="en-GB"/>
    </w:rPr>
  </w:style>
  <w:style w:type="paragraph" w:customStyle="1" w:styleId="FootnoteText1">
    <w:name w:val="Footnote Text1"/>
    <w:aliases w:val="5_GA"/>
    <w:basedOn w:val="Normal"/>
    <w:qFormat/>
    <w:rsid w:val="00994130"/>
    <w:pPr>
      <w:spacing w:after="60" w:line="300" w:lineRule="exact"/>
      <w:ind w:left="1247" w:right="1247" w:hanging="567"/>
    </w:pPr>
    <w:rPr>
      <w:sz w:val="18"/>
      <w:szCs w:val="26"/>
    </w:rPr>
  </w:style>
  <w:style w:type="paragraph" w:styleId="Header">
    <w:name w:val="header"/>
    <w:aliases w:val="6_GA"/>
    <w:basedOn w:val="Normal"/>
    <w:link w:val="HeaderChar"/>
    <w:qFormat/>
    <w:rsid w:val="00AB6758"/>
    <w:pPr>
      <w:pBdr>
        <w:bottom w:val="single" w:sz="4" w:space="4" w:color="auto"/>
      </w:pBdr>
      <w:suppressAutoHyphens/>
      <w:bidi w:val="0"/>
    </w:pPr>
    <w:rPr>
      <w:b/>
      <w:bCs/>
      <w:sz w:val="18"/>
      <w:szCs w:val="26"/>
    </w:rPr>
  </w:style>
  <w:style w:type="character" w:customStyle="1" w:styleId="HeaderChar">
    <w:name w:val="Header Char"/>
    <w:aliases w:val="6_GA Char"/>
    <w:basedOn w:val="DefaultParagraphFont"/>
    <w:link w:val="Header"/>
    <w:rsid w:val="00AB6758"/>
    <w:rPr>
      <w:rFonts w:ascii="Times New Roman" w:eastAsia="Times New Roman" w:hAnsi="Times New Roman" w:cs="Traditional Arabic"/>
      <w:b/>
      <w:bCs/>
      <w:sz w:val="18"/>
      <w:szCs w:val="26"/>
    </w:rPr>
  </w:style>
  <w:style w:type="character" w:customStyle="1" w:styleId="Heading1Char">
    <w:name w:val="Heading 1 Char"/>
    <w:aliases w:val="Table_GA Char"/>
    <w:basedOn w:val="DefaultParagraphFont"/>
    <w:link w:val="Heading1"/>
    <w:rsid w:val="00AB6758"/>
    <w:rPr>
      <w:rFonts w:ascii="Times New Roman" w:eastAsia="Times New Roman" w:hAnsi="Times New Roman" w:cs="Traditional Arabic"/>
      <w:sz w:val="20"/>
      <w:szCs w:val="30"/>
    </w:rPr>
  </w:style>
  <w:style w:type="character" w:styleId="PageNumber">
    <w:name w:val="page number"/>
    <w:aliases w:val="7_GA"/>
    <w:basedOn w:val="DefaultParagraphFont"/>
    <w:qFormat/>
    <w:rsid w:val="00AB6758"/>
    <w:rPr>
      <w:rFonts w:ascii="Times New Roman" w:hAnsi="Times New Roman"/>
      <w:b/>
      <w:sz w:val="18"/>
    </w:rPr>
  </w:style>
  <w:style w:type="paragraph" w:customStyle="1" w:styleId="XXLargeGA">
    <w:name w:val="XXLarge_GA"/>
    <w:basedOn w:val="XLargeGA"/>
    <w:next w:val="Normal"/>
    <w:qFormat/>
    <w:rsid w:val="00AB6758"/>
    <w:pPr>
      <w:spacing w:line="820" w:lineRule="exact"/>
    </w:pPr>
    <w:rPr>
      <w:spacing w:val="-8"/>
      <w:w w:val="96"/>
      <w:sz w:val="57"/>
      <w:szCs w:val="86"/>
    </w:rPr>
  </w:style>
  <w:style w:type="character" w:customStyle="1" w:styleId="Heading2Char">
    <w:name w:val="Heading 2 Char"/>
    <w:basedOn w:val="DefaultParagraphFont"/>
    <w:link w:val="Heading2"/>
    <w:uiPriority w:val="9"/>
    <w:rsid w:val="00455780"/>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rsid w:val="00455780"/>
    <w:rPr>
      <w:b/>
      <w:bCs/>
      <w:smallCaps/>
      <w:spacing w:val="5"/>
    </w:rPr>
  </w:style>
  <w:style w:type="character" w:customStyle="1" w:styleId="Heading3Char">
    <w:name w:val="Heading 3 Char"/>
    <w:basedOn w:val="DefaultParagraphFont"/>
    <w:link w:val="Heading3"/>
    <w:uiPriority w:val="9"/>
    <w:rsid w:val="00EC4B6B"/>
    <w:rPr>
      <w:rFonts w:asciiTheme="majorHAnsi" w:eastAsiaTheme="majorEastAsia" w:hAnsiTheme="majorHAnsi" w:cstheme="majorBidi"/>
      <w:b/>
      <w:bCs/>
      <w:color w:val="4F81BD" w:themeColor="accent1"/>
      <w:sz w:val="20"/>
      <w:szCs w:val="30"/>
    </w:rPr>
  </w:style>
  <w:style w:type="character" w:customStyle="1" w:styleId="Heading4Char">
    <w:name w:val="Heading 4 Char"/>
    <w:basedOn w:val="DefaultParagraphFont"/>
    <w:link w:val="Heading4"/>
    <w:uiPriority w:val="9"/>
    <w:rsid w:val="00EC4B6B"/>
    <w:rPr>
      <w:rFonts w:asciiTheme="majorHAnsi" w:eastAsiaTheme="majorEastAsia" w:hAnsiTheme="majorHAnsi" w:cstheme="majorBidi"/>
      <w:b/>
      <w:bCs/>
      <w:i/>
      <w:iCs/>
      <w:color w:val="4F81BD" w:themeColor="accent1"/>
      <w:sz w:val="20"/>
      <w:szCs w:val="30"/>
    </w:rPr>
  </w:style>
  <w:style w:type="character" w:customStyle="1" w:styleId="Heading5Char">
    <w:name w:val="Heading 5 Char"/>
    <w:basedOn w:val="DefaultParagraphFont"/>
    <w:link w:val="Heading5"/>
    <w:uiPriority w:val="9"/>
    <w:rsid w:val="00EC4B6B"/>
    <w:rPr>
      <w:rFonts w:asciiTheme="majorHAnsi" w:eastAsiaTheme="majorEastAsia" w:hAnsiTheme="majorHAnsi" w:cstheme="majorBidi"/>
      <w:color w:val="243F60" w:themeColor="accent1" w:themeShade="7F"/>
      <w:sz w:val="20"/>
      <w:szCs w:val="30"/>
    </w:rPr>
  </w:style>
  <w:style w:type="character" w:customStyle="1" w:styleId="Heading6Char">
    <w:name w:val="Heading 6 Char"/>
    <w:basedOn w:val="DefaultParagraphFont"/>
    <w:link w:val="Heading6"/>
    <w:uiPriority w:val="9"/>
    <w:rsid w:val="00EC4B6B"/>
    <w:rPr>
      <w:rFonts w:asciiTheme="majorHAnsi" w:eastAsiaTheme="majorEastAsia" w:hAnsiTheme="majorHAnsi" w:cstheme="majorBidi"/>
      <w:i/>
      <w:iCs/>
      <w:color w:val="243F60" w:themeColor="accent1" w:themeShade="7F"/>
      <w:sz w:val="20"/>
      <w:szCs w:val="30"/>
    </w:rPr>
  </w:style>
  <w:style w:type="character" w:customStyle="1" w:styleId="Heading7Char">
    <w:name w:val="Heading 7 Char"/>
    <w:basedOn w:val="DefaultParagraphFont"/>
    <w:link w:val="Heading7"/>
    <w:uiPriority w:val="9"/>
    <w:rsid w:val="00EC4B6B"/>
    <w:rPr>
      <w:rFonts w:asciiTheme="majorHAnsi" w:eastAsiaTheme="majorEastAsia" w:hAnsiTheme="majorHAnsi" w:cstheme="majorBidi"/>
      <w:i/>
      <w:iCs/>
      <w:color w:val="404040" w:themeColor="text1" w:themeTint="BF"/>
      <w:sz w:val="20"/>
      <w:szCs w:val="30"/>
    </w:rPr>
  </w:style>
  <w:style w:type="character" w:customStyle="1" w:styleId="Heading8Char">
    <w:name w:val="Heading 8 Char"/>
    <w:basedOn w:val="DefaultParagraphFont"/>
    <w:link w:val="Heading8"/>
    <w:uiPriority w:val="9"/>
    <w:rsid w:val="00EC4B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EC4B6B"/>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rsid w:val="00EC4B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4B6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EC4B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C4B6B"/>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EC4B6B"/>
    <w:rPr>
      <w:i/>
      <w:iCs/>
      <w:color w:val="808080" w:themeColor="text1" w:themeTint="7F"/>
    </w:rPr>
  </w:style>
  <w:style w:type="table" w:styleId="ColorfulGrid-Accent6">
    <w:name w:val="Colorful Grid Accent 6"/>
    <w:basedOn w:val="TableNormal"/>
    <w:uiPriority w:val="73"/>
    <w:rsid w:val="00EC4B6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Emphasis">
    <w:name w:val="Emphasis"/>
    <w:basedOn w:val="DefaultParagraphFont"/>
    <w:uiPriority w:val="20"/>
    <w:rsid w:val="003260FF"/>
    <w:rPr>
      <w:i/>
      <w:iCs/>
    </w:rPr>
  </w:style>
  <w:style w:type="character" w:styleId="IntenseEmphasis">
    <w:name w:val="Intense Emphasis"/>
    <w:basedOn w:val="DefaultParagraphFont"/>
    <w:uiPriority w:val="21"/>
    <w:rsid w:val="003260FF"/>
    <w:rPr>
      <w:b/>
      <w:bCs/>
      <w:i/>
      <w:iCs/>
      <w:color w:val="4F81BD" w:themeColor="accent1"/>
    </w:rPr>
  </w:style>
  <w:style w:type="character" w:styleId="Strong">
    <w:name w:val="Strong"/>
    <w:basedOn w:val="DefaultParagraphFont"/>
    <w:uiPriority w:val="22"/>
    <w:rsid w:val="003260FF"/>
    <w:rPr>
      <w:b/>
      <w:bCs/>
    </w:rPr>
  </w:style>
  <w:style w:type="paragraph" w:styleId="Quote">
    <w:name w:val="Quote"/>
    <w:basedOn w:val="Normal"/>
    <w:next w:val="Normal"/>
    <w:link w:val="QuoteChar"/>
    <w:uiPriority w:val="29"/>
    <w:rsid w:val="003260FF"/>
    <w:rPr>
      <w:i/>
      <w:iCs/>
      <w:color w:val="000000" w:themeColor="text1"/>
    </w:rPr>
  </w:style>
  <w:style w:type="character" w:customStyle="1" w:styleId="QuoteChar">
    <w:name w:val="Quote Char"/>
    <w:basedOn w:val="DefaultParagraphFont"/>
    <w:link w:val="Quote"/>
    <w:uiPriority w:val="29"/>
    <w:rsid w:val="003260FF"/>
    <w:rPr>
      <w:rFonts w:ascii="Times New Roman" w:hAnsi="Times New Roman" w:cs="Traditional Arabic"/>
      <w:i/>
      <w:iCs/>
      <w:color w:val="000000" w:themeColor="text1"/>
      <w:sz w:val="20"/>
      <w:szCs w:val="30"/>
    </w:rPr>
  </w:style>
  <w:style w:type="paragraph" w:styleId="IntenseQuote">
    <w:name w:val="Intense Quote"/>
    <w:basedOn w:val="Normal"/>
    <w:next w:val="Normal"/>
    <w:link w:val="IntenseQuoteChar"/>
    <w:uiPriority w:val="30"/>
    <w:rsid w:val="003260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260FF"/>
    <w:rPr>
      <w:rFonts w:ascii="Times New Roman" w:hAnsi="Times New Roman" w:cs="Traditional Arabic"/>
      <w:b/>
      <w:bCs/>
      <w:i/>
      <w:iCs/>
      <w:color w:val="4F81BD" w:themeColor="accent1"/>
      <w:sz w:val="20"/>
      <w:szCs w:val="30"/>
    </w:rPr>
  </w:style>
  <w:style w:type="character" w:styleId="SubtleReference">
    <w:name w:val="Subtle Reference"/>
    <w:basedOn w:val="DefaultParagraphFont"/>
    <w:uiPriority w:val="31"/>
    <w:rsid w:val="003260FF"/>
    <w:rPr>
      <w:smallCaps/>
      <w:color w:val="C0504D" w:themeColor="accent2"/>
      <w:u w:val="single"/>
    </w:rPr>
  </w:style>
  <w:style w:type="character" w:styleId="IntenseReference">
    <w:name w:val="Intense Reference"/>
    <w:basedOn w:val="DefaultParagraphFont"/>
    <w:uiPriority w:val="32"/>
    <w:rsid w:val="003260FF"/>
    <w:rPr>
      <w:b/>
      <w:bCs/>
      <w:smallCaps/>
      <w:color w:val="C0504D" w:themeColor="accent2"/>
      <w:spacing w:val="5"/>
      <w:u w:val="single"/>
    </w:rPr>
  </w:style>
  <w:style w:type="paragraph" w:styleId="ListParagraph">
    <w:name w:val="List Paragraph"/>
    <w:basedOn w:val="Normal"/>
    <w:uiPriority w:val="34"/>
    <w:rsid w:val="003260FF"/>
    <w:pPr>
      <w:ind w:left="720"/>
      <w:contextualSpacing/>
    </w:pPr>
  </w:style>
  <w:style w:type="table" w:styleId="MediumShading1-Accent4">
    <w:name w:val="Medium Shading 1 Accent 4"/>
    <w:basedOn w:val="TableNormal"/>
    <w:uiPriority w:val="63"/>
    <w:rsid w:val="003260F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EndnoteReference">
    <w:name w:val="endnote reference"/>
    <w:basedOn w:val="DefaultParagraphFont"/>
    <w:uiPriority w:val="99"/>
    <w:semiHidden/>
    <w:unhideWhenUsed/>
    <w:rsid w:val="00F900C3"/>
    <w:rPr>
      <w:vertAlign w:val="superscript"/>
    </w:rPr>
  </w:style>
  <w:style w:type="table" w:styleId="TableGrid">
    <w:name w:val="Table Grid"/>
    <w:basedOn w:val="TableNormal"/>
    <w:rsid w:val="006B3E27"/>
    <w:pPr>
      <w:bidi/>
      <w:spacing w:after="0" w:line="240" w:lineRule="auto"/>
      <w:jc w:val="lowKashida"/>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3E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E27"/>
    <w:rPr>
      <w:rFonts w:ascii="Tahoma" w:hAnsi="Tahoma" w:cs="Tahoma"/>
      <w:sz w:val="16"/>
      <w:szCs w:val="16"/>
    </w:rPr>
  </w:style>
  <w:style w:type="character" w:styleId="Hyperlink">
    <w:name w:val="Hyperlink"/>
    <w:uiPriority w:val="99"/>
    <w:rsid w:val="00225595"/>
    <w:rPr>
      <w:color w:val="auto"/>
      <w:u w:val="none"/>
    </w:rPr>
  </w:style>
  <w:style w:type="paragraph" w:customStyle="1" w:styleId="SingleTxtG">
    <w:name w:val="_ Single Txt_G"/>
    <w:basedOn w:val="Normal"/>
    <w:link w:val="SingleTxtGChar"/>
    <w:uiPriority w:val="99"/>
    <w:rsid w:val="00225595"/>
    <w:pPr>
      <w:suppressAutoHyphens/>
      <w:bidi w:val="0"/>
      <w:spacing w:after="120"/>
      <w:ind w:left="1134" w:right="1134"/>
      <w:jc w:val="both"/>
    </w:pPr>
    <w:rPr>
      <w:rFonts w:cs="Times New Roman"/>
      <w:szCs w:val="20"/>
      <w:lang w:val="fr-CH"/>
    </w:rPr>
  </w:style>
  <w:style w:type="character" w:customStyle="1" w:styleId="SingleTxtGChar">
    <w:name w:val="_ Single Txt_G Char"/>
    <w:link w:val="SingleTxtG"/>
    <w:uiPriority w:val="99"/>
    <w:locked/>
    <w:rsid w:val="00225595"/>
    <w:rPr>
      <w:rFonts w:ascii="Times New Roman" w:hAnsi="Times New Roman" w:cs="Times New Roman"/>
      <w:sz w:val="20"/>
      <w:szCs w:val="20"/>
      <w:lang w:val="fr-CH"/>
    </w:rPr>
  </w:style>
  <w:style w:type="character" w:customStyle="1" w:styleId="Link">
    <w:name w:val="Link"/>
    <w:rsid w:val="00225595"/>
    <w:rPr>
      <w:color w:val="0000FF"/>
      <w:u w:val="single" w:color="0000FF"/>
    </w:rPr>
  </w:style>
  <w:style w:type="paragraph" w:styleId="TOC1">
    <w:name w:val="toc 1"/>
    <w:basedOn w:val="Normal"/>
    <w:next w:val="Normal"/>
    <w:autoRedefine/>
    <w:uiPriority w:val="39"/>
    <w:unhideWhenUsed/>
    <w:rsid w:val="009D4FC6"/>
    <w:pPr>
      <w:spacing w:after="100"/>
    </w:pPr>
  </w:style>
  <w:style w:type="paragraph" w:styleId="TOC2">
    <w:name w:val="toc 2"/>
    <w:basedOn w:val="Normal"/>
    <w:next w:val="Normal"/>
    <w:autoRedefine/>
    <w:uiPriority w:val="39"/>
    <w:unhideWhenUsed/>
    <w:rsid w:val="009D4FC6"/>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13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ww.jlos.go.ug" TargetMode="External"/><Relationship Id="rId2" Type="http://schemas.openxmlformats.org/officeDocument/2006/relationships/hyperlink" Target="http://www.achpr.org/states/" TargetMode="External"/><Relationship Id="rId1" Type="http://schemas.openxmlformats.org/officeDocument/2006/relationships/hyperlink" Target="http://www.notu.or.u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0\CoverPages\HR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EBFAF-3EE1-4FA4-9618-72554F20D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HRI.dotm</Template>
  <TotalTime>1</TotalTime>
  <Pages>30</Pages>
  <Words>7578</Words>
  <Characters>43199</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HRI/CORE/UGA/2015</vt:lpstr>
    </vt:vector>
  </TitlesOfParts>
  <Company>DCM</Company>
  <LinksUpToDate>false</LinksUpToDate>
  <CharactersWithSpaces>50676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HRI/CORE/UGA/2015</dc:title>
  <dc:subject>BAZZOUNE/Boukadida</dc:subject>
  <dc:creator>Mahmoud</dc:creator>
  <cp:lastModifiedBy>El-Maseri M.</cp:lastModifiedBy>
  <cp:revision>2</cp:revision>
  <cp:lastPrinted>2015-06-12T09:17:00Z</cp:lastPrinted>
  <dcterms:created xsi:type="dcterms:W3CDTF">2015-06-15T06:46:00Z</dcterms:created>
  <dcterms:modified xsi:type="dcterms:W3CDTF">2015-06-15T06:46:00Z</dcterms:modified>
</cp:coreProperties>
</file>