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2C86856" w14:textId="77777777" w:rsidTr="003A3D90">
        <w:trPr>
          <w:trHeight w:hRule="exact" w:val="851"/>
        </w:trPr>
        <w:tc>
          <w:tcPr>
            <w:tcW w:w="142" w:type="dxa"/>
            <w:tcBorders>
              <w:bottom w:val="single" w:sz="4" w:space="0" w:color="auto"/>
            </w:tcBorders>
          </w:tcPr>
          <w:p w14:paraId="780ACF22" w14:textId="77777777" w:rsidR="002D5AAC" w:rsidRDefault="002D5AAC" w:rsidP="00CA1E9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1B9427D"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B38880E" w14:textId="77777777" w:rsidR="002D5AAC" w:rsidRDefault="00CA1E90" w:rsidP="00CA1E90">
            <w:pPr>
              <w:jc w:val="right"/>
            </w:pPr>
            <w:r w:rsidRPr="00CA1E90">
              <w:rPr>
                <w:sz w:val="40"/>
              </w:rPr>
              <w:t>HRI</w:t>
            </w:r>
            <w:r>
              <w:t>/CORE/PER/2019</w:t>
            </w:r>
          </w:p>
        </w:tc>
      </w:tr>
      <w:tr w:rsidR="002D5AAC" w:rsidRPr="009852CB" w14:paraId="5FE4BA8C" w14:textId="77777777" w:rsidTr="003A3D90">
        <w:trPr>
          <w:trHeight w:hRule="exact" w:val="2835"/>
        </w:trPr>
        <w:tc>
          <w:tcPr>
            <w:tcW w:w="1280" w:type="dxa"/>
            <w:gridSpan w:val="2"/>
            <w:tcBorders>
              <w:top w:val="single" w:sz="4" w:space="0" w:color="auto"/>
              <w:bottom w:val="single" w:sz="12" w:space="0" w:color="auto"/>
            </w:tcBorders>
          </w:tcPr>
          <w:p w14:paraId="6D57909E" w14:textId="77777777" w:rsidR="002D5AAC" w:rsidRDefault="007B5263" w:rsidP="003A3D90">
            <w:pPr>
              <w:spacing w:before="120"/>
              <w:jc w:val="center"/>
            </w:pPr>
            <w:r>
              <w:rPr>
                <w:noProof/>
                <w:lang w:val="fr-CH" w:eastAsia="fr-CH"/>
              </w:rPr>
              <w:drawing>
                <wp:inline distT="0" distB="0" distL="0" distR="0" wp14:anchorId="2AA87B47" wp14:editId="1C8E107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53F462"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56D33E86" w14:textId="77777777" w:rsidR="002D5AAC" w:rsidRPr="00CA1E90" w:rsidRDefault="00CA1E90" w:rsidP="003A3D90">
            <w:pPr>
              <w:spacing w:before="240"/>
              <w:rPr>
                <w:lang w:val="en-US"/>
              </w:rPr>
            </w:pPr>
            <w:r w:rsidRPr="00CA1E90">
              <w:rPr>
                <w:lang w:val="en-US"/>
              </w:rPr>
              <w:t>Distr.: General</w:t>
            </w:r>
          </w:p>
          <w:p w14:paraId="01127C3E" w14:textId="77777777" w:rsidR="00CA1E90" w:rsidRPr="00CA1E90" w:rsidRDefault="00CA1E90" w:rsidP="00CA1E90">
            <w:pPr>
              <w:spacing w:line="240" w:lineRule="exact"/>
              <w:rPr>
                <w:lang w:val="en-US"/>
              </w:rPr>
            </w:pPr>
            <w:r w:rsidRPr="00CA1E90">
              <w:rPr>
                <w:lang w:val="en-US"/>
              </w:rPr>
              <w:t>20 July 2020</w:t>
            </w:r>
          </w:p>
          <w:p w14:paraId="3D34F6AB" w14:textId="77777777" w:rsidR="00CA1E90" w:rsidRPr="00CA1E90" w:rsidRDefault="00CA1E90" w:rsidP="00CA1E90">
            <w:pPr>
              <w:spacing w:line="240" w:lineRule="exact"/>
              <w:rPr>
                <w:lang w:val="en-US"/>
              </w:rPr>
            </w:pPr>
            <w:r w:rsidRPr="00CA1E90">
              <w:rPr>
                <w:lang w:val="en-US"/>
              </w:rPr>
              <w:t>Russian</w:t>
            </w:r>
          </w:p>
          <w:p w14:paraId="33E7D50A" w14:textId="77777777" w:rsidR="00CA1E90" w:rsidRPr="00CA1E90" w:rsidRDefault="00CA1E90" w:rsidP="00CA1E90">
            <w:pPr>
              <w:spacing w:line="240" w:lineRule="exact"/>
              <w:rPr>
                <w:lang w:val="en-US"/>
              </w:rPr>
            </w:pPr>
            <w:r w:rsidRPr="00CA1E90">
              <w:rPr>
                <w:lang w:val="en-US"/>
              </w:rPr>
              <w:t>Original: Spanish</w:t>
            </w:r>
          </w:p>
        </w:tc>
      </w:tr>
    </w:tbl>
    <w:p w14:paraId="64D5657F" w14:textId="77777777" w:rsidR="00CA1E90" w:rsidRPr="0091523B" w:rsidRDefault="00CA1E90" w:rsidP="00CA1E90">
      <w:pPr>
        <w:pStyle w:val="HMG"/>
      </w:pPr>
      <w:r w:rsidRPr="00BB227E">
        <w:rPr>
          <w:lang w:val="en-US"/>
        </w:rPr>
        <w:tab/>
      </w:r>
      <w:r w:rsidRPr="00BB227E">
        <w:rPr>
          <w:lang w:val="en-US"/>
        </w:rPr>
        <w:tab/>
      </w:r>
      <w:r>
        <w:rPr>
          <w:bCs/>
        </w:rPr>
        <w:t xml:space="preserve">Общий базовый документ, </w:t>
      </w:r>
      <w:r w:rsidR="0012622F">
        <w:rPr>
          <w:bCs/>
        </w:rPr>
        <w:br/>
      </w:r>
      <w:r>
        <w:rPr>
          <w:bCs/>
        </w:rPr>
        <w:t>являющийся составной частью докладов государств-участников</w:t>
      </w:r>
      <w:r>
        <w:t xml:space="preserve"> </w:t>
      </w:r>
    </w:p>
    <w:p w14:paraId="69A3B4C4" w14:textId="77777777" w:rsidR="00CA1E90" w:rsidRPr="0091523B" w:rsidRDefault="00CA1E90" w:rsidP="00CA1E90">
      <w:pPr>
        <w:pStyle w:val="HMG"/>
      </w:pPr>
      <w:bookmarkStart w:id="0" w:name="_Toc229908564"/>
      <w:bookmarkStart w:id="1" w:name="_Toc229909634"/>
      <w:bookmarkEnd w:id="0"/>
      <w:bookmarkEnd w:id="1"/>
      <w:r>
        <w:tab/>
      </w:r>
      <w:r>
        <w:tab/>
      </w:r>
      <w:r>
        <w:rPr>
          <w:bCs/>
        </w:rPr>
        <w:t>Перу</w:t>
      </w:r>
      <w:r w:rsidRPr="00CA1E90">
        <w:rPr>
          <w:rStyle w:val="ab"/>
          <w:b w:val="0"/>
          <w:sz w:val="20"/>
          <w:vertAlign w:val="baseline"/>
        </w:rPr>
        <w:footnoteReference w:customMarkFollows="1" w:id="1"/>
        <w:t>*</w:t>
      </w:r>
    </w:p>
    <w:p w14:paraId="485AB82A" w14:textId="77777777" w:rsidR="00CA1E90" w:rsidRDefault="00CA1E90" w:rsidP="00CA1E90">
      <w:pPr>
        <w:pStyle w:val="SingleTxtG"/>
        <w:jc w:val="right"/>
      </w:pPr>
      <w:r>
        <w:t xml:space="preserve">[Дата </w:t>
      </w:r>
      <w:r w:rsidRPr="00CA1E90">
        <w:t>получения</w:t>
      </w:r>
      <w:r>
        <w:t>: 1 декабря 2019 года]</w:t>
      </w:r>
    </w:p>
    <w:p w14:paraId="5B5811DA" w14:textId="77777777" w:rsidR="00CA1E90" w:rsidRDefault="00CA1E90" w:rsidP="00CA1E90">
      <w:pPr>
        <w:spacing w:line="240" w:lineRule="auto"/>
      </w:pPr>
      <w:r w:rsidRPr="00C572F1">
        <w:rPr>
          <w:color w:val="FF0000"/>
        </w:rPr>
        <w:br w:type="page"/>
      </w:r>
    </w:p>
    <w:p w14:paraId="5CB1B5EE" w14:textId="77777777" w:rsidR="00CA1E90" w:rsidRPr="0091523B" w:rsidRDefault="00CA1E90" w:rsidP="00CA1E90">
      <w:pPr>
        <w:pStyle w:val="HChG"/>
      </w:pPr>
      <w:r>
        <w:lastRenderedPageBreak/>
        <w:tab/>
      </w:r>
      <w:r>
        <w:tab/>
        <w:t>Акронимы и аббревиатуры</w:t>
      </w:r>
    </w:p>
    <w:p w14:paraId="289D4E38" w14:textId="77777777" w:rsidR="00CA1E90" w:rsidRDefault="00CA1E90" w:rsidP="00CA1E90">
      <w:pPr>
        <w:pStyle w:val="SingleTxtG"/>
        <w:tabs>
          <w:tab w:val="left" w:pos="2552"/>
        </w:tabs>
      </w:pPr>
      <w:r>
        <w:t>АП</w:t>
      </w:r>
      <w:r w:rsidRPr="00771B6B">
        <w:t xml:space="preserve"> </w:t>
      </w:r>
      <w:r>
        <w:t>Совмина</w:t>
      </w:r>
      <w:r>
        <w:tab/>
        <w:t>Аппарат Председателя Совета министров</w:t>
      </w:r>
    </w:p>
    <w:p w14:paraId="35CE7D41" w14:textId="77777777" w:rsidR="00CA1E90" w:rsidRPr="0091523B" w:rsidRDefault="00CA1E90" w:rsidP="00CA1E90">
      <w:pPr>
        <w:pStyle w:val="SingleTxtG"/>
        <w:tabs>
          <w:tab w:val="left" w:pos="2552"/>
        </w:tabs>
      </w:pPr>
      <w:r>
        <w:t>ВОЗ</w:t>
      </w:r>
      <w:r>
        <w:tab/>
        <w:t>Всемирная организация здравоохранения</w:t>
      </w:r>
    </w:p>
    <w:p w14:paraId="4DA80852" w14:textId="77777777" w:rsidR="00CA1E90" w:rsidRPr="0091523B" w:rsidRDefault="00CA1E90" w:rsidP="00CA1E90">
      <w:pPr>
        <w:pStyle w:val="SingleTxtG"/>
        <w:tabs>
          <w:tab w:val="left" w:pos="2552"/>
        </w:tabs>
      </w:pPr>
      <w:r>
        <w:t>ГП</w:t>
      </w:r>
      <w:r>
        <w:tab/>
        <w:t>Государственная прокуратура</w:t>
      </w:r>
    </w:p>
    <w:p w14:paraId="4254063C" w14:textId="77777777" w:rsidR="00CA1E90" w:rsidRPr="0091523B" w:rsidRDefault="00CA1E90" w:rsidP="00CA1E90">
      <w:pPr>
        <w:pStyle w:val="SingleTxtG"/>
        <w:tabs>
          <w:tab w:val="left" w:pos="2552"/>
        </w:tabs>
      </w:pPr>
      <w:r>
        <w:t>ЕРЖ</w:t>
      </w:r>
      <w:r>
        <w:tab/>
        <w:t>Единый реестр жертв</w:t>
      </w:r>
    </w:p>
    <w:p w14:paraId="2C7FFA79" w14:textId="77777777" w:rsidR="00CA1E90" w:rsidRDefault="00CA1E90" w:rsidP="00CA1E90">
      <w:pPr>
        <w:pStyle w:val="SingleTxtG"/>
        <w:tabs>
          <w:tab w:val="left" w:pos="2552"/>
        </w:tabs>
      </w:pPr>
      <w:r>
        <w:t>ИСМК</w:t>
      </w:r>
      <w:r>
        <w:tab/>
        <w:t>Институт судебной медицины и криминалистики</w:t>
      </w:r>
    </w:p>
    <w:p w14:paraId="44B8C328" w14:textId="77777777" w:rsidR="00CA1E90" w:rsidRDefault="00CA1E90" w:rsidP="00CA1E90">
      <w:pPr>
        <w:pStyle w:val="SingleTxtG"/>
        <w:tabs>
          <w:tab w:val="left" w:pos="2552"/>
        </w:tabs>
      </w:pPr>
      <w:r>
        <w:t>КС</w:t>
      </w:r>
      <w:r>
        <w:tab/>
        <w:t>Конституционный суд</w:t>
      </w:r>
    </w:p>
    <w:p w14:paraId="7F23AF24" w14:textId="77777777" w:rsidR="00CA1E90" w:rsidRPr="0091523B" w:rsidRDefault="00CA1E90" w:rsidP="00CA1E90">
      <w:pPr>
        <w:pStyle w:val="SingleTxtG"/>
        <w:tabs>
          <w:tab w:val="left" w:pos="2552"/>
        </w:tabs>
      </w:pPr>
      <w:r>
        <w:t>МВД</w:t>
      </w:r>
      <w:r>
        <w:tab/>
        <w:t>Министерство внутренних дел</w:t>
      </w:r>
    </w:p>
    <w:p w14:paraId="17030193" w14:textId="77777777" w:rsidR="00CA1E90" w:rsidRDefault="00CA1E90" w:rsidP="00CA1E90">
      <w:pPr>
        <w:pStyle w:val="SingleTxtG"/>
        <w:tabs>
          <w:tab w:val="left" w:pos="2552"/>
        </w:tabs>
      </w:pPr>
      <w:r>
        <w:t>МВТТ</w:t>
      </w:r>
      <w:r>
        <w:tab/>
        <w:t>Министерство внешней торговли и туризма</w:t>
      </w:r>
    </w:p>
    <w:p w14:paraId="696023DD" w14:textId="77777777" w:rsidR="00CA1E90" w:rsidRPr="0091523B" w:rsidRDefault="00CA1E90" w:rsidP="00CA1E90">
      <w:pPr>
        <w:pStyle w:val="SingleTxtG"/>
        <w:tabs>
          <w:tab w:val="left" w:pos="2552"/>
        </w:tabs>
      </w:pPr>
      <w:r>
        <w:t>МЖФСС</w:t>
      </w:r>
      <w:r>
        <w:tab/>
        <w:t>Министерство жилищного фонда, строительства и санитарии</w:t>
      </w:r>
    </w:p>
    <w:p w14:paraId="284CCFB8" w14:textId="77777777" w:rsidR="00CA1E90" w:rsidRDefault="00CA1E90" w:rsidP="00CA1E90">
      <w:pPr>
        <w:pStyle w:val="SingleTxtG"/>
        <w:tabs>
          <w:tab w:val="left" w:pos="2552"/>
        </w:tabs>
      </w:pPr>
      <w:r>
        <w:t>МИМП</w:t>
      </w:r>
      <w:r>
        <w:tab/>
        <w:t>Министерство по делам женщин и уязвимых слоев населения</w:t>
      </w:r>
    </w:p>
    <w:p w14:paraId="25C9980B" w14:textId="77777777" w:rsidR="00CA1E90" w:rsidRPr="0091523B" w:rsidRDefault="00CA1E90" w:rsidP="00CA1E90">
      <w:pPr>
        <w:pStyle w:val="SingleTxtG"/>
        <w:tabs>
          <w:tab w:val="left" w:pos="2552"/>
        </w:tabs>
      </w:pPr>
      <w:r>
        <w:t>Минобр</w:t>
      </w:r>
      <w:r>
        <w:tab/>
        <w:t>Министерство образования</w:t>
      </w:r>
    </w:p>
    <w:p w14:paraId="41DA9B70" w14:textId="77777777" w:rsidR="00CA1E90" w:rsidRPr="0091523B" w:rsidRDefault="00CA1E90" w:rsidP="00CA1E90">
      <w:pPr>
        <w:pStyle w:val="SingleTxtG"/>
        <w:tabs>
          <w:tab w:val="left" w:pos="2552"/>
        </w:tabs>
      </w:pPr>
      <w:r>
        <w:t>Минсельхоз</w:t>
      </w:r>
      <w:r>
        <w:tab/>
        <w:t>Министерство сельского хозяйства и ирригации</w:t>
      </w:r>
    </w:p>
    <w:p w14:paraId="7A89EF6D" w14:textId="77777777" w:rsidR="00CA1E90" w:rsidRPr="0091523B" w:rsidRDefault="00CA1E90" w:rsidP="00CA1E90">
      <w:pPr>
        <w:pStyle w:val="SingleTxtG"/>
        <w:tabs>
          <w:tab w:val="left" w:pos="2552"/>
        </w:tabs>
        <w:ind w:left="2552" w:hanging="1418"/>
      </w:pPr>
      <w:r>
        <w:t>МКВУ</w:t>
      </w:r>
      <w:r>
        <w:tab/>
        <w:t>Межведомственная комиссия высокого уровня по контролю за деятельностью и политикой государства в вопросах установления мира, коллективного возмещения ущерба и национального примирения</w:t>
      </w:r>
    </w:p>
    <w:p w14:paraId="18B31D57" w14:textId="77777777" w:rsidR="00CA1E90" w:rsidRDefault="00CA1E90" w:rsidP="00CA1E90">
      <w:pPr>
        <w:pStyle w:val="SingleTxtG"/>
        <w:tabs>
          <w:tab w:val="left" w:pos="2552"/>
        </w:tabs>
      </w:pPr>
      <w:r>
        <w:t>МО</w:t>
      </w:r>
      <w:r>
        <w:tab/>
        <w:t>Министерство обороны</w:t>
      </w:r>
    </w:p>
    <w:p w14:paraId="2A794615" w14:textId="77777777" w:rsidR="00CA1E90" w:rsidRPr="0091523B" w:rsidRDefault="00CA1E90" w:rsidP="00CA1E90">
      <w:pPr>
        <w:pStyle w:val="SingleTxtG"/>
        <w:tabs>
          <w:tab w:val="left" w:pos="2552"/>
        </w:tabs>
      </w:pPr>
      <w:r>
        <w:t>МООС</w:t>
      </w:r>
      <w:r>
        <w:tab/>
        <w:t>Министерство охраны окружающей среды</w:t>
      </w:r>
    </w:p>
    <w:p w14:paraId="0982654E" w14:textId="77777777" w:rsidR="00CA1E90" w:rsidRDefault="00CA1E90" w:rsidP="00CA1E90">
      <w:pPr>
        <w:pStyle w:val="SingleTxtG"/>
        <w:tabs>
          <w:tab w:val="left" w:pos="2552"/>
        </w:tabs>
      </w:pPr>
      <w:r>
        <w:t>МП</w:t>
      </w:r>
      <w:r>
        <w:tab/>
        <w:t>Министерство производства</w:t>
      </w:r>
    </w:p>
    <w:p w14:paraId="6A75145C" w14:textId="77777777" w:rsidR="00CA1E90" w:rsidRPr="0091523B" w:rsidRDefault="00CA1E90" w:rsidP="00CA1E90">
      <w:pPr>
        <w:pStyle w:val="SingleTxtG"/>
        <w:tabs>
          <w:tab w:val="left" w:pos="2552"/>
        </w:tabs>
      </w:pPr>
      <w:r>
        <w:t>МРСА</w:t>
      </w:r>
      <w:r>
        <w:tab/>
        <w:t>Министерство развития и социальной адаптации</w:t>
      </w:r>
    </w:p>
    <w:p w14:paraId="289B0203" w14:textId="77777777" w:rsidR="00CA1E90" w:rsidRPr="0091523B" w:rsidRDefault="00CA1E90" w:rsidP="00CA1E90">
      <w:pPr>
        <w:pStyle w:val="SingleTxtG"/>
        <w:tabs>
          <w:tab w:val="left" w:pos="2552"/>
        </w:tabs>
      </w:pPr>
      <w:r>
        <w:t>МТК</w:t>
      </w:r>
      <w:r>
        <w:tab/>
        <w:t>Министерство транспорта и коммуникаций</w:t>
      </w:r>
    </w:p>
    <w:p w14:paraId="5DA8F8D7" w14:textId="77777777" w:rsidR="00CA1E90" w:rsidRPr="0091523B" w:rsidRDefault="00CA1E90" w:rsidP="00CA1E90">
      <w:pPr>
        <w:pStyle w:val="SingleTxtG"/>
        <w:tabs>
          <w:tab w:val="left" w:pos="2552"/>
        </w:tabs>
      </w:pPr>
      <w:r>
        <w:t>МЮПЧ</w:t>
      </w:r>
      <w:r>
        <w:tab/>
        <w:t>Министерство юстиции и по правам человека</w:t>
      </w:r>
    </w:p>
    <w:p w14:paraId="365F4272" w14:textId="77777777" w:rsidR="00CA1E90" w:rsidRPr="0091523B" w:rsidRDefault="00CA1E90" w:rsidP="00CA1E90">
      <w:pPr>
        <w:pStyle w:val="SingleTxtG"/>
        <w:tabs>
          <w:tab w:val="left" w:pos="2552"/>
        </w:tabs>
      </w:pPr>
      <w:r>
        <w:t>МЭФ</w:t>
      </w:r>
      <w:r>
        <w:tab/>
        <w:t>Министерство экономики и финансов</w:t>
      </w:r>
    </w:p>
    <w:p w14:paraId="7F84F04B" w14:textId="77777777" w:rsidR="00CA1E90" w:rsidRDefault="00CA1E90" w:rsidP="00CA1E90">
      <w:pPr>
        <w:pStyle w:val="SingleTxtG"/>
        <w:tabs>
          <w:tab w:val="left" w:pos="2552"/>
        </w:tabs>
      </w:pPr>
      <w:r>
        <w:t>НБВ</w:t>
      </w:r>
      <w:r>
        <w:tab/>
        <w:t>Национальное бюро по выборам</w:t>
      </w:r>
    </w:p>
    <w:p w14:paraId="2A036821" w14:textId="77777777" w:rsidR="00CA1E90" w:rsidRPr="0091523B" w:rsidRDefault="00CA1E90" w:rsidP="00CA1E90">
      <w:pPr>
        <w:pStyle w:val="SingleTxtG"/>
        <w:tabs>
          <w:tab w:val="left" w:pos="2552"/>
        </w:tabs>
      </w:pPr>
      <w:r>
        <w:t>НИК</w:t>
      </w:r>
      <w:r>
        <w:tab/>
        <w:t>Национальная избирательная комиссия</w:t>
      </w:r>
    </w:p>
    <w:p w14:paraId="5FBE8FA1" w14:textId="77777777" w:rsidR="00CA1E90" w:rsidRDefault="00CA1E90" w:rsidP="00CA1E90">
      <w:pPr>
        <w:pStyle w:val="SingleTxtG"/>
        <w:tabs>
          <w:tab w:val="left" w:pos="2552"/>
        </w:tabs>
      </w:pPr>
      <w:r>
        <w:t>НИСИ</w:t>
      </w:r>
      <w:r>
        <w:tab/>
        <w:t>Национальный институт статистики и информатики</w:t>
      </w:r>
    </w:p>
    <w:p w14:paraId="2C9904EE" w14:textId="77777777" w:rsidR="00CA1E90" w:rsidRPr="0091523B" w:rsidRDefault="00CA1E90" w:rsidP="00CA1E90">
      <w:pPr>
        <w:pStyle w:val="SingleTxtG"/>
        <w:tabs>
          <w:tab w:val="left" w:pos="2552"/>
        </w:tabs>
        <w:ind w:left="2552" w:hanging="1418"/>
      </w:pPr>
      <w:r>
        <w:t>НМПП</w:t>
      </w:r>
      <w:r>
        <w:tab/>
        <w:t>Национальный механизм по предупреждению пыток и других жестоких, бесчеловечных или унижающих достоинство видов обращения и наказания</w:t>
      </w:r>
    </w:p>
    <w:p w14:paraId="055EF874" w14:textId="77777777" w:rsidR="00CA1E90" w:rsidRPr="0091523B" w:rsidRDefault="00CA1E90" w:rsidP="00CA1E90">
      <w:pPr>
        <w:pStyle w:val="SingleTxtG"/>
        <w:tabs>
          <w:tab w:val="left" w:pos="2552"/>
        </w:tabs>
      </w:pPr>
      <w:r>
        <w:t>НОД</w:t>
      </w:r>
      <w:r>
        <w:tab/>
        <w:t>Национальное обследование домохозяйств</w:t>
      </w:r>
    </w:p>
    <w:p w14:paraId="276E3363" w14:textId="77777777" w:rsidR="00CA1E90" w:rsidRPr="0091523B" w:rsidRDefault="00CA1E90" w:rsidP="00CA1E90">
      <w:pPr>
        <w:pStyle w:val="SingleTxtG"/>
        <w:tabs>
          <w:tab w:val="left" w:pos="2552"/>
        </w:tabs>
      </w:pPr>
      <w:r>
        <w:t>НПИ</w:t>
      </w:r>
      <w:r>
        <w:tab/>
        <w:t>Национальный пенитенциарный институт</w:t>
      </w:r>
    </w:p>
    <w:p w14:paraId="49B62E1D" w14:textId="77777777" w:rsidR="00CA1E90" w:rsidRPr="0091523B" w:rsidRDefault="00CA1E90" w:rsidP="00CA1E90">
      <w:pPr>
        <w:pStyle w:val="SingleTxtG"/>
        <w:tabs>
          <w:tab w:val="left" w:pos="2552"/>
        </w:tabs>
        <w:ind w:left="2552" w:hanging="1418"/>
      </w:pPr>
      <w:r>
        <w:t>НПББСН</w:t>
      </w:r>
      <w:r>
        <w:tab/>
        <w:t>Национальная программа по борьбе с бытовым и сексуальным насилием</w:t>
      </w:r>
    </w:p>
    <w:p w14:paraId="6D13DD82" w14:textId="77777777" w:rsidR="00CA1E90" w:rsidRPr="0091523B" w:rsidRDefault="00CA1E90" w:rsidP="00CA1E90">
      <w:pPr>
        <w:pStyle w:val="SingleTxtG"/>
        <w:tabs>
          <w:tab w:val="left" w:pos="2552"/>
        </w:tabs>
      </w:pPr>
      <w:r>
        <w:t>НППЧ</w:t>
      </w:r>
      <w:r>
        <w:tab/>
        <w:t>Национальный план в области прав человека на 2018</w:t>
      </w:r>
      <w:r w:rsidR="00E436C8">
        <w:t>–</w:t>
      </w:r>
      <w:r>
        <w:t>2021 годы</w:t>
      </w:r>
    </w:p>
    <w:p w14:paraId="2E25AF4D" w14:textId="77777777" w:rsidR="00CA1E90" w:rsidRPr="0091523B" w:rsidRDefault="00CA1E90" w:rsidP="00CA1E90">
      <w:pPr>
        <w:pStyle w:val="SingleTxtG"/>
        <w:tabs>
          <w:tab w:val="left" w:pos="2552"/>
        </w:tabs>
      </w:pPr>
      <w:r>
        <w:t>НПП</w:t>
      </w:r>
      <w:r>
        <w:tab/>
        <w:t>Национальная полиция Перу</w:t>
      </w:r>
    </w:p>
    <w:p w14:paraId="76C2E62D" w14:textId="77777777" w:rsidR="00CA1E90" w:rsidRPr="0091523B" w:rsidRDefault="00CA1E90" w:rsidP="00CA1E90">
      <w:pPr>
        <w:pStyle w:val="SingleTxtG"/>
        <w:tabs>
          <w:tab w:val="left" w:pos="2552"/>
        </w:tabs>
      </w:pPr>
      <w:r>
        <w:t>ОДЗС</w:t>
      </w:r>
      <w:r>
        <w:tab/>
        <w:t>Обследование по вопросам демографии и здоровья семьи</w:t>
      </w:r>
    </w:p>
    <w:p w14:paraId="2E0537F2" w14:textId="77777777" w:rsidR="00CA1E90" w:rsidRPr="0091523B" w:rsidRDefault="00CA1E90" w:rsidP="00CA1E90">
      <w:pPr>
        <w:pStyle w:val="SingleTxtG"/>
        <w:tabs>
          <w:tab w:val="left" w:pos="2552"/>
        </w:tabs>
      </w:pPr>
      <w:r>
        <w:t>ОЗЛИ</w:t>
      </w:r>
      <w:r>
        <w:tab/>
        <w:t>Общий закон о лицах с инвалидностью</w:t>
      </w:r>
    </w:p>
    <w:p w14:paraId="19401276" w14:textId="77777777" w:rsidR="00CA1E90" w:rsidRPr="0091523B" w:rsidRDefault="00CA1E90" w:rsidP="00CA1E90">
      <w:pPr>
        <w:pStyle w:val="SingleTxtG"/>
        <w:tabs>
          <w:tab w:val="left" w:pos="2552"/>
        </w:tabs>
      </w:pPr>
      <w:r>
        <w:t>ООН</w:t>
      </w:r>
      <w:r>
        <w:tab/>
        <w:t>Организация Объединенных Наций</w:t>
      </w:r>
    </w:p>
    <w:p w14:paraId="4A1100A6" w14:textId="77777777" w:rsidR="00CA1E90" w:rsidRPr="0091523B" w:rsidRDefault="00CA1E90" w:rsidP="00CA1E90">
      <w:pPr>
        <w:pStyle w:val="SingleTxtG"/>
        <w:tabs>
          <w:tab w:val="left" w:pos="2552"/>
        </w:tabs>
      </w:pPr>
      <w:r>
        <w:t>РАО</w:t>
      </w:r>
      <w:r>
        <w:tab/>
        <w:t>Реестр афроперуанских организаций</w:t>
      </w:r>
    </w:p>
    <w:p w14:paraId="0952BA99" w14:textId="77777777" w:rsidR="00CA1E90" w:rsidRDefault="00CA1E90" w:rsidP="00CA1E90">
      <w:pPr>
        <w:pStyle w:val="SingleTxtG"/>
        <w:tabs>
          <w:tab w:val="left" w:pos="2552"/>
        </w:tabs>
        <w:ind w:left="2552" w:hanging="1418"/>
      </w:pPr>
      <w:r>
        <w:lastRenderedPageBreak/>
        <w:t>РЕНИЕК</w:t>
      </w:r>
      <w:r>
        <w:tab/>
        <w:t>Национальный реестр личных данных и актов гражданского состояния</w:t>
      </w:r>
    </w:p>
    <w:p w14:paraId="45CD2E56" w14:textId="77777777" w:rsidR="00CA1E90" w:rsidRPr="0091523B" w:rsidRDefault="00CA1E90" w:rsidP="00CA1E90">
      <w:pPr>
        <w:pStyle w:val="SingleTxtG"/>
        <w:tabs>
          <w:tab w:val="left" w:pos="2552"/>
        </w:tabs>
      </w:pPr>
      <w:r>
        <w:t>СВУ</w:t>
      </w:r>
      <w:r>
        <w:tab/>
        <w:t>Совет по возмещению ущерба</w:t>
      </w:r>
    </w:p>
    <w:p w14:paraId="6B778044" w14:textId="77777777" w:rsidR="00CA1E90" w:rsidRPr="0091523B" w:rsidRDefault="00CA1E90" w:rsidP="00CA1E90">
      <w:pPr>
        <w:pStyle w:val="SingleTxtG"/>
        <w:tabs>
          <w:tab w:val="left" w:pos="2552"/>
        </w:tabs>
      </w:pPr>
      <w:r>
        <w:t>СИДПОЛ</w:t>
      </w:r>
      <w:r>
        <w:tab/>
        <w:t>Система рассмотрения жалоб на действия полиции</w:t>
      </w:r>
    </w:p>
    <w:p w14:paraId="6280A78A" w14:textId="77777777" w:rsidR="00CA1E90" w:rsidRDefault="00CA1E90" w:rsidP="00CA1E90">
      <w:pPr>
        <w:pStyle w:val="SingleTxtG"/>
        <w:tabs>
          <w:tab w:val="left" w:pos="2552"/>
        </w:tabs>
      </w:pPr>
      <w:r>
        <w:t>СКМС</w:t>
      </w:r>
      <w:r>
        <w:tab/>
        <w:t>Система комплексного медицинского страхования</w:t>
      </w:r>
    </w:p>
    <w:p w14:paraId="7CA83644" w14:textId="77777777" w:rsidR="00CA1E90" w:rsidRPr="0091523B" w:rsidRDefault="00CA1E90" w:rsidP="00CA1E90">
      <w:pPr>
        <w:pStyle w:val="SingleTxtG"/>
        <w:tabs>
          <w:tab w:val="left" w:pos="2552"/>
        </w:tabs>
      </w:pPr>
      <w:r>
        <w:t>СНП</w:t>
      </w:r>
      <w:r>
        <w:tab/>
        <w:t>Служба неотложной помощи</w:t>
      </w:r>
    </w:p>
    <w:p w14:paraId="5C36C670" w14:textId="77777777" w:rsidR="00CA1E90" w:rsidRPr="0091523B" w:rsidRDefault="00CA1E90" w:rsidP="00CA1E90">
      <w:pPr>
        <w:pStyle w:val="SingleTxtG"/>
        <w:tabs>
          <w:tab w:val="left" w:pos="2552"/>
        </w:tabs>
      </w:pPr>
      <w:r>
        <w:t>УНЗ</w:t>
      </w:r>
      <w:r>
        <w:tab/>
        <w:t>Управление Народного защитника</w:t>
      </w:r>
    </w:p>
    <w:p w14:paraId="3C679AB8" w14:textId="77777777" w:rsidR="00CA1E90" w:rsidRPr="0091523B" w:rsidRDefault="00CA1E90" w:rsidP="00CA1E90">
      <w:pPr>
        <w:pStyle w:val="SingleTxtG"/>
        <w:tabs>
          <w:tab w:val="left" w:pos="2552"/>
        </w:tabs>
      </w:pPr>
      <w:r>
        <w:t>ЦРБ</w:t>
      </w:r>
      <w:r>
        <w:tab/>
        <w:t>Центральный резервный банк</w:t>
      </w:r>
    </w:p>
    <w:p w14:paraId="6DA74B20" w14:textId="77777777" w:rsidR="00CA1E90" w:rsidRPr="0091523B" w:rsidRDefault="00CA1E90" w:rsidP="00CA1E90">
      <w:pPr>
        <w:pStyle w:val="SingleTxtG"/>
        <w:tabs>
          <w:tab w:val="left" w:pos="2552"/>
        </w:tabs>
      </w:pPr>
      <w:r>
        <w:t>ЦЭПЖ</w:t>
      </w:r>
      <w:r>
        <w:tab/>
        <w:t>Центр экстренной помощи женщинам</w:t>
      </w:r>
    </w:p>
    <w:p w14:paraId="45F9F300" w14:textId="77777777" w:rsidR="00CA1E90" w:rsidRPr="0091523B" w:rsidRDefault="00CA1E90" w:rsidP="00CA1E90">
      <w:pPr>
        <w:tabs>
          <w:tab w:val="left" w:pos="2618"/>
        </w:tabs>
        <w:spacing w:beforeLines="40" w:before="96" w:after="120" w:line="220" w:lineRule="exact"/>
        <w:ind w:left="2620" w:right="113" w:hanging="1486"/>
      </w:pPr>
    </w:p>
    <w:p w14:paraId="20EC21E4" w14:textId="77777777" w:rsidR="00CA1E90" w:rsidRDefault="00CA1E90" w:rsidP="00CA1E90">
      <w:pPr>
        <w:spacing w:line="240" w:lineRule="auto"/>
      </w:pPr>
      <w:r>
        <w:br w:type="page"/>
      </w:r>
    </w:p>
    <w:p w14:paraId="1DDCE7F8" w14:textId="77777777" w:rsidR="00CA1E90" w:rsidRPr="0091523B" w:rsidRDefault="00CA1E90" w:rsidP="00CA1E90">
      <w:pPr>
        <w:pStyle w:val="HChG"/>
      </w:pPr>
      <w:r>
        <w:lastRenderedPageBreak/>
        <w:tab/>
        <w:t>I.</w:t>
      </w:r>
      <w:r>
        <w:tab/>
        <w:t>Введение</w:t>
      </w:r>
      <w:bookmarkStart w:id="2" w:name="_Toc19107149"/>
      <w:bookmarkEnd w:id="2"/>
    </w:p>
    <w:p w14:paraId="3EBBDB27" w14:textId="77777777" w:rsidR="00CA1E90" w:rsidRPr="0091523B" w:rsidRDefault="00CA1E90" w:rsidP="00CA1E90">
      <w:pPr>
        <w:pStyle w:val="SingleTxtG"/>
      </w:pPr>
      <w:r>
        <w:t>1.</w:t>
      </w:r>
      <w:r>
        <w:tab/>
        <w:t xml:space="preserve">Республика Перу является демократическим, социальным, независимым и суверенным государством и имеет </w:t>
      </w:r>
      <w:r w:rsidRPr="00CA1E90">
        <w:t>унитарную</w:t>
      </w:r>
      <w:r>
        <w:t>, представительную и децентрализованную форму правления на основе принципа разделения властей</w:t>
      </w:r>
      <w:r w:rsidRPr="00D93542">
        <w:rPr>
          <w:rStyle w:val="ab"/>
        </w:rPr>
        <w:footnoteReference w:id="2"/>
      </w:r>
      <w:r>
        <w:t>.</w:t>
      </w:r>
    </w:p>
    <w:p w14:paraId="47D33AA3" w14:textId="77777777" w:rsidR="00CA1E90" w:rsidRPr="0091523B" w:rsidRDefault="00CA1E90" w:rsidP="00CA1E90">
      <w:pPr>
        <w:pStyle w:val="SingleTxtG"/>
      </w:pPr>
      <w:r>
        <w:t>2.</w:t>
      </w:r>
      <w:r>
        <w:tab/>
        <w:t>К числу основных обязанностей перуанского государства относятся: защита государственного суверенитета; обеспечение всестороннего соблюдения прав человека; защита населения от угроз его безопасности и содействие благосостоянию народа на основе справедливости и комплексного, сбалансированного развития страны</w:t>
      </w:r>
      <w:r w:rsidRPr="00D93542">
        <w:rPr>
          <w:rStyle w:val="ab"/>
        </w:rPr>
        <w:footnoteReference w:id="3"/>
      </w:r>
      <w:r>
        <w:t>.</w:t>
      </w:r>
    </w:p>
    <w:p w14:paraId="0D7D6665" w14:textId="77777777" w:rsidR="00CA1E90" w:rsidRPr="0091523B" w:rsidRDefault="00CA1E90" w:rsidP="00CA1E90">
      <w:pPr>
        <w:pStyle w:val="SingleTxtG"/>
      </w:pPr>
      <w:r>
        <w:t>3.</w:t>
      </w:r>
      <w:r>
        <w:tab/>
        <w:t xml:space="preserve">Согласно статье 1 Политической конституции, высшей целью общества и государства являются </w:t>
      </w:r>
      <w:r w:rsidR="0082316A" w:rsidRPr="00E436C8">
        <w:rPr>
          <w:rStyle w:val="ab"/>
          <w:vertAlign w:val="baseline"/>
        </w:rPr>
        <w:t>«</w:t>
      </w:r>
      <w:r w:rsidRPr="00E436C8">
        <w:t>защита человеческой личности и обеспечение уважения ее достоинства</w:t>
      </w:r>
      <w:r w:rsidR="0082316A" w:rsidRPr="00E436C8">
        <w:rPr>
          <w:rStyle w:val="ab"/>
          <w:vertAlign w:val="baseline"/>
        </w:rPr>
        <w:t>»</w:t>
      </w:r>
      <w:r w:rsidRPr="00D93542">
        <w:rPr>
          <w:rStyle w:val="ab"/>
        </w:rPr>
        <w:footnoteReference w:id="4"/>
      </w:r>
      <w:r>
        <w:t>.</w:t>
      </w:r>
    </w:p>
    <w:p w14:paraId="1ECDE8BD" w14:textId="77777777" w:rsidR="00CA1E90" w:rsidRPr="0091523B" w:rsidRDefault="00CA1E90" w:rsidP="00CA1E90">
      <w:pPr>
        <w:pStyle w:val="SingleTxtG"/>
      </w:pPr>
      <w:r>
        <w:t>4.</w:t>
      </w:r>
      <w:r>
        <w:tab/>
        <w:t>С этой целью государство является активным участником договоров по правам человека и в соответствии со своими обязательствами по этим договорам распространяет настоящий доклад, в котором приводятся общие сведения о стране и мерах, принимаемых для защиты прав человека.</w:t>
      </w:r>
    </w:p>
    <w:p w14:paraId="5C666F67" w14:textId="77777777" w:rsidR="00CA1E90" w:rsidRPr="0091523B" w:rsidRDefault="00CA1E90" w:rsidP="00CA1E90">
      <w:pPr>
        <w:pStyle w:val="HChG"/>
      </w:pPr>
      <w:bookmarkStart w:id="4" w:name="_Toc19107150"/>
      <w:r>
        <w:rPr>
          <w:bCs/>
        </w:rPr>
        <w:tab/>
        <w:t>II</w:t>
      </w:r>
      <w:r>
        <w:t>.</w:t>
      </w:r>
      <w:r>
        <w:tab/>
      </w:r>
      <w:r>
        <w:rPr>
          <w:bCs/>
        </w:rPr>
        <w:t>Общие сведения о государстве</w:t>
      </w:r>
      <w:bookmarkEnd w:id="4"/>
    </w:p>
    <w:p w14:paraId="60CCACF7" w14:textId="77777777" w:rsidR="00CA1E90" w:rsidRPr="0091523B" w:rsidRDefault="00CA1E90" w:rsidP="00CA1E90">
      <w:pPr>
        <w:pStyle w:val="SingleTxtG"/>
      </w:pPr>
      <w:r>
        <w:t>5.</w:t>
      </w:r>
      <w:r>
        <w:tab/>
        <w:t>Общая площадь территории перуанского государства составляет 1</w:t>
      </w:r>
      <w:r w:rsidR="00E436C8">
        <w:t> </w:t>
      </w:r>
      <w:r>
        <w:t>285</w:t>
      </w:r>
      <w:r w:rsidR="00E436C8">
        <w:t> </w:t>
      </w:r>
      <w:r>
        <w:t>215,6</w:t>
      </w:r>
      <w:r w:rsidR="00E436C8">
        <w:t> </w:t>
      </w:r>
      <w:r>
        <w:t>км</w:t>
      </w:r>
      <w:r w:rsidRPr="00802652">
        <w:rPr>
          <w:vertAlign w:val="superscript"/>
        </w:rPr>
        <w:t>2</w:t>
      </w:r>
      <w:r>
        <w:t>, при этом 60,5</w:t>
      </w:r>
      <w:r w:rsidR="00E436C8">
        <w:t xml:space="preserve"> процента</w:t>
      </w:r>
      <w:r>
        <w:t xml:space="preserve"> территории занимают леса, </w:t>
      </w:r>
      <w:r w:rsidR="00E436C8">
        <w:br/>
      </w:r>
      <w:r>
        <w:t>27,7</w:t>
      </w:r>
      <w:r w:rsidR="00E436C8">
        <w:t xml:space="preserve"> процента</w:t>
      </w:r>
      <w:r>
        <w:t xml:space="preserve"> </w:t>
      </w:r>
      <w:r w:rsidR="00E436C8">
        <w:t>—</w:t>
      </w:r>
      <w:r>
        <w:t xml:space="preserve"> горы и 11,8</w:t>
      </w:r>
      <w:r w:rsidR="00E436C8">
        <w:t xml:space="preserve"> процента—</w:t>
      </w:r>
      <w:r>
        <w:t xml:space="preserve"> прибрежная зона</w:t>
      </w:r>
      <w:r w:rsidRPr="00D93542">
        <w:rPr>
          <w:rStyle w:val="ab"/>
        </w:rPr>
        <w:footnoteReference w:id="5"/>
      </w:r>
      <w:r>
        <w:t>.</w:t>
      </w:r>
    </w:p>
    <w:p w14:paraId="271464D0" w14:textId="77777777" w:rsidR="00CA1E90" w:rsidRPr="0091523B" w:rsidRDefault="00CA1E90" w:rsidP="00CA1E90">
      <w:pPr>
        <w:pStyle w:val="SingleTxtG"/>
      </w:pPr>
      <w:r>
        <w:t>6.</w:t>
      </w:r>
      <w:r>
        <w:tab/>
        <w:t>Перу расположено между линией экватора и тропиком Козерога, и из-за действия различных факторов (таких</w:t>
      </w:r>
      <w:r w:rsidR="00FA0DC4">
        <w:t>,</w:t>
      </w:r>
      <w:r>
        <w:t xml:space="preserve"> как Перуанское течение или течение Гумбольдта, Андские Кордильеры, а также динамика циклонической и антициклонической активности) климат в стране является неоднородным. В силу неоднородности физико-географических и климатических условий Перу входит в десятку стран, характеризующихся наибольшим биоразнообразием на планете: в стране насчитывается 84 зоны жизни и 17 переходных зон, она занимает четвертое место в мире по площади тропических лесов, на ее долю приходится 71</w:t>
      </w:r>
      <w:r w:rsidR="00E436C8">
        <w:t xml:space="preserve"> процент</w:t>
      </w:r>
      <w:r>
        <w:t xml:space="preserve"> всех тропических ледников мира</w:t>
      </w:r>
      <w:r w:rsidRPr="00D93542">
        <w:rPr>
          <w:rStyle w:val="ab"/>
        </w:rPr>
        <w:footnoteReference w:id="6"/>
      </w:r>
      <w:r>
        <w:t xml:space="preserve"> и 70</w:t>
      </w:r>
      <w:r w:rsidR="00E436C8">
        <w:t xml:space="preserve"> процентов</w:t>
      </w:r>
      <w:r>
        <w:t xml:space="preserve"> биологического разнообразия планеты. Кроме того, использование природного наследия вносит значительный вклад в национальную экономику: от 13 до 15</w:t>
      </w:r>
      <w:r w:rsidR="00E436C8">
        <w:t xml:space="preserve"> процентов</w:t>
      </w:r>
      <w:r>
        <w:t xml:space="preserve"> ВВП</w:t>
      </w:r>
      <w:r w:rsidRPr="00D93542">
        <w:rPr>
          <w:rStyle w:val="ab"/>
        </w:rPr>
        <w:footnoteReference w:id="7"/>
      </w:r>
      <w:r>
        <w:t>.</w:t>
      </w:r>
    </w:p>
    <w:p w14:paraId="546C3450" w14:textId="77777777" w:rsidR="00CA1E90" w:rsidRPr="0091523B" w:rsidRDefault="00CA1E90" w:rsidP="00CA1E90">
      <w:pPr>
        <w:pStyle w:val="SingleTxtG"/>
      </w:pPr>
      <w:r>
        <w:t>7.</w:t>
      </w:r>
      <w:r>
        <w:tab/>
        <w:t>Столицей государства является Лима, в нем насчитывается 24 департамента и 196 провинций, включая 1874 округа. В этой связи следует отметить, что в каждом департаменте, а также в провинции Лима и конституционной провинции Кальяо имеется свой региональный орган власти. Таким образом, в стране действуют в общей сложности 26 региональных органов власти, а на местном уровне существуют провинциальные и окружные муниципалитеты</w:t>
      </w:r>
      <w:r w:rsidRPr="00D93542">
        <w:rPr>
          <w:rStyle w:val="ab"/>
        </w:rPr>
        <w:footnoteReference w:id="8"/>
      </w:r>
      <w:r>
        <w:t>.</w:t>
      </w:r>
    </w:p>
    <w:p w14:paraId="561FB61B" w14:textId="77777777" w:rsidR="00CA1E90" w:rsidRPr="0091523B" w:rsidRDefault="00CA1E90" w:rsidP="00CA1E90">
      <w:pPr>
        <w:pStyle w:val="H1G"/>
      </w:pPr>
      <w:bookmarkStart w:id="7" w:name="_Toc19107151"/>
      <w:r>
        <w:lastRenderedPageBreak/>
        <w:tab/>
      </w:r>
      <w:r>
        <w:tab/>
      </w:r>
      <w:r>
        <w:rPr>
          <w:bCs/>
        </w:rPr>
        <w:t>Демографические, экономические, социальные и культурные характеристики</w:t>
      </w:r>
      <w:bookmarkEnd w:id="7"/>
    </w:p>
    <w:p w14:paraId="199A09DF" w14:textId="77777777" w:rsidR="00CA1E90" w:rsidRPr="0091523B" w:rsidRDefault="00CA1E90" w:rsidP="00CA1E90">
      <w:pPr>
        <w:pStyle w:val="H23G"/>
      </w:pPr>
      <w:bookmarkStart w:id="8" w:name="_Toc19107152"/>
      <w:r>
        <w:tab/>
      </w:r>
      <w:r>
        <w:tab/>
      </w:r>
      <w:r>
        <w:rPr>
          <w:bCs/>
        </w:rPr>
        <w:t>Демографические показатели</w:t>
      </w:r>
      <w:bookmarkEnd w:id="8"/>
    </w:p>
    <w:p w14:paraId="45795E3E" w14:textId="77777777" w:rsidR="00CA1E90" w:rsidRPr="0091523B" w:rsidRDefault="00CA1E90" w:rsidP="00CA1E90">
      <w:pPr>
        <w:pStyle w:val="SingleTxtG"/>
      </w:pPr>
      <w:r>
        <w:t>8.</w:t>
      </w:r>
      <w:r>
        <w:tab/>
        <w:t>В 2017 году Национальный институт статистики и информатики (НИСИ) провел в стране национальные переписи: двенадцатую перепись населения, седьмую перепись жилищного фонда и третью перепись коренных общин (2017 год), по результатам которых были получены следующие данные:</w:t>
      </w:r>
    </w:p>
    <w:tbl>
      <w:tblPr>
        <w:tblW w:w="7370" w:type="dxa"/>
        <w:tblInd w:w="1134" w:type="dxa"/>
        <w:tblLayout w:type="fixed"/>
        <w:tblCellMar>
          <w:left w:w="0" w:type="dxa"/>
          <w:right w:w="0" w:type="dxa"/>
        </w:tblCellMar>
        <w:tblLook w:val="04A0" w:firstRow="1" w:lastRow="0" w:firstColumn="1" w:lastColumn="0" w:noHBand="0" w:noVBand="1"/>
      </w:tblPr>
      <w:tblGrid>
        <w:gridCol w:w="3265"/>
        <w:gridCol w:w="4105"/>
      </w:tblGrid>
      <w:tr w:rsidR="00CA1E90" w:rsidRPr="00CA1E90" w14:paraId="7C6EE6D8" w14:textId="77777777" w:rsidTr="00CA1E90">
        <w:trPr>
          <w:tblHeader/>
        </w:trPr>
        <w:tc>
          <w:tcPr>
            <w:tcW w:w="3265" w:type="dxa"/>
            <w:tcBorders>
              <w:top w:val="single" w:sz="4" w:space="0" w:color="auto"/>
            </w:tcBorders>
            <w:shd w:val="clear" w:color="auto" w:fill="auto"/>
            <w:vAlign w:val="bottom"/>
          </w:tcPr>
          <w:p w14:paraId="5C214D22" w14:textId="77777777" w:rsidR="00CA1E90" w:rsidRPr="00CA1E90" w:rsidRDefault="00CA1E90" w:rsidP="00CA1E90">
            <w:pPr>
              <w:spacing w:before="40" w:after="120"/>
              <w:ind w:right="113"/>
              <w:rPr>
                <w:rFonts w:cs="Times New Roman"/>
              </w:rPr>
            </w:pPr>
            <w:r w:rsidRPr="00CA1E90">
              <w:rPr>
                <w:rFonts w:cs="Times New Roman"/>
              </w:rPr>
              <w:t>Общая численность населения по состоянию на 2017 год</w:t>
            </w:r>
          </w:p>
        </w:tc>
        <w:tc>
          <w:tcPr>
            <w:tcW w:w="4105" w:type="dxa"/>
            <w:tcBorders>
              <w:top w:val="single" w:sz="4" w:space="0" w:color="auto"/>
            </w:tcBorders>
            <w:shd w:val="clear" w:color="auto" w:fill="auto"/>
          </w:tcPr>
          <w:p w14:paraId="0498FEAD" w14:textId="77777777" w:rsidR="00CA1E90" w:rsidRPr="00CA1E90" w:rsidRDefault="00CA1E90" w:rsidP="00CA1E90">
            <w:pPr>
              <w:spacing w:before="40" w:after="120"/>
              <w:ind w:right="113"/>
              <w:rPr>
                <w:rFonts w:cs="Times New Roman"/>
              </w:rPr>
            </w:pPr>
            <w:r w:rsidRPr="00CA1E90">
              <w:rPr>
                <w:rFonts w:cs="Times New Roman"/>
              </w:rPr>
              <w:t>31 237 385 человек</w:t>
            </w:r>
          </w:p>
        </w:tc>
      </w:tr>
      <w:tr w:rsidR="00CA1E90" w:rsidRPr="00CA1E90" w14:paraId="39CAA483" w14:textId="77777777" w:rsidTr="00CA1E90">
        <w:tc>
          <w:tcPr>
            <w:tcW w:w="3265" w:type="dxa"/>
            <w:shd w:val="clear" w:color="auto" w:fill="auto"/>
          </w:tcPr>
          <w:p w14:paraId="459AEEEB" w14:textId="77777777" w:rsidR="00CA1E90" w:rsidRPr="00CA1E90" w:rsidRDefault="00CA1E90" w:rsidP="00CA1E90">
            <w:pPr>
              <w:spacing w:before="40" w:after="120"/>
              <w:ind w:right="113"/>
              <w:rPr>
                <w:rFonts w:cs="Times New Roman"/>
              </w:rPr>
            </w:pPr>
            <w:r w:rsidRPr="00CA1E90">
              <w:rPr>
                <w:rFonts w:cs="Times New Roman"/>
              </w:rPr>
              <w:t>Плотность населения по состоянию на 2017 год</w:t>
            </w:r>
          </w:p>
        </w:tc>
        <w:tc>
          <w:tcPr>
            <w:tcW w:w="4105" w:type="dxa"/>
            <w:shd w:val="clear" w:color="auto" w:fill="auto"/>
          </w:tcPr>
          <w:p w14:paraId="63CC9059" w14:textId="77777777" w:rsidR="00CA1E90" w:rsidRPr="00CA1E90" w:rsidRDefault="00CA1E90" w:rsidP="00CA1E90">
            <w:pPr>
              <w:spacing w:before="40" w:after="120"/>
              <w:ind w:right="113"/>
              <w:rPr>
                <w:rFonts w:cs="Times New Roman"/>
              </w:rPr>
            </w:pPr>
            <w:r w:rsidRPr="00CA1E90">
              <w:rPr>
                <w:rFonts w:cs="Times New Roman"/>
              </w:rPr>
              <w:t>23,0 человека на км</w:t>
            </w:r>
            <w:r w:rsidRPr="00CA1E90">
              <w:rPr>
                <w:rFonts w:cs="Times New Roman"/>
                <w:vertAlign w:val="superscript"/>
              </w:rPr>
              <w:t>2</w:t>
            </w:r>
          </w:p>
        </w:tc>
      </w:tr>
      <w:tr w:rsidR="00CA1E90" w:rsidRPr="00CA1E90" w14:paraId="1F1C0ECE" w14:textId="77777777" w:rsidTr="00CA1E90">
        <w:tc>
          <w:tcPr>
            <w:tcW w:w="3265" w:type="dxa"/>
            <w:tcBorders>
              <w:bottom w:val="single" w:sz="12" w:space="0" w:color="auto"/>
            </w:tcBorders>
            <w:shd w:val="clear" w:color="auto" w:fill="auto"/>
          </w:tcPr>
          <w:p w14:paraId="2E160AEF" w14:textId="77777777" w:rsidR="00CA1E90" w:rsidRPr="00CA1E90" w:rsidRDefault="00CA1E90" w:rsidP="00CA1E90">
            <w:pPr>
              <w:spacing w:before="40" w:after="120"/>
              <w:ind w:right="113"/>
              <w:rPr>
                <w:rFonts w:cs="Times New Roman"/>
              </w:rPr>
            </w:pPr>
            <w:r w:rsidRPr="00CA1E90">
              <w:rPr>
                <w:rFonts w:cs="Times New Roman"/>
              </w:rPr>
              <w:t>Прогнозируемая численность населения к 2050 году</w:t>
            </w:r>
          </w:p>
        </w:tc>
        <w:tc>
          <w:tcPr>
            <w:tcW w:w="4105" w:type="dxa"/>
            <w:tcBorders>
              <w:bottom w:val="single" w:sz="12" w:space="0" w:color="auto"/>
            </w:tcBorders>
            <w:shd w:val="clear" w:color="auto" w:fill="auto"/>
          </w:tcPr>
          <w:p w14:paraId="1EAE4865" w14:textId="77777777" w:rsidR="00CA1E90" w:rsidRPr="00CA1E90" w:rsidRDefault="00CA1E90" w:rsidP="00CA1E90">
            <w:pPr>
              <w:spacing w:before="40" w:after="120"/>
              <w:ind w:right="113"/>
              <w:rPr>
                <w:rFonts w:cs="Times New Roman"/>
              </w:rPr>
            </w:pPr>
            <w:r w:rsidRPr="00CA1E90">
              <w:rPr>
                <w:rFonts w:cs="Times New Roman"/>
              </w:rPr>
              <w:t>40,1 млн человек</w:t>
            </w:r>
            <w:r w:rsidRPr="00CA1E90">
              <w:rPr>
                <w:rStyle w:val="ab"/>
                <w:rFonts w:eastAsia="Calibri" w:cs="Times New Roman"/>
                <w:sz w:val="20"/>
              </w:rPr>
              <w:footnoteReference w:id="9"/>
            </w:r>
          </w:p>
        </w:tc>
      </w:tr>
    </w:tbl>
    <w:p w14:paraId="1270AC96" w14:textId="77777777" w:rsidR="00CA1E90" w:rsidRPr="0091523B" w:rsidRDefault="00CA1E90" w:rsidP="00CA1E90">
      <w:pPr>
        <w:pStyle w:val="SingleTxtG"/>
        <w:spacing w:before="240"/>
      </w:pPr>
      <w:r>
        <w:t>9.</w:t>
      </w:r>
      <w:r>
        <w:tab/>
        <w:t>Городские жители составляют 79,3</w:t>
      </w:r>
      <w:r w:rsidR="00E436C8">
        <w:t xml:space="preserve"> процента</w:t>
      </w:r>
      <w:r>
        <w:t xml:space="preserve"> от общей численности населения</w:t>
      </w:r>
      <w:r w:rsidRPr="003915FE">
        <w:t xml:space="preserve">; </w:t>
      </w:r>
      <w:r>
        <w:t xml:space="preserve">их доля увеличилась за последние </w:t>
      </w:r>
      <w:r w:rsidR="00FA0DC4">
        <w:t>10</w:t>
      </w:r>
      <w:r>
        <w:t xml:space="preserve"> лет на 6,8</w:t>
      </w:r>
      <w:r w:rsidR="00E436C8">
        <w:t xml:space="preserve"> процента</w:t>
      </w:r>
      <w:r>
        <w:t xml:space="preserve">. Самая высокая плотность населения отмечается в Лиме (столичном округе и регионе Лима), где проживает </w:t>
      </w:r>
      <w:r w:rsidR="00FA0DC4">
        <w:br/>
      </w:r>
      <w:r>
        <w:t>35,7</w:t>
      </w:r>
      <w:r w:rsidR="00E436C8">
        <w:t xml:space="preserve"> процента</w:t>
      </w:r>
      <w:r>
        <w:t xml:space="preserve"> от общей численности населения; за ней следует северный регион с </w:t>
      </w:r>
      <w:r w:rsidR="00FA0DC4">
        <w:br/>
      </w:r>
      <w:r>
        <w:t>25,5</w:t>
      </w:r>
      <w:r w:rsidR="00E436C8">
        <w:t xml:space="preserve"> процента</w:t>
      </w:r>
      <w:r>
        <w:t xml:space="preserve"> от общей численности населения. Кроме того, 32</w:t>
      </w:r>
      <w:r w:rsidR="00FA0DC4">
        <w:t xml:space="preserve"> </w:t>
      </w:r>
      <w:r w:rsidR="00E436C8">
        <w:t>процент</w:t>
      </w:r>
      <w:r w:rsidR="00FA0DC4">
        <w:t>а</w:t>
      </w:r>
      <w:r>
        <w:t xml:space="preserve"> всего населения составляют лица в возрасте от 0 до 17 лет, из которых 49</w:t>
      </w:r>
      <w:r w:rsidR="00E436C8">
        <w:t xml:space="preserve"> процентов —</w:t>
      </w:r>
      <w:r>
        <w:t xml:space="preserve"> женщины и 51</w:t>
      </w:r>
      <w:r w:rsidR="00E436C8">
        <w:t xml:space="preserve"> процент</w:t>
      </w:r>
      <w:r>
        <w:t xml:space="preserve"> </w:t>
      </w:r>
      <w:r w:rsidR="00E436C8">
        <w:t>—</w:t>
      </w:r>
      <w:r>
        <w:t xml:space="preserve"> мужчины</w:t>
      </w:r>
      <w:r w:rsidRPr="00D93542">
        <w:rPr>
          <w:rStyle w:val="ab"/>
        </w:rPr>
        <w:footnoteReference w:id="10"/>
      </w:r>
      <w:r>
        <w:t>.</w:t>
      </w:r>
    </w:p>
    <w:p w14:paraId="0799AF5E" w14:textId="77777777" w:rsidR="00CA1E90" w:rsidRPr="0091523B" w:rsidRDefault="00CA1E90" w:rsidP="00CA1E90">
      <w:pPr>
        <w:pStyle w:val="Bullet1G"/>
        <w:numPr>
          <w:ilvl w:val="0"/>
          <w:numId w:val="0"/>
        </w:numPr>
        <w:tabs>
          <w:tab w:val="left" w:pos="1701"/>
        </w:tabs>
        <w:ind w:left="1701" w:hanging="170"/>
      </w:pPr>
      <w:r w:rsidRPr="00CE2A57">
        <w:t>•</w:t>
      </w:r>
      <w:r>
        <w:tab/>
        <w:t>Ожидаемая продолжительность жизни при рождении составила к 2017 году 75</w:t>
      </w:r>
      <w:r w:rsidR="00E436C8">
        <w:t> </w:t>
      </w:r>
      <w:r>
        <w:t>лет</w:t>
      </w:r>
      <w:r w:rsidRPr="00D93542">
        <w:rPr>
          <w:rStyle w:val="ab"/>
        </w:rPr>
        <w:footnoteReference w:id="11"/>
      </w:r>
      <w:r>
        <w:t>.</w:t>
      </w:r>
    </w:p>
    <w:p w14:paraId="2DE95775" w14:textId="77777777" w:rsidR="00CA1E90" w:rsidRPr="0091523B" w:rsidRDefault="00CA1E90" w:rsidP="00CA1E90">
      <w:pPr>
        <w:pStyle w:val="Bullet1G"/>
        <w:numPr>
          <w:ilvl w:val="0"/>
          <w:numId w:val="0"/>
        </w:numPr>
        <w:tabs>
          <w:tab w:val="left" w:pos="1701"/>
        </w:tabs>
        <w:ind w:left="1701" w:hanging="170"/>
      </w:pPr>
      <w:r w:rsidRPr="00CE2A57">
        <w:t>•</w:t>
      </w:r>
      <w:r>
        <w:tab/>
        <w:t>Показатель младенческой смертности сократился с 17 смертей на 1000</w:t>
      </w:r>
      <w:r w:rsidR="00E436C8">
        <w:t> </w:t>
      </w:r>
      <w:r>
        <w:t>живорождений в 2010 году до 15 в период 2017</w:t>
      </w:r>
      <w:r w:rsidR="00E436C8">
        <w:t>–</w:t>
      </w:r>
      <w:r>
        <w:t xml:space="preserve">2018 годов. Однако </w:t>
      </w:r>
      <w:r w:rsidR="00E436C8">
        <w:br/>
      </w:r>
      <w:r>
        <w:t>разрыв между городским и сельским населением сохраняется, поскольку в период 2017</w:t>
      </w:r>
      <w:r w:rsidR="00E436C8">
        <w:t>–</w:t>
      </w:r>
      <w:r>
        <w:t xml:space="preserve">2018 годов в городах этот показатель составлял 13, а в сельской местности </w:t>
      </w:r>
      <w:r w:rsidR="00E436C8">
        <w:t>—</w:t>
      </w:r>
      <w:r>
        <w:t xml:space="preserve"> 22</w:t>
      </w:r>
      <w:r w:rsidRPr="00D93542">
        <w:rPr>
          <w:rStyle w:val="ab"/>
        </w:rPr>
        <w:footnoteReference w:id="12"/>
      </w:r>
      <w:r>
        <w:t xml:space="preserve">. </w:t>
      </w:r>
    </w:p>
    <w:p w14:paraId="6BCCE0B8" w14:textId="77777777" w:rsidR="00CA1E90" w:rsidRPr="0091523B" w:rsidRDefault="00CA1E90" w:rsidP="00CA1E90">
      <w:pPr>
        <w:pStyle w:val="Bullet1G"/>
        <w:numPr>
          <w:ilvl w:val="0"/>
          <w:numId w:val="0"/>
        </w:numPr>
        <w:tabs>
          <w:tab w:val="left" w:pos="1701"/>
        </w:tabs>
        <w:ind w:left="1701" w:hanging="170"/>
      </w:pPr>
      <w:r>
        <w:t>•</w:t>
      </w:r>
      <w:r>
        <w:tab/>
        <w:t>Показатель детской смертности также сократился с 23 смертей на 1000</w:t>
      </w:r>
      <w:r w:rsidR="00E436C8">
        <w:t> </w:t>
      </w:r>
      <w:r>
        <w:t>живорождений в 2010 году до 19 в период 2017</w:t>
      </w:r>
      <w:r w:rsidR="00E436C8">
        <w:t>–</w:t>
      </w:r>
      <w:r>
        <w:t>2018 годов. И здесь разрыв между городским и сельским населением сохраняется, поскольку в период 2017</w:t>
      </w:r>
      <w:r w:rsidR="00E436C8">
        <w:t>–</w:t>
      </w:r>
      <w:r>
        <w:t>2018 годов в городах этот показатель составлял 16, а в сельской местности</w:t>
      </w:r>
      <w:r w:rsidR="00E436C8">
        <w:t> </w:t>
      </w:r>
      <w:r>
        <w:t>‒ 27. Следует отметить, что самые низкие показатели младенческой и детской смертности наблюдаются в Лиме, за которой следует Мокегуа</w:t>
      </w:r>
      <w:r w:rsidRPr="00D93542">
        <w:rPr>
          <w:rStyle w:val="ab"/>
        </w:rPr>
        <w:footnoteReference w:id="13"/>
      </w:r>
      <w:r>
        <w:t>.</w:t>
      </w:r>
    </w:p>
    <w:p w14:paraId="2DD5DC0B" w14:textId="77777777" w:rsidR="00CA1E90" w:rsidRPr="0091523B" w:rsidRDefault="00CA1E90" w:rsidP="00CA1E90">
      <w:pPr>
        <w:pStyle w:val="H23G"/>
      </w:pPr>
      <w:bookmarkStart w:id="15" w:name="_Toc19107153"/>
      <w:r>
        <w:tab/>
      </w:r>
      <w:r>
        <w:tab/>
      </w:r>
      <w:r>
        <w:rPr>
          <w:bCs/>
        </w:rPr>
        <w:t>Социальные и культурные показатели</w:t>
      </w:r>
      <w:bookmarkEnd w:id="15"/>
    </w:p>
    <w:p w14:paraId="00676CBD" w14:textId="77777777" w:rsidR="00CA1E90" w:rsidRPr="0091523B" w:rsidRDefault="00CA1E90" w:rsidP="00CA1E90">
      <w:pPr>
        <w:pStyle w:val="SingleTxtG"/>
      </w:pPr>
      <w:r>
        <w:t>10.</w:t>
      </w:r>
      <w:r>
        <w:tab/>
        <w:t>Что касается здравоохранения, то, по данным переписи, проведенной НИСИ в 2017 году, той или иной формой медицинского страхования было охвачено 75,5</w:t>
      </w:r>
      <w:r w:rsidR="00E436C8">
        <w:t> процента</w:t>
      </w:r>
      <w:r>
        <w:t xml:space="preserve"> населения, т.</w:t>
      </w:r>
      <w:r w:rsidR="00E436C8">
        <w:t> </w:t>
      </w:r>
      <w:r>
        <w:t>е. 22,1 млн человек были застрахованы от болезней или несчастного случая</w:t>
      </w:r>
      <w:r w:rsidRPr="00D93542">
        <w:rPr>
          <w:rStyle w:val="ab"/>
        </w:rPr>
        <w:footnoteReference w:id="14"/>
      </w:r>
      <w:r>
        <w:t xml:space="preserve">. Кроме того, следует отметить, что: </w:t>
      </w:r>
    </w:p>
    <w:p w14:paraId="1AC340DD" w14:textId="77777777" w:rsidR="00CA1E90" w:rsidRPr="0091523B" w:rsidRDefault="0082316A" w:rsidP="00CA1E90">
      <w:pPr>
        <w:pStyle w:val="SingleTxtG"/>
      </w:pPr>
      <w:r>
        <w:lastRenderedPageBreak/>
        <w:tab/>
      </w:r>
      <w:r w:rsidR="00CA1E90">
        <w:tab/>
        <w:t>а)</w:t>
      </w:r>
      <w:r w:rsidR="00CA1E90">
        <w:tab/>
        <w:t>в стране насчитывается 606 больниц, 18 специализированных медицинских учреждений, 2296 медицинских центров и 8002 медпункта. Большинство больниц и медицинских учреждений сосредоточено на побережье страны</w:t>
      </w:r>
      <w:r w:rsidR="00CA1E90" w:rsidRPr="00D93542">
        <w:rPr>
          <w:rStyle w:val="ab"/>
        </w:rPr>
        <w:footnoteReference w:id="15"/>
      </w:r>
      <w:r w:rsidR="00CA1E90">
        <w:t>;</w:t>
      </w:r>
    </w:p>
    <w:p w14:paraId="4F9C2C96" w14:textId="77777777" w:rsidR="00CA1E90" w:rsidRPr="0091523B" w:rsidRDefault="0082316A" w:rsidP="00CA1E90">
      <w:pPr>
        <w:pStyle w:val="SingleTxtG"/>
      </w:pPr>
      <w:r>
        <w:tab/>
      </w:r>
      <w:r w:rsidR="00CA1E90">
        <w:tab/>
        <w:t>b)</w:t>
      </w:r>
      <w:r w:rsidR="00CA1E90">
        <w:tab/>
        <w:t>на национальном уровне 33,4</w:t>
      </w:r>
      <w:r w:rsidR="00E436C8">
        <w:t xml:space="preserve"> процента</w:t>
      </w:r>
      <w:r w:rsidR="00CA1E90">
        <w:t xml:space="preserve"> женщин сообщают о проблеме доступа к медицинской помощи в тех случаях, когда они в ней нуждаются, из-за удаленности соответствующих служб, что коррелирует с высокой долей детей с анемией в возрасте от 6 до 35 месяцев в труднодоступных районах: в сельской местности (53,3</w:t>
      </w:r>
      <w:r w:rsidR="00E436C8">
        <w:t xml:space="preserve"> процента</w:t>
      </w:r>
      <w:r w:rsidR="00CA1E90">
        <w:t>) и зоне тропических лесов (53,6</w:t>
      </w:r>
      <w:r w:rsidR="00E436C8">
        <w:t xml:space="preserve"> процента</w:t>
      </w:r>
      <w:r w:rsidR="00CA1E90">
        <w:t>)</w:t>
      </w:r>
      <w:r w:rsidR="00CA1E90" w:rsidRPr="00D93542">
        <w:rPr>
          <w:rStyle w:val="ab"/>
        </w:rPr>
        <w:footnoteReference w:id="16"/>
      </w:r>
      <w:r w:rsidR="00CA1E90">
        <w:t>;</w:t>
      </w:r>
    </w:p>
    <w:p w14:paraId="3567579A" w14:textId="77777777" w:rsidR="00CA1E90" w:rsidRPr="0091523B" w:rsidRDefault="0082316A" w:rsidP="00CA1E90">
      <w:pPr>
        <w:pStyle w:val="SingleTxtG"/>
      </w:pPr>
      <w:r>
        <w:tab/>
      </w:r>
      <w:r w:rsidR="00CA1E90">
        <w:tab/>
        <w:t>c)</w:t>
      </w:r>
      <w:r w:rsidR="00CA1E90">
        <w:tab/>
        <w:t>в 2018 году доля детей в возрасте до пяти лет, страдающих хроническим нарушением питания, составляла по классификации Всемирной организации здравоохранения (ВОЗ) 12,2</w:t>
      </w:r>
      <w:r w:rsidR="00E436C8">
        <w:t xml:space="preserve"> процента</w:t>
      </w:r>
      <w:r w:rsidR="00CA1E90">
        <w:t xml:space="preserve"> от общей численности населения, что на </w:t>
      </w:r>
      <w:r w:rsidR="00E436C8">
        <w:br/>
      </w:r>
      <w:r w:rsidR="00CA1E90">
        <w:t>11,6</w:t>
      </w:r>
      <w:r w:rsidR="00E436C8">
        <w:t xml:space="preserve"> процента</w:t>
      </w:r>
      <w:r w:rsidR="00CA1E90">
        <w:t xml:space="preserve"> меньше, чем в 2009 году, однако разрыв между городским и сельским населением остается неизменным. Так, в 2018 году доля младенцев, страдающих хроническим нарушением питания, в городских районах составляла 7,3</w:t>
      </w:r>
      <w:r w:rsidR="00E436C8">
        <w:t xml:space="preserve"> процента</w:t>
      </w:r>
      <w:r w:rsidR="00CA1E90">
        <w:t>, а в сельской местности ‒ 25,7</w:t>
      </w:r>
      <w:r w:rsidR="00E436C8">
        <w:t xml:space="preserve"> процента</w:t>
      </w:r>
      <w:r w:rsidR="00CA1E90" w:rsidRPr="00D93542">
        <w:rPr>
          <w:rStyle w:val="ab"/>
        </w:rPr>
        <w:footnoteReference w:id="17"/>
      </w:r>
      <w:r w:rsidR="00CA1E90">
        <w:t>.</w:t>
      </w:r>
    </w:p>
    <w:p w14:paraId="58987201" w14:textId="77777777" w:rsidR="00CA1E90" w:rsidRPr="0091523B" w:rsidRDefault="00CA1E90" w:rsidP="00CA1E90">
      <w:pPr>
        <w:pStyle w:val="SingleTxtG"/>
      </w:pPr>
      <w:r>
        <w:t>11.</w:t>
      </w:r>
      <w:r>
        <w:tab/>
        <w:t>Что касается образования, то, как показала перепись 2017 года, доля населения, имеющего начальное образование, составляет 75,3</w:t>
      </w:r>
      <w:r w:rsidR="00E436C8">
        <w:t xml:space="preserve"> процента</w:t>
      </w:r>
      <w:r>
        <w:t>, среднее образование ‒ 41,3</w:t>
      </w:r>
      <w:r w:rsidR="00E436C8">
        <w:t xml:space="preserve"> процента</w:t>
      </w:r>
      <w:r>
        <w:t xml:space="preserve">, а высшее образование </w:t>
      </w:r>
      <w:r w:rsidR="00E436C8">
        <w:t>—</w:t>
      </w:r>
      <w:r>
        <w:t xml:space="preserve"> 34,0</w:t>
      </w:r>
      <w:r w:rsidR="00E436C8">
        <w:t xml:space="preserve"> процента</w:t>
      </w:r>
      <w:r w:rsidRPr="00D93542">
        <w:rPr>
          <w:rStyle w:val="ab"/>
        </w:rPr>
        <w:footnoteReference w:id="18"/>
      </w:r>
      <w:r>
        <w:t>.</w:t>
      </w:r>
    </w:p>
    <w:p w14:paraId="6B5A8001" w14:textId="77777777" w:rsidR="00CA1E90" w:rsidRPr="0091523B" w:rsidRDefault="00CA1E90" w:rsidP="00CA1E90">
      <w:pPr>
        <w:pStyle w:val="SingleTxtG"/>
      </w:pPr>
      <w:r>
        <w:t>12.</w:t>
      </w:r>
      <w:r>
        <w:tab/>
        <w:t>Кроме того, в масштабах страны показатель завершения начального образования по детям в возрасте 12</w:t>
      </w:r>
      <w:r w:rsidR="00E436C8">
        <w:t>–</w:t>
      </w:r>
      <w:r>
        <w:t>14 лет в 2018 году составил 91,5</w:t>
      </w:r>
      <w:r w:rsidR="00E436C8">
        <w:t xml:space="preserve"> процента</w:t>
      </w:r>
      <w:r>
        <w:t>, что представляет собой увеличение с 2010 года на 8,7</w:t>
      </w:r>
      <w:r w:rsidR="00E436C8">
        <w:t xml:space="preserve"> процента</w:t>
      </w:r>
      <w:r>
        <w:t xml:space="preserve">, а по лицам в возрасте </w:t>
      </w:r>
      <w:r w:rsidR="00E436C8">
        <w:br/>
      </w:r>
      <w:r>
        <w:t>15</w:t>
      </w:r>
      <w:r w:rsidR="00E436C8">
        <w:t>–</w:t>
      </w:r>
      <w:r>
        <w:t>19 лет в 2018 году он составил 98,3</w:t>
      </w:r>
      <w:r w:rsidR="00E436C8">
        <w:t xml:space="preserve"> процента</w:t>
      </w:r>
      <w:r>
        <w:t xml:space="preserve">, что представляет собой увеличение с 2010 года на 2,8 процентных пункта. Аналогичным образом, доля лиц в возрасте </w:t>
      </w:r>
      <w:r w:rsidR="00E436C8">
        <w:br/>
      </w:r>
      <w:r>
        <w:t>17</w:t>
      </w:r>
      <w:r w:rsidR="00E436C8">
        <w:t>–</w:t>
      </w:r>
      <w:r>
        <w:t>19 лет, окончивших среднюю школу, составила в 2018 году 78,6</w:t>
      </w:r>
      <w:r w:rsidR="00E436C8">
        <w:t xml:space="preserve"> процента</w:t>
      </w:r>
      <w:r>
        <w:t>, что представляет собой увеличение с 2010 года на 12,9</w:t>
      </w:r>
      <w:r w:rsidRPr="004D208C">
        <w:t xml:space="preserve"> </w:t>
      </w:r>
      <w:r>
        <w:t>процентных пункта, а по лицам в возрасте 20</w:t>
      </w:r>
      <w:r w:rsidR="00E436C8">
        <w:t>–</w:t>
      </w:r>
      <w:r>
        <w:t>24 лет этот показатель составил в 2018 году 84,8</w:t>
      </w:r>
      <w:r w:rsidR="00E436C8">
        <w:t xml:space="preserve"> процента</w:t>
      </w:r>
      <w:r>
        <w:t>, что представляет собой увеличение с 2010 года на 7,7</w:t>
      </w:r>
      <w:r w:rsidRPr="004D208C">
        <w:t xml:space="preserve"> </w:t>
      </w:r>
      <w:r>
        <w:t>процентных пункта</w:t>
      </w:r>
      <w:r w:rsidRPr="00D93542">
        <w:rPr>
          <w:rStyle w:val="ab"/>
        </w:rPr>
        <w:t xml:space="preserve"> </w:t>
      </w:r>
      <w:r w:rsidRPr="00D93542">
        <w:rPr>
          <w:rStyle w:val="ab"/>
        </w:rPr>
        <w:footnoteReference w:id="19"/>
      </w:r>
      <w:r>
        <w:t>.</w:t>
      </w:r>
    </w:p>
    <w:p w14:paraId="09ED98EF" w14:textId="77777777" w:rsidR="00CA1E90" w:rsidRPr="0091523B" w:rsidRDefault="00CA1E90" w:rsidP="00CA1E90">
      <w:pPr>
        <w:pStyle w:val="SingleTxtG"/>
      </w:pPr>
      <w:r>
        <w:t>13.</w:t>
      </w:r>
      <w:r>
        <w:tab/>
        <w:t>Следует отметить, что к 2017 году показатель охвата образованием коренного населения Перу составил 64,8</w:t>
      </w:r>
      <w:r w:rsidR="00E436C8">
        <w:t xml:space="preserve"> процента</w:t>
      </w:r>
      <w:r>
        <w:t xml:space="preserve"> по детям в возрасте 3</w:t>
      </w:r>
      <w:r w:rsidR="00E436C8">
        <w:t>–</w:t>
      </w:r>
      <w:r>
        <w:t>5 лет; 93,1</w:t>
      </w:r>
      <w:r w:rsidR="00E436C8">
        <w:t xml:space="preserve"> процента</w:t>
      </w:r>
      <w:r>
        <w:t xml:space="preserve"> по детям в возрасте 6</w:t>
      </w:r>
      <w:r w:rsidR="00E436C8">
        <w:t>–</w:t>
      </w:r>
      <w:r>
        <w:t>11 лет; и 89,9</w:t>
      </w:r>
      <w:r w:rsidR="00E436C8">
        <w:t xml:space="preserve"> процента</w:t>
      </w:r>
      <w:r>
        <w:t xml:space="preserve"> по детям в возрасте 12</w:t>
      </w:r>
      <w:r w:rsidR="00E436C8">
        <w:t>–</w:t>
      </w:r>
      <w:r>
        <w:t>16 лет.</w:t>
      </w:r>
    </w:p>
    <w:p w14:paraId="7B10B1F5" w14:textId="77777777" w:rsidR="00CA1E90" w:rsidRPr="0091523B" w:rsidRDefault="00CA1E90" w:rsidP="00CA1E90">
      <w:pPr>
        <w:pStyle w:val="SingleTxtG"/>
      </w:pPr>
      <w:r>
        <w:t>14.</w:t>
      </w:r>
      <w:r>
        <w:tab/>
        <w:t>Кроме того, согласно последнему Национальному обследованию домохозяйств (НОД), в 2018 году уровень неграмотности составлял 5,6</w:t>
      </w:r>
      <w:r w:rsidR="00E436C8">
        <w:t xml:space="preserve"> процента</w:t>
      </w:r>
      <w:r>
        <w:t xml:space="preserve"> от общей численности населения, что на 2,9</w:t>
      </w:r>
      <w:r w:rsidRPr="00AC4F82">
        <w:t xml:space="preserve"> </w:t>
      </w:r>
      <w:r>
        <w:t>процентных пункта меньше, чем в 2007 году, однако разрыв между городским и сельским населением остается неизменным. Так, в 2018</w:t>
      </w:r>
      <w:r w:rsidR="00E436C8">
        <w:t> </w:t>
      </w:r>
      <w:r>
        <w:t>году доля неграмотных в городской местности составляла 3,4</w:t>
      </w:r>
      <w:r w:rsidR="00E436C8">
        <w:t xml:space="preserve"> процента</w:t>
      </w:r>
      <w:r>
        <w:t xml:space="preserve"> от общей численности населения, в то время как в сельской местности она составляла 14,5</w:t>
      </w:r>
      <w:r w:rsidR="00E436C8">
        <w:t> процента</w:t>
      </w:r>
      <w:r>
        <w:t>. Следует также отметить, что географическим районом с самым высоким уровнем неграмотности является высокогорье (9,9</w:t>
      </w:r>
      <w:r w:rsidR="00E436C8">
        <w:t xml:space="preserve"> процента</w:t>
      </w:r>
      <w:r>
        <w:t xml:space="preserve">), а регионом с самым высоким уровнем неграмотности </w:t>
      </w:r>
      <w:r w:rsidR="00E436C8">
        <w:t>—</w:t>
      </w:r>
      <w:r>
        <w:t xml:space="preserve"> Апуримак (14</w:t>
      </w:r>
      <w:r w:rsidR="00E436C8">
        <w:t xml:space="preserve"> процентов</w:t>
      </w:r>
      <w:r>
        <w:t xml:space="preserve"> населения региона)</w:t>
      </w:r>
      <w:r w:rsidRPr="00D93542">
        <w:rPr>
          <w:rStyle w:val="ab"/>
        </w:rPr>
        <w:footnoteReference w:id="20"/>
      </w:r>
      <w:r>
        <w:t>.</w:t>
      </w:r>
    </w:p>
    <w:p w14:paraId="4A87F97E" w14:textId="77777777" w:rsidR="00CA1E90" w:rsidRPr="0091523B" w:rsidRDefault="00CA1E90" w:rsidP="00CA1E90">
      <w:pPr>
        <w:pStyle w:val="SingleTxtG"/>
      </w:pPr>
      <w:r>
        <w:t>15.</w:t>
      </w:r>
      <w:r>
        <w:tab/>
        <w:t>Что касается занятости, то в 2018 году численность экономически активного населения составила 17 462,8 тыс. человек, что на 1,6</w:t>
      </w:r>
      <w:r w:rsidR="00C3699E">
        <w:t xml:space="preserve"> процента </w:t>
      </w:r>
      <w:r>
        <w:t>больше, чем в 2017</w:t>
      </w:r>
      <w:r w:rsidR="00C3699E">
        <w:t> </w:t>
      </w:r>
      <w:r>
        <w:t xml:space="preserve">году, однако разрыв между городским и сельским населением остается неизменным. Так, в 2018 году численность экономически активного населения в городской местности составила 13 663,7 тыс. человек, а в сельской местности </w:t>
      </w:r>
      <w:r w:rsidR="00C3699E">
        <w:t>—</w:t>
      </w:r>
      <w:r>
        <w:t xml:space="preserve"> </w:t>
      </w:r>
      <w:r w:rsidR="00FA0DC4">
        <w:br/>
      </w:r>
      <w:r>
        <w:t>3779,1 тыс. человек. Кроме того, следует отметить, что общая численность занятого экономически активного населения составила 16 776,5 тыс. человек</w:t>
      </w:r>
      <w:r w:rsidRPr="00D93542">
        <w:rPr>
          <w:rStyle w:val="ab"/>
        </w:rPr>
        <w:footnoteReference w:id="21"/>
      </w:r>
      <w:r>
        <w:t>.</w:t>
      </w:r>
    </w:p>
    <w:p w14:paraId="5D7B296B" w14:textId="77777777" w:rsidR="00CA1E90" w:rsidRPr="0091523B" w:rsidRDefault="00CA1E90" w:rsidP="00CA1E90">
      <w:pPr>
        <w:pStyle w:val="SingleTxtG"/>
      </w:pPr>
      <w:r>
        <w:lastRenderedPageBreak/>
        <w:t>16.</w:t>
      </w:r>
      <w:r>
        <w:tab/>
        <w:t>Что касается жилищного фонда и санитарии, то, как показала перепись 2017</w:t>
      </w:r>
      <w:r w:rsidR="0082316A">
        <w:rPr>
          <w:lang w:val="en-US"/>
        </w:rPr>
        <w:t> </w:t>
      </w:r>
      <w:r>
        <w:t>года, 67,1</w:t>
      </w:r>
      <w:r w:rsidR="00F931CB">
        <w:t xml:space="preserve"> процента</w:t>
      </w:r>
      <w:r>
        <w:t xml:space="preserve"> жилищ снабжаются водой через коммунальную сеть, к которой они подключены; 11,3 </w:t>
      </w:r>
      <w:r w:rsidR="00F931CB">
        <w:t>процента</w:t>
      </w:r>
      <w:r>
        <w:t xml:space="preserve"> жилищ имеют доступ к коммунальной сети вне жилища, но внутри здания; 7,3 </w:t>
      </w:r>
      <w:r w:rsidR="00F931CB">
        <w:t>процента</w:t>
      </w:r>
      <w:r>
        <w:t xml:space="preserve"> жилищ используют колодезную воду (грунтовые воды); 4,7</w:t>
      </w:r>
      <w:r w:rsidR="00F931CB">
        <w:t xml:space="preserve"> процента</w:t>
      </w:r>
      <w:r>
        <w:t xml:space="preserve"> жилищ снабжаются водой через водоразборную колонку общего пользования; 4,5</w:t>
      </w:r>
      <w:r w:rsidR="00F931CB">
        <w:t xml:space="preserve"> процента</w:t>
      </w:r>
      <w:r>
        <w:t xml:space="preserve"> жилищ используют воду из реки, оросительной канавы, родника или аналогичных источников; 4,2 </w:t>
      </w:r>
      <w:r w:rsidR="00F931CB">
        <w:t>процента</w:t>
      </w:r>
      <w:r>
        <w:t xml:space="preserve"> жилищ воду доставляют водовозами или с использованием аналогичных технических средств; и 0,9</w:t>
      </w:r>
      <w:r w:rsidR="00F931CB">
        <w:t xml:space="preserve"> процента</w:t>
      </w:r>
      <w:r>
        <w:t xml:space="preserve"> жилищ используют, в частности, воду, которую просят у соседей, талую и дождевую воду</w:t>
      </w:r>
      <w:r w:rsidRPr="00D93542">
        <w:rPr>
          <w:rStyle w:val="ab"/>
        </w:rPr>
        <w:footnoteReference w:id="22"/>
      </w:r>
      <w:r>
        <w:t xml:space="preserve">. </w:t>
      </w:r>
    </w:p>
    <w:p w14:paraId="58F0D51F" w14:textId="77777777" w:rsidR="00CA1E90" w:rsidRPr="0091523B" w:rsidRDefault="00CA1E90" w:rsidP="00CA1E90">
      <w:pPr>
        <w:pStyle w:val="H23G"/>
      </w:pPr>
      <w:bookmarkStart w:id="23" w:name="_Toc19107154"/>
      <w:r>
        <w:tab/>
      </w:r>
      <w:r>
        <w:tab/>
      </w:r>
      <w:r>
        <w:rPr>
          <w:bCs/>
        </w:rPr>
        <w:t>Экономические показатели</w:t>
      </w:r>
      <w:bookmarkEnd w:id="23"/>
    </w:p>
    <w:p w14:paraId="2A2CEBA4" w14:textId="77777777" w:rsidR="00CA1E90" w:rsidRPr="0091523B" w:rsidRDefault="00CA1E90" w:rsidP="00CA1E90">
      <w:pPr>
        <w:pStyle w:val="SingleTxtG"/>
      </w:pPr>
      <w:r>
        <w:t>17.</w:t>
      </w:r>
      <w:r>
        <w:tab/>
        <w:t>Согласно монетарному подходу к определению нищеты в 2018 году к категории нищих было отнесено 20,5</w:t>
      </w:r>
      <w:r w:rsidR="00F931CB">
        <w:t xml:space="preserve"> процента</w:t>
      </w:r>
      <w:r>
        <w:t xml:space="preserve"> перуанского населения. В абсолютном выражении число людей, живущих в нищете, составило 6 593 000 человек. Однако по сравнению с 2017</w:t>
      </w:r>
      <w:r w:rsidR="00EC35D6">
        <w:t xml:space="preserve"> </w:t>
      </w:r>
      <w:r>
        <w:t>годом этот показатель снизился на 1,2</w:t>
      </w:r>
      <w:r w:rsidRPr="004433E2">
        <w:t xml:space="preserve"> </w:t>
      </w:r>
      <w:r>
        <w:t xml:space="preserve">процентных пункта </w:t>
      </w:r>
      <w:r w:rsidR="00F931CB">
        <w:br/>
      </w:r>
      <w:r>
        <w:t>(21,7</w:t>
      </w:r>
      <w:r w:rsidR="00F931CB">
        <w:t xml:space="preserve"> процента</w:t>
      </w:r>
      <w:r>
        <w:t>). Аналогичным образом, проблема нищеты в большей степени затрагивает население, для которого родным языком является один из автохтонных языков (32,4</w:t>
      </w:r>
      <w:r w:rsidR="00F931CB">
        <w:t xml:space="preserve"> процента</w:t>
      </w:r>
      <w:r>
        <w:t>), причем этот показатель у них почти в два раза выше, чем у тех, кто говорит по-испански (17,5</w:t>
      </w:r>
      <w:r w:rsidR="00D265AC">
        <w:t xml:space="preserve"> процента</w:t>
      </w:r>
      <w:r>
        <w:t>)</w:t>
      </w:r>
      <w:r w:rsidRPr="00D93542">
        <w:rPr>
          <w:rStyle w:val="ab"/>
        </w:rPr>
        <w:footnoteReference w:id="23"/>
      </w:r>
      <w:r>
        <w:t>.</w:t>
      </w:r>
    </w:p>
    <w:p w14:paraId="1858C334" w14:textId="77777777" w:rsidR="00CA1E90" w:rsidRPr="0091523B" w:rsidRDefault="00CA1E90" w:rsidP="00CA1E90">
      <w:pPr>
        <w:pStyle w:val="SingleTxtG"/>
      </w:pPr>
      <w:r>
        <w:t>18.</w:t>
      </w:r>
      <w:r>
        <w:tab/>
        <w:t>Кроме того, в 2018 году 2,8</w:t>
      </w:r>
      <w:r w:rsidR="00D265AC">
        <w:t xml:space="preserve"> процента</w:t>
      </w:r>
      <w:r>
        <w:t xml:space="preserve"> жителей проживало за чертой крайней нищеты, а это означает, что у 900 000 человек уровень расходов на душу населения был ниже стоимости потребительской корзины исходя из базового набора продуктов (183 соля). По сравнению с 2017 годом, имело место снижение на 1,0 процентный пункт (с 3,8</w:t>
      </w:r>
      <w:r w:rsidR="00D265AC">
        <w:t xml:space="preserve"> процента</w:t>
      </w:r>
      <w:r>
        <w:t xml:space="preserve"> до 2,8</w:t>
      </w:r>
      <w:r w:rsidR="00D265AC">
        <w:t xml:space="preserve"> процента</w:t>
      </w:r>
      <w:r>
        <w:t>), т.</w:t>
      </w:r>
      <w:r w:rsidR="00D265AC">
        <w:t> </w:t>
      </w:r>
      <w:r>
        <w:t>е. около 300 000 человек уже не были в таком положении. В зависимости от района проживания, проблема крайней нищеты затронула 10,0</w:t>
      </w:r>
      <w:r w:rsidR="00D265AC">
        <w:t xml:space="preserve"> процента</w:t>
      </w:r>
      <w:r>
        <w:t xml:space="preserve"> жителей сельской местности и 0,8</w:t>
      </w:r>
      <w:r w:rsidR="00D265AC">
        <w:t xml:space="preserve"> процента</w:t>
      </w:r>
      <w:r>
        <w:t xml:space="preserve"> жителей городских районов</w:t>
      </w:r>
      <w:r w:rsidRPr="00D93542">
        <w:rPr>
          <w:rStyle w:val="ab"/>
        </w:rPr>
        <w:footnoteReference w:id="24"/>
      </w:r>
      <w:r>
        <w:t>.</w:t>
      </w:r>
    </w:p>
    <w:p w14:paraId="20456674" w14:textId="77777777" w:rsidR="00CA1E90" w:rsidRPr="0091523B" w:rsidRDefault="00CA1E90" w:rsidP="00CA1E90">
      <w:pPr>
        <w:pStyle w:val="SingleTxtG"/>
      </w:pPr>
      <w:r>
        <w:t>19.</w:t>
      </w:r>
      <w:r>
        <w:tab/>
        <w:t xml:space="preserve">По данным Министерства экономики и финансов (МЭФ), в период </w:t>
      </w:r>
      <w:r w:rsidR="00D265AC">
        <w:br/>
      </w:r>
      <w:r>
        <w:t>2009</w:t>
      </w:r>
      <w:r w:rsidR="00D265AC">
        <w:t>–</w:t>
      </w:r>
      <w:r>
        <w:t>2018</w:t>
      </w:r>
      <w:r w:rsidR="00EC35D6">
        <w:t xml:space="preserve"> </w:t>
      </w:r>
      <w:r>
        <w:t>годов наблюдалась тенденция к увеличению объема государственных расходов главным образом в сфере здравоохранения (с 8,1</w:t>
      </w:r>
      <w:r w:rsidR="00D265AC">
        <w:t xml:space="preserve"> процента</w:t>
      </w:r>
      <w:r>
        <w:t xml:space="preserve"> в 2009 году до 11,3</w:t>
      </w:r>
      <w:r w:rsidR="00D265AC">
        <w:t xml:space="preserve"> процента</w:t>
      </w:r>
      <w:r>
        <w:t xml:space="preserve"> в 2018 году), образования (с 15,4</w:t>
      </w:r>
      <w:r w:rsidR="00D265AC">
        <w:t xml:space="preserve"> процента</w:t>
      </w:r>
      <w:r>
        <w:t xml:space="preserve"> в 2009 году до 17,0</w:t>
      </w:r>
      <w:r w:rsidR="00D265AC">
        <w:t xml:space="preserve"> процента</w:t>
      </w:r>
      <w:r>
        <w:t xml:space="preserve"> в 2018 году) и культуры и спорта (с 1,2</w:t>
      </w:r>
      <w:r w:rsidR="00D265AC">
        <w:t xml:space="preserve"> процента</w:t>
      </w:r>
      <w:r>
        <w:t xml:space="preserve"> в 2009 году до 2,4</w:t>
      </w:r>
      <w:r w:rsidR="00D265AC">
        <w:t xml:space="preserve"> процента</w:t>
      </w:r>
      <w:r>
        <w:t xml:space="preserve"> в 2018</w:t>
      </w:r>
      <w:r w:rsidR="00D265AC">
        <w:t> </w:t>
      </w:r>
      <w:r>
        <w:t>году). Следует отметить, что в целом за этот период объем государственных расходов на социальные нужды увеличился на 3,6 процентного пункта</w:t>
      </w:r>
      <w:r w:rsidRPr="00D93542">
        <w:rPr>
          <w:rStyle w:val="ab"/>
        </w:rPr>
        <w:footnoteReference w:id="25"/>
      </w:r>
      <w:r>
        <w:t>.</w:t>
      </w:r>
    </w:p>
    <w:p w14:paraId="21782B56" w14:textId="77777777" w:rsidR="00CA1E90" w:rsidRPr="0091523B" w:rsidRDefault="00CA1E90" w:rsidP="00CA1E90">
      <w:pPr>
        <w:pStyle w:val="SingleTxtG"/>
      </w:pPr>
      <w:r>
        <w:t>20.</w:t>
      </w:r>
      <w:r>
        <w:tab/>
        <w:t>Согласно годовому отчету Центрального резервного банка (ЦБР) за 2018 год, годовой темп инфляции, рассчитываемый по динамике индекса потребительских цен в столичном округе Лима, составил 2,19</w:t>
      </w:r>
      <w:r w:rsidR="00D265AC">
        <w:t xml:space="preserve"> процента</w:t>
      </w:r>
      <w:r>
        <w:t>. Это значение находилось близко к середине целевого диапазона (1</w:t>
      </w:r>
      <w:r w:rsidR="00D265AC">
        <w:t>–</w:t>
      </w:r>
      <w:r>
        <w:t>3</w:t>
      </w:r>
      <w:r w:rsidR="00D265AC">
        <w:t xml:space="preserve"> процент</w:t>
      </w:r>
      <w:r w:rsidR="00EC35D6">
        <w:t>а</w:t>
      </w:r>
      <w:r>
        <w:t xml:space="preserve">). Таким образом, темпы инфляции большую часть года оставались в пределах целевого диапазона. Однако из-за эффекта базы сравнения, связанного с наблюдавшимся в 2017 году в прибрежной зоне явлением </w:t>
      </w:r>
      <w:r w:rsidR="0082316A" w:rsidRPr="00D265AC">
        <w:rPr>
          <w:rStyle w:val="ab"/>
          <w:vertAlign w:val="baseline"/>
        </w:rPr>
        <w:t>«</w:t>
      </w:r>
      <w:r w:rsidRPr="00D265AC">
        <w:t>Эль-Ниньо</w:t>
      </w:r>
      <w:r w:rsidR="0082316A" w:rsidRPr="00D265AC">
        <w:rPr>
          <w:rStyle w:val="ab"/>
          <w:vertAlign w:val="baseline"/>
        </w:rPr>
        <w:t>»</w:t>
      </w:r>
      <w:r w:rsidRPr="00D265AC">
        <w:t>,</w:t>
      </w:r>
      <w:r>
        <w:t xml:space="preserve"> эти темпы какое-то время (в период с марта по май 2018 года) выходили за нижний предел целевого диапазона</w:t>
      </w:r>
      <w:r w:rsidRPr="00D93542">
        <w:rPr>
          <w:rStyle w:val="ab"/>
        </w:rPr>
        <w:footnoteReference w:id="26"/>
      </w:r>
      <w:r>
        <w:t>.</w:t>
      </w:r>
    </w:p>
    <w:p w14:paraId="1A2348C1" w14:textId="77777777" w:rsidR="00CA1E90" w:rsidRPr="0091523B" w:rsidRDefault="00CA1E90" w:rsidP="00CA1E90">
      <w:pPr>
        <w:pStyle w:val="H1G"/>
      </w:pPr>
      <w:bookmarkStart w:id="25" w:name="_Toc19107155"/>
      <w:r>
        <w:tab/>
      </w:r>
      <w:r>
        <w:tab/>
      </w:r>
      <w:r>
        <w:rPr>
          <w:bCs/>
        </w:rPr>
        <w:t>Конституционная, политическая и правовая структура</w:t>
      </w:r>
      <w:bookmarkEnd w:id="25"/>
    </w:p>
    <w:p w14:paraId="56AAC4AA" w14:textId="77777777" w:rsidR="00CA1E90" w:rsidRPr="0091523B" w:rsidRDefault="00CA1E90" w:rsidP="00CA1E90">
      <w:pPr>
        <w:pStyle w:val="SingleTxtG"/>
      </w:pPr>
      <w:r>
        <w:t>21.</w:t>
      </w:r>
      <w:r>
        <w:tab/>
        <w:t>В соответствии с Политической конституцией Перу конституционная, политическая и правовая структура государства выглядит следующим образом:</w:t>
      </w:r>
      <w:r w:rsidR="00EC35D6">
        <w:t xml:space="preserve"> </w:t>
      </w:r>
    </w:p>
    <w:p w14:paraId="7047A292" w14:textId="77777777" w:rsidR="00CA1E90" w:rsidRPr="0091523B" w:rsidRDefault="00CA1E90" w:rsidP="00CA1E90">
      <w:pPr>
        <w:pStyle w:val="H23G"/>
        <w:ind w:left="0" w:firstLine="0"/>
      </w:pPr>
      <w:bookmarkStart w:id="26" w:name="_Toc19107156"/>
      <w:r>
        <w:lastRenderedPageBreak/>
        <w:tab/>
      </w:r>
      <w:r>
        <w:tab/>
      </w:r>
      <w:r>
        <w:rPr>
          <w:bCs/>
        </w:rPr>
        <w:t>Законодательная власть</w:t>
      </w:r>
      <w:bookmarkEnd w:id="26"/>
    </w:p>
    <w:p w14:paraId="07349BB3" w14:textId="77777777" w:rsidR="00CA1E90" w:rsidRPr="0091523B" w:rsidRDefault="00CA1E90" w:rsidP="00CA1E90">
      <w:pPr>
        <w:pStyle w:val="SingleTxtG"/>
      </w:pPr>
      <w:r>
        <w:t>22.</w:t>
      </w:r>
      <w:r>
        <w:tab/>
        <w:t>Законодательная власть принадлежит однопалатному Конгрессу Республики в составе 130 депутатов, избираемых сроком на пять лет в ходе установленной законом процедуры выборов. Чтобы быть избранным в Конгресс, надо быть перуанцем по рождению в возрасте от 25 лет и иметь право голоса</w:t>
      </w:r>
      <w:r w:rsidRPr="00D93542">
        <w:rPr>
          <w:rStyle w:val="ab"/>
        </w:rPr>
        <w:footnoteReference w:id="27"/>
      </w:r>
      <w:r>
        <w:t>. Конгресс наделен следующими полномочиями:</w:t>
      </w:r>
    </w:p>
    <w:p w14:paraId="0845E1CC" w14:textId="77777777" w:rsidR="00CA1E90" w:rsidRPr="0091523B" w:rsidRDefault="00CA1E90" w:rsidP="00CA1E90">
      <w:pPr>
        <w:pStyle w:val="Bullet1G"/>
        <w:numPr>
          <w:ilvl w:val="0"/>
          <w:numId w:val="0"/>
        </w:numPr>
        <w:tabs>
          <w:tab w:val="left" w:pos="1701"/>
        </w:tabs>
        <w:ind w:left="1701" w:hanging="170"/>
      </w:pPr>
      <w:r w:rsidRPr="005E0DBC">
        <w:t>•</w:t>
      </w:r>
      <w:r>
        <w:tab/>
        <w:t>принимать законы и законодательные акты, а также толковать, изменять или отменять существующее законодательство;</w:t>
      </w:r>
    </w:p>
    <w:p w14:paraId="7BF3F253" w14:textId="77777777" w:rsidR="00CA1E90" w:rsidRPr="0091523B" w:rsidRDefault="00CA1E90" w:rsidP="00CA1E90">
      <w:pPr>
        <w:pStyle w:val="Bullet1G"/>
        <w:numPr>
          <w:ilvl w:val="0"/>
          <w:numId w:val="0"/>
        </w:numPr>
        <w:tabs>
          <w:tab w:val="left" w:pos="1701"/>
        </w:tabs>
        <w:ind w:left="1701" w:hanging="170"/>
      </w:pPr>
      <w:r w:rsidRPr="005E0DBC">
        <w:t>•</w:t>
      </w:r>
      <w:r>
        <w:tab/>
        <w:t>следить за соблюдением Конституции и законов и принимать необходимые меры для привлечения к ответственности виновных в их нарушении лиц;</w:t>
      </w:r>
    </w:p>
    <w:p w14:paraId="58A4423A" w14:textId="77777777" w:rsidR="00CA1E90" w:rsidRPr="00092492" w:rsidRDefault="00CA1E90" w:rsidP="00CA1E90">
      <w:pPr>
        <w:pStyle w:val="Bullet1G"/>
        <w:numPr>
          <w:ilvl w:val="0"/>
          <w:numId w:val="0"/>
        </w:numPr>
        <w:tabs>
          <w:tab w:val="left" w:pos="1701"/>
        </w:tabs>
        <w:ind w:left="1701" w:hanging="170"/>
      </w:pPr>
      <w:r w:rsidRPr="005E0DBC">
        <w:t>•</w:t>
      </w:r>
      <w:r>
        <w:tab/>
        <w:t>утверждать договоры в соответствии с Конституцией</w:t>
      </w:r>
      <w:r w:rsidRPr="00092492">
        <w:t>;</w:t>
      </w:r>
    </w:p>
    <w:p w14:paraId="308D9073" w14:textId="77777777" w:rsidR="00CA1E90" w:rsidRPr="0091523B" w:rsidRDefault="00CA1E90" w:rsidP="00CA1E90">
      <w:pPr>
        <w:pStyle w:val="Bullet1G"/>
        <w:numPr>
          <w:ilvl w:val="0"/>
          <w:numId w:val="0"/>
        </w:numPr>
        <w:tabs>
          <w:tab w:val="left" w:pos="1701"/>
        </w:tabs>
        <w:ind w:left="1701" w:hanging="170"/>
      </w:pPr>
      <w:r w:rsidRPr="005E0DBC">
        <w:t>•</w:t>
      </w:r>
      <w:r>
        <w:tab/>
        <w:t>утверждать государственный бюджет и отчеты о его исполнении;</w:t>
      </w:r>
    </w:p>
    <w:p w14:paraId="41EB5C67" w14:textId="77777777" w:rsidR="00CA1E90" w:rsidRPr="0091523B" w:rsidRDefault="00CA1E90" w:rsidP="00CA1E90">
      <w:pPr>
        <w:pStyle w:val="Bullet1G"/>
        <w:numPr>
          <w:ilvl w:val="0"/>
          <w:numId w:val="0"/>
        </w:numPr>
        <w:tabs>
          <w:tab w:val="left" w:pos="1701"/>
        </w:tabs>
        <w:ind w:left="1701" w:hanging="170"/>
      </w:pPr>
      <w:r w:rsidRPr="005E0DBC">
        <w:t>•</w:t>
      </w:r>
      <w:r>
        <w:tab/>
        <w:t>санкционировать в соответствии с Конституцией заимствование средств;</w:t>
      </w:r>
    </w:p>
    <w:p w14:paraId="7D449FF9" w14:textId="77777777" w:rsidR="00CA1E90" w:rsidRPr="0091523B" w:rsidRDefault="00CA1E90" w:rsidP="00CA1E90">
      <w:pPr>
        <w:pStyle w:val="Bullet1G"/>
        <w:numPr>
          <w:ilvl w:val="0"/>
          <w:numId w:val="0"/>
        </w:numPr>
        <w:tabs>
          <w:tab w:val="left" w:pos="1701"/>
        </w:tabs>
        <w:ind w:left="1701" w:hanging="170"/>
      </w:pPr>
      <w:r w:rsidRPr="005E0DBC">
        <w:t>•</w:t>
      </w:r>
      <w:r>
        <w:tab/>
        <w:t>осуществлять право на объявление амнистии;</w:t>
      </w:r>
    </w:p>
    <w:p w14:paraId="4CBA1B60" w14:textId="77777777" w:rsidR="00CA1E90" w:rsidRPr="0091523B" w:rsidRDefault="00CA1E90" w:rsidP="00CA1E90">
      <w:pPr>
        <w:pStyle w:val="Bullet1G"/>
        <w:numPr>
          <w:ilvl w:val="0"/>
          <w:numId w:val="0"/>
        </w:numPr>
        <w:tabs>
          <w:tab w:val="left" w:pos="1701"/>
        </w:tabs>
        <w:ind w:left="1701" w:hanging="170"/>
      </w:pPr>
      <w:r w:rsidRPr="005E0DBC">
        <w:t>•</w:t>
      </w:r>
      <w:r>
        <w:tab/>
        <w:t>утверждать по представлению исполнительной власти демаркацию территории;</w:t>
      </w:r>
    </w:p>
    <w:p w14:paraId="1AB91EE6" w14:textId="77777777" w:rsidR="00CA1E90" w:rsidRPr="0091523B" w:rsidRDefault="00CA1E90" w:rsidP="00CA1E90">
      <w:pPr>
        <w:pStyle w:val="Bullet1G"/>
        <w:numPr>
          <w:ilvl w:val="0"/>
          <w:numId w:val="0"/>
        </w:numPr>
        <w:tabs>
          <w:tab w:val="left" w:pos="1701"/>
        </w:tabs>
        <w:ind w:left="1701" w:hanging="170"/>
      </w:pPr>
      <w:r w:rsidRPr="005E0DBC">
        <w:t>•</w:t>
      </w:r>
      <w:r>
        <w:tab/>
        <w:t>давать согласие на ввод на территорию Республики иностранных войск при условии, что это никоим образом не затрагивает ее государственный суверенитет;</w:t>
      </w:r>
    </w:p>
    <w:p w14:paraId="4AE31C0B" w14:textId="77777777" w:rsidR="00CA1E90" w:rsidRPr="0091523B" w:rsidRDefault="00CA1E90" w:rsidP="00CA1E90">
      <w:pPr>
        <w:pStyle w:val="Bullet1G"/>
        <w:numPr>
          <w:ilvl w:val="0"/>
          <w:numId w:val="0"/>
        </w:numPr>
        <w:tabs>
          <w:tab w:val="left" w:pos="1701"/>
        </w:tabs>
        <w:ind w:left="1701" w:hanging="170"/>
      </w:pPr>
      <w:r w:rsidRPr="005E0DBC">
        <w:t>•</w:t>
      </w:r>
      <w:r>
        <w:tab/>
        <w:t>давать Президенту Республики разрешение покидать страну;</w:t>
      </w:r>
    </w:p>
    <w:p w14:paraId="05B7BE92" w14:textId="77777777" w:rsidR="00CA1E90" w:rsidRPr="0091523B" w:rsidRDefault="00CA1E90" w:rsidP="00CA1E90">
      <w:pPr>
        <w:pStyle w:val="Bullet1G"/>
        <w:numPr>
          <w:ilvl w:val="0"/>
          <w:numId w:val="0"/>
        </w:numPr>
        <w:tabs>
          <w:tab w:val="left" w:pos="1701"/>
        </w:tabs>
        <w:ind w:left="1701" w:hanging="170"/>
      </w:pPr>
      <w:r w:rsidRPr="005E0DBC">
        <w:t>•</w:t>
      </w:r>
      <w:r>
        <w:tab/>
        <w:t>осуществлять иные полномочия, предусмотренные Конституцией и соответствующие его законодательной функции</w:t>
      </w:r>
      <w:r w:rsidRPr="005E0DBC">
        <w:rPr>
          <w:rStyle w:val="ab"/>
        </w:rPr>
        <w:footnoteReference w:id="28"/>
      </w:r>
      <w:r>
        <w:t>.</w:t>
      </w:r>
    </w:p>
    <w:p w14:paraId="7516A214" w14:textId="77777777" w:rsidR="00CA1E90" w:rsidRPr="0091523B" w:rsidRDefault="00CA1E90" w:rsidP="00CA1E90">
      <w:pPr>
        <w:pStyle w:val="H23G"/>
      </w:pPr>
      <w:bookmarkStart w:id="29" w:name="_Toc19107157"/>
      <w:r>
        <w:tab/>
      </w:r>
      <w:r>
        <w:tab/>
      </w:r>
      <w:r>
        <w:rPr>
          <w:bCs/>
        </w:rPr>
        <w:t>Исполнительная власть</w:t>
      </w:r>
      <w:bookmarkEnd w:id="29"/>
    </w:p>
    <w:p w14:paraId="0054DE91" w14:textId="77777777" w:rsidR="00CA1E90" w:rsidRPr="0091523B" w:rsidRDefault="00CA1E90" w:rsidP="00CA1E90">
      <w:pPr>
        <w:pStyle w:val="SingleTxtG"/>
      </w:pPr>
      <w:r w:rsidRPr="004433E2">
        <w:t>23.</w:t>
      </w:r>
      <w:r w:rsidRPr="004433E2">
        <w:tab/>
        <w:t>Президент Республики является главой государства и олицетворением нации. Он избирается прямым голосованием на пятилетний срок полномочий; он не может избираться два срока подряд. Бывший президент может вновь баллотироваться на этот пост с соблюдением тех же условий по истечении как минимум одного предусмотренного Конституцией срока</w:t>
      </w:r>
      <w:r w:rsidRPr="004433E2">
        <w:rPr>
          <w:rStyle w:val="ab"/>
        </w:rPr>
        <w:footnoteReference w:id="29"/>
      </w:r>
      <w:r w:rsidRPr="004433E2">
        <w:t>.</w:t>
      </w:r>
    </w:p>
    <w:p w14:paraId="52EB198C" w14:textId="77777777" w:rsidR="00CA1E90" w:rsidRPr="0091523B" w:rsidRDefault="00CA1E90" w:rsidP="00CA1E90">
      <w:pPr>
        <w:pStyle w:val="SingleTxtG"/>
      </w:pPr>
      <w:r>
        <w:t>24.</w:t>
      </w:r>
      <w:r>
        <w:tab/>
        <w:t xml:space="preserve">Церемония приведения к присяге и вступления в должность Президента Республики проводится на заседании Конгресса, созываемом 28 июля того года, в котором состоялись президентские выборы. Функции Президента заключаются в следующем: </w:t>
      </w:r>
    </w:p>
    <w:p w14:paraId="203FE488" w14:textId="77777777" w:rsidR="00CA1E90" w:rsidRPr="0091523B" w:rsidRDefault="00CA1E90" w:rsidP="00CA1E90">
      <w:pPr>
        <w:pStyle w:val="Bullet1G"/>
        <w:numPr>
          <w:ilvl w:val="0"/>
          <w:numId w:val="0"/>
        </w:numPr>
        <w:tabs>
          <w:tab w:val="left" w:pos="1701"/>
        </w:tabs>
        <w:ind w:left="1701" w:hanging="170"/>
      </w:pPr>
      <w:r w:rsidRPr="00EF1B99">
        <w:t>•</w:t>
      </w:r>
      <w:r>
        <w:tab/>
        <w:t>исполнять положения Конституции, международных договоров, законов и других законодательных актов</w:t>
      </w:r>
      <w:r w:rsidRPr="00E64D45">
        <w:t xml:space="preserve"> </w:t>
      </w:r>
      <w:r>
        <w:t>и обеспечивать их исполнение;</w:t>
      </w:r>
    </w:p>
    <w:p w14:paraId="4E2F0102" w14:textId="77777777" w:rsidR="00CA1E90" w:rsidRPr="0091523B" w:rsidRDefault="00CA1E90" w:rsidP="00CA1E90">
      <w:pPr>
        <w:pStyle w:val="Bullet1G"/>
        <w:numPr>
          <w:ilvl w:val="0"/>
          <w:numId w:val="0"/>
        </w:numPr>
        <w:tabs>
          <w:tab w:val="left" w:pos="1701"/>
        </w:tabs>
        <w:ind w:left="1701" w:hanging="170"/>
      </w:pPr>
      <w:r w:rsidRPr="00EF1B99">
        <w:t>•</w:t>
      </w:r>
      <w:r>
        <w:tab/>
        <w:t>представлять государство внутри Республики и за ее пределами;</w:t>
      </w:r>
    </w:p>
    <w:p w14:paraId="7C468E21" w14:textId="77777777" w:rsidR="00CA1E90" w:rsidRPr="0091523B" w:rsidRDefault="00CA1E90" w:rsidP="00CA1E90">
      <w:pPr>
        <w:pStyle w:val="Bullet1G"/>
        <w:numPr>
          <w:ilvl w:val="0"/>
          <w:numId w:val="0"/>
        </w:numPr>
        <w:tabs>
          <w:tab w:val="left" w:pos="1701"/>
        </w:tabs>
        <w:ind w:left="1701" w:hanging="170"/>
      </w:pPr>
      <w:r w:rsidRPr="00EF1B99">
        <w:t>•</w:t>
      </w:r>
      <w:r>
        <w:tab/>
        <w:t>осуществлять общее политическое руководство деятельностью правительства;</w:t>
      </w:r>
    </w:p>
    <w:p w14:paraId="39C7711D" w14:textId="77777777" w:rsidR="00CA1E90" w:rsidRPr="0091523B" w:rsidRDefault="00CA1E90" w:rsidP="00CA1E90">
      <w:pPr>
        <w:pStyle w:val="Bullet1G"/>
        <w:numPr>
          <w:ilvl w:val="0"/>
          <w:numId w:val="0"/>
        </w:numPr>
        <w:tabs>
          <w:tab w:val="left" w:pos="1701"/>
        </w:tabs>
        <w:ind w:left="1701" w:hanging="170"/>
      </w:pPr>
      <w:r w:rsidRPr="00EF1B99">
        <w:t>•</w:t>
      </w:r>
      <w:r>
        <w:tab/>
        <w:t>обеспечивать внутренний правопорядок и внешнюю безопасность Республики;</w:t>
      </w:r>
    </w:p>
    <w:p w14:paraId="334B3962" w14:textId="77777777" w:rsidR="00CA1E90" w:rsidRPr="0091523B" w:rsidRDefault="00CA1E90" w:rsidP="00CA1E90">
      <w:pPr>
        <w:pStyle w:val="Bullet1G"/>
        <w:numPr>
          <w:ilvl w:val="0"/>
          <w:numId w:val="0"/>
        </w:numPr>
        <w:tabs>
          <w:tab w:val="left" w:pos="1701"/>
        </w:tabs>
        <w:ind w:left="1701" w:hanging="170"/>
      </w:pPr>
      <w:r w:rsidRPr="00EF1B99">
        <w:t>•</w:t>
      </w:r>
      <w:r>
        <w:tab/>
        <w:t>назначать выборы Президента Республики и депутатов Конгресса, а также председателей и членов муниципальных советов и других должностных лиц в соответствии с законом;</w:t>
      </w:r>
    </w:p>
    <w:p w14:paraId="67E521E4" w14:textId="77777777" w:rsidR="00CA1E90" w:rsidRPr="0091523B" w:rsidRDefault="00CA1E90" w:rsidP="00CA1E90">
      <w:pPr>
        <w:pStyle w:val="Bullet1G"/>
        <w:numPr>
          <w:ilvl w:val="0"/>
          <w:numId w:val="0"/>
        </w:numPr>
        <w:tabs>
          <w:tab w:val="left" w:pos="1701"/>
        </w:tabs>
        <w:ind w:left="1701" w:hanging="170"/>
      </w:pPr>
      <w:r w:rsidRPr="00EF1B99">
        <w:t>•</w:t>
      </w:r>
      <w:r>
        <w:tab/>
        <w:t xml:space="preserve">созывать внеочередные сессии Конгресса и подписывать в этих целях указы об их созыве; </w:t>
      </w:r>
    </w:p>
    <w:p w14:paraId="5C5217FF" w14:textId="77777777" w:rsidR="00CA1E90" w:rsidRPr="0091523B" w:rsidRDefault="00CA1E90" w:rsidP="00CA1E90">
      <w:pPr>
        <w:pStyle w:val="Bullet1G"/>
        <w:numPr>
          <w:ilvl w:val="0"/>
          <w:numId w:val="0"/>
        </w:numPr>
        <w:tabs>
          <w:tab w:val="left" w:pos="1701"/>
        </w:tabs>
        <w:ind w:left="1701" w:hanging="170"/>
      </w:pPr>
      <w:r w:rsidRPr="00EF1B99">
        <w:t>•</w:t>
      </w:r>
      <w:r>
        <w:tab/>
        <w:t>обращаться к Конгрессу с посланиями в любое время, и в</w:t>
      </w:r>
      <w:r w:rsidR="00EC35D6">
        <w:t> </w:t>
      </w:r>
      <w:r>
        <w:t>т</w:t>
      </w:r>
      <w:r w:rsidR="00EC35D6">
        <w:t>. </w:t>
      </w:r>
      <w:r>
        <w:t>ч</w:t>
      </w:r>
      <w:r w:rsidR="00EC35D6">
        <w:t>.</w:t>
      </w:r>
      <w:r>
        <w:t xml:space="preserve"> в обязательном порядке с личным письменным посланием в связи с началом первой в году очередной сессии. В таких ежегодных посланиях подробно освещается </w:t>
      </w:r>
      <w:r>
        <w:lastRenderedPageBreak/>
        <w:t>положение в стране и излагаются меры по его улучшению и проведению реформ, которые Президент считает необходимым и целесообразным вынести на рассмотрение Конгресса. Послания Президента Республики, за исключением первого такого послания, подлежат утверждению Советом министров;</w:t>
      </w:r>
    </w:p>
    <w:p w14:paraId="546F6841" w14:textId="77777777" w:rsidR="00CA1E90" w:rsidRPr="0091523B" w:rsidRDefault="00CA1E90" w:rsidP="00CA1E90">
      <w:pPr>
        <w:pStyle w:val="Bullet1G"/>
        <w:numPr>
          <w:ilvl w:val="0"/>
          <w:numId w:val="0"/>
        </w:numPr>
        <w:tabs>
          <w:tab w:val="left" w:pos="1701"/>
        </w:tabs>
        <w:ind w:left="1701" w:hanging="170"/>
      </w:pPr>
      <w:r w:rsidRPr="00EF1B99">
        <w:t>•</w:t>
      </w:r>
      <w:r>
        <w:tab/>
        <w:t xml:space="preserve">осуществлять полномочия по обеспечению исполнения законов, неукоснительно придерживаясь их буквы и духа, и издавать сообразно с ними указы и распоряжения; </w:t>
      </w:r>
    </w:p>
    <w:p w14:paraId="50FF5E8D" w14:textId="77777777" w:rsidR="00CA1E90" w:rsidRPr="0091523B" w:rsidRDefault="00CA1E90" w:rsidP="00CA1E90">
      <w:pPr>
        <w:pStyle w:val="Bullet1G"/>
        <w:numPr>
          <w:ilvl w:val="0"/>
          <w:numId w:val="0"/>
        </w:numPr>
        <w:tabs>
          <w:tab w:val="left" w:pos="1701"/>
        </w:tabs>
        <w:ind w:left="1701" w:hanging="170"/>
      </w:pPr>
      <w:r w:rsidRPr="00EF1B99">
        <w:t>•</w:t>
      </w:r>
      <w:r>
        <w:tab/>
        <w:t>исполнять и обеспечивать исполнение решений и постановлений судебных органов;</w:t>
      </w:r>
    </w:p>
    <w:p w14:paraId="6FDB385D" w14:textId="77777777" w:rsidR="00CA1E90" w:rsidRPr="0091523B" w:rsidRDefault="00CA1E90" w:rsidP="00CA1E90">
      <w:pPr>
        <w:pStyle w:val="Bullet1G"/>
        <w:numPr>
          <w:ilvl w:val="0"/>
          <w:numId w:val="0"/>
        </w:numPr>
        <w:tabs>
          <w:tab w:val="left" w:pos="1701"/>
        </w:tabs>
        <w:ind w:left="1701" w:hanging="170"/>
      </w:pPr>
      <w:r w:rsidRPr="00EF1B99">
        <w:t>•</w:t>
      </w:r>
      <w:r>
        <w:tab/>
        <w:t>исполнять и обеспечивать исполнение решений Национальной избирательной комиссии;</w:t>
      </w:r>
    </w:p>
    <w:p w14:paraId="480E2C44" w14:textId="77777777" w:rsidR="00CA1E90" w:rsidRPr="0091523B" w:rsidRDefault="00CA1E90" w:rsidP="00CA1E90">
      <w:pPr>
        <w:pStyle w:val="Bullet1G"/>
        <w:numPr>
          <w:ilvl w:val="0"/>
          <w:numId w:val="0"/>
        </w:numPr>
        <w:tabs>
          <w:tab w:val="left" w:pos="1701"/>
        </w:tabs>
        <w:ind w:left="1701" w:hanging="170"/>
      </w:pPr>
      <w:r w:rsidRPr="00EF1B99">
        <w:t>•</w:t>
      </w:r>
      <w:r>
        <w:tab/>
        <w:t>осуществлять руководство в сфере внешней политики и внешних связей, заключать и ратифицировать международные договоры;</w:t>
      </w:r>
    </w:p>
    <w:p w14:paraId="62C4F681" w14:textId="77777777" w:rsidR="00CA1E90" w:rsidRPr="0091523B" w:rsidRDefault="00CA1E90" w:rsidP="00CA1E90">
      <w:pPr>
        <w:pStyle w:val="Bullet1G"/>
        <w:numPr>
          <w:ilvl w:val="0"/>
          <w:numId w:val="0"/>
        </w:numPr>
        <w:tabs>
          <w:tab w:val="left" w:pos="1701"/>
        </w:tabs>
        <w:ind w:left="1701" w:hanging="170"/>
      </w:pPr>
      <w:r w:rsidRPr="00EF1B99">
        <w:t>•</w:t>
      </w:r>
      <w:r>
        <w:tab/>
        <w:t>назначать послов и полномочных представителей с одобрения Совета министров и после уведомления Конгресса;</w:t>
      </w:r>
    </w:p>
    <w:p w14:paraId="3931AFD8" w14:textId="77777777" w:rsidR="00CA1E90" w:rsidRPr="0091523B" w:rsidRDefault="00CA1E90" w:rsidP="00CA1E90">
      <w:pPr>
        <w:pStyle w:val="Bullet1G"/>
        <w:numPr>
          <w:ilvl w:val="0"/>
          <w:numId w:val="0"/>
        </w:numPr>
        <w:tabs>
          <w:tab w:val="left" w:pos="1701"/>
        </w:tabs>
        <w:ind w:left="1701" w:hanging="170"/>
      </w:pPr>
      <w:r w:rsidRPr="00EF1B99">
        <w:t>•</w:t>
      </w:r>
      <w:r>
        <w:tab/>
        <w:t>принимать верительные грамоты дипломатических представителей иностранных государств и разрешать консульским представителям исполнять их функции;</w:t>
      </w:r>
    </w:p>
    <w:p w14:paraId="4233CA69" w14:textId="77777777" w:rsidR="00CA1E90" w:rsidRPr="0091523B" w:rsidRDefault="00CA1E90" w:rsidP="00CA1E90">
      <w:pPr>
        <w:pStyle w:val="Bullet1G"/>
        <w:numPr>
          <w:ilvl w:val="0"/>
          <w:numId w:val="0"/>
        </w:numPr>
        <w:tabs>
          <w:tab w:val="left" w:pos="1701"/>
        </w:tabs>
        <w:ind w:left="1701" w:hanging="170"/>
      </w:pPr>
      <w:r w:rsidRPr="00EF1B99">
        <w:t>•</w:t>
      </w:r>
      <w:r>
        <w:tab/>
        <w:t xml:space="preserve">руководить системой национальной обороны, организовывать вооруженные силы и национальную полицию и решать вопросы их развертывания и применения; </w:t>
      </w:r>
    </w:p>
    <w:p w14:paraId="57E8E8EC" w14:textId="77777777" w:rsidR="00CA1E90" w:rsidRPr="0091523B" w:rsidRDefault="00CA1E90" w:rsidP="00CA1E90">
      <w:pPr>
        <w:pStyle w:val="Bullet1G"/>
        <w:numPr>
          <w:ilvl w:val="0"/>
          <w:numId w:val="0"/>
        </w:numPr>
        <w:tabs>
          <w:tab w:val="left" w:pos="1701"/>
        </w:tabs>
        <w:ind w:left="1701" w:hanging="170"/>
      </w:pPr>
      <w:r w:rsidRPr="00EF1B99">
        <w:t>•</w:t>
      </w:r>
      <w:r>
        <w:tab/>
        <w:t>принимать необходимые меры для обороны Республики, защиты ее территориальной целостности и государственного суверенитета;</w:t>
      </w:r>
    </w:p>
    <w:p w14:paraId="1D3C8A37" w14:textId="77777777" w:rsidR="00CA1E90" w:rsidRPr="0091523B" w:rsidRDefault="00CA1E90" w:rsidP="00CA1E90">
      <w:pPr>
        <w:pStyle w:val="Bullet1G"/>
        <w:numPr>
          <w:ilvl w:val="0"/>
          <w:numId w:val="0"/>
        </w:numPr>
        <w:tabs>
          <w:tab w:val="left" w:pos="1701"/>
        </w:tabs>
        <w:ind w:left="1701" w:hanging="170"/>
      </w:pPr>
      <w:r w:rsidRPr="00EF1B99">
        <w:t>•</w:t>
      </w:r>
      <w:r>
        <w:tab/>
        <w:t>с согласия Конгресса объявлять войну и заключать мир;</w:t>
      </w:r>
    </w:p>
    <w:p w14:paraId="368F29B6" w14:textId="77777777" w:rsidR="00CA1E90" w:rsidRPr="0091523B" w:rsidRDefault="00CA1E90" w:rsidP="00CA1E90">
      <w:pPr>
        <w:pStyle w:val="Bullet1G"/>
        <w:numPr>
          <w:ilvl w:val="0"/>
          <w:numId w:val="0"/>
        </w:numPr>
        <w:tabs>
          <w:tab w:val="left" w:pos="1701"/>
        </w:tabs>
        <w:ind w:left="1701" w:hanging="170"/>
      </w:pPr>
      <w:r w:rsidRPr="00EF1B99">
        <w:t>•</w:t>
      </w:r>
      <w:r>
        <w:tab/>
        <w:t>управлять государственными финансами;</w:t>
      </w:r>
    </w:p>
    <w:p w14:paraId="2D3FFAC4" w14:textId="77777777" w:rsidR="00CA1E90" w:rsidRPr="0091523B" w:rsidRDefault="00CA1E90" w:rsidP="00CA1E90">
      <w:pPr>
        <w:pStyle w:val="Bullet1G"/>
        <w:numPr>
          <w:ilvl w:val="0"/>
          <w:numId w:val="0"/>
        </w:numPr>
        <w:tabs>
          <w:tab w:val="left" w:pos="1701"/>
        </w:tabs>
        <w:ind w:left="1701" w:hanging="170"/>
      </w:pPr>
      <w:r w:rsidRPr="00EF1B99">
        <w:t>•</w:t>
      </w:r>
      <w:r>
        <w:tab/>
        <w:t>вести переговоры о заимствовании средств;</w:t>
      </w:r>
    </w:p>
    <w:p w14:paraId="0A840E45" w14:textId="77777777" w:rsidR="00CA1E90" w:rsidRPr="0091523B" w:rsidRDefault="00CA1E90" w:rsidP="00CA1E90">
      <w:pPr>
        <w:pStyle w:val="Bullet1G"/>
        <w:numPr>
          <w:ilvl w:val="0"/>
          <w:numId w:val="0"/>
        </w:numPr>
        <w:tabs>
          <w:tab w:val="left" w:pos="1701"/>
        </w:tabs>
        <w:ind w:left="1701" w:hanging="170"/>
      </w:pPr>
      <w:r w:rsidRPr="00EF1B99">
        <w:t>•</w:t>
      </w:r>
      <w:r>
        <w:tab/>
        <w:t>принимать в форме чрезвычайных указов, имеющих силу закона, экстренные меры в сфере экономики и финансов, когда того требуют интересы страны, с обязательным уведомлением Конгресса. Конгресс имеет право вносить изменения в такие чрезвычайные указы или отменять их;</w:t>
      </w:r>
    </w:p>
    <w:p w14:paraId="0724111C" w14:textId="77777777" w:rsidR="00CA1E90" w:rsidRPr="0091523B" w:rsidRDefault="00CA1E90" w:rsidP="00CA1E90">
      <w:pPr>
        <w:pStyle w:val="Bullet1G"/>
        <w:numPr>
          <w:ilvl w:val="0"/>
          <w:numId w:val="0"/>
        </w:numPr>
        <w:tabs>
          <w:tab w:val="left" w:pos="1701"/>
        </w:tabs>
        <w:ind w:left="1701" w:hanging="170"/>
      </w:pPr>
      <w:r w:rsidRPr="00EF1B99">
        <w:t>•</w:t>
      </w:r>
      <w:r>
        <w:tab/>
        <w:t>регулировать ставки таможенных пошлин;</w:t>
      </w:r>
    </w:p>
    <w:p w14:paraId="0DB120D0" w14:textId="77777777" w:rsidR="00CA1E90" w:rsidRPr="0091523B" w:rsidRDefault="00CA1E90" w:rsidP="00CA1E90">
      <w:pPr>
        <w:pStyle w:val="Bullet1G"/>
        <w:numPr>
          <w:ilvl w:val="0"/>
          <w:numId w:val="0"/>
        </w:numPr>
        <w:tabs>
          <w:tab w:val="left" w:pos="1701"/>
        </w:tabs>
        <w:ind w:left="1701" w:hanging="170"/>
      </w:pPr>
      <w:r w:rsidRPr="00EF1B99">
        <w:t>•</w:t>
      </w:r>
      <w:r>
        <w:tab/>
        <w:t>принимать решения об амнистии и смягчении приговоров, осуществлять право помилования в отношении обвиняемых, период нахождения которых под следствием вдвое превысил основной и дополнительный сроки, установленные законом;</w:t>
      </w:r>
    </w:p>
    <w:p w14:paraId="5F448388" w14:textId="77777777" w:rsidR="00CA1E90" w:rsidRPr="0091523B" w:rsidRDefault="00CA1E90" w:rsidP="00CA1E90">
      <w:pPr>
        <w:pStyle w:val="Bullet1G"/>
        <w:numPr>
          <w:ilvl w:val="0"/>
          <w:numId w:val="0"/>
        </w:numPr>
        <w:tabs>
          <w:tab w:val="left" w:pos="1701"/>
        </w:tabs>
        <w:ind w:left="1701" w:hanging="170"/>
      </w:pPr>
      <w:r w:rsidRPr="00EF1B99">
        <w:t>•</w:t>
      </w:r>
      <w:r>
        <w:tab/>
        <w:t>награждать с согласия Совета министров государственными наградами;</w:t>
      </w:r>
    </w:p>
    <w:p w14:paraId="6276EC8B" w14:textId="77777777" w:rsidR="00CA1E90" w:rsidRPr="0091523B" w:rsidRDefault="00CA1E90" w:rsidP="00CA1E90">
      <w:pPr>
        <w:pStyle w:val="Bullet1G"/>
        <w:numPr>
          <w:ilvl w:val="0"/>
          <w:numId w:val="0"/>
        </w:numPr>
        <w:tabs>
          <w:tab w:val="left" w:pos="1701"/>
        </w:tabs>
        <w:ind w:left="1701" w:hanging="170"/>
      </w:pPr>
      <w:r w:rsidRPr="00EF1B99">
        <w:t>•</w:t>
      </w:r>
      <w:r>
        <w:tab/>
        <w:t>давать гражданам Перу разрешение на службу в вооруженных силах других государств; осуществлять другие функции государственно-административного управления, возложенные на него Конституцией и законодательством</w:t>
      </w:r>
      <w:r w:rsidRPr="00D93542">
        <w:rPr>
          <w:rStyle w:val="ab"/>
        </w:rPr>
        <w:footnoteReference w:id="30"/>
      </w:r>
      <w:r>
        <w:t xml:space="preserve">. </w:t>
      </w:r>
    </w:p>
    <w:p w14:paraId="075D7F2B" w14:textId="77777777" w:rsidR="00CA1E90" w:rsidRPr="0091523B" w:rsidRDefault="00CA1E90" w:rsidP="00CA1E90">
      <w:pPr>
        <w:pStyle w:val="SingleTxtG"/>
      </w:pPr>
      <w:r>
        <w:t>25.</w:t>
      </w:r>
      <w:r>
        <w:tab/>
        <w:t xml:space="preserve">Руководство и управление государственными службами возложено на Совет министров, который наделен следующими полномочиями: a) одобрять законопроекты, вносимые в Конгресс Президентом Республики; b) одобрять указы, имеющие силу закона, и чрезвычайные указы, издаваемые Президентом Республики, а также законопроекты, указы и распоряжения в соответствии с положениями законодательства; c) обсуждать вопросы, имеющие общественную значимость; </w:t>
      </w:r>
      <w:r w:rsidR="0082316A">
        <w:br/>
      </w:r>
      <w:r>
        <w:t>и d) осуществлять иные полномочия, которыми его наделяет Конституция и закон</w:t>
      </w:r>
      <w:r w:rsidRPr="00D93542">
        <w:rPr>
          <w:rStyle w:val="ab"/>
        </w:rPr>
        <w:footnoteReference w:id="31"/>
      </w:r>
      <w:r>
        <w:t xml:space="preserve">. </w:t>
      </w:r>
    </w:p>
    <w:p w14:paraId="28E452F7" w14:textId="77777777" w:rsidR="00CA1E90" w:rsidRPr="0091523B" w:rsidRDefault="00CA1E90" w:rsidP="00CA1E90">
      <w:pPr>
        <w:pStyle w:val="SingleTxtG"/>
      </w:pPr>
      <w:r>
        <w:lastRenderedPageBreak/>
        <w:t>26.</w:t>
      </w:r>
      <w:r>
        <w:tab/>
        <w:t>На сегодняшний день исполнительная власть состоит из администрации Президента Республики, аппарата Председателя Совета министров (АП Совмина); следующих министерств: сельского хозяйства и ирригации (Минсельхоз), внешней торговли и туризма (МВТТ), культуры (Минкульт), обороны (МО), развития и социальной адаптации (МРСА), экономики и финансов (МЭФ), образования (Минобр), энергетики и горнорудной промышленности (МЭГП), юстиции и по правам человека (МЮПЧ), охраны окружающей среды (МООС), по делам женщин и уязвимых слоев населения (МИМП), производства (МП), внутренних дел (МВД), иностранных дел (МИД), здравоохранения (Минздрав), труда и занятости (МТЗ), транспорта и коммуникаций (МТК) и жилищного фонда, строительства и санитарии (МЖФСС)</w:t>
      </w:r>
      <w:r w:rsidRPr="00D93542">
        <w:rPr>
          <w:rStyle w:val="ab"/>
        </w:rPr>
        <w:footnoteReference w:id="32"/>
      </w:r>
      <w:r>
        <w:t>.</w:t>
      </w:r>
    </w:p>
    <w:p w14:paraId="5A4F8600" w14:textId="77777777" w:rsidR="00CA1E90" w:rsidRPr="00D265AC" w:rsidRDefault="00CA1E90" w:rsidP="00CA1E90">
      <w:pPr>
        <w:pStyle w:val="SingleTxtG"/>
      </w:pPr>
      <w:r>
        <w:t>27.</w:t>
      </w:r>
      <w:r>
        <w:tab/>
        <w:t>Что касается МЮПЧ, то в 2011 году был принят Закон № 29809</w:t>
      </w:r>
      <w:r w:rsidRPr="00D93542">
        <w:rPr>
          <w:rStyle w:val="ab"/>
        </w:rPr>
        <w:footnoteReference w:id="33"/>
      </w:r>
      <w:r>
        <w:t xml:space="preserve">, утвердивший нынешнее </w:t>
      </w:r>
      <w:r w:rsidRPr="00D265AC">
        <w:t xml:space="preserve">название </w:t>
      </w:r>
      <w:r w:rsidR="0082316A" w:rsidRPr="00D265AC">
        <w:rPr>
          <w:rStyle w:val="ab"/>
          <w:vertAlign w:val="baseline"/>
        </w:rPr>
        <w:t>«</w:t>
      </w:r>
      <w:r w:rsidRPr="00D265AC">
        <w:t>Министерство юстиции и по правам человека</w:t>
      </w:r>
      <w:r w:rsidR="0082316A" w:rsidRPr="00D265AC">
        <w:rPr>
          <w:rStyle w:val="ab"/>
          <w:vertAlign w:val="baseline"/>
        </w:rPr>
        <w:t>»</w:t>
      </w:r>
      <w:r w:rsidRPr="00D265AC">
        <w:t xml:space="preserve"> (ранее оно называлось просто </w:t>
      </w:r>
      <w:r w:rsidR="0082316A" w:rsidRPr="00D265AC">
        <w:rPr>
          <w:rStyle w:val="ab"/>
          <w:vertAlign w:val="baseline"/>
        </w:rPr>
        <w:t>«</w:t>
      </w:r>
      <w:r w:rsidRPr="00D265AC">
        <w:t>Министерство юстиции</w:t>
      </w:r>
      <w:r w:rsidR="0082316A" w:rsidRPr="00D265AC">
        <w:rPr>
          <w:rStyle w:val="ab"/>
          <w:vertAlign w:val="baseline"/>
        </w:rPr>
        <w:t>»</w:t>
      </w:r>
      <w:r w:rsidRPr="00D265AC">
        <w:t xml:space="preserve">). В статье 5 этого Закона устанавливается, что МЮПЧ </w:t>
      </w:r>
      <w:r w:rsidR="0082316A" w:rsidRPr="00D265AC">
        <w:rPr>
          <w:rStyle w:val="ab"/>
          <w:vertAlign w:val="baseline"/>
        </w:rPr>
        <w:t>«</w:t>
      </w:r>
      <w:r w:rsidRPr="00D265AC">
        <w:t>ставит своей задачей поощрение и распространение прав человека посредством проведения политики обеспечения доступа к правосудию с уделением особого внимания лицам, находящимся в уязвимом положении</w:t>
      </w:r>
      <w:r w:rsidR="0082316A" w:rsidRPr="00D265AC">
        <w:rPr>
          <w:rStyle w:val="ab"/>
          <w:vertAlign w:val="baseline"/>
        </w:rPr>
        <w:t>»</w:t>
      </w:r>
      <w:r w:rsidRPr="00D265AC">
        <w:t>. Свидетельством взятого курса стало создание позиции заместителя министра по правам человека и доступу к правосудию, в функции которого входят: разработка, координация, осуществление и мониторинг комплекса мер, относящихся к сфере его компетенции, в соответствии с национальной политикой.</w:t>
      </w:r>
    </w:p>
    <w:p w14:paraId="37D497A6" w14:textId="77777777" w:rsidR="00CA1E90" w:rsidRPr="0082316A" w:rsidRDefault="00CA1E90" w:rsidP="00CA1E90">
      <w:pPr>
        <w:pStyle w:val="SingleTxtG"/>
      </w:pPr>
      <w:r>
        <w:t>28.</w:t>
      </w:r>
      <w:r>
        <w:tab/>
        <w:t>В подчинении заместителя министра по правам человека и доступу к правосудию находятся: i) Главное управление государственной защиты и доступа к правосудию, в состав которого входят Управление защиты участников уголовного судопроизводства, Управление правовой помощи и защиты потерпевших, Управление по вопросам внесудебного примирения и альтернативным механизмам разрешения споров, Управление межведомственных служб и окружные управления государственной защиты и доступа к правосудию; ii) Главное управление по правам человека, в состав которого входят Управление по вопросам политики и администрирования в сфере прав человека и Управление по международным делам, поощрению прав человека и укреплению нормативной базы; iii) и Главное управление по розыску пропавших без вести лиц, в состав которого входят Управление по вопросам учета и судебно-медицинской экспертизы и Управление по вопросам помощи и юридического сопровождения</w:t>
      </w:r>
      <w:r w:rsidRPr="00D93542">
        <w:rPr>
          <w:rStyle w:val="ab"/>
        </w:rPr>
        <w:footnoteReference w:id="34"/>
      </w:r>
      <w:r>
        <w:t xml:space="preserve">. </w:t>
      </w:r>
      <w:r w:rsidR="0082316A" w:rsidRPr="0082316A">
        <w:t xml:space="preserve"> </w:t>
      </w:r>
    </w:p>
    <w:p w14:paraId="71CA997D" w14:textId="77777777" w:rsidR="00CA1E90" w:rsidRPr="0091523B" w:rsidRDefault="00CA1E90" w:rsidP="00CA1E90">
      <w:pPr>
        <w:pStyle w:val="H23G"/>
      </w:pPr>
      <w:bookmarkStart w:id="31" w:name="_Toc19107158"/>
      <w:r>
        <w:tab/>
      </w:r>
      <w:r>
        <w:tab/>
      </w:r>
      <w:r>
        <w:rPr>
          <w:bCs/>
        </w:rPr>
        <w:t>Судебная власть</w:t>
      </w:r>
      <w:bookmarkEnd w:id="31"/>
    </w:p>
    <w:p w14:paraId="046F369E" w14:textId="77777777" w:rsidR="00CA1E90" w:rsidRPr="0091523B" w:rsidRDefault="00CA1E90" w:rsidP="00CA1E90">
      <w:pPr>
        <w:pStyle w:val="SingleTxtG"/>
      </w:pPr>
      <w:r>
        <w:t>29.</w:t>
      </w:r>
      <w:r>
        <w:tab/>
        <w:t>Правосудие отправляется от имени народа судебной властью через иерархическую систему судебных органов в соответствии с Конституцией и законами. В основе функционирования судебной власти лежат следующие принципы и права</w:t>
      </w:r>
      <w:r w:rsidRPr="00D93542">
        <w:rPr>
          <w:rStyle w:val="ab"/>
        </w:rPr>
        <w:footnoteReference w:id="35"/>
      </w:r>
      <w:r>
        <w:t xml:space="preserve">: </w:t>
      </w:r>
    </w:p>
    <w:p w14:paraId="398EF595" w14:textId="77777777" w:rsidR="00CA1E90" w:rsidRPr="0091523B" w:rsidRDefault="00CA1E90" w:rsidP="00CA1E90">
      <w:pPr>
        <w:pStyle w:val="Bullet1G"/>
        <w:numPr>
          <w:ilvl w:val="0"/>
          <w:numId w:val="0"/>
        </w:numPr>
        <w:tabs>
          <w:tab w:val="left" w:pos="1701"/>
        </w:tabs>
        <w:ind w:left="1701" w:hanging="170"/>
      </w:pPr>
      <w:r w:rsidRPr="00CE2A57">
        <w:t>•</w:t>
      </w:r>
      <w:r>
        <w:tab/>
        <w:t>единство и исключительность судебной власти;</w:t>
      </w:r>
    </w:p>
    <w:p w14:paraId="3C703915" w14:textId="77777777" w:rsidR="00CA1E90" w:rsidRPr="0091523B" w:rsidRDefault="00CA1E90" w:rsidP="00CA1E90">
      <w:pPr>
        <w:pStyle w:val="Bullet1G"/>
        <w:numPr>
          <w:ilvl w:val="0"/>
          <w:numId w:val="0"/>
        </w:numPr>
        <w:tabs>
          <w:tab w:val="left" w:pos="1701"/>
        </w:tabs>
        <w:ind w:left="1701" w:hanging="170"/>
      </w:pPr>
      <w:r w:rsidRPr="00CE2A57">
        <w:t>•</w:t>
      </w:r>
      <w:r>
        <w:tab/>
        <w:t>независимость судебной власти;</w:t>
      </w:r>
    </w:p>
    <w:p w14:paraId="384AC04F" w14:textId="77777777" w:rsidR="00CA1E90" w:rsidRPr="0091523B" w:rsidRDefault="00CA1E90" w:rsidP="00CA1E90">
      <w:pPr>
        <w:pStyle w:val="Bullet1G"/>
        <w:numPr>
          <w:ilvl w:val="0"/>
          <w:numId w:val="0"/>
        </w:numPr>
        <w:tabs>
          <w:tab w:val="left" w:pos="1701"/>
        </w:tabs>
        <w:ind w:left="1701" w:hanging="170"/>
      </w:pPr>
      <w:r w:rsidRPr="00CE2A57">
        <w:t>•</w:t>
      </w:r>
      <w:r>
        <w:tab/>
        <w:t>соблюдение процессуальных норм и судебная защита;</w:t>
      </w:r>
    </w:p>
    <w:p w14:paraId="26C05CD5" w14:textId="77777777" w:rsidR="00CA1E90" w:rsidRPr="0091523B" w:rsidRDefault="00CA1E90" w:rsidP="00CA1E90">
      <w:pPr>
        <w:pStyle w:val="Bullet1G"/>
        <w:numPr>
          <w:ilvl w:val="0"/>
          <w:numId w:val="0"/>
        </w:numPr>
        <w:tabs>
          <w:tab w:val="left" w:pos="1701"/>
        </w:tabs>
        <w:ind w:left="1701" w:hanging="170"/>
      </w:pPr>
      <w:r w:rsidRPr="00CE2A57">
        <w:t>•</w:t>
      </w:r>
      <w:r>
        <w:tab/>
        <w:t>публичность судебных разбирательств, если законом не предписано иное;</w:t>
      </w:r>
    </w:p>
    <w:p w14:paraId="3CB631D1" w14:textId="77777777" w:rsidR="00CA1E90" w:rsidRPr="0091523B" w:rsidRDefault="00CA1E90" w:rsidP="00CA1E90">
      <w:pPr>
        <w:pStyle w:val="Bullet1G"/>
        <w:numPr>
          <w:ilvl w:val="0"/>
          <w:numId w:val="0"/>
        </w:numPr>
        <w:tabs>
          <w:tab w:val="left" w:pos="1701"/>
        </w:tabs>
        <w:ind w:left="1701" w:hanging="170"/>
      </w:pPr>
      <w:r w:rsidRPr="00CE2A57">
        <w:t>•</w:t>
      </w:r>
      <w:r>
        <w:tab/>
        <w:t>письменное обоснование решений судебных органов в любых случаях, за исключением решений чисто по процедуре, с прямыми ссылками на применимое законодательство и факты, на которых основаны такие решения;</w:t>
      </w:r>
    </w:p>
    <w:p w14:paraId="34A201FB" w14:textId="77777777" w:rsidR="00CA1E90" w:rsidRPr="0091523B" w:rsidRDefault="00CA1E90" w:rsidP="00CA1E90">
      <w:pPr>
        <w:pStyle w:val="Bullet1G"/>
        <w:numPr>
          <w:ilvl w:val="0"/>
          <w:numId w:val="0"/>
        </w:numPr>
        <w:tabs>
          <w:tab w:val="left" w:pos="1701"/>
        </w:tabs>
        <w:ind w:left="1701" w:hanging="170"/>
      </w:pPr>
      <w:r w:rsidRPr="00CE2A57">
        <w:lastRenderedPageBreak/>
        <w:t>•</w:t>
      </w:r>
      <w:r>
        <w:tab/>
        <w:t>возможность обжалования решений суда в других судебных инстанциях;</w:t>
      </w:r>
    </w:p>
    <w:p w14:paraId="4632D8F8" w14:textId="77777777" w:rsidR="00CA1E90" w:rsidRPr="0091523B" w:rsidRDefault="00CA1E90" w:rsidP="00CA1E90">
      <w:pPr>
        <w:pStyle w:val="Bullet1G"/>
        <w:numPr>
          <w:ilvl w:val="0"/>
          <w:numId w:val="0"/>
        </w:numPr>
        <w:tabs>
          <w:tab w:val="left" w:pos="1701"/>
        </w:tabs>
        <w:ind w:left="1701" w:hanging="170"/>
      </w:pPr>
      <w:r w:rsidRPr="00CE2A57">
        <w:t>•</w:t>
      </w:r>
      <w:r>
        <w:tab/>
        <w:t>предоставление компенсации в установленной законом форме лицам, пострадавшим от судебных ошибок при рассмотрении уголовных дел или подвергнутым произвольному задержанию, не освобождающее таких лиц от возможной ответственности перед законом;</w:t>
      </w:r>
    </w:p>
    <w:p w14:paraId="27BA7351"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наличие правовых лакун или изъянов в законодательстве не может служить основанием для отказа в отправлении правосудия; в подобных случаях надлежит руководствоваться общими правовыми принципами и обычным правом;</w:t>
      </w:r>
    </w:p>
    <w:p w14:paraId="36E6C05F"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положения уголовного права и нормы, ограничивающие права граждан, не могут применяться по аналогии;</w:t>
      </w:r>
    </w:p>
    <w:p w14:paraId="4D6EBD19"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никто не может быть подвергнут наказанию во внесудебном порядке;</w:t>
      </w:r>
    </w:p>
    <w:p w14:paraId="2C5957F4"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при наличии сомнений или коллизии уголовно-правовых норм к обвиняемому применяется норма с менее суровой санкцией;</w:t>
      </w:r>
    </w:p>
    <w:p w14:paraId="7A8FE662"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никто не может быть осужден заочно;</w:t>
      </w:r>
    </w:p>
    <w:p w14:paraId="7D862706" w14:textId="77777777" w:rsidR="00CA1E90" w:rsidRPr="00CE2A57" w:rsidRDefault="00CA1E90" w:rsidP="00CA1E90">
      <w:pPr>
        <w:pStyle w:val="Bullet1G"/>
        <w:numPr>
          <w:ilvl w:val="0"/>
          <w:numId w:val="0"/>
        </w:numPr>
        <w:tabs>
          <w:tab w:val="left" w:pos="1701"/>
        </w:tabs>
        <w:ind w:left="1701" w:hanging="170"/>
      </w:pPr>
      <w:r w:rsidRPr="00CE2A57">
        <w:t>•</w:t>
      </w:r>
      <w:r>
        <w:tab/>
        <w:t xml:space="preserve">принцип недопустимости повторного рассмотрения однажды решенного дела. Решения об амнистии, помиловании, прекращении судопроизводства и истечении срока исковой давности приобретают силу </w:t>
      </w:r>
      <w:r w:rsidRPr="0082316A">
        <w:t>res judicata</w:t>
      </w:r>
      <w:r>
        <w:t>;</w:t>
      </w:r>
    </w:p>
    <w:p w14:paraId="1E9400E6"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никто не может быть лишен права на защиту ни на одном из этапов судопроизводства. Любое лицо незамедлительно уведомляется в письменной форме о причине или основаниях своего ареста. Оно имеет право лично связаться с защитником по своему выбору и на его помощь с момента вызова в суд или ареста любым органом власти;</w:t>
      </w:r>
    </w:p>
    <w:p w14:paraId="2EF34ACD" w14:textId="77777777" w:rsidR="00CA1E90" w:rsidRPr="009B3DA4" w:rsidRDefault="00CA1E90" w:rsidP="00CA1E90">
      <w:pPr>
        <w:pStyle w:val="Bullet1G"/>
        <w:numPr>
          <w:ilvl w:val="0"/>
          <w:numId w:val="0"/>
        </w:numPr>
        <w:tabs>
          <w:tab w:val="left" w:pos="1701"/>
        </w:tabs>
        <w:ind w:left="1701" w:hanging="170"/>
      </w:pPr>
      <w:r w:rsidRPr="00CE2A57">
        <w:t>•</w:t>
      </w:r>
      <w:r>
        <w:tab/>
        <w:t>принцип, согласно которому любое лицо незамедлительно уведомляется в письменной форме о причине или основаниях своего ареста</w:t>
      </w:r>
      <w:r w:rsidRPr="009B3DA4">
        <w:t>;</w:t>
      </w:r>
    </w:p>
    <w:p w14:paraId="46896CBE" w14:textId="77777777" w:rsidR="00CA1E90" w:rsidRPr="00CE2A57" w:rsidRDefault="00CA1E90" w:rsidP="00CA1E90">
      <w:pPr>
        <w:pStyle w:val="Bullet1G"/>
        <w:numPr>
          <w:ilvl w:val="0"/>
          <w:numId w:val="0"/>
        </w:numPr>
        <w:tabs>
          <w:tab w:val="left" w:pos="1701"/>
        </w:tabs>
        <w:ind w:left="1701" w:hanging="170"/>
      </w:pPr>
      <w:r w:rsidRPr="00CE2A57">
        <w:t>•</w:t>
      </w:r>
      <w:r>
        <w:tab/>
        <w:t xml:space="preserve">принцип бесплатного отправления правосудия и бесплатного предоставления услуг защитника лицам, не располагающим достаточными средствами, а также любым лицам в случаях, предусмотренных законом; </w:t>
      </w:r>
    </w:p>
    <w:p w14:paraId="211D9FCC" w14:textId="77777777" w:rsidR="00CA1E90" w:rsidRPr="00CE2A57" w:rsidRDefault="00CA1E90" w:rsidP="00CA1E90">
      <w:pPr>
        <w:pStyle w:val="Bullet1G"/>
        <w:numPr>
          <w:ilvl w:val="0"/>
          <w:numId w:val="0"/>
        </w:numPr>
        <w:tabs>
          <w:tab w:val="left" w:pos="1701"/>
        </w:tabs>
        <w:ind w:left="1701" w:hanging="170"/>
      </w:pPr>
      <w:r w:rsidRPr="00CE2A57">
        <w:t>•</w:t>
      </w:r>
      <w:r>
        <w:tab/>
        <w:t>присутствие публики при назначении и отводе судей в соответствии с законом;</w:t>
      </w:r>
    </w:p>
    <w:p w14:paraId="088828BC" w14:textId="77777777" w:rsidR="00CA1E90" w:rsidRPr="00CE2A57" w:rsidRDefault="00CA1E90" w:rsidP="00CA1E90">
      <w:pPr>
        <w:pStyle w:val="Bullet1G"/>
        <w:numPr>
          <w:ilvl w:val="0"/>
          <w:numId w:val="0"/>
        </w:numPr>
        <w:tabs>
          <w:tab w:val="left" w:pos="1701"/>
        </w:tabs>
        <w:ind w:left="1701" w:hanging="170"/>
      </w:pPr>
      <w:r w:rsidRPr="00CE2A57">
        <w:t>•</w:t>
      </w:r>
      <w:r>
        <w:tab/>
        <w:t>обязанность органов исполнительной власти оказывать необходимое содействие судопроизводству;</w:t>
      </w:r>
    </w:p>
    <w:p w14:paraId="6A8F5CAE" w14:textId="77777777" w:rsidR="00CA1E90" w:rsidRPr="00CE2A57" w:rsidRDefault="00CA1E90" w:rsidP="00CA1E90">
      <w:pPr>
        <w:pStyle w:val="Bullet1G"/>
        <w:numPr>
          <w:ilvl w:val="0"/>
          <w:numId w:val="0"/>
        </w:numPr>
        <w:tabs>
          <w:tab w:val="left" w:pos="1701"/>
        </w:tabs>
        <w:ind w:left="1701" w:hanging="170"/>
      </w:pPr>
      <w:r w:rsidRPr="00CE2A57">
        <w:t>•</w:t>
      </w:r>
      <w:r>
        <w:tab/>
        <w:t>недопустимость осуществления судебных функций лицом, не назначенным для этого в порядке, предусмотренном Конституцией или законом. Судебные органы отвечают за недопущение такого лица к исполнению этих обязанностей;</w:t>
      </w:r>
    </w:p>
    <w:p w14:paraId="18E37BBF" w14:textId="77777777" w:rsidR="00CA1E90" w:rsidRPr="00CE2A57" w:rsidRDefault="00CA1E90" w:rsidP="00CA1E90">
      <w:pPr>
        <w:pStyle w:val="Bullet1G"/>
        <w:numPr>
          <w:ilvl w:val="0"/>
          <w:numId w:val="0"/>
        </w:numPr>
        <w:tabs>
          <w:tab w:val="left" w:pos="1701"/>
        </w:tabs>
        <w:ind w:left="1701" w:hanging="170"/>
      </w:pPr>
      <w:r w:rsidRPr="00CE2A57">
        <w:t>•</w:t>
      </w:r>
      <w:r>
        <w:tab/>
        <w:t>принцип, согласно которому любое лицо имеет право подвергать решения и постановления суда анализу и критике в установленных законом рамках;</w:t>
      </w:r>
    </w:p>
    <w:p w14:paraId="6A0EFD84" w14:textId="77777777" w:rsidR="00CA1E90" w:rsidRPr="00CE2A57" w:rsidRDefault="00CA1E90" w:rsidP="00CA1E90">
      <w:pPr>
        <w:pStyle w:val="Bullet1G"/>
        <w:numPr>
          <w:ilvl w:val="0"/>
          <w:numId w:val="0"/>
        </w:numPr>
        <w:tabs>
          <w:tab w:val="left" w:pos="1701"/>
        </w:tabs>
        <w:ind w:left="1701" w:hanging="170"/>
      </w:pPr>
      <w:r w:rsidRPr="00CE2A57">
        <w:t>•</w:t>
      </w:r>
      <w:r>
        <w:tab/>
        <w:t>право задержанных и осужденных содержаться в нормальных условиях;</w:t>
      </w:r>
    </w:p>
    <w:p w14:paraId="5C209475" w14:textId="77777777" w:rsidR="00CA1E90" w:rsidRPr="009852CB" w:rsidRDefault="00CA1E90" w:rsidP="00CA1E90">
      <w:pPr>
        <w:pStyle w:val="Bullet1G"/>
        <w:numPr>
          <w:ilvl w:val="0"/>
          <w:numId w:val="0"/>
        </w:numPr>
        <w:tabs>
          <w:tab w:val="left" w:pos="1701"/>
        </w:tabs>
        <w:ind w:left="1701" w:hanging="170"/>
      </w:pPr>
      <w:r>
        <w:t>•</w:t>
      </w:r>
      <w:r>
        <w:tab/>
        <w:t>принцип, согласно которому система исполнения наказаний имеет своей целью перевоспитание, реабилитацию и социальную реинтеграцию осужденных.</w:t>
      </w:r>
    </w:p>
    <w:p w14:paraId="68EC2EBC" w14:textId="77777777" w:rsidR="00CA1E90" w:rsidRDefault="00CA1E90" w:rsidP="00CA1E90">
      <w:pPr>
        <w:pStyle w:val="SingleTxtG"/>
      </w:pPr>
      <w:r>
        <w:t>30.</w:t>
      </w:r>
      <w:r>
        <w:tab/>
        <w:t xml:space="preserve">В свете положений </w:t>
      </w:r>
      <w:proofErr w:type="spellStart"/>
      <w:r>
        <w:t>Бразилианских</w:t>
      </w:r>
      <w:proofErr w:type="spellEnd"/>
      <w:r>
        <w:t xml:space="preserve"> правил в судебной системе действуют следующие шесть комиссий и программ: a) Постоянная комиссия в рамках Национальной программы по обеспечению доступа к правосудию для лиц, находящихся в уязвимом положении; b) Комиссия по вопросам отправления правосудия с учетом гендерного фактора; c) Программа по осуществлению Закона </w:t>
      </w:r>
      <w:r w:rsidR="0082316A">
        <w:br/>
      </w:r>
      <w:r>
        <w:t xml:space="preserve">№ 30364 о предупреждении и искоренении насилия в отношении женщин и членов семьи и наказании за него; d) Национальная комиссия по вопросам природопользования; e) Комиссия по вопросам отправления правосудия с учетом </w:t>
      </w:r>
      <w:r>
        <w:lastRenderedPageBreak/>
        <w:t>межкультурных факторов; и f)</w:t>
      </w:r>
      <w:r w:rsidR="0082316A">
        <w:t xml:space="preserve"> </w:t>
      </w:r>
      <w:r>
        <w:t>Национальная комиссия по вопросам оказания услуг лицам, обращающимся в суды</w:t>
      </w:r>
      <w:r w:rsidRPr="00D93542">
        <w:rPr>
          <w:rStyle w:val="ab"/>
        </w:rPr>
        <w:footnoteReference w:id="36"/>
      </w:r>
      <w:r>
        <w:t>.</w:t>
      </w:r>
    </w:p>
    <w:p w14:paraId="47C9C128" w14:textId="77777777" w:rsidR="00CA1E90" w:rsidRDefault="00CA1E90" w:rsidP="00CA1E90">
      <w:pPr>
        <w:pStyle w:val="SingleTxtG"/>
      </w:pPr>
      <w:r>
        <w:t>31.</w:t>
      </w:r>
      <w:r>
        <w:tab/>
        <w:t>Кроме того, этим органом государственной власти утвержден Национальный план обеспечения доступа к правосудию для лиц, находящихся в уязвимом положении, на 2016–2021 годы</w:t>
      </w:r>
      <w:r w:rsidRPr="00D93542">
        <w:rPr>
          <w:rStyle w:val="ab"/>
          <w:rFonts w:eastAsia="Calibri"/>
        </w:rPr>
        <w:footnoteReference w:id="37"/>
      </w:r>
      <w:r>
        <w:t>.</w:t>
      </w:r>
    </w:p>
    <w:p w14:paraId="2203F3B9" w14:textId="77777777" w:rsidR="00CA1E90" w:rsidRPr="00CE2A57" w:rsidRDefault="00CA1E90" w:rsidP="00CA1E90">
      <w:pPr>
        <w:pStyle w:val="SingleTxtG"/>
      </w:pPr>
      <w:r>
        <w:t>32.</w:t>
      </w:r>
      <w:r>
        <w:tab/>
        <w:t>Следует также упомянуть Государственную прокуратуру, автономный орган, возглавляемый Государственным прокурором. Е</w:t>
      </w:r>
      <w:r>
        <w:rPr>
          <w:lang w:val="en-US"/>
        </w:rPr>
        <w:t>e</w:t>
      </w:r>
      <w:r>
        <w:t xml:space="preserve"> функции заключаются в представлении интересов общества в судебном разбирательстве, а также обеспечении независимости судебных органов и законности отправления правосудия</w:t>
      </w:r>
      <w:r w:rsidRPr="00D93542">
        <w:rPr>
          <w:rStyle w:val="ab"/>
        </w:rPr>
        <w:footnoteReference w:id="38"/>
      </w:r>
      <w:r>
        <w:t>.</w:t>
      </w:r>
    </w:p>
    <w:p w14:paraId="0CA9D208" w14:textId="77777777" w:rsidR="00CA1E90" w:rsidRDefault="00CA1E90" w:rsidP="00CA1E90">
      <w:pPr>
        <w:pStyle w:val="SingleTxtG"/>
      </w:pPr>
      <w:r>
        <w:t>33.</w:t>
      </w:r>
      <w:r>
        <w:tab/>
        <w:t>Наконец, следует отметить, что назначение и служебная аттестация судей и прокуроров относятся к компетенции Национального совета юстиции в составе семи членов, отбираемых по результатам открытого конкурса с учетом заслуг сроком на пять лет</w:t>
      </w:r>
      <w:r w:rsidRPr="00D93542">
        <w:rPr>
          <w:rStyle w:val="ab"/>
        </w:rPr>
        <w:footnoteReference w:id="39"/>
      </w:r>
      <w:r>
        <w:t>.</w:t>
      </w:r>
    </w:p>
    <w:p w14:paraId="69EB3DDE" w14:textId="77777777" w:rsidR="00CA1E90" w:rsidRDefault="00CA1E90" w:rsidP="00CA1E90">
      <w:pPr>
        <w:pStyle w:val="H23G"/>
      </w:pPr>
      <w:bookmarkStart w:id="33" w:name="_Toc19107159"/>
      <w:r>
        <w:tab/>
      </w:r>
      <w:r>
        <w:tab/>
      </w:r>
      <w:r>
        <w:rPr>
          <w:bCs/>
        </w:rPr>
        <w:t>Управление Народного защитника</w:t>
      </w:r>
      <w:r>
        <w:t xml:space="preserve"> </w:t>
      </w:r>
      <w:bookmarkEnd w:id="33"/>
    </w:p>
    <w:p w14:paraId="00B15A00" w14:textId="77777777" w:rsidR="00CA1E90" w:rsidRDefault="00CA1E90" w:rsidP="00CA1E90">
      <w:pPr>
        <w:pStyle w:val="SingleTxtG"/>
      </w:pPr>
      <w:r>
        <w:t>34.</w:t>
      </w:r>
      <w:r>
        <w:tab/>
        <w:t>Еще одним независимым институтом, играющим ключевую роль в деле охраны конституционных прав личности и общества, а также осуществления надзора за исполнением государственными органами их обязанностей и оказанием гражданам государственных услуг, является Управление Народного защитника; возглавляющее его лицо избирается и смещается решением Конгресса, принимаемым большинством в две трети голосов. Следует также отметить, что Народный защитник пользуется такой же неприкосновенностью и теми же прерогативами, что и депутаты Конгресса</w:t>
      </w:r>
      <w:r w:rsidRPr="00D93542">
        <w:rPr>
          <w:rStyle w:val="ab"/>
        </w:rPr>
        <w:footnoteReference w:id="40"/>
      </w:r>
      <w:r>
        <w:t>.</w:t>
      </w:r>
    </w:p>
    <w:p w14:paraId="2ED65824" w14:textId="77777777" w:rsidR="00CA1E90" w:rsidRDefault="00CA1E90" w:rsidP="00CA1E90">
      <w:pPr>
        <w:pStyle w:val="SingleTxtG"/>
      </w:pPr>
      <w:r>
        <w:t>35.</w:t>
      </w:r>
      <w:r>
        <w:tab/>
        <w:t>В состав Управления Народного защитника входят отделы, каждый из которых отвечает за одну из следующих тематических областей: i) права человека и лица с инвалидностью; ii) права женщин</w:t>
      </w:r>
      <w:r w:rsidRPr="00B408C1">
        <w:t>;</w:t>
      </w:r>
      <w:r>
        <w:t xml:space="preserve"> iii) окружающая среда, государственные услуги и коренные народы; iv) конституционные вопросы; v) государственное управление; </w:t>
      </w:r>
      <w:r w:rsidR="0082316A">
        <w:br/>
      </w:r>
      <w:r>
        <w:t xml:space="preserve">vi) дети и подростки; </w:t>
      </w:r>
      <w:proofErr w:type="spellStart"/>
      <w:r>
        <w:t>vi</w:t>
      </w:r>
      <w:r w:rsidR="00BA4AB6">
        <w:rPr>
          <w:lang w:val="en-US"/>
        </w:rPr>
        <w:t>i</w:t>
      </w:r>
      <w:proofErr w:type="spellEnd"/>
      <w:r>
        <w:t xml:space="preserve">) предотвращение социальных конфликтов и благое управление; и </w:t>
      </w:r>
      <w:proofErr w:type="spellStart"/>
      <w:r>
        <w:t>vii</w:t>
      </w:r>
      <w:r w:rsidR="00BA4AB6">
        <w:rPr>
          <w:lang w:val="en-US"/>
        </w:rPr>
        <w:t>i</w:t>
      </w:r>
      <w:proofErr w:type="spellEnd"/>
      <w:r>
        <w:t>) борьба с коррупцией, транспарентность и эффективность государства</w:t>
      </w:r>
      <w:r w:rsidRPr="00D93542">
        <w:rPr>
          <w:rStyle w:val="ab"/>
        </w:rPr>
        <w:footnoteReference w:id="41"/>
      </w:r>
      <w:r>
        <w:t>.</w:t>
      </w:r>
    </w:p>
    <w:p w14:paraId="70002203" w14:textId="77777777" w:rsidR="00CA1E90" w:rsidRDefault="00CA1E90" w:rsidP="00CA1E90">
      <w:pPr>
        <w:pStyle w:val="SingleTxtG"/>
        <w:rPr>
          <w:rFonts w:eastAsia="Calibri"/>
        </w:rPr>
      </w:pPr>
      <w:r>
        <w:t>36.</w:t>
      </w:r>
      <w:r>
        <w:tab/>
        <w:t>Кроме того, Законом № 30394 функции Управления Народного защитника были расширены: теперь этот орган отвечает еще и за функционирование Национального механизма по предупреждению пыток и других жестоких, бесчеловечных или унижающих достоинство видов обращения и наказания (НМПП)</w:t>
      </w:r>
      <w:r w:rsidRPr="00D93542">
        <w:rPr>
          <w:rStyle w:val="ab"/>
          <w:rFonts w:eastAsia="Calibri"/>
        </w:rPr>
        <w:footnoteReference w:id="42"/>
      </w:r>
      <w:r>
        <w:t>. НМПП был создан в соответствии с положениями статей 3 и 17 Факультативного протокола к Конвенции против пыток и других жестоких, бесчеловечных или унижающих достоинство видов обращения и наказания (ФП-КПП)</w:t>
      </w:r>
      <w:r w:rsidRPr="00D93542">
        <w:rPr>
          <w:rStyle w:val="ab"/>
        </w:rPr>
        <w:footnoteReference w:id="43"/>
      </w:r>
      <w:r>
        <w:t>. Этот механизм призван предупреждать практику пыток и других жестоких, бесчеловечных или унижающих достоинство видов обращения и наказания, реагировать на них и сообщать о них</w:t>
      </w:r>
      <w:r w:rsidRPr="00D93542">
        <w:rPr>
          <w:rStyle w:val="ab"/>
          <w:rFonts w:eastAsia="Calibri"/>
        </w:rPr>
        <w:footnoteReference w:id="44"/>
      </w:r>
      <w:r>
        <w:t>.</w:t>
      </w:r>
    </w:p>
    <w:p w14:paraId="5025B6A0" w14:textId="77777777" w:rsidR="00CA1E90" w:rsidRDefault="00CA1E90" w:rsidP="00CA1E90">
      <w:pPr>
        <w:pStyle w:val="H23G"/>
      </w:pPr>
      <w:bookmarkStart w:id="34" w:name="_Hlk15939030"/>
      <w:bookmarkStart w:id="35" w:name="_Toc19107160"/>
      <w:r>
        <w:lastRenderedPageBreak/>
        <w:tab/>
      </w:r>
      <w:r>
        <w:tab/>
      </w:r>
      <w:r>
        <w:rPr>
          <w:bCs/>
        </w:rPr>
        <w:t>Избирательная система</w:t>
      </w:r>
      <w:bookmarkEnd w:id="34"/>
      <w:bookmarkEnd w:id="35"/>
    </w:p>
    <w:p w14:paraId="51DBFF27" w14:textId="77777777" w:rsidR="00CA1E90" w:rsidRDefault="00CA1E90" w:rsidP="00CA1E90">
      <w:pPr>
        <w:pStyle w:val="SingleTxtG"/>
      </w:pPr>
      <w:r>
        <w:t>37.</w:t>
      </w:r>
      <w:r>
        <w:tab/>
        <w:t>Избирательную систему образуют: Национальная избирательная комиссия, Национальное бюро по выборам и Национальный реестр личных данных и актов гражданского состояния. Все три ведомства функционируют автономно, координируя свои действия между собой в соответствии с возложенными на них полномочиями</w:t>
      </w:r>
      <w:r w:rsidRPr="00D93542">
        <w:rPr>
          <w:rStyle w:val="ab"/>
        </w:rPr>
        <w:footnoteReference w:id="45"/>
      </w:r>
      <w:r>
        <w:t>.</w:t>
      </w:r>
    </w:p>
    <w:p w14:paraId="7FD84BA3" w14:textId="77777777" w:rsidR="00CA1E90" w:rsidRPr="00B47C70" w:rsidRDefault="00CA1E90" w:rsidP="00CA1E90">
      <w:pPr>
        <w:pStyle w:val="SingleTxtG"/>
      </w:pPr>
      <w:r>
        <w:t>38.</w:t>
      </w:r>
      <w:r>
        <w:tab/>
        <w:t>В компетенцию Национальной избирательной комиссии (НИК) входят: a)</w:t>
      </w:r>
      <w:r w:rsidR="0082316A">
        <w:t> </w:t>
      </w:r>
      <w:r>
        <w:t>надзор за соблюдением законности при осуществлении права голоса и проведении выборов, организации референдумов и народного волеизъявления в иных формах, а также составлении списков избирателей; b) регистрация и учет политических организаций; с) контроль за соблюдением норм, регулирующих деятельность политических организаций, и других положений, касающихся выборов; d)</w:t>
      </w:r>
      <w:r w:rsidR="0082316A">
        <w:t> </w:t>
      </w:r>
      <w:r>
        <w:t>отправление правосудия в вопросах, связанных с выборами; и е) объявление имен избранных кандидатов</w:t>
      </w:r>
      <w:r w:rsidRPr="00B47C70">
        <w:rPr>
          <w:rStyle w:val="ab"/>
        </w:rPr>
        <w:footnoteReference w:id="46"/>
      </w:r>
      <w:r>
        <w:t>.</w:t>
      </w:r>
    </w:p>
    <w:p w14:paraId="27DAAF91" w14:textId="77777777" w:rsidR="00CA1E90" w:rsidRDefault="00CA1E90" w:rsidP="00CA1E90">
      <w:pPr>
        <w:pStyle w:val="SingleTxtG"/>
      </w:pPr>
      <w:r>
        <w:t>39.</w:t>
      </w:r>
      <w:r>
        <w:tab/>
        <w:t>Национальное бюро по выборам (НБВ) занимается организацией всех выборов, референдумов и народного волеизъявления в иных формах, в том числе вопросами их финансирования, а также разработкой дизайна избирательных бюллетеней. Кроме того, оно отвечает за передачу протоколов и других материалов, необходимых для их перепроверки и оглашения результатов голосования. Кроме того, с начала голосования на избирательных участках оно на постоянной основе предоставляет информацию о ходе подсчета голосов</w:t>
      </w:r>
      <w:r w:rsidRPr="00D93542">
        <w:rPr>
          <w:rStyle w:val="ab"/>
        </w:rPr>
        <w:footnoteReference w:id="47"/>
      </w:r>
      <w:r>
        <w:t>.</w:t>
      </w:r>
    </w:p>
    <w:p w14:paraId="0B8E1131" w14:textId="77777777" w:rsidR="00CA1E90" w:rsidRDefault="00CA1E90" w:rsidP="00CA1E90">
      <w:pPr>
        <w:pStyle w:val="SingleTxtG"/>
      </w:pPr>
      <w:r>
        <w:t>40.</w:t>
      </w:r>
      <w:r>
        <w:tab/>
        <w:t>В задачи Национального реестра личных данных и актов гражданского состояния входят запись актов о рождении, браке, разводе и смерти, а также других актов, затрагивающих гражданское состояние, и выдача соответствующих свидетельств. Он также готовит и выверяет списки избирателей, обеспечивая Национальную избирательную комиссию и Национальное бюро по выборам информацией, необходимой для выполнения их функций. Кроме того, он ведет учет личных данных граждан и выдает документы, удостоверяющие личность</w:t>
      </w:r>
      <w:r w:rsidRPr="00D93542">
        <w:rPr>
          <w:rStyle w:val="ab"/>
        </w:rPr>
        <w:footnoteReference w:id="48"/>
      </w:r>
      <w:r>
        <w:t>.</w:t>
      </w:r>
    </w:p>
    <w:p w14:paraId="64362B2A" w14:textId="77777777" w:rsidR="00CA1E90" w:rsidRDefault="00CA1E90" w:rsidP="00CA1E90">
      <w:pPr>
        <w:pStyle w:val="H23G"/>
      </w:pPr>
      <w:bookmarkStart w:id="36" w:name="_Toc19107161"/>
      <w:r>
        <w:tab/>
      </w:r>
      <w:r>
        <w:tab/>
      </w:r>
      <w:r>
        <w:rPr>
          <w:bCs/>
        </w:rPr>
        <w:t>Конституционный суд</w:t>
      </w:r>
      <w:bookmarkEnd w:id="36"/>
    </w:p>
    <w:p w14:paraId="0D22C41A" w14:textId="77777777" w:rsidR="00CA1E90" w:rsidRDefault="00CA1E90" w:rsidP="00CA1E90">
      <w:pPr>
        <w:pStyle w:val="SingleTxtG"/>
      </w:pPr>
      <w:r>
        <w:t>41.</w:t>
      </w:r>
      <w:r>
        <w:tab/>
        <w:t>В Политической конституции страны закреплен статус Конституционного суда как органа, осуществляющего контроль за соблюдением Конституции. Он</w:t>
      </w:r>
      <w:r w:rsidR="0082316A">
        <w:t> </w:t>
      </w:r>
      <w:r>
        <w:t>уполномочен: a) служить единственной инстанцией при рассмотрении исков о признании неконституционности; b) в последней инстанции, решения которой не подлежат обжалованию, рассматривать ходатайства об обжаловании судебных решений об отказе в процедуре хабеас корпус, процедуре ампаро, процедуре хабеас дата и процедуре обеспечения исполнения; с) рассматривать в соответствии с положениями закона дела о коллизии компетенций или конституционных полномочий</w:t>
      </w:r>
      <w:r w:rsidRPr="00D93542">
        <w:rPr>
          <w:rStyle w:val="ab"/>
        </w:rPr>
        <w:footnoteReference w:id="49"/>
      </w:r>
      <w:r>
        <w:t xml:space="preserve">. </w:t>
      </w:r>
    </w:p>
    <w:p w14:paraId="09C9C4C2" w14:textId="77777777" w:rsidR="00CA1E90" w:rsidRDefault="00CA1E90" w:rsidP="00CA1E90">
      <w:pPr>
        <w:pStyle w:val="SingleTxtG"/>
      </w:pPr>
      <w:r>
        <w:t>42.</w:t>
      </w:r>
      <w:r>
        <w:tab/>
        <w:t>Кроме того, важно отметить, что предусмотрены соответствующие конституционные гарантии и порядок внесения изменений в Конституцию. Шестью первыми конституционными гарантиями являются: процедура хабеас корпус, процедура ампаро, процедура хабеас дата, процедура проверки на соответствие Конституции, процедура возбуждения иска любым лицом и процедура обеспечения исполнения</w:t>
      </w:r>
      <w:r w:rsidRPr="00D93542">
        <w:rPr>
          <w:rStyle w:val="ab"/>
        </w:rPr>
        <w:footnoteReference w:id="50"/>
      </w:r>
      <w:r>
        <w:t>.</w:t>
      </w:r>
    </w:p>
    <w:p w14:paraId="1C8DF981" w14:textId="77777777" w:rsidR="00CA1E90" w:rsidRDefault="00CA1E90" w:rsidP="00CA1E90">
      <w:pPr>
        <w:pStyle w:val="HChG"/>
      </w:pPr>
      <w:bookmarkStart w:id="37" w:name="_Toc19107162"/>
      <w:r>
        <w:rPr>
          <w:bCs/>
        </w:rPr>
        <w:lastRenderedPageBreak/>
        <w:tab/>
        <w:t>III.</w:t>
      </w:r>
      <w:r>
        <w:tab/>
      </w:r>
      <w:r>
        <w:rPr>
          <w:bCs/>
        </w:rPr>
        <w:t>Общие рамки защиты и поощрения прав человека</w:t>
      </w:r>
      <w:bookmarkEnd w:id="37"/>
    </w:p>
    <w:p w14:paraId="0DA99818" w14:textId="77777777" w:rsidR="00CA1E90" w:rsidRDefault="00CA1E90" w:rsidP="00CA1E90">
      <w:pPr>
        <w:pStyle w:val="H1G"/>
      </w:pPr>
      <w:bookmarkStart w:id="38" w:name="_Toc19107163"/>
      <w:bookmarkStart w:id="39" w:name="_Hlk16069323"/>
      <w:r>
        <w:tab/>
      </w:r>
      <w:r>
        <w:tab/>
      </w:r>
      <w:r>
        <w:rPr>
          <w:bCs/>
        </w:rPr>
        <w:t>Принятие международных норм в области прав человека</w:t>
      </w:r>
      <w:bookmarkEnd w:id="38"/>
      <w:bookmarkEnd w:id="39"/>
    </w:p>
    <w:p w14:paraId="3E3C761C" w14:textId="77777777" w:rsidR="00CA1E90" w:rsidRDefault="00CA1E90" w:rsidP="00CA1E90">
      <w:pPr>
        <w:pStyle w:val="SingleTxtG"/>
      </w:pPr>
      <w:bookmarkStart w:id="40" w:name="_Hlk16069302"/>
      <w:r>
        <w:t>43.</w:t>
      </w:r>
      <w:r>
        <w:tab/>
        <w:t>В контексте поощрения и защиты прав человека перед перуанским государством постоянно стоит задача гармонизации его норм и осуществления положений, предусмотренных в подписанных им международных договорах.</w:t>
      </w:r>
    </w:p>
    <w:p w14:paraId="308BDC27" w14:textId="77777777" w:rsidR="00CA1E90" w:rsidRDefault="00CA1E90" w:rsidP="00CA1E90">
      <w:pPr>
        <w:pStyle w:val="SingleTxtG"/>
      </w:pPr>
      <w:r>
        <w:t>44.</w:t>
      </w:r>
      <w:r>
        <w:tab/>
        <w:t>В статье 55 Политической конституции Перу предусмотрено, что заключенные государством и вступившие в силу международные договоры становятся частью внутреннего права</w:t>
      </w:r>
      <w:r w:rsidRPr="00D93542">
        <w:rPr>
          <w:rStyle w:val="ab"/>
        </w:rPr>
        <w:footnoteReference w:id="51"/>
      </w:r>
      <w:r>
        <w:t>. Кроме того, в четвертом заключительном и переходном положении этого правового документа за договорами по правам человека признается конституционный статус</w:t>
      </w:r>
      <w:r w:rsidRPr="00D93542">
        <w:rPr>
          <w:rStyle w:val="ab"/>
        </w:rPr>
        <w:footnoteReference w:id="52"/>
      </w:r>
      <w:r>
        <w:t>.</w:t>
      </w:r>
      <w:bookmarkStart w:id="41" w:name="_Hlk16084408"/>
      <w:bookmarkEnd w:id="40"/>
      <w:bookmarkEnd w:id="41"/>
    </w:p>
    <w:p w14:paraId="00897EB1" w14:textId="77777777" w:rsidR="00CA1E90" w:rsidRPr="00CE2A57" w:rsidRDefault="00CA1E90" w:rsidP="00CA1E90">
      <w:pPr>
        <w:pStyle w:val="SingleTxtG"/>
      </w:pPr>
      <w:r>
        <w:t>45.</w:t>
      </w:r>
      <w:r>
        <w:tab/>
        <w:t>Ниже перечислены действующие в Перу договоры по правам человека</w:t>
      </w:r>
      <w:r w:rsidRPr="00D93542">
        <w:rPr>
          <w:rStyle w:val="ab"/>
        </w:rPr>
        <w:footnoteReference w:id="53"/>
      </w:r>
      <w:r>
        <w:t>:</w:t>
      </w:r>
    </w:p>
    <w:p w14:paraId="35CDFA75" w14:textId="77777777" w:rsidR="00CA1E90" w:rsidRPr="00EF1B99" w:rsidRDefault="00CA1E90" w:rsidP="00CA1E90">
      <w:pPr>
        <w:pStyle w:val="Bullet1G"/>
        <w:numPr>
          <w:ilvl w:val="0"/>
          <w:numId w:val="0"/>
        </w:numPr>
        <w:tabs>
          <w:tab w:val="left" w:pos="1701"/>
        </w:tabs>
        <w:ind w:left="1701" w:hanging="170"/>
      </w:pPr>
      <w:r w:rsidRPr="00EF1B99">
        <w:t>•</w:t>
      </w:r>
      <w:r>
        <w:tab/>
        <w:t xml:space="preserve">Международный пакт об экономических, социальных и культурных правах </w:t>
      </w:r>
      <w:r w:rsidR="00A90C2A">
        <w:t>—</w:t>
      </w:r>
      <w:r>
        <w:t xml:space="preserve"> ратификационная грамота сдана на хранение 28 апреля 1978 года;</w:t>
      </w:r>
    </w:p>
    <w:p w14:paraId="3A0E3026" w14:textId="77777777" w:rsidR="00CA1E90" w:rsidRPr="00EF1B99" w:rsidRDefault="00CA1E90" w:rsidP="00CA1E90">
      <w:pPr>
        <w:pStyle w:val="Bullet1G"/>
        <w:numPr>
          <w:ilvl w:val="0"/>
          <w:numId w:val="0"/>
        </w:numPr>
        <w:tabs>
          <w:tab w:val="left" w:pos="1701"/>
        </w:tabs>
        <w:ind w:left="1701" w:hanging="170"/>
      </w:pPr>
      <w:r w:rsidRPr="00EF1B99">
        <w:t>•</w:t>
      </w:r>
      <w:r>
        <w:tab/>
        <w:t xml:space="preserve">Международный пакт о гражданских и политических правах </w:t>
      </w:r>
      <w:r w:rsidR="00A90C2A">
        <w:t>—</w:t>
      </w:r>
      <w:r>
        <w:t xml:space="preserve"> ратификационная грамота сдана на хранение 28 апреля 1978 года;</w:t>
      </w:r>
    </w:p>
    <w:p w14:paraId="4D59F859" w14:textId="77777777" w:rsidR="00CA1E90" w:rsidRPr="00EF1B99" w:rsidRDefault="00CA1E90" w:rsidP="00CA1E90">
      <w:pPr>
        <w:pStyle w:val="Bullet1G"/>
        <w:numPr>
          <w:ilvl w:val="0"/>
          <w:numId w:val="0"/>
        </w:numPr>
        <w:tabs>
          <w:tab w:val="left" w:pos="1701"/>
        </w:tabs>
        <w:ind w:left="1701" w:hanging="170"/>
      </w:pPr>
      <w:r w:rsidRPr="00EF1B99">
        <w:t>•</w:t>
      </w:r>
      <w:r>
        <w:tab/>
        <w:t xml:space="preserve">Международная конвенция о ликвидации всех форм расовой дискриминации </w:t>
      </w:r>
      <w:r w:rsidR="00A90C2A">
        <w:t>—</w:t>
      </w:r>
      <w:r>
        <w:t xml:space="preserve"> ратификационная грамота сдана на хранение 29 сентября 1971 года;</w:t>
      </w:r>
    </w:p>
    <w:p w14:paraId="0F99404F"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ликвидации всех форм дискриминации в отношении женщин </w:t>
      </w:r>
      <w:r w:rsidR="00A90C2A">
        <w:t>—</w:t>
      </w:r>
      <w:r>
        <w:t xml:space="preserve"> ратификационная грамота сдана на хранение 20 августа 1982 года;</w:t>
      </w:r>
    </w:p>
    <w:p w14:paraId="0544BF3D"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против пыток и других жестоких, бесчеловечных или унижающих достоинство видов обращения и наказания </w:t>
      </w:r>
      <w:r w:rsidR="00A90C2A">
        <w:t>—</w:t>
      </w:r>
      <w:r>
        <w:t xml:space="preserve"> ратификационная грамота сдана на хранение 7 июля 1988 года;</w:t>
      </w:r>
    </w:p>
    <w:p w14:paraId="396944E7"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правах ребенка </w:t>
      </w:r>
      <w:r w:rsidR="00A90C2A">
        <w:t>—</w:t>
      </w:r>
      <w:r>
        <w:t xml:space="preserve"> ратификационная грамота сдана на хранение 4</w:t>
      </w:r>
      <w:r w:rsidR="00A90C2A">
        <w:t> </w:t>
      </w:r>
      <w:r>
        <w:t>сентября 1990 года;</w:t>
      </w:r>
    </w:p>
    <w:p w14:paraId="16851F2C" w14:textId="77777777" w:rsidR="00CA1E90" w:rsidRPr="00EF1B99" w:rsidRDefault="00CA1E90" w:rsidP="00CA1E90">
      <w:pPr>
        <w:pStyle w:val="Bullet1G"/>
        <w:numPr>
          <w:ilvl w:val="0"/>
          <w:numId w:val="0"/>
        </w:numPr>
        <w:tabs>
          <w:tab w:val="left" w:pos="1701"/>
        </w:tabs>
        <w:ind w:left="1701" w:hanging="170"/>
      </w:pPr>
      <w:r w:rsidRPr="00EF1B99">
        <w:t>•</w:t>
      </w:r>
      <w:r>
        <w:tab/>
        <w:t xml:space="preserve">Международная конвенция о защите прав всех трудящихся-мигрантов и членов их семей </w:t>
      </w:r>
      <w:r w:rsidR="00A90C2A">
        <w:t>—</w:t>
      </w:r>
      <w:r>
        <w:t xml:space="preserve"> ратификационная грамота сдана на хранение 14 сентября 2005 года;</w:t>
      </w:r>
    </w:p>
    <w:p w14:paraId="0C0998E1" w14:textId="77777777" w:rsidR="00CA1E90" w:rsidRPr="00EF1B99" w:rsidRDefault="00CA1E90" w:rsidP="00CA1E90">
      <w:pPr>
        <w:pStyle w:val="Bullet1G"/>
        <w:numPr>
          <w:ilvl w:val="0"/>
          <w:numId w:val="0"/>
        </w:numPr>
        <w:tabs>
          <w:tab w:val="left" w:pos="1701"/>
        </w:tabs>
        <w:ind w:left="1701" w:hanging="170"/>
      </w:pPr>
      <w:r w:rsidRPr="00EF1B99">
        <w:t>•</w:t>
      </w:r>
      <w:r>
        <w:tab/>
        <w:t xml:space="preserve">Факультативный протокол к Конвенции о правах ребенка, касающийся участия детей в вооруженных конфликтах, </w:t>
      </w:r>
      <w:r w:rsidR="00A90C2A">
        <w:t>—</w:t>
      </w:r>
      <w:r>
        <w:t xml:space="preserve"> ратификационная грамота сдана на хранение 8 мая 2002 года;</w:t>
      </w:r>
    </w:p>
    <w:p w14:paraId="673AA490" w14:textId="77777777" w:rsidR="00CA1E90" w:rsidRPr="00EF1B99" w:rsidRDefault="00CA1E90" w:rsidP="00CA1E90">
      <w:pPr>
        <w:pStyle w:val="Bullet1G"/>
        <w:numPr>
          <w:ilvl w:val="0"/>
          <w:numId w:val="0"/>
        </w:numPr>
        <w:tabs>
          <w:tab w:val="left" w:pos="1701"/>
        </w:tabs>
        <w:ind w:left="1701" w:hanging="170"/>
      </w:pPr>
      <w:bookmarkStart w:id="42" w:name="_Hlk46129981"/>
      <w:r w:rsidRPr="00EF1B99">
        <w:t>•</w:t>
      </w:r>
      <w:r>
        <w:tab/>
        <w:t xml:space="preserve">Факультативный протокол к Конвенции о правах ребенка, касающийся торговли детьми, детской проституции и детской порнографии, 2000 года </w:t>
      </w:r>
      <w:r w:rsidR="00A90C2A">
        <w:t>—</w:t>
      </w:r>
      <w:r>
        <w:t xml:space="preserve"> ратификационная грамота сдана на хранение 8 мая 2002 года;</w:t>
      </w:r>
    </w:p>
    <w:bookmarkEnd w:id="42"/>
    <w:p w14:paraId="4FC80453" w14:textId="77777777" w:rsidR="00CA1E90" w:rsidRPr="00EF1B99" w:rsidRDefault="00CA1E90" w:rsidP="00CA1E90">
      <w:pPr>
        <w:pStyle w:val="Bullet1G"/>
        <w:numPr>
          <w:ilvl w:val="0"/>
          <w:numId w:val="0"/>
        </w:numPr>
        <w:tabs>
          <w:tab w:val="left" w:pos="1701"/>
        </w:tabs>
        <w:ind w:left="1701" w:hanging="170"/>
      </w:pPr>
      <w:r w:rsidRPr="00EF1B99">
        <w:t>•</w:t>
      </w:r>
      <w:r>
        <w:tab/>
        <w:t xml:space="preserve">Факультативный протокол к Международному пакту о гражданских и политических правах </w:t>
      </w:r>
      <w:r w:rsidR="00A90C2A">
        <w:t>—</w:t>
      </w:r>
      <w:r>
        <w:t xml:space="preserve"> ратификационная грамота сдана на хранение 3 октября 1980 года;</w:t>
      </w:r>
    </w:p>
    <w:p w14:paraId="475AC017" w14:textId="77777777" w:rsidR="00CA1E90" w:rsidRPr="00EF1B99" w:rsidRDefault="00CA1E90" w:rsidP="00CA1E90">
      <w:pPr>
        <w:pStyle w:val="Bullet1G"/>
        <w:numPr>
          <w:ilvl w:val="0"/>
          <w:numId w:val="0"/>
        </w:numPr>
        <w:tabs>
          <w:tab w:val="left" w:pos="1701"/>
        </w:tabs>
        <w:ind w:left="1701" w:hanging="170"/>
      </w:pPr>
      <w:r w:rsidRPr="00EF1B99">
        <w:t>•</w:t>
      </w:r>
      <w:r>
        <w:tab/>
        <w:t xml:space="preserve">Факультативный протокол к Конвенции о ликвидации всех форм дискриминации в отношении женщин </w:t>
      </w:r>
      <w:r w:rsidR="00A90C2A">
        <w:t>—</w:t>
      </w:r>
      <w:r>
        <w:t xml:space="preserve"> ратификационная грамота сдана на хранение 9 апреля 2001 года;</w:t>
      </w:r>
    </w:p>
    <w:p w14:paraId="7F880752" w14:textId="77777777" w:rsidR="00CA1E90" w:rsidRPr="00EF1B99" w:rsidRDefault="00CA1E90" w:rsidP="00CA1E90">
      <w:pPr>
        <w:pStyle w:val="Bullet1G"/>
        <w:numPr>
          <w:ilvl w:val="0"/>
          <w:numId w:val="0"/>
        </w:numPr>
        <w:tabs>
          <w:tab w:val="left" w:pos="1701"/>
        </w:tabs>
        <w:ind w:left="1701" w:hanging="170"/>
      </w:pPr>
      <w:r w:rsidRPr="00EF1B99">
        <w:t>•</w:t>
      </w:r>
      <w:r>
        <w:tab/>
        <w:t xml:space="preserve">Факультативный протокол к Конвенции против пыток и других жестоких, бесчеловечных или унижающих достоинство видов обращения и наказания </w:t>
      </w:r>
      <w:r w:rsidR="00A90C2A">
        <w:t>—</w:t>
      </w:r>
      <w:r>
        <w:t xml:space="preserve"> ратификационная грамота сдана на хранение 14 сентября 2006 года;</w:t>
      </w:r>
    </w:p>
    <w:p w14:paraId="208DD43F" w14:textId="77777777" w:rsidR="00CA1E90" w:rsidRPr="00EF1B99" w:rsidRDefault="00CA1E90" w:rsidP="00CA1E90">
      <w:pPr>
        <w:pStyle w:val="Bullet1G"/>
        <w:numPr>
          <w:ilvl w:val="0"/>
          <w:numId w:val="0"/>
        </w:numPr>
        <w:tabs>
          <w:tab w:val="left" w:pos="1701"/>
        </w:tabs>
        <w:ind w:left="1701" w:hanging="170"/>
      </w:pPr>
      <w:r w:rsidRPr="00EF1B99">
        <w:t>•</w:t>
      </w:r>
      <w:r>
        <w:tab/>
        <w:t>Конвенция о правах инвалидов и Факультативный протокол о правах инвалидов</w:t>
      </w:r>
      <w:r w:rsidR="00A90C2A">
        <w:t> —</w:t>
      </w:r>
      <w:r>
        <w:t xml:space="preserve"> ратификационная грамота сдана на хранение 30 января 2008 года;</w:t>
      </w:r>
    </w:p>
    <w:p w14:paraId="7C14274F" w14:textId="77777777" w:rsidR="00CA1E90" w:rsidRPr="00EF1B99" w:rsidRDefault="00CA1E90" w:rsidP="00CA1E90">
      <w:pPr>
        <w:pStyle w:val="Bullet1G"/>
        <w:numPr>
          <w:ilvl w:val="0"/>
          <w:numId w:val="0"/>
        </w:numPr>
        <w:tabs>
          <w:tab w:val="left" w:pos="1701"/>
        </w:tabs>
        <w:ind w:left="1701" w:hanging="170"/>
      </w:pPr>
      <w:r w:rsidRPr="00EF1B99">
        <w:lastRenderedPageBreak/>
        <w:t>•</w:t>
      </w:r>
      <w:r>
        <w:tab/>
        <w:t xml:space="preserve">Международная конвенция для защиты всех лиц от насильственных исчезновений </w:t>
      </w:r>
      <w:r w:rsidR="00A90C2A">
        <w:t>—</w:t>
      </w:r>
      <w:r>
        <w:t xml:space="preserve"> ратификационная грамота сдана на хранение 26 сентября 2012</w:t>
      </w:r>
      <w:r w:rsidR="00A90C2A">
        <w:t> </w:t>
      </w:r>
      <w:r>
        <w:t>года и сделано заявление в соответствии со статьей 31 Конвенции о признании компетенции Комитета по насильственным исчезновениям;</w:t>
      </w:r>
    </w:p>
    <w:p w14:paraId="2C350B45" w14:textId="77777777" w:rsidR="00CA1E90" w:rsidRPr="00EF1B99" w:rsidRDefault="00CA1E90" w:rsidP="00CA1E90">
      <w:pPr>
        <w:pStyle w:val="Bullet1G"/>
        <w:numPr>
          <w:ilvl w:val="0"/>
          <w:numId w:val="0"/>
        </w:numPr>
        <w:tabs>
          <w:tab w:val="left" w:pos="1701"/>
        </w:tabs>
        <w:ind w:left="1701" w:hanging="170"/>
      </w:pPr>
      <w:r w:rsidRPr="00EF1B99">
        <w:t>•</w:t>
      </w:r>
      <w:r>
        <w:tab/>
        <w:t xml:space="preserve">Факультативный протокол к Конвенции о правах ребенка, касающийся процедуры сообщений, </w:t>
      </w:r>
      <w:r w:rsidR="00A90C2A">
        <w:t>—</w:t>
      </w:r>
      <w:r>
        <w:t xml:space="preserve"> ратификационная грамота сдана на хранение 6 января 2016 года.</w:t>
      </w:r>
    </w:p>
    <w:p w14:paraId="09FE1C6D" w14:textId="77777777" w:rsidR="00CA1E90" w:rsidRPr="00CE2A57" w:rsidRDefault="00CA1E90" w:rsidP="00CA1E90">
      <w:pPr>
        <w:pStyle w:val="SingleTxtG"/>
      </w:pPr>
      <w:r>
        <w:t>46.</w:t>
      </w:r>
      <w:r>
        <w:tab/>
        <w:t>Другие конвенции Организации Объединенных Наций по правам человека и связанным с ними вопросам:</w:t>
      </w:r>
    </w:p>
    <w:p w14:paraId="74954A93"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предупреждении преступления геноцида и наказании за него </w:t>
      </w:r>
      <w:r w:rsidR="00A90C2A">
        <w:t>—</w:t>
      </w:r>
      <w:r>
        <w:t xml:space="preserve"> ратификационная грамота сдана на хранение 24 февраля 1960 года;</w:t>
      </w:r>
    </w:p>
    <w:p w14:paraId="1E5AE676"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статусе беженцев и Протокол, касающийся статуса беженцев, </w:t>
      </w:r>
      <w:r w:rsidR="00A90C2A">
        <w:t>—</w:t>
      </w:r>
      <w:r>
        <w:t xml:space="preserve"> ратификационные грамоты сданы на хранение 21 декабря 1964 года;</w:t>
      </w:r>
    </w:p>
    <w:p w14:paraId="2047F67D"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статусе апатридов </w:t>
      </w:r>
      <w:r w:rsidR="00A90C2A">
        <w:t>—</w:t>
      </w:r>
      <w:r>
        <w:t xml:space="preserve"> ратификационная грамота сдана на хранение 23 января 2014 года;</w:t>
      </w:r>
    </w:p>
    <w:p w14:paraId="03C7E70A"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сокращении безгражданства </w:t>
      </w:r>
      <w:r w:rsidR="00A90C2A">
        <w:t>—</w:t>
      </w:r>
      <w:r>
        <w:t xml:space="preserve"> ратификационная грамота сдана на хранение 18 декабря 2014 года;</w:t>
      </w:r>
    </w:p>
    <w:p w14:paraId="26F72501" w14:textId="77777777" w:rsidR="00CA1E90" w:rsidRPr="00EF1B99" w:rsidRDefault="00CA1E90" w:rsidP="00CA1E90">
      <w:pPr>
        <w:pStyle w:val="Bullet1G"/>
        <w:numPr>
          <w:ilvl w:val="0"/>
          <w:numId w:val="0"/>
        </w:numPr>
        <w:tabs>
          <w:tab w:val="left" w:pos="1701"/>
        </w:tabs>
        <w:ind w:left="1701" w:hanging="170"/>
      </w:pPr>
      <w:r w:rsidRPr="00EF1B99">
        <w:t>•</w:t>
      </w:r>
      <w:r>
        <w:tab/>
        <w:t xml:space="preserve">Римский статут Международного уголовного суда </w:t>
      </w:r>
      <w:r w:rsidR="00A90C2A">
        <w:t>—</w:t>
      </w:r>
      <w:r>
        <w:t xml:space="preserve"> ратификационная грамота сдана на хранение 10 ноября 2001 года и ратифицировано Соглашение о привилегиях и иммунитетах Международного уголовного суда;</w:t>
      </w:r>
    </w:p>
    <w:p w14:paraId="72535DF1"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Организации Объединенных Наций против транснациональной организованной преступности; Протокол против незаконного ввоза мигрантов по суше, морю и воздуху; и Протокол о предупреждении и пресечении торговли людьми, особенно женщинами и детьми, и наказании за нее, дополняющий Конвенцию, </w:t>
      </w:r>
      <w:r w:rsidR="00BA4AB6">
        <w:t>—</w:t>
      </w:r>
      <w:r>
        <w:t xml:space="preserve"> ратификационные грамоты сданы на хранение 24 февраля 2002</w:t>
      </w:r>
      <w:r w:rsidR="00A90C2A">
        <w:t> </w:t>
      </w:r>
      <w:r>
        <w:t>года.</w:t>
      </w:r>
    </w:p>
    <w:p w14:paraId="0347EACE" w14:textId="77777777" w:rsidR="00CA1E90" w:rsidRPr="00CE2A57" w:rsidRDefault="00CA1E90" w:rsidP="00CA1E90">
      <w:pPr>
        <w:pStyle w:val="SingleTxtG"/>
      </w:pPr>
      <w:r>
        <w:t>47.</w:t>
      </w:r>
      <w:r>
        <w:tab/>
        <w:t>Конвенции Международной организации труда:</w:t>
      </w:r>
    </w:p>
    <w:p w14:paraId="790784E0" w14:textId="77777777" w:rsidR="00CA1E90" w:rsidRPr="006A087B" w:rsidRDefault="00CA1E90" w:rsidP="00CA1E90">
      <w:pPr>
        <w:pStyle w:val="Bullet1G"/>
        <w:numPr>
          <w:ilvl w:val="0"/>
          <w:numId w:val="0"/>
        </w:numPr>
        <w:tabs>
          <w:tab w:val="left" w:pos="1701"/>
        </w:tabs>
        <w:ind w:left="1701" w:hanging="170"/>
      </w:pPr>
      <w:r w:rsidRPr="00EF1B99">
        <w:t>•</w:t>
      </w:r>
      <w:r>
        <w:tab/>
        <w:t xml:space="preserve">Конвенция № 14 о еженедельном отдыхе на промышленных предприятиях </w:t>
      </w:r>
      <w:r w:rsidR="00A90C2A">
        <w:t>—</w:t>
      </w:r>
      <w:r>
        <w:t xml:space="preserve"> ратификационная грамота сдана на хранение 10 октября 1945 года</w:t>
      </w:r>
      <w:r w:rsidRPr="006A087B">
        <w:t>;</w:t>
      </w:r>
    </w:p>
    <w:p w14:paraId="30816D61" w14:textId="77777777" w:rsidR="00CA1E90" w:rsidRPr="00EF1B99" w:rsidRDefault="00CA1E90" w:rsidP="00CA1E90">
      <w:pPr>
        <w:pStyle w:val="Bullet1G"/>
        <w:numPr>
          <w:ilvl w:val="0"/>
          <w:numId w:val="0"/>
        </w:numPr>
        <w:tabs>
          <w:tab w:val="left" w:pos="1701"/>
        </w:tabs>
        <w:ind w:left="1701" w:hanging="170"/>
      </w:pPr>
      <w:r w:rsidRPr="00EF1B99">
        <w:t>•</w:t>
      </w:r>
      <w:r>
        <w:tab/>
        <w:t>Конвенция №</w:t>
      </w:r>
      <w:r w:rsidR="00CE1F8E">
        <w:t> </w:t>
      </w:r>
      <w:r>
        <w:t xml:space="preserve">29 о принудительном или обязательном труде </w:t>
      </w:r>
      <w:r w:rsidR="00A90C2A">
        <w:t>—</w:t>
      </w:r>
      <w:r>
        <w:t xml:space="preserve"> ратификационная грамота сдана на хранение 1 февраля 1960 года;</w:t>
      </w:r>
    </w:p>
    <w:p w14:paraId="704DF149"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81 об инспекции труда </w:t>
      </w:r>
      <w:r w:rsidR="00A90C2A">
        <w:t>—</w:t>
      </w:r>
      <w:r>
        <w:t xml:space="preserve"> ратификационная грамота сдана на хранение 1 февраля 1960 года;</w:t>
      </w:r>
    </w:p>
    <w:p w14:paraId="792E6F8F" w14:textId="77777777" w:rsidR="00CA1E90" w:rsidRPr="00EF1B99" w:rsidRDefault="00CA1E90" w:rsidP="00CA1E90">
      <w:pPr>
        <w:pStyle w:val="Bullet1G"/>
        <w:numPr>
          <w:ilvl w:val="0"/>
          <w:numId w:val="0"/>
        </w:numPr>
        <w:tabs>
          <w:tab w:val="left" w:pos="1701"/>
        </w:tabs>
        <w:ind w:left="1701" w:hanging="170"/>
      </w:pPr>
      <w:r w:rsidRPr="00EF1B99">
        <w:t>•</w:t>
      </w:r>
      <w:r>
        <w:tab/>
        <w:t xml:space="preserve">Рекомендация № 86 о трудящихся-мигрантах </w:t>
      </w:r>
      <w:r w:rsidR="00A90C2A">
        <w:t>—</w:t>
      </w:r>
      <w:r>
        <w:t xml:space="preserve"> ратификационная грамота сдана на хранение 2 марта 1960 года;</w:t>
      </w:r>
    </w:p>
    <w:p w14:paraId="057AAC7A" w14:textId="77777777" w:rsidR="00CA1E90" w:rsidRPr="00EF1B99" w:rsidRDefault="00CA1E90" w:rsidP="00CA1E90">
      <w:pPr>
        <w:pStyle w:val="Bullet1G"/>
        <w:numPr>
          <w:ilvl w:val="0"/>
          <w:numId w:val="0"/>
        </w:numPr>
        <w:tabs>
          <w:tab w:val="left" w:pos="1701"/>
        </w:tabs>
        <w:ind w:left="1701" w:hanging="170"/>
      </w:pPr>
      <w:r w:rsidRPr="00EF1B99">
        <w:t>•</w:t>
      </w:r>
      <w:r>
        <w:tab/>
        <w:t>Конвенция №</w:t>
      </w:r>
      <w:r w:rsidR="00CE1F8E">
        <w:t> </w:t>
      </w:r>
      <w:r>
        <w:t xml:space="preserve">87 о свободе ассоциации и защите права на организацию </w:t>
      </w:r>
      <w:r w:rsidR="00D37898">
        <w:t>—</w:t>
      </w:r>
      <w:r>
        <w:t xml:space="preserve"> ратификационная грамота сдана на хранение 2 марта 1960 года;</w:t>
      </w:r>
    </w:p>
    <w:p w14:paraId="4E376A9C"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98 о применении принципов права на организацию и на ведение коллективных переговоров </w:t>
      </w:r>
      <w:r w:rsidR="00D37898">
        <w:t>—</w:t>
      </w:r>
      <w:r>
        <w:t xml:space="preserve"> ратификационная грамота сдана на хранение 13</w:t>
      </w:r>
      <w:r w:rsidR="00D37898">
        <w:t> </w:t>
      </w:r>
      <w:r>
        <w:t>марта 1964 года;</w:t>
      </w:r>
    </w:p>
    <w:p w14:paraId="3F01B58B"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100 о равном вознаграждении </w:t>
      </w:r>
      <w:r w:rsidR="00D37898">
        <w:t>—</w:t>
      </w:r>
      <w:r>
        <w:t xml:space="preserve"> ратификационная грамота сдана на хранение 1 февраля 1960 года;</w:t>
      </w:r>
    </w:p>
    <w:p w14:paraId="3F9E6B4A"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102 о минимальных нормах социального обеспечения </w:t>
      </w:r>
      <w:r w:rsidR="00D37898">
        <w:t>—</w:t>
      </w:r>
      <w:r>
        <w:t xml:space="preserve"> ратификационная грамота сдана на хранение 23 августа 1961 года;</w:t>
      </w:r>
    </w:p>
    <w:p w14:paraId="3B86CEE6"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105 об упразднении принудительного труда </w:t>
      </w:r>
      <w:r w:rsidR="00D37898">
        <w:t>—</w:t>
      </w:r>
      <w:r>
        <w:t xml:space="preserve"> ратификационная грамота сдана на хранение 3 декабря 1960 года;</w:t>
      </w:r>
    </w:p>
    <w:p w14:paraId="3DBC1F4D"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106 о еженедельном отдыхе в торговле и учреждениях </w:t>
      </w:r>
      <w:r w:rsidR="00D37898">
        <w:t>—</w:t>
      </w:r>
      <w:r>
        <w:t xml:space="preserve"> ратификационная грамота сдана на хранение 11 июля 1988 года;</w:t>
      </w:r>
    </w:p>
    <w:p w14:paraId="7509AD54" w14:textId="77777777" w:rsidR="00CA1E90" w:rsidRPr="00EF1B99" w:rsidRDefault="00CA1E90" w:rsidP="00CA1E90">
      <w:pPr>
        <w:pStyle w:val="Bullet1G"/>
        <w:numPr>
          <w:ilvl w:val="0"/>
          <w:numId w:val="0"/>
        </w:numPr>
        <w:tabs>
          <w:tab w:val="left" w:pos="1701"/>
        </w:tabs>
        <w:ind w:left="1701" w:hanging="170"/>
      </w:pPr>
      <w:r w:rsidRPr="00EF1B99">
        <w:lastRenderedPageBreak/>
        <w:t>•</w:t>
      </w:r>
      <w:r>
        <w:tab/>
        <w:t xml:space="preserve">Конвенция № 111 о дискриминации в области труда и занятий </w:t>
      </w:r>
      <w:r w:rsidR="00D37898">
        <w:t>—</w:t>
      </w:r>
      <w:r>
        <w:t xml:space="preserve"> ратификационная грамота сдана на хранение 10 августа 197</w:t>
      </w:r>
      <w:r w:rsidRPr="00D16E1D">
        <w:t>0</w:t>
      </w:r>
      <w:r>
        <w:t xml:space="preserve"> года;</w:t>
      </w:r>
    </w:p>
    <w:p w14:paraId="0F4B5FFC"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122 о политике в области занятости </w:t>
      </w:r>
      <w:r w:rsidR="00D37898">
        <w:t>—</w:t>
      </w:r>
      <w:r>
        <w:t xml:space="preserve"> ратификационная грамота сдана на хранение 27 июля 1967 года;</w:t>
      </w:r>
    </w:p>
    <w:p w14:paraId="59AE12BF"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138 о минимальном возрасте для приема на работу </w:t>
      </w:r>
      <w:r w:rsidR="00D37898">
        <w:t>—</w:t>
      </w:r>
      <w:r>
        <w:t xml:space="preserve"> ратификационная грамота сдана на хранение 13 ноября 2002 года;</w:t>
      </w:r>
    </w:p>
    <w:p w14:paraId="06121F2E" w14:textId="77777777" w:rsidR="00CA1E90" w:rsidRPr="00EF1B99" w:rsidRDefault="00CA1E90" w:rsidP="00CA1E90">
      <w:pPr>
        <w:pStyle w:val="Bullet1G"/>
        <w:numPr>
          <w:ilvl w:val="0"/>
          <w:numId w:val="0"/>
        </w:numPr>
        <w:tabs>
          <w:tab w:val="left" w:pos="1701"/>
        </w:tabs>
        <w:ind w:left="1701" w:hanging="170"/>
      </w:pPr>
      <w:r w:rsidRPr="00EF1B99">
        <w:t>•</w:t>
      </w:r>
      <w:r>
        <w:tab/>
        <w:t>Конвенция № 156 о равном обращении и равных</w:t>
      </w:r>
      <w:r w:rsidRPr="006A087B">
        <w:t xml:space="preserve"> </w:t>
      </w:r>
      <w:r>
        <w:t xml:space="preserve">возможностях для работников мужчин и женщин: работники с семейными обязанностями </w:t>
      </w:r>
      <w:r w:rsidR="00D37898">
        <w:t>—</w:t>
      </w:r>
      <w:r>
        <w:t xml:space="preserve"> ратификационная грамота сдана на хранение 13 июня 1986 года;</w:t>
      </w:r>
    </w:p>
    <w:p w14:paraId="0042C982"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169 о коренных народах и народах, ведущих племенной образ жизни, в независимых странах </w:t>
      </w:r>
      <w:r w:rsidR="00D37898">
        <w:t>—</w:t>
      </w:r>
      <w:r>
        <w:t xml:space="preserve"> ратификационная грамота сдана на хранение 2 февраля 1994 года;</w:t>
      </w:r>
    </w:p>
    <w:p w14:paraId="1D3930A2"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182 о запрещении и немедленных мерах по искоренению наихудших форм детского труда </w:t>
      </w:r>
      <w:r w:rsidR="00D37898">
        <w:t>—</w:t>
      </w:r>
      <w:r>
        <w:t xml:space="preserve"> ратификационная грамота сдана на хранение 10 января 2002 года;</w:t>
      </w:r>
    </w:p>
    <w:p w14:paraId="360B775E"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183 об охране материнства </w:t>
      </w:r>
      <w:r w:rsidR="00D37898">
        <w:t>—</w:t>
      </w:r>
      <w:r>
        <w:t xml:space="preserve"> ратификационная грамота сдана на хранение 9 мая 2016 года;</w:t>
      </w:r>
    </w:p>
    <w:p w14:paraId="70EF2211"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 189 о достойном труде домашних работников </w:t>
      </w:r>
      <w:r w:rsidR="00D37898">
        <w:t>—</w:t>
      </w:r>
      <w:r>
        <w:t xml:space="preserve"> ратификационная грамота сдана на хранение 26 ноября 2018 года.</w:t>
      </w:r>
    </w:p>
    <w:p w14:paraId="20FAECF9" w14:textId="77777777" w:rsidR="00CA1E90" w:rsidRPr="00CE2A57" w:rsidRDefault="00CA1E90" w:rsidP="00CA1E90">
      <w:pPr>
        <w:pStyle w:val="SingleTxtG"/>
      </w:pPr>
      <w:r>
        <w:t>48.</w:t>
      </w:r>
      <w:r>
        <w:tab/>
        <w:t>Конвенции Организации Объединенных Наций по вопросам образования, науки и культуры:</w:t>
      </w:r>
    </w:p>
    <w:p w14:paraId="5561DD9A"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борьбе с дискриминацией в области образования </w:t>
      </w:r>
      <w:r w:rsidR="00D37898">
        <w:t>—</w:t>
      </w:r>
      <w:r>
        <w:t xml:space="preserve"> ратификационная грамота сдана на хранение 19 декабря 1966 года.</w:t>
      </w:r>
    </w:p>
    <w:p w14:paraId="267F5249" w14:textId="77777777" w:rsidR="00CA1E90" w:rsidRPr="00CE2A57" w:rsidRDefault="00CA1E90" w:rsidP="00CA1E90">
      <w:pPr>
        <w:pStyle w:val="SingleTxtG"/>
      </w:pPr>
      <w:r>
        <w:t>49.</w:t>
      </w:r>
      <w:r>
        <w:tab/>
        <w:t>Женевские конвенции и другие договоры по международному гуманитарному праву:</w:t>
      </w:r>
    </w:p>
    <w:p w14:paraId="7D847F3A" w14:textId="77777777" w:rsidR="00CA1E90" w:rsidRPr="00EF1B99" w:rsidRDefault="00CA1E90" w:rsidP="00CA1E90">
      <w:pPr>
        <w:pStyle w:val="Bullet1G"/>
        <w:numPr>
          <w:ilvl w:val="0"/>
          <w:numId w:val="0"/>
        </w:numPr>
        <w:tabs>
          <w:tab w:val="left" w:pos="1701"/>
        </w:tabs>
        <w:ind w:left="1701" w:hanging="170"/>
      </w:pPr>
      <w:r w:rsidRPr="00EF1B99">
        <w:t>•</w:t>
      </w:r>
      <w:r>
        <w:tab/>
        <w:t xml:space="preserve">Женевская конвенция об улучшении участи раненых и больных в действующих армиях (Конвенция I) </w:t>
      </w:r>
      <w:r w:rsidR="00D37898">
        <w:t>—</w:t>
      </w:r>
      <w:r>
        <w:t xml:space="preserve"> ратификационная грамота сдана на хранение 15</w:t>
      </w:r>
      <w:r w:rsidR="00D37898">
        <w:t> </w:t>
      </w:r>
      <w:r>
        <w:t>февраля 1956 года;</w:t>
      </w:r>
    </w:p>
    <w:p w14:paraId="5F11C390" w14:textId="77777777" w:rsidR="00CA1E90" w:rsidRPr="00EF1B99" w:rsidRDefault="00CA1E90" w:rsidP="00CA1E90">
      <w:pPr>
        <w:pStyle w:val="Bullet1G"/>
        <w:numPr>
          <w:ilvl w:val="0"/>
          <w:numId w:val="0"/>
        </w:numPr>
        <w:tabs>
          <w:tab w:val="left" w:pos="1701"/>
        </w:tabs>
        <w:ind w:left="1701" w:hanging="170"/>
      </w:pPr>
      <w:r w:rsidRPr="00EF1B99">
        <w:t>•</w:t>
      </w:r>
      <w:r>
        <w:tab/>
        <w:t xml:space="preserve">Женевская конвенция об улучшении участи раненых, больных и лиц, потерпевших кораблекрушение, из состава вооруженных сил на море (Конвенция II) </w:t>
      </w:r>
      <w:r w:rsidR="00D37898">
        <w:t>—</w:t>
      </w:r>
      <w:r>
        <w:t xml:space="preserve"> ратификационная грамота сдана на хранение 15 февраля 1956</w:t>
      </w:r>
      <w:r w:rsidR="0082316A">
        <w:t> </w:t>
      </w:r>
      <w:r>
        <w:t>года;</w:t>
      </w:r>
    </w:p>
    <w:p w14:paraId="47884FF1" w14:textId="77777777" w:rsidR="00CA1E90" w:rsidRPr="00EF1B99" w:rsidRDefault="00CA1E90" w:rsidP="00CA1E90">
      <w:pPr>
        <w:pStyle w:val="Bullet1G"/>
        <w:numPr>
          <w:ilvl w:val="0"/>
          <w:numId w:val="0"/>
        </w:numPr>
        <w:tabs>
          <w:tab w:val="left" w:pos="1701"/>
        </w:tabs>
        <w:ind w:left="1701" w:hanging="170"/>
      </w:pPr>
      <w:r w:rsidRPr="00EF1B99">
        <w:t>•</w:t>
      </w:r>
      <w:r>
        <w:tab/>
        <w:t xml:space="preserve">Женевская конвенция об обращении с военнопленными (Конвенция III) </w:t>
      </w:r>
      <w:r w:rsidR="00D37898">
        <w:t>—</w:t>
      </w:r>
      <w:r>
        <w:t xml:space="preserve"> ратификационная грамота сдана на хранение 15 февраля 1956 года;</w:t>
      </w:r>
    </w:p>
    <w:p w14:paraId="536FA837" w14:textId="77777777" w:rsidR="00CA1E90" w:rsidRPr="00EF1B99" w:rsidRDefault="00CA1E90" w:rsidP="00CA1E90">
      <w:pPr>
        <w:pStyle w:val="Bullet1G"/>
        <w:numPr>
          <w:ilvl w:val="0"/>
          <w:numId w:val="0"/>
        </w:numPr>
        <w:tabs>
          <w:tab w:val="left" w:pos="1701"/>
        </w:tabs>
        <w:ind w:left="1701" w:hanging="170"/>
      </w:pPr>
      <w:r w:rsidRPr="00EF1B99">
        <w:t>•</w:t>
      </w:r>
      <w:r>
        <w:tab/>
        <w:t xml:space="preserve">Женевская конвенция о защите гражданского населения во время войны (Конвенция IV) </w:t>
      </w:r>
      <w:r w:rsidR="00D37898">
        <w:t>—</w:t>
      </w:r>
      <w:r>
        <w:t xml:space="preserve"> ратификационная грамота сдана на хранение 15 февраля 1956</w:t>
      </w:r>
      <w:r w:rsidR="0082316A">
        <w:t> </w:t>
      </w:r>
      <w:r>
        <w:t>года;</w:t>
      </w:r>
    </w:p>
    <w:p w14:paraId="7D9533BF" w14:textId="77777777" w:rsidR="00CA1E90" w:rsidRPr="00EF1B99" w:rsidRDefault="00CA1E90" w:rsidP="00CA1E90">
      <w:pPr>
        <w:pStyle w:val="Bullet1G"/>
        <w:numPr>
          <w:ilvl w:val="0"/>
          <w:numId w:val="0"/>
        </w:numPr>
        <w:tabs>
          <w:tab w:val="left" w:pos="1701"/>
        </w:tabs>
        <w:ind w:left="1701" w:hanging="170"/>
      </w:pPr>
      <w:r w:rsidRPr="00EF1B99">
        <w:t>•</w:t>
      </w:r>
      <w:r>
        <w:tab/>
        <w:t>Дополнительный протокол к Женевским конвенциям от 12 августа 1949 года, касающийся защиты жертв международных вооруженных конфликтов (Протокол I),</w:t>
      </w:r>
      <w:r w:rsidRPr="00DB2AC5">
        <w:t xml:space="preserve"> </w:t>
      </w:r>
      <w:r w:rsidR="00D37898">
        <w:t>—</w:t>
      </w:r>
      <w:r>
        <w:t xml:space="preserve"> ратификационная грамота сдана на хранение 14 июля 1989</w:t>
      </w:r>
      <w:r w:rsidR="00D37898">
        <w:t> </w:t>
      </w:r>
      <w:r>
        <w:t>года;</w:t>
      </w:r>
    </w:p>
    <w:p w14:paraId="5FEF2A8F" w14:textId="77777777" w:rsidR="00CA1E90" w:rsidRPr="00EF1B99" w:rsidRDefault="00CA1E90" w:rsidP="00CA1E90">
      <w:pPr>
        <w:pStyle w:val="Bullet1G"/>
        <w:numPr>
          <w:ilvl w:val="0"/>
          <w:numId w:val="0"/>
        </w:numPr>
        <w:tabs>
          <w:tab w:val="left" w:pos="1701"/>
        </w:tabs>
        <w:ind w:left="1701" w:hanging="170"/>
      </w:pPr>
      <w:r w:rsidRPr="00EF1B99">
        <w:t>•</w:t>
      </w:r>
      <w:r>
        <w:tab/>
        <w:t xml:space="preserve">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 </w:t>
      </w:r>
      <w:r w:rsidR="00D37898">
        <w:t>—</w:t>
      </w:r>
      <w:r>
        <w:t xml:space="preserve"> ратификационная грамота сдана на хранение 14</w:t>
      </w:r>
      <w:r w:rsidR="00D37898">
        <w:t> </w:t>
      </w:r>
      <w:r>
        <w:t>июля 1989 года;</w:t>
      </w:r>
    </w:p>
    <w:p w14:paraId="754099AC"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о запрещении применения, накопления запасов, производства и передачи противопехотных мин и об их уничтожении (Оттавская конвенция) </w:t>
      </w:r>
      <w:r w:rsidR="00D37898">
        <w:t>—</w:t>
      </w:r>
      <w:r>
        <w:t xml:space="preserve"> ратификационная грамота сдана на хранение 17 июня 1998 года;</w:t>
      </w:r>
    </w:p>
    <w:p w14:paraId="4A5440A3" w14:textId="77777777" w:rsidR="00CA1E90" w:rsidRPr="00EF1B99" w:rsidRDefault="00CA1E90" w:rsidP="00CA1E90">
      <w:pPr>
        <w:pStyle w:val="Bullet1G"/>
        <w:numPr>
          <w:ilvl w:val="0"/>
          <w:numId w:val="0"/>
        </w:numPr>
        <w:tabs>
          <w:tab w:val="left" w:pos="1701"/>
        </w:tabs>
        <w:ind w:left="1701" w:hanging="170"/>
      </w:pPr>
      <w:r w:rsidRPr="00EF1B99">
        <w:lastRenderedPageBreak/>
        <w:t>•</w:t>
      </w:r>
      <w:r>
        <w:tab/>
        <w:t xml:space="preserve">Конвенция о запрещении разработки, производства, накопления и применения химического оружия и о его уничтожении </w:t>
      </w:r>
      <w:r w:rsidR="00D37898">
        <w:t>—</w:t>
      </w:r>
      <w:r>
        <w:t xml:space="preserve"> ратификационная грамота сдана на хранение 20 июля 1995 года;</w:t>
      </w:r>
    </w:p>
    <w:p w14:paraId="1D408F73" w14:textId="77777777" w:rsidR="00CA1E90" w:rsidRPr="00EF1B99" w:rsidRDefault="00CA1E90" w:rsidP="00CA1E90">
      <w:pPr>
        <w:pStyle w:val="Bullet1G"/>
        <w:numPr>
          <w:ilvl w:val="0"/>
          <w:numId w:val="0"/>
        </w:numPr>
        <w:tabs>
          <w:tab w:val="left" w:pos="1701"/>
        </w:tabs>
        <w:ind w:left="1701" w:hanging="170"/>
      </w:pPr>
      <w:r w:rsidRPr="00EF1B99">
        <w:t>•</w:t>
      </w:r>
      <w:r>
        <w:tab/>
        <w:t xml:space="preserve">Конвенция по кассетным боеприпасам </w:t>
      </w:r>
      <w:r w:rsidR="00D37898">
        <w:t>—</w:t>
      </w:r>
      <w:r>
        <w:t xml:space="preserve"> ратификационная грамота сдана на хранение 26 августа 2012 года;</w:t>
      </w:r>
    </w:p>
    <w:p w14:paraId="50CBE746" w14:textId="77777777" w:rsidR="00CA1E90" w:rsidRPr="00EF1B99" w:rsidRDefault="00CA1E90" w:rsidP="00CA1E90">
      <w:pPr>
        <w:pStyle w:val="Bullet1G"/>
        <w:numPr>
          <w:ilvl w:val="0"/>
          <w:numId w:val="0"/>
        </w:numPr>
        <w:tabs>
          <w:tab w:val="left" w:pos="1701"/>
        </w:tabs>
        <w:ind w:left="1701" w:hanging="170"/>
      </w:pPr>
      <w:r w:rsidRPr="00EF1B99">
        <w:t>•</w:t>
      </w:r>
      <w:r>
        <w:tab/>
        <w:t xml:space="preserve">Договор о торговле оружием </w:t>
      </w:r>
      <w:r w:rsidR="00D37898">
        <w:t>—</w:t>
      </w:r>
      <w:r>
        <w:t xml:space="preserve"> ратификационная грамота сдана на хранение 16</w:t>
      </w:r>
      <w:r w:rsidR="00D37898">
        <w:t> </w:t>
      </w:r>
      <w:r>
        <w:t>февраля 2016 года;</w:t>
      </w:r>
    </w:p>
    <w:p w14:paraId="3974409F" w14:textId="77777777" w:rsidR="00CA1E90" w:rsidRPr="00EF1B99" w:rsidRDefault="00CA1E90" w:rsidP="00CA1E90">
      <w:pPr>
        <w:pStyle w:val="Bullet1G"/>
        <w:numPr>
          <w:ilvl w:val="0"/>
          <w:numId w:val="0"/>
        </w:numPr>
        <w:tabs>
          <w:tab w:val="left" w:pos="1701"/>
        </w:tabs>
        <w:ind w:left="1701" w:hanging="170"/>
      </w:pPr>
      <w:r w:rsidRPr="00EF1B99">
        <w:t>•</w:t>
      </w:r>
      <w:r>
        <w:tab/>
        <w:t xml:space="preserve">Дополнительный протокол к Женевским конвенциям от 12 августа 1949 года, касающийся принятия дополнительной отличительной эмблемы </w:t>
      </w:r>
      <w:r w:rsidR="00FF106B">
        <w:br/>
      </w:r>
      <w:r>
        <w:t xml:space="preserve">(Протокол III), </w:t>
      </w:r>
      <w:r w:rsidR="00D37898">
        <w:t>—</w:t>
      </w:r>
      <w:r>
        <w:t xml:space="preserve"> ратификационная грамота сдана на хранение 9 октября 2018</w:t>
      </w:r>
      <w:r w:rsidR="00FF106B">
        <w:rPr>
          <w:lang w:val="en-US"/>
        </w:rPr>
        <w:t> </w:t>
      </w:r>
      <w:r>
        <w:t>года.</w:t>
      </w:r>
    </w:p>
    <w:p w14:paraId="3BDFE596" w14:textId="77777777" w:rsidR="00CA1E90" w:rsidRDefault="00CA1E90" w:rsidP="00CA1E90">
      <w:pPr>
        <w:pStyle w:val="H1G"/>
      </w:pPr>
      <w:bookmarkStart w:id="43" w:name="_Toc19107164"/>
      <w:r>
        <w:tab/>
      </w:r>
      <w:r>
        <w:tab/>
      </w:r>
      <w:r>
        <w:rPr>
          <w:bCs/>
        </w:rPr>
        <w:t>Правовые рамки защиты и поощрения прав человека</w:t>
      </w:r>
      <w:bookmarkEnd w:id="43"/>
    </w:p>
    <w:p w14:paraId="17776C75" w14:textId="77777777" w:rsidR="00CA1E90" w:rsidRPr="00CE1F8E" w:rsidRDefault="00CA1E90" w:rsidP="00CA1E90">
      <w:pPr>
        <w:pStyle w:val="SingleTxtG"/>
      </w:pPr>
      <w:r>
        <w:t>50.</w:t>
      </w:r>
      <w:r>
        <w:tab/>
        <w:t>Поощрение и защита прав человека предусмотрены в документах, очерчивающих правовые рамки Перу. В этой связи в статье 2 Политической конституции перечислен ряд защищаемых основных прав (право на жизнь, нравственную, психическую и физическую неприкосновенность, свободное развитие и благополучие, свободу совести и вероисповедания, выражения мнений, информации, убеждений и т.</w:t>
      </w:r>
      <w:r w:rsidR="0082316A">
        <w:t> </w:t>
      </w:r>
      <w:r>
        <w:t xml:space="preserve">д.). Этот список, однако, не является исчерпывающим, и поэтому в статье 3 Конституции говорится, что не исключаются и другие права, </w:t>
      </w:r>
      <w:r w:rsidR="0082316A" w:rsidRPr="00CE1F8E">
        <w:rPr>
          <w:rStyle w:val="ab"/>
          <w:vertAlign w:val="baseline"/>
        </w:rPr>
        <w:t>«</w:t>
      </w:r>
      <w:r w:rsidRPr="00CE1F8E">
        <w:t>гарантируемые Конституцией, или иные права, имеющие аналогичный характер или основанные на достоинстве человеческой личности или на принципах суверенитета народа, демократического правового государства и республиканской формы правления</w:t>
      </w:r>
      <w:r w:rsidR="0082316A" w:rsidRPr="00CE1F8E">
        <w:rPr>
          <w:rStyle w:val="ab"/>
          <w:vertAlign w:val="baseline"/>
        </w:rPr>
        <w:t>»</w:t>
      </w:r>
      <w:r w:rsidRPr="00CE1F8E">
        <w:t>.</w:t>
      </w:r>
    </w:p>
    <w:p w14:paraId="5B888A7C" w14:textId="77777777" w:rsidR="00CA1E90" w:rsidRPr="00CE2A57" w:rsidRDefault="00CA1E90" w:rsidP="00CA1E90">
      <w:pPr>
        <w:pStyle w:val="SingleTxtG"/>
        <w:rPr>
          <w:b/>
        </w:rPr>
      </w:pPr>
      <w:r>
        <w:t>51.</w:t>
      </w:r>
      <w:r>
        <w:tab/>
        <w:t>Защита прав человека в Перу не ограничивается только теми правами, которые упомянуты в Конституции. Как уже упоминалось выше, в самом тексте Конституции (ст</w:t>
      </w:r>
      <w:r w:rsidR="00C75B85">
        <w:t>.</w:t>
      </w:r>
      <w:r>
        <w:t xml:space="preserve"> 55) в перечень прав включены и права, которые закреплены в заключенных государством международных договорах и которые становятся частью внутреннего права. </w:t>
      </w:r>
    </w:p>
    <w:p w14:paraId="2035A9EA" w14:textId="77777777" w:rsidR="00CA1E90" w:rsidRPr="00BE3E41" w:rsidRDefault="00CA1E90" w:rsidP="00CA1E90">
      <w:pPr>
        <w:pStyle w:val="SingleTxtG"/>
      </w:pPr>
      <w:r>
        <w:t>52.</w:t>
      </w:r>
      <w:r>
        <w:tab/>
        <w:t>Общие направления деятельности государства в долгосрочной перспективе по достижению цели обеспечения благосостояния граждан и устойчивого развития страны определены в государственных программах. Существует 35 государственных программ, которые образуют Национальный договор и которые сгруппированы по четырем основным взаимосвязанным целям: a) демократия и верховенство права; b)</w:t>
      </w:r>
      <w:r w:rsidR="0082316A">
        <w:t> </w:t>
      </w:r>
      <w:r>
        <w:t xml:space="preserve">равноправие и социальная справедливость; с) конкурентоспособность страны; </w:t>
      </w:r>
      <w:r w:rsidR="0082316A">
        <w:br/>
      </w:r>
      <w:r>
        <w:t>и d) эффективное, транспарентное и децентрализованное государство</w:t>
      </w:r>
      <w:r w:rsidRPr="00BE3E41">
        <w:rPr>
          <w:rStyle w:val="ab"/>
        </w:rPr>
        <w:footnoteReference w:id="54"/>
      </w:r>
      <w:r>
        <w:t>.</w:t>
      </w:r>
    </w:p>
    <w:p w14:paraId="45C43AF1" w14:textId="77777777" w:rsidR="00CA1E90" w:rsidRPr="00BE3E41" w:rsidRDefault="00CA1E90" w:rsidP="00CA1E90">
      <w:pPr>
        <w:pStyle w:val="SingleTxtG"/>
      </w:pPr>
      <w:r>
        <w:t>53.</w:t>
      </w:r>
      <w:r>
        <w:tab/>
        <w:t>Кроме того, Общая политика правительства на период до 2021 года, впервые официально провозглашенная Высочайшим указом № 056-2018-PCM</w:t>
      </w:r>
      <w:r w:rsidRPr="00BE3E41">
        <w:rPr>
          <w:rStyle w:val="ab"/>
        </w:rPr>
        <w:footnoteReference w:id="55"/>
      </w:r>
      <w:r>
        <w:t>, направлена на обеспечение комплексного развития страны по пяти стратегическим направлениям: a)</w:t>
      </w:r>
      <w:r w:rsidR="0082316A">
        <w:t> </w:t>
      </w:r>
      <w:r>
        <w:t>неподкупность и борьба с коррупцией; b) институциональное укрепление системы управления; c) справедливый, конкурентоспособный и устойчивый экономический рост; d) социальное развитие и благосостояние населения; и е) эффективная децентрализация в целях развития.</w:t>
      </w:r>
    </w:p>
    <w:p w14:paraId="14160D97" w14:textId="77777777" w:rsidR="00CA1E90" w:rsidRPr="00BE3E41" w:rsidRDefault="00CA1E90" w:rsidP="00CA1E90">
      <w:pPr>
        <w:pStyle w:val="SingleTxtG"/>
      </w:pPr>
      <w:r>
        <w:t>54.</w:t>
      </w:r>
      <w:r>
        <w:tab/>
        <w:t>Аналогичным образом, в Плане развития Перу на 2021 год, год празднования 200-летия независимости страны</w:t>
      </w:r>
      <w:r w:rsidRPr="00BE3E41">
        <w:rPr>
          <w:rStyle w:val="ab"/>
        </w:rPr>
        <w:footnoteReference w:id="56"/>
      </w:r>
      <w:r>
        <w:t xml:space="preserve">, предлагаются следующие шесть стратегических направлений: i) основные права и достоинство людей; ii) возможности и доступ к услугам; iii) государство и управляемость; iv) экономика, конкурентоспособность и </w:t>
      </w:r>
      <w:r>
        <w:lastRenderedPageBreak/>
        <w:t>занятость; v) региональное развитие и инфраструктура; и vi) природные ресурсы и окружающая среда.</w:t>
      </w:r>
    </w:p>
    <w:p w14:paraId="2D140BC2" w14:textId="77777777" w:rsidR="00CA1E90" w:rsidRPr="00BE3E41" w:rsidRDefault="00CA1E90" w:rsidP="00CA1E90">
      <w:pPr>
        <w:pStyle w:val="SingleTxtG"/>
      </w:pPr>
      <w:r>
        <w:t>55.</w:t>
      </w:r>
      <w:r>
        <w:tab/>
        <w:t xml:space="preserve">Кроме того, в целях содействия достижению целей, поставленных в Повестке дня в области устойчивого развития на период до 2030 года, и обеспечения инструментария для совершенствования процесса принятия решений НИСИ создал интерактивную веб-платформу под </w:t>
      </w:r>
      <w:r w:rsidRPr="0082316A">
        <w:t xml:space="preserve">названием </w:t>
      </w:r>
      <w:r w:rsidR="0082316A">
        <w:rPr>
          <w:rStyle w:val="ab"/>
          <w:vertAlign w:val="baseline"/>
        </w:rPr>
        <w:t>«</w:t>
      </w:r>
      <w:r w:rsidRPr="0082316A">
        <w:t>Система мониторинга и отслеживания показателей достижения целей в области устойчивого развития (ЦУР)</w:t>
      </w:r>
      <w:r w:rsidR="0082316A">
        <w:rPr>
          <w:rStyle w:val="ab"/>
          <w:vertAlign w:val="baseline"/>
        </w:rPr>
        <w:t>»</w:t>
      </w:r>
      <w:r w:rsidRPr="0082316A">
        <w:t>.</w:t>
      </w:r>
      <w:r>
        <w:t xml:space="preserve"> На этой платформе размещены сведения, полученные в ходе проведенных НИСИ обследований домохозяйств и национальных переписей, а также статистические данные, предоставляемые государственными ведомствами</w:t>
      </w:r>
      <w:r w:rsidRPr="00BE3E41">
        <w:rPr>
          <w:rStyle w:val="ab"/>
        </w:rPr>
        <w:footnoteReference w:id="57"/>
      </w:r>
      <w:r>
        <w:t>.</w:t>
      </w:r>
    </w:p>
    <w:p w14:paraId="7513EA44" w14:textId="77777777" w:rsidR="00CA1E90" w:rsidRPr="00BE3E41" w:rsidRDefault="00CA1E90" w:rsidP="00CA1E90">
      <w:pPr>
        <w:pStyle w:val="SingleTxtG"/>
      </w:pPr>
      <w:r>
        <w:t>56.</w:t>
      </w:r>
      <w:r>
        <w:tab/>
        <w:t>В этой связи программа в области прав человека, прописанная в Национальном плане в области прав человека (НППЧ) на 2018</w:t>
      </w:r>
      <w:r w:rsidR="00C75B85">
        <w:t>–</w:t>
      </w:r>
      <w:r>
        <w:t>2021 годы</w:t>
      </w:r>
      <w:r w:rsidRPr="00BE3E41">
        <w:rPr>
          <w:rStyle w:val="ab"/>
        </w:rPr>
        <w:footnoteReference w:id="58"/>
      </w:r>
      <w:r>
        <w:t>, была разработана с учетом задач в рамках ЦУР и предусматривает конкретные мероприятия, направленные на гарантирование прав 13 групп населения, которые нуждаются в особой защите: а)</w:t>
      </w:r>
      <w:r w:rsidR="0082316A">
        <w:t> </w:t>
      </w:r>
      <w:r>
        <w:t>пожилых людей; b) афроперуанцев; с) лиц с инвалидностью; d)</w:t>
      </w:r>
      <w:r w:rsidR="00C75B85">
        <w:t> </w:t>
      </w:r>
      <w:r>
        <w:t>женщин; e) детей и подростков; f) лиц, лишенных свободы; g) лиц с ВИЧ/СПИДом и больных туберкулезом; h) лиц, занятых в качестве домашней прислуги; i) лиц из числа ЛГБТИ; j) правозащитников; k) коренных народов; l) лиц, находящихся в процессе транзита; и m) лиц, ставших жертвами насилия в период 1980</w:t>
      </w:r>
      <w:r w:rsidR="0082316A">
        <w:t>–</w:t>
      </w:r>
      <w:r>
        <w:t>2000 годов.</w:t>
      </w:r>
      <w:r w:rsidR="0082316A">
        <w:t xml:space="preserve"> </w:t>
      </w:r>
    </w:p>
    <w:p w14:paraId="180F15E9" w14:textId="77777777" w:rsidR="00CA1E90" w:rsidRPr="00BE3E41" w:rsidRDefault="00CA1E90" w:rsidP="00CA1E90">
      <w:pPr>
        <w:pStyle w:val="SingleTxtG"/>
      </w:pPr>
      <w:r>
        <w:t>57.</w:t>
      </w:r>
      <w:r>
        <w:tab/>
        <w:t xml:space="preserve">Следует также отметить, что реализация конкретных планов в различных секторах в рамках общего программирования мероприятий обеспечивает их межсекторальный характер. </w:t>
      </w:r>
    </w:p>
    <w:p w14:paraId="15C85201" w14:textId="77777777" w:rsidR="00CA1E90" w:rsidRPr="00BE3E41" w:rsidRDefault="00CA1E90" w:rsidP="00CA1E90">
      <w:pPr>
        <w:pStyle w:val="SingleTxtG"/>
      </w:pPr>
      <w:r>
        <w:t>58.</w:t>
      </w:r>
      <w:r>
        <w:tab/>
        <w:t xml:space="preserve">Лица, считающие, что они стали жертвами нарушения одного из своих прав, располагают различными механизмами, к которым они могут обратиться. </w:t>
      </w:r>
    </w:p>
    <w:p w14:paraId="40FEB958" w14:textId="77777777" w:rsidR="00CA1E90" w:rsidRPr="00CE2A57" w:rsidRDefault="00CA1E90" w:rsidP="00CA1E90">
      <w:pPr>
        <w:pStyle w:val="SingleTxtG"/>
      </w:pPr>
      <w:r>
        <w:t>59.</w:t>
      </w:r>
      <w:r>
        <w:tab/>
        <w:t xml:space="preserve">Они могут, например, подать в письменной или устной форме жалобу, петицию или заявление в Управление Народного защитника, направив свое обращение по почте, факсу, электронной почте, через онлайновую чат-службу, по телефону или в местное отделение Государственной прокуратуры в тех местах, где еще нет представительств Управления Народного защитника. </w:t>
      </w:r>
    </w:p>
    <w:p w14:paraId="07193BAA" w14:textId="77777777" w:rsidR="00CA1E90" w:rsidRPr="00CE2A57" w:rsidRDefault="00CA1E90" w:rsidP="00CA1E90">
      <w:pPr>
        <w:pStyle w:val="SingleTxtG"/>
      </w:pPr>
      <w:r>
        <w:t>60.</w:t>
      </w:r>
      <w:r>
        <w:tab/>
        <w:t>Кроме того, некоторые государственные ведомства создали механизмы рассмотрения дел либо по телефону, либо путем подачи заявлений в письменной или устной форме. Например, при Министерстве по делам женщин и уязвимых слоев населения действуют центры экстренной помощи женщинам, а в Национальной полиции Перу имеются специализированные комиссариаты по защите от бытового насилия.</w:t>
      </w:r>
    </w:p>
    <w:p w14:paraId="6E12A24D" w14:textId="77777777" w:rsidR="00CA1E90" w:rsidRDefault="00CA1E90" w:rsidP="00CA1E90">
      <w:pPr>
        <w:pStyle w:val="SingleTxtG"/>
      </w:pPr>
      <w:r>
        <w:t>61.</w:t>
      </w:r>
      <w:r>
        <w:tab/>
        <w:t>В Перу лица, считающие себя жертвами нарушений прав, имеют доступ к механизмам защиты в судебном порядке, например, через такие конституционные процедуры, как ампаро, хабеас корпус и хабеас дата.</w:t>
      </w:r>
    </w:p>
    <w:p w14:paraId="5BE950FE" w14:textId="77777777" w:rsidR="00CA1E90" w:rsidRDefault="00CA1E90" w:rsidP="00CA1E90">
      <w:pPr>
        <w:pStyle w:val="SingleTxtG"/>
      </w:pPr>
      <w:r>
        <w:t>62.</w:t>
      </w:r>
      <w:r>
        <w:tab/>
        <w:t>Ниже описывается прогресс в деле защиты и поощрения прав человека в отношении каждой из вышеупомянутых групп, нуждающихся в особой защите.</w:t>
      </w:r>
    </w:p>
    <w:p w14:paraId="20D50534" w14:textId="77777777" w:rsidR="00CA1E90" w:rsidRDefault="00CA1E90" w:rsidP="00CA1E90">
      <w:pPr>
        <w:pStyle w:val="H23G"/>
      </w:pPr>
      <w:r>
        <w:tab/>
      </w:r>
      <w:r>
        <w:tab/>
      </w:r>
      <w:r>
        <w:rPr>
          <w:bCs/>
        </w:rPr>
        <w:t>Пожилые люди</w:t>
      </w:r>
      <w:bookmarkStart w:id="45" w:name="_Toc19107165"/>
      <w:bookmarkEnd w:id="45"/>
    </w:p>
    <w:p w14:paraId="27356912" w14:textId="77777777" w:rsidR="00CA1E90" w:rsidRDefault="00CA1E90" w:rsidP="00CA1E90">
      <w:pPr>
        <w:pStyle w:val="SingleTxtG"/>
      </w:pPr>
      <w:r>
        <w:t>63.</w:t>
      </w:r>
      <w:r>
        <w:tab/>
        <w:t xml:space="preserve">К 2018 году пожилыми людьми считались 4 004 820 человек, в том числе </w:t>
      </w:r>
      <w:r w:rsidR="0082316A">
        <w:br/>
      </w:r>
      <w:r>
        <w:t>1 916 992 мужчины (47,87</w:t>
      </w:r>
      <w:r w:rsidR="00D265AC">
        <w:t xml:space="preserve"> процента</w:t>
      </w:r>
      <w:r>
        <w:t>) и 2 087 828 женщин (52,13</w:t>
      </w:r>
      <w:r w:rsidR="00D265AC">
        <w:t xml:space="preserve"> процента</w:t>
      </w:r>
      <w:r>
        <w:t>)</w:t>
      </w:r>
      <w:r w:rsidRPr="00D93542">
        <w:rPr>
          <w:rStyle w:val="ab"/>
        </w:rPr>
        <w:footnoteReference w:id="59"/>
      </w:r>
      <w:r>
        <w:t>. Кроме того, согласно прогнозам, в следующие три года пожилые люди будут составлять соответственно 10,7</w:t>
      </w:r>
      <w:r w:rsidR="00D265AC">
        <w:t xml:space="preserve"> процента</w:t>
      </w:r>
      <w:r>
        <w:t>, 10,9</w:t>
      </w:r>
      <w:r w:rsidR="00D265AC">
        <w:t xml:space="preserve"> процента</w:t>
      </w:r>
      <w:r>
        <w:t xml:space="preserve"> и 11,2</w:t>
      </w:r>
      <w:r w:rsidR="00D265AC">
        <w:t xml:space="preserve"> процента</w:t>
      </w:r>
      <w:r>
        <w:t xml:space="preserve"> от общей численности населения</w:t>
      </w:r>
      <w:r w:rsidRPr="00D93542">
        <w:rPr>
          <w:rStyle w:val="ab"/>
        </w:rPr>
        <w:footnoteReference w:id="60"/>
      </w:r>
      <w:r>
        <w:t>.</w:t>
      </w:r>
    </w:p>
    <w:p w14:paraId="470C8E76" w14:textId="77777777" w:rsidR="00CA1E90" w:rsidRDefault="00CA1E90" w:rsidP="00CA1E90">
      <w:pPr>
        <w:pStyle w:val="SingleTxtG"/>
      </w:pPr>
      <w:r>
        <w:lastRenderedPageBreak/>
        <w:t>64.</w:t>
      </w:r>
      <w:r>
        <w:tab/>
        <w:t>В 2011 году после образования МРСА</w:t>
      </w:r>
      <w:r w:rsidRPr="00D93542">
        <w:rPr>
          <w:rStyle w:val="ab"/>
        </w:rPr>
        <w:footnoteReference w:id="61"/>
      </w:r>
      <w:r>
        <w:t xml:space="preserve"> была разработана Национальная программа солидарной помощи </w:t>
      </w:r>
      <w:r w:rsidR="0082316A" w:rsidRPr="00FF106B">
        <w:rPr>
          <w:rStyle w:val="ab"/>
          <w:vertAlign w:val="baseline"/>
        </w:rPr>
        <w:t>«</w:t>
      </w:r>
      <w:r w:rsidRPr="00FF106B">
        <w:t>Пенсия в 65 лет</w:t>
      </w:r>
      <w:r w:rsidR="0082316A" w:rsidRPr="00FF106B">
        <w:rPr>
          <w:rStyle w:val="ab"/>
          <w:vertAlign w:val="baseline"/>
        </w:rPr>
        <w:t>»</w:t>
      </w:r>
      <w:r w:rsidRPr="00FF106B">
        <w:t>,</w:t>
      </w:r>
      <w:r>
        <w:t xml:space="preserve"> цель которой </w:t>
      </w:r>
      <w:r w:rsidR="00FF106B" w:rsidRPr="00FF106B">
        <w:t>—</w:t>
      </w:r>
      <w:r>
        <w:t xml:space="preserve"> обеспечить защиту пожилых людей (с 65 лет), живущих в условиях крайней нищеты и не получающих пенсии или пособия от государственного или частного секторов, путем выплаты им раз в два месяца субсидии в размере 250,00 солей (эквивалентно 74,05 долл. США</w:t>
      </w:r>
      <w:r w:rsidRPr="00D93542">
        <w:rPr>
          <w:rStyle w:val="ab"/>
        </w:rPr>
        <w:footnoteReference w:id="62"/>
      </w:r>
      <w:r>
        <w:t>)</w:t>
      </w:r>
      <w:r w:rsidRPr="00D93542">
        <w:rPr>
          <w:rStyle w:val="ab"/>
        </w:rPr>
        <w:footnoteReference w:id="63"/>
      </w:r>
      <w:r>
        <w:t>.</w:t>
      </w:r>
    </w:p>
    <w:p w14:paraId="47C2242D" w14:textId="77777777" w:rsidR="00CA1E90" w:rsidRDefault="00CA1E90" w:rsidP="00CA1E90">
      <w:pPr>
        <w:pStyle w:val="SingleTxtG"/>
      </w:pPr>
      <w:r>
        <w:t>65.</w:t>
      </w:r>
      <w:r>
        <w:tab/>
        <w:t>Следует отметить, что за период с 2013 года по июль 2019 года субсидии получили 3</w:t>
      </w:r>
      <w:r w:rsidR="00FF106B">
        <w:rPr>
          <w:lang w:val="en-US"/>
        </w:rPr>
        <w:t> </w:t>
      </w:r>
      <w:r>
        <w:t>390</w:t>
      </w:r>
      <w:r w:rsidR="00FF106B">
        <w:rPr>
          <w:lang w:val="en-US"/>
        </w:rPr>
        <w:t> </w:t>
      </w:r>
      <w:r>
        <w:t>704 пожилых человека</w:t>
      </w:r>
      <w:r w:rsidRPr="007706CE">
        <w:t>:</w:t>
      </w:r>
      <w:r>
        <w:t xml:space="preserve"> на</w:t>
      </w:r>
      <w:r w:rsidRPr="007706CE">
        <w:t xml:space="preserve"> </w:t>
      </w:r>
      <w:r>
        <w:t xml:space="preserve">их выплату было израсходовано </w:t>
      </w:r>
      <w:r w:rsidR="0082316A">
        <w:br/>
      </w:r>
      <w:r>
        <w:t>4 428 211 370,00 солей (эквивалентно 1 311 673 984,00 долл. США</w:t>
      </w:r>
      <w:r w:rsidRPr="00D93542">
        <w:rPr>
          <w:rStyle w:val="ab"/>
        </w:rPr>
        <w:footnoteReference w:id="64"/>
      </w:r>
      <w:r>
        <w:t>)</w:t>
      </w:r>
      <w:r w:rsidRPr="00D93542">
        <w:rPr>
          <w:rStyle w:val="ab"/>
        </w:rPr>
        <w:footnoteReference w:id="65"/>
      </w:r>
      <w:r>
        <w:t>.</w:t>
      </w:r>
    </w:p>
    <w:p w14:paraId="7DF2ADFB" w14:textId="77777777" w:rsidR="00CA1E90" w:rsidRDefault="00CA1E90" w:rsidP="00CA1E90">
      <w:pPr>
        <w:pStyle w:val="SingleTxtG"/>
      </w:pPr>
      <w:r>
        <w:t>66.</w:t>
      </w:r>
      <w:r>
        <w:tab/>
        <w:t>В 2014 году были утверждены Руководящие принципы политики содействия надлежащему отношению к пожилым людям</w:t>
      </w:r>
      <w:r w:rsidRPr="00D93542">
        <w:rPr>
          <w:rStyle w:val="ab"/>
        </w:rPr>
        <w:footnoteReference w:id="66"/>
      </w:r>
      <w:r>
        <w:t>. Впоследствии, в 2016 году, был принят Закон № 30490 о пожилых людях</w:t>
      </w:r>
      <w:r w:rsidRPr="00D93542">
        <w:rPr>
          <w:rStyle w:val="ab"/>
        </w:rPr>
        <w:footnoteReference w:id="67"/>
      </w:r>
      <w:r>
        <w:t>, а в 2018 году был принят соответствующий подзаконный акт</w:t>
      </w:r>
      <w:r w:rsidR="00A16FB8" w:rsidRPr="00D93542">
        <w:rPr>
          <w:rStyle w:val="ab"/>
        </w:rPr>
        <w:footnoteReference w:id="68"/>
      </w:r>
      <w:r>
        <w:t>, расширяющий перечень прав пожилых людей, включая право не подвергаться дискриминации, право жить и стареть в семье, а также право на особое внимание при обращении за любыми услугами, предоставляемыми государственными и частными учреждениями.</w:t>
      </w:r>
      <w:r w:rsidR="00A16FB8">
        <w:t xml:space="preserve"> </w:t>
      </w:r>
    </w:p>
    <w:p w14:paraId="62097C01" w14:textId="77777777" w:rsidR="00CA1E90" w:rsidRDefault="00CA1E90" w:rsidP="00CA1E90">
      <w:pPr>
        <w:pStyle w:val="SingleTxtG"/>
      </w:pPr>
      <w:r>
        <w:t>67.</w:t>
      </w:r>
      <w:r>
        <w:tab/>
        <w:t>Кроме того, в 2016 году была внедрена система оповещения судебных инстанций о делах, касающихся пожилых людей, с тем чтобы гарантировать оперативность судебных процессов с участием пожилых людей, находящихся в уязвимом положении</w:t>
      </w:r>
      <w:r w:rsidRPr="00D93542">
        <w:rPr>
          <w:rStyle w:val="ab"/>
        </w:rPr>
        <w:footnoteReference w:id="69"/>
      </w:r>
      <w:r>
        <w:t>. В 2018 году был утвержден Национальный план обеспечения доступности на 2018</w:t>
      </w:r>
      <w:r w:rsidR="00FF106B" w:rsidRPr="00FF106B">
        <w:t>–</w:t>
      </w:r>
      <w:r>
        <w:t>2023 годы</w:t>
      </w:r>
      <w:r w:rsidR="00A16FB8" w:rsidRPr="00D93542">
        <w:rPr>
          <w:rStyle w:val="ab"/>
        </w:rPr>
        <w:footnoteReference w:id="70"/>
      </w:r>
      <w:r>
        <w:t>, целью которого является облегчение передвижения лиц с инвалидностью, среди которых есть и пожилые люди.</w:t>
      </w:r>
      <w:r w:rsidR="00A16FB8">
        <w:t xml:space="preserve"> </w:t>
      </w:r>
    </w:p>
    <w:p w14:paraId="20E71C17" w14:textId="77777777" w:rsidR="00CA1E90" w:rsidRDefault="00CA1E90" w:rsidP="00CA1E90">
      <w:pPr>
        <w:pStyle w:val="SingleTxtG"/>
      </w:pPr>
      <w:r>
        <w:t>68.</w:t>
      </w:r>
      <w:r>
        <w:tab/>
        <w:t>К 2018 году сотрудниками МЮПЧ, занимающимися государственной защитой пострадавших, было также организовано шефство над 5617 пожилыми людьми, что на 2920 человек больше, чем в 2014 году.</w:t>
      </w:r>
    </w:p>
    <w:p w14:paraId="5D2D5D25" w14:textId="77777777" w:rsidR="00CA1E90" w:rsidRDefault="00CA1E90" w:rsidP="00CA1E90">
      <w:pPr>
        <w:pStyle w:val="SingleTxtG"/>
      </w:pPr>
      <w:r>
        <w:t>69.</w:t>
      </w:r>
      <w:r>
        <w:tab/>
        <w:t>По состоянию на 2018 год Системой комплексного медицинского страхования (КСМС) были охвачены 1 878 140 пожилых людей, что составляло 56,14</w:t>
      </w:r>
      <w:r w:rsidR="00D265AC">
        <w:t xml:space="preserve"> процента</w:t>
      </w:r>
      <w:r>
        <w:t xml:space="preserve"> от общей численности пожилых людей страны</w:t>
      </w:r>
      <w:r w:rsidRPr="00D93542">
        <w:rPr>
          <w:rStyle w:val="ab"/>
        </w:rPr>
        <w:footnoteReference w:id="71"/>
      </w:r>
      <w:r>
        <w:t>.</w:t>
      </w:r>
    </w:p>
    <w:p w14:paraId="305B3686" w14:textId="77777777" w:rsidR="00CA1E90" w:rsidRDefault="00CA1E90" w:rsidP="00CA1E90">
      <w:pPr>
        <w:pStyle w:val="H23G"/>
      </w:pPr>
      <w:r>
        <w:lastRenderedPageBreak/>
        <w:tab/>
      </w:r>
      <w:r>
        <w:tab/>
      </w:r>
      <w:r>
        <w:rPr>
          <w:bCs/>
        </w:rPr>
        <w:t>Афроперуанцы</w:t>
      </w:r>
      <w:bookmarkStart w:id="46" w:name="_Toc19107166"/>
      <w:bookmarkEnd w:id="46"/>
    </w:p>
    <w:p w14:paraId="3647839A" w14:textId="77777777" w:rsidR="00CA1E90" w:rsidRPr="00CE2A57" w:rsidRDefault="00CA1E90" w:rsidP="00CA1E90">
      <w:pPr>
        <w:pStyle w:val="SingleTxtG"/>
      </w:pPr>
      <w:r>
        <w:t>70.</w:t>
      </w:r>
      <w:r>
        <w:tab/>
        <w:t xml:space="preserve">По данным переписи населения, проведенной НИСИ в 2017 году, </w:t>
      </w:r>
      <w:r w:rsidR="00E24F35">
        <w:br/>
      </w:r>
      <w:r>
        <w:t xml:space="preserve">828 894 человека в Перу считали себя афроперуанцами, из них 449 248 человек были мужчинами и 379 646 человек </w:t>
      </w:r>
      <w:r w:rsidR="00FF106B" w:rsidRPr="00FF106B">
        <w:t>—</w:t>
      </w:r>
      <w:r>
        <w:t xml:space="preserve"> женщинами</w:t>
      </w:r>
      <w:r w:rsidRPr="00D93542">
        <w:rPr>
          <w:rStyle w:val="ab"/>
        </w:rPr>
        <w:footnoteReference w:id="72"/>
      </w:r>
      <w:r>
        <w:t>.</w:t>
      </w:r>
    </w:p>
    <w:p w14:paraId="70908B60" w14:textId="77777777" w:rsidR="00CA1E90" w:rsidRDefault="00CA1E90" w:rsidP="00CA1E90">
      <w:pPr>
        <w:pStyle w:val="SingleTxtG"/>
      </w:pPr>
      <w:r>
        <w:t>71.</w:t>
      </w:r>
      <w:r>
        <w:tab/>
        <w:t xml:space="preserve">В 2014 году был утвержден документ, озаглавленный </w:t>
      </w:r>
      <w:r w:rsidR="0082316A" w:rsidRPr="00FF106B">
        <w:rPr>
          <w:rStyle w:val="ab"/>
          <w:vertAlign w:val="baseline"/>
        </w:rPr>
        <w:t>«</w:t>
      </w:r>
      <w:r w:rsidRPr="00FF106B">
        <w:t>Руководящие принципы осуществления государственной политики в интересах афроперуанцев</w:t>
      </w:r>
      <w:r w:rsidR="0082316A" w:rsidRPr="00FF106B">
        <w:rPr>
          <w:rStyle w:val="ab"/>
          <w:vertAlign w:val="baseline"/>
        </w:rPr>
        <w:t>»</w:t>
      </w:r>
      <w:r w:rsidRPr="00D93542">
        <w:rPr>
          <w:rStyle w:val="ab"/>
        </w:rPr>
        <w:footnoteReference w:id="73"/>
      </w:r>
      <w:r>
        <w:t>. Кроме того, в 2015 году была утверждена Национальная политика применения межкультурного подхода</w:t>
      </w:r>
      <w:r w:rsidRPr="00D93542">
        <w:rPr>
          <w:rStyle w:val="ab"/>
        </w:rPr>
        <w:footnoteReference w:id="74"/>
      </w:r>
      <w:r>
        <w:t>, в соответствии с которой полное осуществление основных прав афроперуанцев является вопросом, представляющим общегосударственный интерес.</w:t>
      </w:r>
    </w:p>
    <w:p w14:paraId="743FD94F" w14:textId="77777777" w:rsidR="00CA1E90" w:rsidRDefault="00CA1E90" w:rsidP="00CA1E90">
      <w:pPr>
        <w:pStyle w:val="SingleTxtG"/>
      </w:pPr>
      <w:r>
        <w:t>72.</w:t>
      </w:r>
      <w:r>
        <w:tab/>
        <w:t>В 2016 году был также утвержден Национальный план развития для афроперуанцев (ПЛАНДЕПА) на 2016</w:t>
      </w:r>
      <w:r w:rsidR="00E24F35">
        <w:t>–</w:t>
      </w:r>
      <w:r>
        <w:t>2020 годы</w:t>
      </w:r>
      <w:r w:rsidRPr="00D93542">
        <w:rPr>
          <w:rStyle w:val="ab"/>
        </w:rPr>
        <w:footnoteReference w:id="75"/>
      </w:r>
      <w:r>
        <w:t>, который направлен в первую очередь на то, чтобы гарантировать права на равенство и недискриминацию афроперуанцев, а также способствовать их социально-политическому, производственно-экономическому и культурному развитию с сохранением самобытности и равных возможностей.</w:t>
      </w:r>
    </w:p>
    <w:p w14:paraId="50809A38" w14:textId="77777777" w:rsidR="00CA1E90" w:rsidRDefault="00CA1E90" w:rsidP="00CA1E90">
      <w:pPr>
        <w:pStyle w:val="SingleTxtG"/>
      </w:pPr>
      <w:r>
        <w:t>73.</w:t>
      </w:r>
      <w:r>
        <w:tab/>
        <w:t>Следует также отметить, что в структуре Министерства культуры есть Управление по вопросам политики в интересах афроперуанцев, которое отвечает за разработку и осуществление политики, планов и программ защиты, поощрения прав и развития афроперуанцев, гарантирующих их развитие с сохранением самобытности и в условиях равноправия</w:t>
      </w:r>
      <w:r w:rsidRPr="00D93542">
        <w:rPr>
          <w:rStyle w:val="ab"/>
        </w:rPr>
        <w:footnoteReference w:id="76"/>
      </w:r>
      <w:r>
        <w:t>. Это Управление отвечает за ведение Реестра представительных афроперуанских организаций (РОА), включающего организованные группы лиц, которые на постоянной основе осуществляют по линии гражданского общества деятельность, направленную на содействие развитию афроперуанского населения</w:t>
      </w:r>
      <w:r w:rsidRPr="00D93542">
        <w:rPr>
          <w:rStyle w:val="ab"/>
        </w:rPr>
        <w:footnoteReference w:id="77"/>
      </w:r>
      <w:r>
        <w:t>.</w:t>
      </w:r>
    </w:p>
    <w:p w14:paraId="70A92D2F" w14:textId="77777777" w:rsidR="00CA1E90" w:rsidRDefault="00CA1E90" w:rsidP="00CA1E90">
      <w:pPr>
        <w:pStyle w:val="H23G"/>
      </w:pPr>
      <w:r>
        <w:tab/>
      </w:r>
      <w:r>
        <w:tab/>
      </w:r>
      <w:r>
        <w:rPr>
          <w:bCs/>
        </w:rPr>
        <w:t>Лица с инвалидностью</w:t>
      </w:r>
      <w:bookmarkStart w:id="47" w:name="_Toc19107167"/>
      <w:bookmarkEnd w:id="47"/>
    </w:p>
    <w:p w14:paraId="253751EC" w14:textId="77777777" w:rsidR="00CA1E90" w:rsidRDefault="00CA1E90" w:rsidP="00CA1E90">
      <w:pPr>
        <w:pStyle w:val="SingleTxtG"/>
      </w:pPr>
      <w:r>
        <w:t>74.</w:t>
      </w:r>
      <w:r>
        <w:tab/>
        <w:t xml:space="preserve">По данным НИСИ, ту или иную форму инвалидности в Перу имеют </w:t>
      </w:r>
      <w:r w:rsidR="00FF106B">
        <w:br/>
      </w:r>
      <w:r>
        <w:t>3 051 612 человек, что составляет 10,4</w:t>
      </w:r>
      <w:r w:rsidR="00D265AC">
        <w:t xml:space="preserve"> процента</w:t>
      </w:r>
      <w:r>
        <w:t xml:space="preserve"> от общей численности населения. Кроме того, 48,3</w:t>
      </w:r>
      <w:r w:rsidR="00D265AC">
        <w:t xml:space="preserve"> процента</w:t>
      </w:r>
      <w:r>
        <w:t xml:space="preserve"> лиц из этой группы имеют проблемы со зрением; </w:t>
      </w:r>
      <w:r w:rsidR="00FF106B">
        <w:br/>
      </w:r>
      <w:r>
        <w:t>15,1</w:t>
      </w:r>
      <w:r w:rsidR="00D265AC">
        <w:t xml:space="preserve"> процента</w:t>
      </w:r>
      <w:r>
        <w:t xml:space="preserve"> </w:t>
      </w:r>
      <w:r w:rsidR="00FF106B" w:rsidRPr="00FF106B">
        <w:t>—</w:t>
      </w:r>
      <w:r>
        <w:t xml:space="preserve"> проблемы с опорно</w:t>
      </w:r>
      <w:r w:rsidR="00FF106B" w:rsidRPr="00FF106B">
        <w:t>-</w:t>
      </w:r>
      <w:r>
        <w:t>двигательным аппаратом; 7,6</w:t>
      </w:r>
      <w:r w:rsidR="00D265AC">
        <w:t xml:space="preserve"> процента</w:t>
      </w:r>
      <w:r>
        <w:t xml:space="preserve"> ‒ проблемы со слухом; 4,2</w:t>
      </w:r>
      <w:r w:rsidR="00D265AC">
        <w:t xml:space="preserve"> процента</w:t>
      </w:r>
      <w:r>
        <w:t xml:space="preserve"> </w:t>
      </w:r>
      <w:r w:rsidR="00FF106B" w:rsidRPr="00FF106B">
        <w:t>—</w:t>
      </w:r>
      <w:r>
        <w:t xml:space="preserve"> нарушения способности к обучению или пониманию; 3,2</w:t>
      </w:r>
      <w:r w:rsidR="00D265AC">
        <w:t xml:space="preserve"> процента</w:t>
      </w:r>
      <w:r>
        <w:t xml:space="preserve"> </w:t>
      </w:r>
      <w:r w:rsidR="00FF106B" w:rsidRPr="00FF106B">
        <w:t>—</w:t>
      </w:r>
      <w:r>
        <w:t xml:space="preserve"> проблемы с налаживанием отношений с другими; 3,1</w:t>
      </w:r>
      <w:r w:rsidR="00FF106B">
        <w:rPr>
          <w:lang w:val="en-US"/>
        </w:rPr>
        <w:t> </w:t>
      </w:r>
      <w:r w:rsidR="00D265AC">
        <w:t>процента</w:t>
      </w:r>
      <w:r>
        <w:t xml:space="preserve"> </w:t>
      </w:r>
      <w:r w:rsidR="00FF106B" w:rsidRPr="00FF106B">
        <w:t>—</w:t>
      </w:r>
      <w:r>
        <w:t xml:space="preserve"> речевые и коммуникативные расстройства, а у 18,2</w:t>
      </w:r>
      <w:r w:rsidR="00D265AC">
        <w:t xml:space="preserve"> процента</w:t>
      </w:r>
      <w:r>
        <w:t xml:space="preserve"> лиц с особыми способностями есть два и более вида инвалидности. Что касается гендерного соотношения, то 57</w:t>
      </w:r>
      <w:r w:rsidR="00D265AC">
        <w:t xml:space="preserve"> процент</w:t>
      </w:r>
      <w:r w:rsidR="00FF106B">
        <w:t>ов</w:t>
      </w:r>
      <w:r>
        <w:t xml:space="preserve"> от общего числа лиц с инвалидностью составляют женщины (1 739 111 человек) и 43</w:t>
      </w:r>
      <w:r w:rsidR="00D265AC">
        <w:t xml:space="preserve"> процента</w:t>
      </w:r>
      <w:r>
        <w:t xml:space="preserve"> ‒ мужчины (1 312 433 человек)</w:t>
      </w:r>
      <w:r w:rsidRPr="00D93542">
        <w:rPr>
          <w:rStyle w:val="ab"/>
        </w:rPr>
        <w:footnoteReference w:id="78"/>
      </w:r>
      <w:r>
        <w:t>.</w:t>
      </w:r>
      <w:r w:rsidR="00C5089C">
        <w:t xml:space="preserve"> </w:t>
      </w:r>
    </w:p>
    <w:p w14:paraId="564E894C" w14:textId="77777777" w:rsidR="00CA1E90" w:rsidRDefault="00CA1E90" w:rsidP="00CA1E90">
      <w:pPr>
        <w:pStyle w:val="SingleTxtG"/>
      </w:pPr>
      <w:r>
        <w:t>75.</w:t>
      </w:r>
      <w:r>
        <w:tab/>
        <w:t>Следует также отметить, что в Перу предпринимаются усилия по совершенствованию национального законодательства. В частности, в 2012 году был опубликован Общий закон о лицах с инвалидностью</w:t>
      </w:r>
      <w:r w:rsidR="00C5089C" w:rsidRPr="00D93542">
        <w:rPr>
          <w:rStyle w:val="ab"/>
        </w:rPr>
        <w:footnoteReference w:id="79"/>
      </w:r>
      <w:r>
        <w:t xml:space="preserve"> (ОЗЛИ), устанавливающий правовые рамки деятельности по поощрению, защите и осуществлению лицами с </w:t>
      </w:r>
      <w:r>
        <w:lastRenderedPageBreak/>
        <w:t>инвалидностью своих прав в условиях равенства. В этом Законе закреплены обязательства обеспечивать постепенное устранение барьеров, обуславливающих и усугубляющих социальную изоляцию по причине инвалидности, а также защиту этой группы населения с уделением ей приоритетного внимания. Соответствующий подзаконный акт был принят в 2014 году</w:t>
      </w:r>
      <w:r w:rsidRPr="00D93542">
        <w:rPr>
          <w:rStyle w:val="ab"/>
        </w:rPr>
        <w:footnoteReference w:id="80"/>
      </w:r>
      <w:r>
        <w:t>.</w:t>
      </w:r>
    </w:p>
    <w:p w14:paraId="1DF61C27" w14:textId="77777777" w:rsidR="00CA1E90" w:rsidRDefault="00CA1E90" w:rsidP="00CA1E90">
      <w:pPr>
        <w:pStyle w:val="SingleTxtG"/>
      </w:pPr>
      <w:r>
        <w:t>76.</w:t>
      </w:r>
      <w:r>
        <w:tab/>
        <w:t>За это время был принят целый ряд законов, способствующих социальной адаптации лиц с инвалидностью и, в частности, касающихся:</w:t>
      </w:r>
    </w:p>
    <w:p w14:paraId="05A2BB18" w14:textId="77777777" w:rsidR="00CA1E90" w:rsidRPr="00A62EBB" w:rsidRDefault="00CA1E90" w:rsidP="00CA1E90">
      <w:pPr>
        <w:pStyle w:val="Bullet1G"/>
        <w:numPr>
          <w:ilvl w:val="0"/>
          <w:numId w:val="0"/>
        </w:numPr>
        <w:tabs>
          <w:tab w:val="left" w:pos="1701"/>
        </w:tabs>
        <w:ind w:left="1701" w:hanging="170"/>
      </w:pPr>
      <w:r w:rsidRPr="00A62EBB">
        <w:t>•</w:t>
      </w:r>
      <w:r>
        <w:tab/>
        <w:t>гарантирования доступа к услугам по укреплению психического здоровья, профилактике, лечению психических расстройств и реабилитации в рамках модели оказания помощи на базе общин, а также строгого уважения прав человека и достоинства личности без дискриминации и с применением межкультурного подхода, исключающего стигматизацию людей с психическими расстройствами</w:t>
      </w:r>
      <w:r w:rsidRPr="00D93542">
        <w:rPr>
          <w:rStyle w:val="ab"/>
        </w:rPr>
        <w:footnoteReference w:id="81"/>
      </w:r>
      <w:r>
        <w:t>;</w:t>
      </w:r>
    </w:p>
    <w:p w14:paraId="4EF040AA" w14:textId="77777777" w:rsidR="00CA1E90" w:rsidRPr="00A62EBB" w:rsidRDefault="00CA1E90" w:rsidP="00CA1E90">
      <w:pPr>
        <w:pStyle w:val="Bullet1G"/>
        <w:numPr>
          <w:ilvl w:val="0"/>
          <w:numId w:val="0"/>
        </w:numPr>
        <w:tabs>
          <w:tab w:val="left" w:pos="1701"/>
        </w:tabs>
        <w:ind w:left="1701" w:hanging="170"/>
      </w:pPr>
      <w:r w:rsidRPr="00A62EBB">
        <w:t>•</w:t>
      </w:r>
      <w:r>
        <w:tab/>
        <w:t>раннего выявления и диагностики расстройств аутистического спектра (РАС), оказания медицинской помощи лицам с таким диагнозом и их лечения</w:t>
      </w:r>
      <w:r w:rsidRPr="00D93542">
        <w:rPr>
          <w:rStyle w:val="ab"/>
        </w:rPr>
        <w:footnoteReference w:id="82"/>
      </w:r>
      <w:r>
        <w:t>;</w:t>
      </w:r>
    </w:p>
    <w:p w14:paraId="71ED9564" w14:textId="77777777" w:rsidR="00CA1E90" w:rsidRPr="00A62EBB" w:rsidRDefault="00CA1E90" w:rsidP="00CA1E90">
      <w:pPr>
        <w:pStyle w:val="Bullet1G"/>
        <w:numPr>
          <w:ilvl w:val="0"/>
          <w:numId w:val="0"/>
        </w:numPr>
        <w:tabs>
          <w:tab w:val="left" w:pos="1701"/>
        </w:tabs>
        <w:ind w:left="1701" w:hanging="170"/>
      </w:pPr>
      <w:r w:rsidRPr="00A62EBB">
        <w:t>•</w:t>
      </w:r>
      <w:r>
        <w:tab/>
        <w:t>обеспечения доступности элементов городской инфраструктуры для детей и подростков с инвалидностью, а также доступности и возможностей использования ассистивных технологий и устройств и компенсаторных средств</w:t>
      </w:r>
      <w:r w:rsidRPr="00D93542">
        <w:rPr>
          <w:rStyle w:val="ab"/>
        </w:rPr>
        <w:footnoteReference w:id="83"/>
      </w:r>
      <w:r>
        <w:t>;</w:t>
      </w:r>
    </w:p>
    <w:p w14:paraId="42892326" w14:textId="77777777" w:rsidR="00CA1E90" w:rsidRPr="00A62EBB" w:rsidRDefault="00CA1E90" w:rsidP="00CA1E90">
      <w:pPr>
        <w:pStyle w:val="Bullet1G"/>
        <w:numPr>
          <w:ilvl w:val="0"/>
          <w:numId w:val="0"/>
        </w:numPr>
        <w:tabs>
          <w:tab w:val="left" w:pos="1701"/>
        </w:tabs>
        <w:ind w:left="1701" w:hanging="170"/>
      </w:pPr>
      <w:r w:rsidRPr="00A62EBB">
        <w:t>•</w:t>
      </w:r>
      <w:r>
        <w:tab/>
        <w:t>поощрения и укрепления адаптации лиц с инвалидностью в условиях равенства путем принятия конкретных мер, гарантирующих осуществление их основных прав</w:t>
      </w:r>
      <w:r w:rsidRPr="00D93542">
        <w:rPr>
          <w:rStyle w:val="ab"/>
        </w:rPr>
        <w:footnoteReference w:id="84"/>
      </w:r>
      <w:r>
        <w:t>;</w:t>
      </w:r>
    </w:p>
    <w:p w14:paraId="22165288" w14:textId="77777777" w:rsidR="00CA1E90" w:rsidRPr="00A62EBB" w:rsidRDefault="00CA1E90" w:rsidP="00CA1E90">
      <w:pPr>
        <w:pStyle w:val="Bullet1G"/>
        <w:numPr>
          <w:ilvl w:val="0"/>
          <w:numId w:val="0"/>
        </w:numPr>
        <w:tabs>
          <w:tab w:val="left" w:pos="1701"/>
        </w:tabs>
        <w:ind w:left="1701" w:hanging="170"/>
      </w:pPr>
      <w:r w:rsidRPr="00A62EBB">
        <w:t>•</w:t>
      </w:r>
      <w:r>
        <w:tab/>
        <w:t>руководящих принципов, позволяющих работникам системы правосудия оказывать надлежащую помощь лицам с инвалидностью</w:t>
      </w:r>
      <w:r w:rsidRPr="00D93542">
        <w:rPr>
          <w:rStyle w:val="ab"/>
        </w:rPr>
        <w:footnoteReference w:id="85"/>
      </w:r>
      <w:r>
        <w:t>;</w:t>
      </w:r>
    </w:p>
    <w:p w14:paraId="4D68EA32" w14:textId="77777777" w:rsidR="00CA1E90" w:rsidRPr="00A62EBB" w:rsidRDefault="00CA1E90" w:rsidP="00CA1E90">
      <w:pPr>
        <w:pStyle w:val="Bullet1G"/>
        <w:numPr>
          <w:ilvl w:val="0"/>
          <w:numId w:val="0"/>
        </w:numPr>
        <w:tabs>
          <w:tab w:val="left" w:pos="1701"/>
        </w:tabs>
        <w:ind w:left="1701" w:hanging="170"/>
      </w:pPr>
      <w:r w:rsidRPr="00A62EBB">
        <w:t>•</w:t>
      </w:r>
      <w:r>
        <w:tab/>
        <w:t>содействия передвижению лиц с инвалидностью</w:t>
      </w:r>
      <w:r w:rsidRPr="00D93542">
        <w:rPr>
          <w:rStyle w:val="ab"/>
        </w:rPr>
        <w:footnoteReference w:id="86"/>
      </w:r>
      <w:r>
        <w:t>;</w:t>
      </w:r>
    </w:p>
    <w:p w14:paraId="4CED623F" w14:textId="77777777" w:rsidR="00CA1E90" w:rsidRPr="00A62EBB" w:rsidRDefault="00CA1E90" w:rsidP="00CA1E90">
      <w:pPr>
        <w:pStyle w:val="Bullet1G"/>
        <w:numPr>
          <w:ilvl w:val="0"/>
          <w:numId w:val="0"/>
        </w:numPr>
        <w:tabs>
          <w:tab w:val="left" w:pos="1701"/>
        </w:tabs>
        <w:ind w:left="1701" w:hanging="170"/>
      </w:pPr>
      <w:r w:rsidRPr="00A62EBB">
        <w:t>•</w:t>
      </w:r>
      <w:r>
        <w:tab/>
        <w:t>содействия развитию инклюзивного образования, которое требует от учебных заведений принятия мер по обеспечению доступности, наличия, приемлемости и адаптируемости образовательных услуг с учетом того, что в стандартах и рекомендациях, касающихся организации учебного года, предусматривается, что государственные и частные учебные заведения, входящие в обычную и альтернативную системы базового образования, должны оставлять в каждом классе не менее двух вакансий для зачисления на эти места учащихся с инвалидностью легкой или средней степени</w:t>
      </w:r>
      <w:r w:rsidRPr="00D93542">
        <w:rPr>
          <w:rStyle w:val="ab"/>
        </w:rPr>
        <w:footnoteReference w:id="87"/>
      </w:r>
      <w:r>
        <w:t>;</w:t>
      </w:r>
    </w:p>
    <w:p w14:paraId="49DEDBCF" w14:textId="77777777" w:rsidR="00CA1E90" w:rsidRPr="00A62EBB" w:rsidRDefault="00CA1E90" w:rsidP="00CA1E90">
      <w:pPr>
        <w:pStyle w:val="Bullet1G"/>
        <w:numPr>
          <w:ilvl w:val="0"/>
          <w:numId w:val="0"/>
        </w:numPr>
        <w:tabs>
          <w:tab w:val="left" w:pos="1701"/>
        </w:tabs>
        <w:ind w:left="1701" w:hanging="170"/>
      </w:pPr>
      <w:r w:rsidRPr="00A62EBB">
        <w:t>•</w:t>
      </w:r>
      <w:r>
        <w:tab/>
        <w:t>профилактики и лечения лиц, страдающих от болезни Альцгеймера и других видов слабоумия</w:t>
      </w:r>
      <w:r w:rsidRPr="00D93542">
        <w:rPr>
          <w:rStyle w:val="ab"/>
        </w:rPr>
        <w:footnoteReference w:id="88"/>
      </w:r>
      <w:r>
        <w:t>;</w:t>
      </w:r>
    </w:p>
    <w:p w14:paraId="05A374A3" w14:textId="77777777" w:rsidR="00CA1E90" w:rsidRPr="00A62EBB" w:rsidRDefault="00CA1E90" w:rsidP="00CA1E90">
      <w:pPr>
        <w:pStyle w:val="Bullet1G"/>
        <w:numPr>
          <w:ilvl w:val="0"/>
          <w:numId w:val="0"/>
        </w:numPr>
        <w:tabs>
          <w:tab w:val="left" w:pos="1701"/>
        </w:tabs>
        <w:ind w:left="1701" w:hanging="170"/>
      </w:pPr>
      <w:r w:rsidRPr="00A62EBB">
        <w:lastRenderedPageBreak/>
        <w:t>•</w:t>
      </w:r>
      <w:r>
        <w:tab/>
        <w:t>принятия мер, способствующих повышению доступности элементов городской инфраструктуры для детей и подростков с инвалидностью, с уделением особого внимания предназначенным для публичного использования в развлекательных целях общественным и частным пространствам, на которых проводятся детские игры</w:t>
      </w:r>
      <w:r w:rsidRPr="00D93542">
        <w:rPr>
          <w:rStyle w:val="ab"/>
        </w:rPr>
        <w:footnoteReference w:id="89"/>
      </w:r>
      <w:r>
        <w:t>;</w:t>
      </w:r>
    </w:p>
    <w:p w14:paraId="6ABE3BEC" w14:textId="77777777" w:rsidR="00CA1E90" w:rsidRPr="00A62EBB" w:rsidRDefault="00CA1E90" w:rsidP="00CA1E90">
      <w:pPr>
        <w:pStyle w:val="Bullet1G"/>
        <w:numPr>
          <w:ilvl w:val="0"/>
          <w:numId w:val="0"/>
        </w:numPr>
        <w:tabs>
          <w:tab w:val="left" w:pos="1701"/>
        </w:tabs>
        <w:ind w:left="1701" w:hanging="170"/>
      </w:pPr>
      <w:r w:rsidRPr="00A62EBB">
        <w:t>•</w:t>
      </w:r>
      <w:r>
        <w:tab/>
        <w:t>обеспечения доступности и возможностей использования лицами с инвалидностью ассистивных технологий и устройств и компенсаторных средств</w:t>
      </w:r>
      <w:r w:rsidRPr="00D93542">
        <w:rPr>
          <w:rStyle w:val="ab"/>
        </w:rPr>
        <w:footnoteReference w:id="90"/>
      </w:r>
      <w:r>
        <w:t>;</w:t>
      </w:r>
    </w:p>
    <w:p w14:paraId="1F0DBB1B" w14:textId="77777777" w:rsidR="00CA1E90" w:rsidRPr="00A62EBB" w:rsidRDefault="00CA1E90" w:rsidP="00CA1E90">
      <w:pPr>
        <w:pStyle w:val="Bullet1G"/>
        <w:numPr>
          <w:ilvl w:val="0"/>
          <w:numId w:val="0"/>
        </w:numPr>
        <w:tabs>
          <w:tab w:val="left" w:pos="1701"/>
        </w:tabs>
        <w:ind w:left="1701" w:hanging="170"/>
      </w:pPr>
      <w:r w:rsidRPr="00A62EBB">
        <w:t>•</w:t>
      </w:r>
      <w:r>
        <w:tab/>
        <w:t>поощрения прав лиц невысокого роста и формирования культуры уважительного, равного и недискриминационного отношения к таким лицам</w:t>
      </w:r>
      <w:r w:rsidRPr="00D93542">
        <w:rPr>
          <w:rStyle w:val="ab"/>
        </w:rPr>
        <w:footnoteReference w:id="91"/>
      </w:r>
      <w:r>
        <w:t>;</w:t>
      </w:r>
    </w:p>
    <w:p w14:paraId="6CCFC3A3" w14:textId="77777777" w:rsidR="00CA1E90" w:rsidRPr="00A62EBB" w:rsidRDefault="00CA1E90" w:rsidP="00CA1E90">
      <w:pPr>
        <w:pStyle w:val="Bullet1G"/>
        <w:numPr>
          <w:ilvl w:val="0"/>
          <w:numId w:val="0"/>
        </w:numPr>
        <w:tabs>
          <w:tab w:val="left" w:pos="1701"/>
        </w:tabs>
        <w:ind w:left="1701" w:hanging="170"/>
      </w:pPr>
      <w:r w:rsidRPr="00A62EBB">
        <w:t>•</w:t>
      </w:r>
      <w:r>
        <w:tab/>
        <w:t>квалификации в качестве нарушений и применения штрафных санкций в случаях ограничения доступа, нахождения или перемещения лиц с инвалидностью по зрению в сопровождении их собак-поводырей</w:t>
      </w:r>
      <w:r w:rsidRPr="00D93542">
        <w:rPr>
          <w:rStyle w:val="ab"/>
        </w:rPr>
        <w:footnoteReference w:id="92"/>
      </w:r>
      <w:r>
        <w:t>;</w:t>
      </w:r>
    </w:p>
    <w:p w14:paraId="79913355" w14:textId="77777777" w:rsidR="00CA1E90" w:rsidRPr="00A62EBB" w:rsidRDefault="00CA1E90" w:rsidP="00CA1E90">
      <w:pPr>
        <w:pStyle w:val="Bullet1G"/>
        <w:numPr>
          <w:ilvl w:val="0"/>
          <w:numId w:val="0"/>
        </w:numPr>
        <w:tabs>
          <w:tab w:val="left" w:pos="1701"/>
        </w:tabs>
        <w:ind w:left="1701" w:hanging="170"/>
      </w:pPr>
      <w:r w:rsidRPr="00A62EBB">
        <w:t>•</w:t>
      </w:r>
      <w:r>
        <w:tab/>
        <w:t>выдачи сертификатов об инвалидности уполномоченными сертифицирующими врачами государственных и частных медицинских учреждений</w:t>
      </w:r>
      <w:r w:rsidRPr="00D93542">
        <w:rPr>
          <w:rStyle w:val="ab"/>
        </w:rPr>
        <w:footnoteReference w:id="93"/>
      </w:r>
      <w:r>
        <w:t>;</w:t>
      </w:r>
    </w:p>
    <w:p w14:paraId="526B2C1A" w14:textId="77777777" w:rsidR="00CA1E90" w:rsidRPr="00A62EBB" w:rsidRDefault="00CA1E90" w:rsidP="00CA1E90">
      <w:pPr>
        <w:pStyle w:val="Bullet1G"/>
        <w:numPr>
          <w:ilvl w:val="0"/>
          <w:numId w:val="0"/>
        </w:numPr>
        <w:tabs>
          <w:tab w:val="left" w:pos="1701"/>
        </w:tabs>
        <w:ind w:left="1701" w:hanging="170"/>
      </w:pPr>
      <w:r w:rsidRPr="00A62EBB">
        <w:t>•</w:t>
      </w:r>
      <w:r>
        <w:tab/>
        <w:t>мер, предусматривающих предоставления лицам с тяжелыми формами инвалидности права на бесплатный проезд на наземном транспорте общего пользования городского и междугородного сообщения</w:t>
      </w:r>
      <w:r w:rsidRPr="00D93542">
        <w:rPr>
          <w:rStyle w:val="ab"/>
        </w:rPr>
        <w:footnoteReference w:id="94"/>
      </w:r>
      <w:r>
        <w:t>;</w:t>
      </w:r>
    </w:p>
    <w:p w14:paraId="7487D4C2" w14:textId="77777777" w:rsidR="00CA1E90" w:rsidRPr="00A62EBB" w:rsidRDefault="00CA1E90" w:rsidP="00CA1E90">
      <w:pPr>
        <w:pStyle w:val="Bullet1G"/>
        <w:numPr>
          <w:ilvl w:val="0"/>
          <w:numId w:val="0"/>
        </w:numPr>
        <w:tabs>
          <w:tab w:val="left" w:pos="1701"/>
        </w:tabs>
        <w:ind w:left="1701" w:hanging="170"/>
      </w:pPr>
      <w:r w:rsidRPr="00A62EBB">
        <w:t>•</w:t>
      </w:r>
      <w:r>
        <w:tab/>
        <w:t>установления правового режима, способствующего раннему выявлению и диагностике расстройств аутистического спектра, раннему медицинскому вмешательству, охране здоровья лиц с таким диагнозом, обеспечению их комплексного образования и их вовлечению в трудовые и социальные отношения</w:t>
      </w:r>
      <w:r w:rsidRPr="00D93542">
        <w:rPr>
          <w:rStyle w:val="ab"/>
        </w:rPr>
        <w:footnoteReference w:id="95"/>
      </w:r>
      <w:r>
        <w:t>;</w:t>
      </w:r>
    </w:p>
    <w:p w14:paraId="19FA0539" w14:textId="77777777" w:rsidR="00CA1E90" w:rsidRPr="00A62EBB" w:rsidRDefault="00CA1E90" w:rsidP="00CA1E90">
      <w:pPr>
        <w:pStyle w:val="Bullet1G"/>
        <w:numPr>
          <w:ilvl w:val="0"/>
          <w:numId w:val="0"/>
        </w:numPr>
        <w:tabs>
          <w:tab w:val="left" w:pos="1701"/>
        </w:tabs>
        <w:ind w:left="1701" w:hanging="170"/>
      </w:pPr>
      <w:r w:rsidRPr="00A62EBB">
        <w:t>•</w:t>
      </w:r>
      <w:r>
        <w:tab/>
        <w:t>регламентирования удаленной работы на дому в качестве особого способа предоставления трудовых услуг, при котором не требуется физического присутствия работника и могут использоваться информационно-коммуникационные технологии</w:t>
      </w:r>
      <w:r w:rsidRPr="00D93542">
        <w:rPr>
          <w:rStyle w:val="ab"/>
        </w:rPr>
        <w:footnoteReference w:id="96"/>
      </w:r>
      <w:r>
        <w:t>;</w:t>
      </w:r>
    </w:p>
    <w:p w14:paraId="27A7212B" w14:textId="77777777" w:rsidR="00CA1E90" w:rsidRPr="00A62EBB" w:rsidRDefault="00CA1E90" w:rsidP="00CA1E90">
      <w:pPr>
        <w:pStyle w:val="Bullet1G"/>
        <w:numPr>
          <w:ilvl w:val="0"/>
          <w:numId w:val="0"/>
        </w:numPr>
        <w:tabs>
          <w:tab w:val="left" w:pos="1701"/>
        </w:tabs>
        <w:ind w:left="1701" w:hanging="170"/>
      </w:pPr>
      <w:r w:rsidRPr="00A62EBB">
        <w:t>•</w:t>
      </w:r>
      <w:r>
        <w:tab/>
        <w:t>продление послеродового отпуска матерям ребенка с инвалидностью</w:t>
      </w:r>
      <w:r w:rsidRPr="00D93542">
        <w:rPr>
          <w:rStyle w:val="ab"/>
        </w:rPr>
        <w:footnoteReference w:id="97"/>
      </w:r>
      <w:r>
        <w:t>;</w:t>
      </w:r>
    </w:p>
    <w:p w14:paraId="51B030B5" w14:textId="77777777" w:rsidR="00CA1E90" w:rsidRPr="00A62EBB" w:rsidRDefault="00CA1E90" w:rsidP="00CA1E90">
      <w:pPr>
        <w:pStyle w:val="Bullet1G"/>
        <w:numPr>
          <w:ilvl w:val="0"/>
          <w:numId w:val="0"/>
        </w:numPr>
        <w:tabs>
          <w:tab w:val="left" w:pos="1701"/>
        </w:tabs>
        <w:ind w:left="1701" w:hanging="170"/>
      </w:pPr>
      <w:r w:rsidRPr="00A62EBB">
        <w:t>•</w:t>
      </w:r>
      <w:r>
        <w:tab/>
        <w:t>предоставления работникам государственных и частных предприятий краткосрочного отпуска для получения медицинской помощи и реабилитационных услуг для их несовершеннолетних детей с инвалидностью, для несовершеннолетних лиц, находящихся под их попечительством, и для лиц с инвалидностью, находящихся на их иждивении или попечении</w:t>
      </w:r>
      <w:r w:rsidRPr="00D93542">
        <w:rPr>
          <w:rStyle w:val="ab"/>
        </w:rPr>
        <w:footnoteReference w:id="98"/>
      </w:r>
      <w:r>
        <w:t>;</w:t>
      </w:r>
    </w:p>
    <w:p w14:paraId="6F497188" w14:textId="77777777" w:rsidR="00CA1E90" w:rsidRPr="007F6380" w:rsidRDefault="00CA1E90" w:rsidP="00CA1E90">
      <w:pPr>
        <w:pStyle w:val="Bullet1G"/>
        <w:numPr>
          <w:ilvl w:val="0"/>
          <w:numId w:val="0"/>
        </w:numPr>
        <w:tabs>
          <w:tab w:val="left" w:pos="1701"/>
        </w:tabs>
        <w:ind w:left="1701" w:hanging="170"/>
      </w:pPr>
      <w:r w:rsidRPr="00A62EBB">
        <w:lastRenderedPageBreak/>
        <w:t>•</w:t>
      </w:r>
      <w:r>
        <w:tab/>
        <w:t>официального признания перуанского жестового языка в качестве языка лиц с нарушениями слуха на всей территории страны и требования к организациям предоставлять услуги переводчиков жестового языка</w:t>
      </w:r>
      <w:r w:rsidRPr="00D93542">
        <w:rPr>
          <w:rStyle w:val="ab"/>
        </w:rPr>
        <w:footnoteReference w:id="99"/>
      </w:r>
      <w:r w:rsidR="007F6380" w:rsidRPr="007F6380">
        <w:t>.</w:t>
      </w:r>
    </w:p>
    <w:p w14:paraId="6F95702E" w14:textId="77777777" w:rsidR="00CA1E90" w:rsidRDefault="00CA1E90" w:rsidP="00CA1E90">
      <w:pPr>
        <w:pStyle w:val="SingleTxtG"/>
      </w:pPr>
      <w:r>
        <w:t>77.</w:t>
      </w:r>
      <w:r>
        <w:tab/>
        <w:t>В рамках усилий по обеспечению надлежащего уровня жизни и социальной защиты лиц с инвалидностью в 2015 году была создана Программа выплаты пенсий лицам с инвалидностью тяжелой степени в ведении МИМП</w:t>
      </w:r>
      <w:r w:rsidRPr="00D93542">
        <w:rPr>
          <w:rStyle w:val="ab"/>
        </w:rPr>
        <w:footnoteReference w:id="100"/>
      </w:r>
      <w:r>
        <w:t>; в 2017 году она была передана в ведение МРСА</w:t>
      </w:r>
      <w:r w:rsidRPr="00D93542">
        <w:rPr>
          <w:rStyle w:val="ab"/>
        </w:rPr>
        <w:footnoteReference w:id="101"/>
      </w:r>
      <w:r>
        <w:t>. Для повышения качества жизни лиц с инвалидностью тяжелой степени, находящихся в ситуации нищеты, им назначается от государства пенсия, не предусматривающая предварительных взносов</w:t>
      </w:r>
      <w:r w:rsidRPr="00D93542">
        <w:rPr>
          <w:rStyle w:val="ab"/>
        </w:rPr>
        <w:footnoteReference w:id="102"/>
      </w:r>
      <w:r>
        <w:t>.</w:t>
      </w:r>
      <w:r w:rsidR="009227CF">
        <w:t xml:space="preserve"> </w:t>
      </w:r>
    </w:p>
    <w:p w14:paraId="52FD85A1" w14:textId="77777777" w:rsidR="00CA1E90" w:rsidRDefault="00CA1E90" w:rsidP="00CA1E90">
      <w:pPr>
        <w:pStyle w:val="SingleTxtG"/>
      </w:pPr>
      <w:r>
        <w:t>78.</w:t>
      </w:r>
      <w:r>
        <w:tab/>
        <w:t>Следует отметить, что в период с 2017 года по июль 2019 года помощь получили 54 235 человек с инвалидностью тяжелой степени. В 2019 году эта программа будет осуществляться в 14 департаментах Перу</w:t>
      </w:r>
      <w:r w:rsidRPr="00D93542">
        <w:rPr>
          <w:rStyle w:val="ab"/>
        </w:rPr>
        <w:footnoteReference w:id="103"/>
      </w:r>
      <w:r>
        <w:t>.</w:t>
      </w:r>
    </w:p>
    <w:p w14:paraId="62FC4123" w14:textId="77777777" w:rsidR="00CA1E90" w:rsidRPr="00933DEB" w:rsidRDefault="00CA1E90" w:rsidP="00CA1E90">
      <w:pPr>
        <w:pStyle w:val="SingleTxtG"/>
        <w:rPr>
          <w:b/>
          <w:i/>
        </w:rPr>
      </w:pPr>
      <w:r>
        <w:t>79.</w:t>
      </w:r>
      <w:r>
        <w:tab/>
        <w:t>Перуанское государство признает и регулирует правоспособность лиц с инвалидностью на условиях равноправия</w:t>
      </w:r>
      <w:r w:rsidRPr="00D93542">
        <w:rPr>
          <w:rStyle w:val="ab"/>
        </w:rPr>
        <w:footnoteReference w:id="104"/>
      </w:r>
      <w:r>
        <w:t xml:space="preserve"> с 2018 года, когда в различные статьи Гражданского кодекса 1984 года были внесены соответствующие поправки, устанавливающие, что лица с инвалидностью могут в полной мере осуществлять свои права самостоятельно и наравне с другими. В соответствии этой нормой им не нужен никакой представитель для того, чтобы, среди прочего, голосовать, совершать покупки, продавать свое имущество, вступать в брак и осуществлять родительские обязанности по отношению к своим детям. Теперь они могут делать это сами. Если им это понадобится, они могут рассчитывать </w:t>
      </w:r>
      <w:r w:rsidRPr="00933DEB">
        <w:t xml:space="preserve">на помощь лица, оказывающего поддержку. Кроме того, еще одним важным моментом является то, что исчезает понятие </w:t>
      </w:r>
      <w:r w:rsidR="0082316A" w:rsidRPr="00933DEB">
        <w:rPr>
          <w:rStyle w:val="ab"/>
          <w:vertAlign w:val="baseline"/>
        </w:rPr>
        <w:t>«</w:t>
      </w:r>
      <w:r w:rsidRPr="00933DEB">
        <w:t>опекуна</w:t>
      </w:r>
      <w:r w:rsidR="0082316A" w:rsidRPr="00933DEB">
        <w:rPr>
          <w:rStyle w:val="ab"/>
          <w:vertAlign w:val="baseline"/>
        </w:rPr>
        <w:t>»</w:t>
      </w:r>
      <w:r w:rsidRPr="00933DEB">
        <w:t xml:space="preserve"> лиц с инвалидностью и появляются понятия </w:t>
      </w:r>
      <w:r w:rsidR="009227CF" w:rsidRPr="00933DEB">
        <w:rPr>
          <w:rStyle w:val="ab"/>
          <w:vertAlign w:val="baseline"/>
        </w:rPr>
        <w:t>«</w:t>
      </w:r>
      <w:r w:rsidRPr="00933DEB">
        <w:t>средств поддержки и гарантий</w:t>
      </w:r>
      <w:r w:rsidR="009227CF" w:rsidRPr="00933DEB">
        <w:rPr>
          <w:rStyle w:val="ab"/>
          <w:vertAlign w:val="baseline"/>
        </w:rPr>
        <w:t>»</w:t>
      </w:r>
      <w:r w:rsidRPr="00933DEB">
        <w:t>. Кроме того, исключается недобровольная институционализация лиц с инвалидностью и предусматривается возможность подачи ходатайства об отмене решения о лишении того или иного лица с инвалидностью гражданских прав, вынесенного до вступления в силу этой нормы.</w:t>
      </w:r>
      <w:r w:rsidR="009227CF" w:rsidRPr="00933DEB">
        <w:t xml:space="preserve"> </w:t>
      </w:r>
    </w:p>
    <w:p w14:paraId="025BB8C8" w14:textId="77777777" w:rsidR="00CA1E90" w:rsidRDefault="00CA1E90" w:rsidP="00CA1E90">
      <w:pPr>
        <w:pStyle w:val="SingleTxtG"/>
        <w:rPr>
          <w:b/>
          <w:i/>
        </w:rPr>
      </w:pPr>
      <w:r>
        <w:t>80.</w:t>
      </w:r>
      <w:r>
        <w:tab/>
        <w:t>В соответствии с вышеупомянутыми нормами были приняты надлежащие адаптационные меры, обеспечивающие переход к системе поддержки и гарантий. Так, судебной властью был утвержден Регламент перехода к системе поддержки с учетом социальной модели инвалидности</w:t>
      </w:r>
      <w:r w:rsidRPr="00D93542">
        <w:rPr>
          <w:rStyle w:val="ab"/>
        </w:rPr>
        <w:footnoteReference w:id="105"/>
      </w:r>
      <w:r>
        <w:t>, где прописаны правила и процедуры, позволяющие работникам системы правосудия в кратчайшие сроки осуществить правильный переход к системе поддержки лиц с инвалидностью, в отношении которых вынесено окончательное решение о назначении им опекунов или запущена процедура лишения их гражданских прав.</w:t>
      </w:r>
    </w:p>
    <w:p w14:paraId="13CC74B3" w14:textId="77777777" w:rsidR="00CA1E90" w:rsidRDefault="00CA1E90" w:rsidP="00CA1E90">
      <w:pPr>
        <w:pStyle w:val="SingleTxtG"/>
      </w:pPr>
      <w:r>
        <w:t>81.</w:t>
      </w:r>
      <w:r>
        <w:tab/>
        <w:t>Были также утверждены Руководящие принципы предоставления лицам с инвалидностью разумных приспособлений в процессе найма на работу и на рабочем месте, а также применяемые в частном секторе критерии определения несоразмерного или неоправданного бремени</w:t>
      </w:r>
      <w:r w:rsidRPr="00D93542">
        <w:rPr>
          <w:rStyle w:val="ab"/>
        </w:rPr>
        <w:footnoteReference w:id="106"/>
      </w:r>
      <w:r>
        <w:t>.</w:t>
      </w:r>
    </w:p>
    <w:p w14:paraId="25A5B8AB" w14:textId="77777777" w:rsidR="00CA1E90" w:rsidRDefault="00CA1E90" w:rsidP="00CA1E90">
      <w:pPr>
        <w:pStyle w:val="H23G"/>
      </w:pPr>
      <w:bookmarkStart w:id="48" w:name="_Toc19107168"/>
      <w:r>
        <w:lastRenderedPageBreak/>
        <w:tab/>
      </w:r>
      <w:r>
        <w:tab/>
      </w:r>
      <w:r>
        <w:rPr>
          <w:bCs/>
        </w:rPr>
        <w:t>Женщины</w:t>
      </w:r>
      <w:bookmarkEnd w:id="48"/>
    </w:p>
    <w:p w14:paraId="61AA4718" w14:textId="77777777" w:rsidR="00CA1E90" w:rsidRDefault="00CA1E90" w:rsidP="00CA1E90">
      <w:pPr>
        <w:pStyle w:val="SingleTxtG"/>
        <w:rPr>
          <w:rFonts w:eastAsia="Calibri"/>
        </w:rPr>
      </w:pPr>
      <w:r>
        <w:t>82.</w:t>
      </w:r>
      <w:r>
        <w:tab/>
        <w:t>Перу продолжает наращивать усилия по предупреждению и искоренению всех форм насилия в отношении женщин и наказанию за них. Так, в 2015 году был принят Закон № 30364 о предупреждении и искоренении насилия в отношении женщин и членов семьи и наказании за него</w:t>
      </w:r>
      <w:r w:rsidRPr="00D93542">
        <w:rPr>
          <w:rStyle w:val="ab"/>
          <w:rFonts w:eastAsia="Calibri"/>
        </w:rPr>
        <w:footnoteReference w:id="107"/>
      </w:r>
      <w:r>
        <w:t>, в соответствии с которым были созданы механизмы и разработаны комплексные программы, связанные с предупреждением насилия, оказанием помощи жертвам и их защитой, а также возмещением причиненного ущерба, и предусматривается судебное преследование, наказание и перевоспитание осужденных правонарушителей, с тем чтобы гарантировать женщинам и членам семьи жизнь, свободную от насилия, путем обеспечения полного осуществления их прав. Кроме того, в этом Законе предусматривается применение межведомственного подхода и указывается, что к числу факторов, порождающих насилие в отношении женщин, относится также инвалидность. В 2016 году был принят соответствующий подзаконный акт</w:t>
      </w:r>
      <w:r w:rsidRPr="00D93542">
        <w:rPr>
          <w:rStyle w:val="ab"/>
          <w:rFonts w:eastAsia="Calibri"/>
        </w:rPr>
        <w:footnoteReference w:id="108"/>
      </w:r>
      <w:r>
        <w:t>, где была прописана новая процедура защиты женщин и членов семьи от актов насилия и наказания за них.</w:t>
      </w:r>
      <w:r w:rsidR="009227CF">
        <w:t xml:space="preserve"> </w:t>
      </w:r>
    </w:p>
    <w:p w14:paraId="5C764ECA" w14:textId="77777777" w:rsidR="00CA1E90" w:rsidRDefault="00CA1E90" w:rsidP="00CA1E90">
      <w:pPr>
        <w:pStyle w:val="SingleTxtG"/>
      </w:pPr>
      <w:r>
        <w:t>83.</w:t>
      </w:r>
      <w:r>
        <w:tab/>
        <w:t>В течение этого периода были приняты законы и стратегии, направленные на ликвидацию гендерного насилия в отношении женщин в его различных формах и устранение неблагоприятных факторов, обуславливающих подчиненное положение женщин, с тем чтобы они могли на равноправной основе участвовать во всех сферах жизни, в т</w:t>
      </w:r>
      <w:r w:rsidR="007F6380" w:rsidRPr="007F6380">
        <w:t>.</w:t>
      </w:r>
      <w:r w:rsidR="007F6380">
        <w:rPr>
          <w:lang w:val="en-US"/>
        </w:rPr>
        <w:t> </w:t>
      </w:r>
      <w:r>
        <w:t>ч</w:t>
      </w:r>
      <w:r w:rsidR="007F6380" w:rsidRPr="007F6380">
        <w:t>.</w:t>
      </w:r>
      <w:r>
        <w:t xml:space="preserve"> меры в следующих областях:</w:t>
      </w:r>
    </w:p>
    <w:p w14:paraId="41B98AE0" w14:textId="77777777" w:rsidR="00CA1E90" w:rsidRDefault="009418D1" w:rsidP="009418D1">
      <w:pPr>
        <w:pStyle w:val="SingleTxtG"/>
        <w:rPr>
          <w:rFonts w:eastAsia="Calibri"/>
        </w:rPr>
      </w:pPr>
      <w:r>
        <w:tab/>
      </w:r>
      <w:r>
        <w:tab/>
      </w:r>
      <w:r w:rsidR="00CA1E90">
        <w:t>i)</w:t>
      </w:r>
      <w:r w:rsidR="00CA1E90">
        <w:tab/>
      </w:r>
      <w:r w:rsidR="00CA1E90" w:rsidRPr="009418D1">
        <w:t>общегосударственная</w:t>
      </w:r>
      <w:r w:rsidR="00CA1E90">
        <w:t xml:space="preserve"> политика, направленная на борьбу с гендерным насилием:</w:t>
      </w:r>
    </w:p>
    <w:p w14:paraId="06119802" w14:textId="77777777" w:rsidR="00CA1E90" w:rsidRPr="00A62EBB" w:rsidRDefault="00CA1E90" w:rsidP="009418D1">
      <w:pPr>
        <w:pStyle w:val="Bullet1G"/>
        <w:rPr>
          <w:rFonts w:eastAsia="Calibri"/>
        </w:rPr>
      </w:pPr>
      <w:r>
        <w:tab/>
      </w:r>
      <w:r w:rsidRPr="009418D1">
        <w:t>национальная</w:t>
      </w:r>
      <w:r>
        <w:t xml:space="preserve"> политика обеспечения гендерного равенства</w:t>
      </w:r>
      <w:r w:rsidRPr="00D93542">
        <w:rPr>
          <w:rStyle w:val="ab"/>
          <w:rFonts w:eastAsia="Calibri"/>
        </w:rPr>
        <w:footnoteReference w:id="109"/>
      </w:r>
      <w:r>
        <w:t>, направленная на решение проблемы структурной дискриминации в отношении женщин и поощрение равенства и недискриминации между мужчинами и женщинами, а также обеспечение защиты детей, подростков и женщин от любых видов насилия;</w:t>
      </w:r>
    </w:p>
    <w:p w14:paraId="6C013607" w14:textId="77777777" w:rsidR="00CA1E90" w:rsidRPr="00A62EBB" w:rsidRDefault="00CA1E90" w:rsidP="009418D1">
      <w:pPr>
        <w:pStyle w:val="Bullet1G"/>
        <w:rPr>
          <w:rFonts w:eastAsia="Calibri"/>
        </w:rPr>
      </w:pPr>
      <w:r>
        <w:t>Национальный план по борьбе с гендерным насилием на 2016</w:t>
      </w:r>
      <w:r w:rsidR="009418D1" w:rsidRPr="009418D1">
        <w:t>–</w:t>
      </w:r>
      <w:r>
        <w:t>2021 годы</w:t>
      </w:r>
      <w:r w:rsidRPr="00D93542">
        <w:rPr>
          <w:rStyle w:val="ab"/>
          <w:rFonts w:eastAsia="Calibri"/>
        </w:rPr>
        <w:footnoteReference w:id="110"/>
      </w:r>
      <w:r>
        <w:t xml:space="preserve">, являющийся инструментом улучшения межведомственной координации в целях решения комплексной проблемы гендерного насилия в отношении женщин; </w:t>
      </w:r>
    </w:p>
    <w:p w14:paraId="05829851" w14:textId="77777777" w:rsidR="00CA1E90" w:rsidRDefault="009418D1" w:rsidP="009418D1">
      <w:pPr>
        <w:pStyle w:val="SingleTxtG"/>
        <w:rPr>
          <w:rFonts w:eastAsia="Calibri"/>
        </w:rPr>
      </w:pPr>
      <w:r>
        <w:tab/>
      </w:r>
      <w:r>
        <w:tab/>
      </w:r>
      <w:r w:rsidR="00CA1E90">
        <w:t>ii)</w:t>
      </w:r>
      <w:r w:rsidR="00CA1E90">
        <w:tab/>
        <w:t>насилие в отношении женщин и членов семьи:</w:t>
      </w:r>
    </w:p>
    <w:p w14:paraId="7E1A12F2"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внесение изменений в подзаконный акт, регулирующий применение Закона №</w:t>
      </w:r>
      <w:r w:rsidR="009418D1">
        <w:rPr>
          <w:lang w:val="en-US"/>
        </w:rPr>
        <w:t> </w:t>
      </w:r>
      <w:r>
        <w:t>30364 о предупреждении и искоренении насилия в отношении женщин и членов семьи и наказании за него</w:t>
      </w:r>
      <w:r w:rsidRPr="00D93542">
        <w:rPr>
          <w:rStyle w:val="ab"/>
          <w:rFonts w:eastAsia="Calibri"/>
        </w:rPr>
        <w:footnoteReference w:id="111"/>
      </w:r>
      <w:r>
        <w:t>;</w:t>
      </w:r>
    </w:p>
    <w:p w14:paraId="4955BE9B"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усиление мер по предупреждению и искоренению всех форм насилия в отношении женщин и членов семьи и наказанию за них путем совершенствования механизмов оказания помощи жертвам и их защиты, особенно рамок, регулирующих меры защиты</w:t>
      </w:r>
      <w:r w:rsidRPr="00D93542">
        <w:rPr>
          <w:rStyle w:val="ab"/>
          <w:rFonts w:eastAsia="Calibri"/>
        </w:rPr>
        <w:footnoteReference w:id="112"/>
      </w:r>
      <w:r>
        <w:t>;</w:t>
      </w:r>
    </w:p>
    <w:p w14:paraId="797E2156"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 xml:space="preserve">оказание, мониторинг, оценка и организационное оформление специализированных услуг в координации с тремя ветвями власти в целях активизации усилий по предупреждению насилия в семье посредством действий и мер, направленных на выявление факторов риска, урегулирование </w:t>
      </w:r>
      <w:r>
        <w:lastRenderedPageBreak/>
        <w:t>конфликтных ситуаций, искоренение дискриминации и насилия в отношениях между членами семьи, которые влияют на их мирное сосуществование на основе принципа демократизма</w:t>
      </w:r>
      <w:r w:rsidRPr="00D93542">
        <w:rPr>
          <w:rStyle w:val="ab"/>
          <w:rFonts w:eastAsia="Calibri"/>
        </w:rPr>
        <w:footnoteReference w:id="113"/>
      </w:r>
      <w:r>
        <w:t>;</w:t>
      </w:r>
    </w:p>
    <w:p w14:paraId="76D1E90F"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запрет на применение телесных и унижающих достоинство наказаний в отношении детей и подростков</w:t>
      </w:r>
      <w:r w:rsidRPr="00D93542">
        <w:rPr>
          <w:rStyle w:val="ab"/>
          <w:rFonts w:eastAsia="Calibri"/>
        </w:rPr>
        <w:footnoteReference w:id="114"/>
      </w:r>
      <w:r>
        <w:t>;</w:t>
      </w:r>
    </w:p>
    <w:p w14:paraId="6DE6D85C"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процедура выявления, диагностики и лечения для восстановления психического здоровья женщин, которые подверглись насилию со стороны партнера или бывшего партнера и которые обращаются в медицинские пункты при учреждениях, оказывающих медицинские услуги</w:t>
      </w:r>
      <w:r w:rsidRPr="00D93542">
        <w:rPr>
          <w:rStyle w:val="ab"/>
          <w:rFonts w:eastAsia="Calibri"/>
        </w:rPr>
        <w:footnoteReference w:id="115"/>
      </w:r>
      <w:r>
        <w:t>;</w:t>
      </w:r>
    </w:p>
    <w:p w14:paraId="4C0741A0"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гарантирование женщинам и мужчинам осуществления их прав на основе обеспечения равенства, уважения достоинства, свободного развития, благосостояния и самостоятельности и пресечения дискриминации во всех сферах их жизни, как общественной, так и частной, в интересах достижения полного равенства</w:t>
      </w:r>
      <w:r w:rsidRPr="00D93542">
        <w:rPr>
          <w:rStyle w:val="ab"/>
          <w:rFonts w:eastAsia="Calibri"/>
        </w:rPr>
        <w:footnoteReference w:id="116"/>
      </w:r>
      <w:r>
        <w:t>;</w:t>
      </w:r>
    </w:p>
    <w:p w14:paraId="4D6D68DF"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усиление норм, касающихся предупреждения и искоренения насилия в отношении женщин и членов семьи и наказании за него</w:t>
      </w:r>
      <w:r w:rsidRPr="00D93542">
        <w:rPr>
          <w:rStyle w:val="ab"/>
          <w:rFonts w:eastAsia="Calibri"/>
        </w:rPr>
        <w:footnoteReference w:id="117"/>
      </w:r>
      <w:r>
        <w:t>;</w:t>
      </w:r>
    </w:p>
    <w:p w14:paraId="795D135E"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усиление мер по борьбе с нарушениями прав трудящихся, ставших жертвами насилия</w:t>
      </w:r>
      <w:r w:rsidRPr="00D93542">
        <w:rPr>
          <w:rStyle w:val="ab"/>
          <w:rFonts w:eastAsia="Calibri"/>
        </w:rPr>
        <w:footnoteReference w:id="118"/>
      </w:r>
      <w:r>
        <w:t>;</w:t>
      </w:r>
    </w:p>
    <w:p w14:paraId="02BCED9F"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разработка обязательных к соблюдению руководящих принципов обеспечения качественного ухода в вышеупомянутых центрах экстренной помощи женщинам</w:t>
      </w:r>
      <w:r w:rsidRPr="00D93542">
        <w:rPr>
          <w:rStyle w:val="ab"/>
          <w:rFonts w:eastAsia="Calibri"/>
        </w:rPr>
        <w:footnoteReference w:id="119"/>
      </w:r>
      <w:r>
        <w:t>;</w:t>
      </w:r>
    </w:p>
    <w:p w14:paraId="24F4929A" w14:textId="77777777" w:rsidR="00CA1E90" w:rsidRPr="00A62EBB" w:rsidRDefault="009418D1" w:rsidP="009418D1">
      <w:pPr>
        <w:pStyle w:val="SingleTxtG"/>
        <w:rPr>
          <w:rFonts w:eastAsia="Calibri"/>
        </w:rPr>
      </w:pPr>
      <w:r>
        <w:tab/>
      </w:r>
      <w:r>
        <w:tab/>
      </w:r>
      <w:r w:rsidR="00CA1E90">
        <w:t>iii)</w:t>
      </w:r>
      <w:r w:rsidR="00CA1E90">
        <w:tab/>
      </w:r>
      <w:r w:rsidR="00CA1E90" w:rsidRPr="009418D1">
        <w:t>феминицид</w:t>
      </w:r>
      <w:r w:rsidR="00CA1E90">
        <w:t>:</w:t>
      </w:r>
    </w:p>
    <w:p w14:paraId="55A8ED5F"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усиление борьбы с феминицидом и бытовым и гендерным насилием, в рамках которой в различные статьи Уголовного кодекса вносятся соответствующие поправки</w:t>
      </w:r>
      <w:r w:rsidRPr="00D93542">
        <w:rPr>
          <w:rStyle w:val="ab"/>
          <w:rFonts w:eastAsia="Calibri"/>
        </w:rPr>
        <w:footnoteReference w:id="120"/>
      </w:r>
      <w:r>
        <w:t>;</w:t>
      </w:r>
    </w:p>
    <w:p w14:paraId="4CA734AC"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 xml:space="preserve">включение в Уголовный кодекс статьи </w:t>
      </w:r>
      <w:r w:rsidR="009227CF" w:rsidRPr="00E24F35">
        <w:rPr>
          <w:rStyle w:val="ab"/>
          <w:vertAlign w:val="baseline"/>
        </w:rPr>
        <w:t>«</w:t>
      </w:r>
      <w:r w:rsidRPr="00E24F35">
        <w:t>Феминицид</w:t>
      </w:r>
      <w:r w:rsidR="009227CF" w:rsidRPr="00E24F35">
        <w:rPr>
          <w:rStyle w:val="ab"/>
          <w:vertAlign w:val="baseline"/>
        </w:rPr>
        <w:t>»</w:t>
      </w:r>
      <w:r w:rsidRPr="00E24F35">
        <w:rPr>
          <w:rStyle w:val="ab"/>
          <w:rFonts w:eastAsia="Calibri"/>
        </w:rPr>
        <w:footnoteReference w:id="121"/>
      </w:r>
      <w:r w:rsidRPr="00E24F35">
        <w:t>;</w:t>
      </w:r>
    </w:p>
    <w:p w14:paraId="459C782F" w14:textId="77777777" w:rsidR="00CA1E90" w:rsidRPr="00A62EBB" w:rsidRDefault="009418D1" w:rsidP="009418D1">
      <w:pPr>
        <w:pStyle w:val="SingleTxtG"/>
        <w:rPr>
          <w:rFonts w:eastAsia="Calibri"/>
        </w:rPr>
      </w:pPr>
      <w:r>
        <w:tab/>
      </w:r>
      <w:r>
        <w:tab/>
      </w:r>
      <w:r w:rsidR="00CA1E90">
        <w:t>iv)</w:t>
      </w:r>
      <w:r w:rsidR="00CA1E90">
        <w:tab/>
        <w:t>сексуальные домогательства:</w:t>
      </w:r>
    </w:p>
    <w:p w14:paraId="1EBB8AC7" w14:textId="77777777" w:rsidR="00CA1E90" w:rsidRPr="00A62EBB" w:rsidRDefault="00CA1E90" w:rsidP="00CA1E90">
      <w:pPr>
        <w:pStyle w:val="Bullet1G"/>
        <w:numPr>
          <w:ilvl w:val="0"/>
          <w:numId w:val="0"/>
        </w:numPr>
        <w:tabs>
          <w:tab w:val="left" w:pos="1701"/>
        </w:tabs>
        <w:ind w:left="1701" w:hanging="170"/>
        <w:rPr>
          <w:rFonts w:eastAsia="Calibri"/>
          <w:b/>
        </w:rPr>
      </w:pPr>
      <w:r w:rsidRPr="00A62EBB">
        <w:rPr>
          <w:rFonts w:eastAsia="Calibri"/>
        </w:rPr>
        <w:t>•</w:t>
      </w:r>
      <w:r>
        <w:tab/>
        <w:t>предупреждение сексуальных домогательств в рамках отношений, характеризующихся зависимостью или служебным подчинением, независимо от правовой формы таких отношений, и наказание за них</w:t>
      </w:r>
      <w:r w:rsidRPr="00D93542">
        <w:rPr>
          <w:rStyle w:val="ab"/>
          <w:rFonts w:eastAsia="Calibri"/>
        </w:rPr>
        <w:footnoteReference w:id="122"/>
      </w:r>
      <w:r>
        <w:t>;</w:t>
      </w:r>
    </w:p>
    <w:p w14:paraId="1BC7B6C2" w14:textId="77777777" w:rsidR="00CA1E90" w:rsidRPr="00A62EBB" w:rsidRDefault="009418D1" w:rsidP="007F6380">
      <w:pPr>
        <w:pStyle w:val="SingleTxtG"/>
        <w:pageBreakBefore/>
        <w:rPr>
          <w:rFonts w:eastAsia="Calibri"/>
        </w:rPr>
      </w:pPr>
      <w:r>
        <w:lastRenderedPageBreak/>
        <w:tab/>
      </w:r>
      <w:r>
        <w:tab/>
      </w:r>
      <w:r w:rsidR="00CA1E90">
        <w:t>v)</w:t>
      </w:r>
      <w:r w:rsidR="00CA1E90">
        <w:tab/>
        <w:t>сексуальные домогательства в общественных местах:</w:t>
      </w:r>
    </w:p>
    <w:p w14:paraId="57BAE85F"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предупреждение сексуальных домогательств в общественных местах, которые затрагивают права индивида, особенно права женщин, и наказание за них</w:t>
      </w:r>
      <w:r w:rsidRPr="00D93542">
        <w:rPr>
          <w:rStyle w:val="ab"/>
          <w:rFonts w:eastAsia="Calibri"/>
        </w:rPr>
        <w:footnoteReference w:id="123"/>
      </w:r>
      <w:r>
        <w:t>;</w:t>
      </w:r>
    </w:p>
    <w:p w14:paraId="387171AF" w14:textId="77777777" w:rsidR="00CA1E90" w:rsidRPr="00A62EBB" w:rsidRDefault="00CA1E90" w:rsidP="00CA1E90">
      <w:pPr>
        <w:pStyle w:val="Bullet1G"/>
        <w:numPr>
          <w:ilvl w:val="0"/>
          <w:numId w:val="0"/>
        </w:numPr>
        <w:tabs>
          <w:tab w:val="left" w:pos="1701"/>
        </w:tabs>
        <w:ind w:left="1701" w:hanging="170"/>
        <w:rPr>
          <w:rFonts w:eastAsia="Calibri"/>
        </w:rPr>
      </w:pPr>
      <w:r w:rsidRPr="00A62EBB">
        <w:rPr>
          <w:rFonts w:eastAsia="Calibri"/>
        </w:rPr>
        <w:t>•</w:t>
      </w:r>
      <w:r>
        <w:tab/>
        <w:t>наказание за акты домогательств во всех их формах, включая сексуальные домогательства и сексуальный шантаж, и внесение поправок в Закон № 27942 и Закон № 30057</w:t>
      </w:r>
      <w:r w:rsidRPr="00D93542">
        <w:rPr>
          <w:rStyle w:val="ab"/>
          <w:rFonts w:eastAsia="Calibri"/>
        </w:rPr>
        <w:footnoteReference w:id="124"/>
      </w:r>
      <w:r>
        <w:t>.</w:t>
      </w:r>
    </w:p>
    <w:p w14:paraId="73231300" w14:textId="77777777" w:rsidR="00CA1E90" w:rsidRDefault="00CA1E90" w:rsidP="00CA1E90">
      <w:pPr>
        <w:pStyle w:val="SingleTxtG"/>
        <w:rPr>
          <w:rFonts w:eastAsia="Calibri"/>
        </w:rPr>
      </w:pPr>
      <w:r>
        <w:t>84.</w:t>
      </w:r>
      <w:r>
        <w:tab/>
        <w:t>Кроме того, важно отметить, что в течение 2017 года двадцать восемь (28) местных органов власти и пять провинциальных органов власти</w:t>
      </w:r>
      <w:r w:rsidRPr="00D93542">
        <w:rPr>
          <w:rStyle w:val="ab"/>
          <w:rFonts w:eastAsia="Calibri"/>
        </w:rPr>
        <w:footnoteReference w:id="125"/>
      </w:r>
      <w:r>
        <w:t xml:space="preserve"> приняли региональные и муниципальные постановления о предупреждении сексуальных домогательств в общественных местах и наказании за них.</w:t>
      </w:r>
    </w:p>
    <w:p w14:paraId="239CCB55" w14:textId="77777777" w:rsidR="00CA1E90" w:rsidRDefault="00CA1E90" w:rsidP="00CA1E90">
      <w:pPr>
        <w:pStyle w:val="SingleTxtG"/>
      </w:pPr>
      <w:r>
        <w:t>85.</w:t>
      </w:r>
      <w:r>
        <w:tab/>
        <w:t>Так, в целях борьбы с сексуальными домогательствами были утверждены Руководящие принципы подготовки внутренних нормативных документов в отношении предупреждения и пресечения случаев сексуальных домогательств в университетской среде</w:t>
      </w:r>
      <w:r w:rsidRPr="00D93542">
        <w:rPr>
          <w:rStyle w:val="ab"/>
        </w:rPr>
        <w:footnoteReference w:id="126"/>
      </w:r>
      <w:r>
        <w:t>. Впоследствии, в 2018 году, был утвержден Протокол о совместных действиях центров экстренной помощи женщинам и/или специализированных комиссариатов по защите от бытового насилия Национальной полиции Перу</w:t>
      </w:r>
      <w:r w:rsidRPr="00D93542">
        <w:rPr>
          <w:rStyle w:val="ab"/>
        </w:rPr>
        <w:footnoteReference w:id="127"/>
      </w:r>
      <w:r>
        <w:t>.</w:t>
      </w:r>
    </w:p>
    <w:p w14:paraId="513137BF" w14:textId="77777777" w:rsidR="00CA1E90" w:rsidRDefault="00CA1E90" w:rsidP="00CA1E90">
      <w:pPr>
        <w:pStyle w:val="SingleTxtG"/>
        <w:rPr>
          <w:rFonts w:eastAsia="Calibri"/>
        </w:rPr>
      </w:pPr>
      <w:r>
        <w:t>86.</w:t>
      </w:r>
      <w:r>
        <w:tab/>
        <w:t>Что касается насилия в отношении женщин, то следует отметить, что в 2017</w:t>
      </w:r>
      <w:r w:rsidR="00933DEB">
        <w:t> </w:t>
      </w:r>
      <w:r>
        <w:t>году в стране действовало 295 центров экстренной помощи женщинам (ЦЭПЖ), которые занимались в общей сложности 95</w:t>
      </w:r>
      <w:r w:rsidR="00540490">
        <w:rPr>
          <w:lang w:val="en-US"/>
        </w:rPr>
        <w:t> </w:t>
      </w:r>
      <w:r>
        <w:t>317 случаями насилия в отношении женщин и членов семьи и сексуального насилия. Кроме того, в 2017 году Служба неотложной помощи (СНП) Национальной программы мер по борьбе с бытовым и сексуальным насилием</w:t>
      </w:r>
      <w:r w:rsidRPr="00D93542">
        <w:rPr>
          <w:rStyle w:val="ab"/>
          <w:rFonts w:eastAsia="Calibri"/>
        </w:rPr>
        <w:footnoteReference w:id="128"/>
      </w:r>
      <w:r>
        <w:t xml:space="preserve"> МИМП оказала неотложную помощь 4040 жертвам насилия в отношении женщин и членов семьи</w:t>
      </w:r>
      <w:r w:rsidRPr="00D93542">
        <w:rPr>
          <w:rStyle w:val="ab"/>
          <w:rFonts w:eastAsia="Calibri"/>
        </w:rPr>
        <w:footnoteReference w:id="129"/>
      </w:r>
      <w:r>
        <w:t>.</w:t>
      </w:r>
    </w:p>
    <w:p w14:paraId="6834793E" w14:textId="77777777" w:rsidR="00CA1E90" w:rsidRDefault="00CA1E90" w:rsidP="00CA1E90">
      <w:pPr>
        <w:pStyle w:val="SingleTxtG"/>
        <w:rPr>
          <w:rFonts w:eastAsia="Calibri"/>
        </w:rPr>
      </w:pPr>
      <w:r>
        <w:t>87.</w:t>
      </w:r>
      <w:r>
        <w:tab/>
      </w:r>
      <w:r w:rsidRPr="00933DEB">
        <w:t xml:space="preserve">В 2017 году по бесплатной телефонной </w:t>
      </w:r>
      <w:r w:rsidR="009227CF" w:rsidRPr="00933DEB">
        <w:rPr>
          <w:rStyle w:val="ab"/>
          <w:vertAlign w:val="baseline"/>
        </w:rPr>
        <w:t>«</w:t>
      </w:r>
      <w:r w:rsidRPr="00933DEB">
        <w:t>горячей линии</w:t>
      </w:r>
      <w:r w:rsidR="009227CF" w:rsidRPr="00933DEB">
        <w:rPr>
          <w:rStyle w:val="ab"/>
          <w:vertAlign w:val="baseline"/>
        </w:rPr>
        <w:t>»</w:t>
      </w:r>
      <w:r w:rsidRPr="00933DEB">
        <w:t xml:space="preserve"> (</w:t>
      </w:r>
      <w:r w:rsidR="009227CF" w:rsidRPr="00933DEB">
        <w:rPr>
          <w:rStyle w:val="ab"/>
          <w:vertAlign w:val="baseline"/>
        </w:rPr>
        <w:t>«</w:t>
      </w:r>
      <w:r w:rsidRPr="00933DEB">
        <w:t>Линия 100</w:t>
      </w:r>
      <w:r w:rsidR="0082316A" w:rsidRPr="00933DEB">
        <w:rPr>
          <w:rStyle w:val="ab"/>
          <w:vertAlign w:val="baseline"/>
        </w:rPr>
        <w:t>»</w:t>
      </w:r>
      <w:r w:rsidRPr="00933DEB">
        <w:t>) было предоставлено 65</w:t>
      </w:r>
      <w:r w:rsidR="00540490">
        <w:rPr>
          <w:lang w:val="en-US"/>
        </w:rPr>
        <w:t> </w:t>
      </w:r>
      <w:r w:rsidRPr="00933DEB">
        <w:t xml:space="preserve">068 консультаций, в подавляющем большинстве случаев </w:t>
      </w:r>
      <w:r w:rsidR="009418D1" w:rsidRPr="009418D1">
        <w:t>—</w:t>
      </w:r>
      <w:r w:rsidRPr="00933DEB">
        <w:t xml:space="preserve"> женщинам (55</w:t>
      </w:r>
      <w:r w:rsidR="00540490">
        <w:rPr>
          <w:lang w:val="en-US"/>
        </w:rPr>
        <w:t> </w:t>
      </w:r>
      <w:r w:rsidRPr="00933DEB">
        <w:t>058 консультаций), причем основной причиной обращения за консультаций было физико-психологическое насилие (28</w:t>
      </w:r>
      <w:r w:rsidR="00540490">
        <w:rPr>
          <w:lang w:val="en-US"/>
        </w:rPr>
        <w:t> </w:t>
      </w:r>
      <w:r w:rsidRPr="00933DEB">
        <w:t>812 консультаций), за которым следовало психологическое насилие (31</w:t>
      </w:r>
      <w:r w:rsidR="00540490">
        <w:rPr>
          <w:lang w:val="en-US"/>
        </w:rPr>
        <w:t> </w:t>
      </w:r>
      <w:r w:rsidRPr="00933DEB">
        <w:t>860 консультаций). 35</w:t>
      </w:r>
      <w:r w:rsidR="00D265AC">
        <w:t xml:space="preserve"> процент</w:t>
      </w:r>
      <w:r w:rsidR="00E24F35">
        <w:t>ов</w:t>
      </w:r>
      <w:r w:rsidRPr="00933DEB">
        <w:t xml:space="preserve"> звонивших были в возрасте 26</w:t>
      </w:r>
      <w:r w:rsidR="009418D1" w:rsidRPr="009418D1">
        <w:t>–</w:t>
      </w:r>
      <w:r w:rsidRPr="00933DEB">
        <w:t>35 лет, 31</w:t>
      </w:r>
      <w:r w:rsidR="00D265AC">
        <w:t xml:space="preserve"> процент</w:t>
      </w:r>
      <w:r w:rsidRPr="00933DEB">
        <w:t xml:space="preserve"> </w:t>
      </w:r>
      <w:r w:rsidR="00E24F35">
        <w:t>—</w:t>
      </w:r>
      <w:r w:rsidRPr="00933DEB">
        <w:t xml:space="preserve"> 36</w:t>
      </w:r>
      <w:r w:rsidR="009418D1" w:rsidRPr="009418D1">
        <w:t>–</w:t>
      </w:r>
      <w:r w:rsidRPr="00933DEB">
        <w:t>45 лет и 13</w:t>
      </w:r>
      <w:r w:rsidR="00D265AC">
        <w:t xml:space="preserve"> процент</w:t>
      </w:r>
      <w:r w:rsidR="009418D1">
        <w:t>ов</w:t>
      </w:r>
      <w:r w:rsidRPr="00933DEB">
        <w:t xml:space="preserve"> </w:t>
      </w:r>
      <w:r w:rsidR="009418D1">
        <w:t>—</w:t>
      </w:r>
      <w:r w:rsidRPr="00933DEB">
        <w:t xml:space="preserve"> </w:t>
      </w:r>
      <w:r w:rsidR="009418D1">
        <w:br/>
      </w:r>
      <w:r w:rsidRPr="00933DEB">
        <w:t>18</w:t>
      </w:r>
      <w:r w:rsidR="009418D1">
        <w:t>–</w:t>
      </w:r>
      <w:r w:rsidRPr="00933DEB">
        <w:t>25 лет. Следует отметить, что 58</w:t>
      </w:r>
      <w:r w:rsidR="00D265AC">
        <w:t xml:space="preserve"> процент</w:t>
      </w:r>
      <w:r w:rsidR="009418D1">
        <w:t>ов</w:t>
      </w:r>
      <w:r w:rsidRPr="00933DEB">
        <w:t xml:space="preserve"> обратившихся были направлены в ЦЭПЖ с целью оказания им помощи на межведомственной основе</w:t>
      </w:r>
      <w:r w:rsidRPr="00D93542">
        <w:rPr>
          <w:rStyle w:val="ab"/>
          <w:rFonts w:eastAsia="Calibri"/>
        </w:rPr>
        <w:footnoteReference w:id="130"/>
      </w:r>
      <w:r>
        <w:t>.</w:t>
      </w:r>
    </w:p>
    <w:p w14:paraId="401C3E14" w14:textId="77777777" w:rsidR="00CA1E90" w:rsidRDefault="00CA1E90" w:rsidP="00CA1E90">
      <w:pPr>
        <w:pStyle w:val="SingleTxtG"/>
      </w:pPr>
      <w:r>
        <w:t>88.</w:t>
      </w:r>
      <w:r>
        <w:tab/>
        <w:t>С другой стороны, усилия по признанию прав женщин в числе других групп населения, нуждающихся в особой защите, были предприняты и в такой сфере, как выборы; так, в Политической конституции Перу</w:t>
      </w:r>
      <w:r w:rsidRPr="00D93542">
        <w:rPr>
          <w:rStyle w:val="ab"/>
        </w:rPr>
        <w:footnoteReference w:id="131"/>
      </w:r>
      <w:r>
        <w:t xml:space="preserve"> установлены квоты, позволяющие обеспечивать представленность женщин, общин крестьян и аборигенного населения, а также исконных народов в региональных и муниципальных советах. В связи с этим в 2019 году в национальную избирательную систему были внесены изменения, в соответствии с которыми общий список кандидатов на первичных выборах должен состоять не менее чем из 40</w:t>
      </w:r>
      <w:r w:rsidR="00D265AC">
        <w:t xml:space="preserve"> процент</w:t>
      </w:r>
      <w:r w:rsidR="00540490">
        <w:t>ов</w:t>
      </w:r>
      <w:r>
        <w:t xml:space="preserve"> женщин или мужчин, и они должны </w:t>
      </w:r>
      <w:r>
        <w:lastRenderedPageBreak/>
        <w:t>фигурировать в этом списке вперемежку. Список по итогам первичных выборов составляется в соответствии с результатами голосования при соблюдении упомянутой выше минимальной квоты в 40</w:t>
      </w:r>
      <w:r w:rsidR="00D265AC">
        <w:t xml:space="preserve"> процент</w:t>
      </w:r>
      <w:r w:rsidR="009418D1">
        <w:t>ов</w:t>
      </w:r>
      <w:r>
        <w:t>; таким образом, кандидаты, набравшие наибольшее количество голосов, занимают первые места, но как только по кандидатам одного пола выбирается максимальная квота, в список включаются кандидаты противоположного пола, не выбравшего минимальную квоту. Аналогичным образом, при проведении всеобщих выборов учитываются результаты волеизъявления в рамках внутренней демократии, а кандидаты включаются в список вперемежку</w:t>
      </w:r>
      <w:r w:rsidRPr="00D93542">
        <w:rPr>
          <w:rStyle w:val="ab"/>
        </w:rPr>
        <w:footnoteReference w:id="132"/>
      </w:r>
      <w:r>
        <w:t>.</w:t>
      </w:r>
    </w:p>
    <w:p w14:paraId="16865717" w14:textId="77777777" w:rsidR="00CA1E90" w:rsidRDefault="00CA1E90" w:rsidP="00CA1E90">
      <w:pPr>
        <w:pStyle w:val="SingleTxtG"/>
      </w:pPr>
      <w:r>
        <w:t>89.</w:t>
      </w:r>
      <w:r>
        <w:tab/>
        <w:t>Следует отметить, что в связи со случаями принудительной стерилизации в Перу в период 1995</w:t>
      </w:r>
      <w:r w:rsidR="00933DEB">
        <w:t>–</w:t>
      </w:r>
      <w:r>
        <w:t>2001 годов, преимущественно в сельских районах перуанских Анд, жертвами которой стали главным образом женщины, в 2015 году было объявлено, что уделение приоритетного внимания жертвам принудительной стерилизации в период 1995</w:t>
      </w:r>
      <w:r w:rsidR="00933DEB">
        <w:t>–</w:t>
      </w:r>
      <w:r>
        <w:t>2001 годов является задачей общегосударственной важности, в связи с чем был создан Реестр жертв принудительной стерилизации, проведенной за этот период (РЕВИЕСФО)</w:t>
      </w:r>
      <w:r w:rsidRPr="00D93542">
        <w:rPr>
          <w:rStyle w:val="ab"/>
        </w:rPr>
        <w:footnoteReference w:id="133"/>
      </w:r>
      <w:r>
        <w:t>. Реестр, находящийся в ведении МЮПЧ, призван способствовать обеспечению доступа к правосудию посредством оказания бесплатной правовой помощи, психологической поддержки и иных услуг.</w:t>
      </w:r>
    </w:p>
    <w:p w14:paraId="3AC7CE52" w14:textId="77777777" w:rsidR="00CA1E90" w:rsidRDefault="00CA1E90" w:rsidP="00CA1E90">
      <w:pPr>
        <w:pStyle w:val="SingleTxtG"/>
      </w:pPr>
      <w:r>
        <w:t>90.</w:t>
      </w:r>
      <w:r>
        <w:tab/>
        <w:t>Были также утверждены: процедура внесения данных в РЕВИЕСФО</w:t>
      </w:r>
      <w:r w:rsidRPr="00D93542">
        <w:rPr>
          <w:rStyle w:val="ab"/>
        </w:rPr>
        <w:footnoteReference w:id="134"/>
      </w:r>
      <w:r>
        <w:t xml:space="preserve"> и приложение к Реестру, где приводится стандартная форма для сбора сведений, подлежащих внесению в РЕВИЕСФО (1995</w:t>
      </w:r>
      <w:r w:rsidR="009418D1">
        <w:t>–</w:t>
      </w:r>
      <w:r>
        <w:t>2001 годы). Кроме того, был утвержден график поэтапного принятия мер в контексте РЕВИЕСФО (1995</w:t>
      </w:r>
      <w:r w:rsidR="009418D1">
        <w:t>–</w:t>
      </w:r>
      <w:r>
        <w:t>2001 годы), где на первом этапе фигурировали департаменты Куско, Кахамарка, Пьюра, Уанкавелика и Лима</w:t>
      </w:r>
      <w:r w:rsidRPr="00D93542">
        <w:rPr>
          <w:rStyle w:val="ab"/>
        </w:rPr>
        <w:footnoteReference w:id="135"/>
      </w:r>
      <w:r>
        <w:t>. Министерское постановление № 161-2016-JUS положило начало второму этапу принятия мер в рамках РЕВИЕСФО.</w:t>
      </w:r>
    </w:p>
    <w:p w14:paraId="1E42E5C6" w14:textId="77777777" w:rsidR="00CA1E90" w:rsidRDefault="00CA1E90" w:rsidP="00CA1E90">
      <w:pPr>
        <w:pStyle w:val="SingleTxtG"/>
        <w:rPr>
          <w:rFonts w:eastAsia="Calibri"/>
        </w:rPr>
      </w:pPr>
      <w:r>
        <w:t>91.</w:t>
      </w:r>
      <w:r>
        <w:tab/>
        <w:t>Со своей стороны, МИМП утвердило в качестве специальной директивы Руководящие принципы оказания помощи жертвам принудительной стерилизации по линии ЦЭМП с целью установления критериев оказания внесенным в РЕВИЕСФО жертвам принудительной стерилизации помощи по линии ЦЭМП МИМП</w:t>
      </w:r>
      <w:r w:rsidRPr="00D93542">
        <w:rPr>
          <w:rStyle w:val="ab"/>
        </w:rPr>
        <w:footnoteReference w:id="136"/>
      </w:r>
      <w:r>
        <w:t>. Кроме того, в рамках Национального плана в области прав человека в сентябре 2018 года была создана рабочая группа с участием представителей государства и гражданского общества для анализа и решения проблем, с которыми сталкиваются жертвы принудительной стерилизации, имевшей место в период 1995</w:t>
      </w:r>
      <w:r w:rsidR="00933DEB">
        <w:t>–</w:t>
      </w:r>
      <w:r>
        <w:t>2001 годов</w:t>
      </w:r>
      <w:r w:rsidRPr="00D93542">
        <w:rPr>
          <w:rStyle w:val="ab"/>
        </w:rPr>
        <w:footnoteReference w:id="137"/>
      </w:r>
      <w:r>
        <w:t>.</w:t>
      </w:r>
    </w:p>
    <w:p w14:paraId="0775A96F" w14:textId="77777777" w:rsidR="00CA1E90" w:rsidRDefault="00CA1E90" w:rsidP="00CA1E90">
      <w:pPr>
        <w:pStyle w:val="H23G"/>
      </w:pPr>
      <w:bookmarkStart w:id="49" w:name="_Toc19107169"/>
      <w:r>
        <w:tab/>
      </w:r>
      <w:r>
        <w:tab/>
      </w:r>
      <w:r>
        <w:rPr>
          <w:bCs/>
        </w:rPr>
        <w:t>Дети и подростки</w:t>
      </w:r>
      <w:bookmarkEnd w:id="49"/>
    </w:p>
    <w:p w14:paraId="47F1CC42" w14:textId="77777777" w:rsidR="00CA1E90" w:rsidRDefault="00CA1E90" w:rsidP="00CA1E90">
      <w:pPr>
        <w:pStyle w:val="SingleTxtG"/>
      </w:pPr>
      <w:r>
        <w:t>92.</w:t>
      </w:r>
      <w:r>
        <w:tab/>
        <w:t xml:space="preserve">По данным РЕНИЕК, в 2018 году в стране насчитывался 10 494 651 ребенок и подросток, из которых 5 343 608 </w:t>
      </w:r>
      <w:r w:rsidR="006B4F27">
        <w:t>—</w:t>
      </w:r>
      <w:r>
        <w:t xml:space="preserve"> мужского пола и 5 151 043 </w:t>
      </w:r>
      <w:r w:rsidR="006B4F27">
        <w:t>—</w:t>
      </w:r>
      <w:r>
        <w:t xml:space="preserve"> женского</w:t>
      </w:r>
      <w:r w:rsidRPr="00D93542">
        <w:rPr>
          <w:rStyle w:val="ab"/>
        </w:rPr>
        <w:footnoteReference w:id="138"/>
      </w:r>
      <w:r>
        <w:t xml:space="preserve">. Стоит отметить, что в 2018 году в ОДЗС был добавлен, связанный с развитием детей в раннем возрасте модуль, который впервые позволит генерировать информацию, позволяющую оценивать надежную привязанность, а также регулировать эмоции и поведение детей в возрасте до </w:t>
      </w:r>
      <w:r w:rsidR="009418D1">
        <w:t>пяти</w:t>
      </w:r>
      <w:r>
        <w:t xml:space="preserve"> лет.</w:t>
      </w:r>
    </w:p>
    <w:p w14:paraId="2235DE04" w14:textId="77777777" w:rsidR="00CA1E90" w:rsidRDefault="00CA1E90" w:rsidP="00CA1E90">
      <w:pPr>
        <w:pStyle w:val="SingleTxtG"/>
      </w:pPr>
      <w:r>
        <w:t>93.</w:t>
      </w:r>
      <w:r>
        <w:tab/>
        <w:t xml:space="preserve">В дополнение к вышесказанному, одновременно с созданием МРСА для детей и подростков были разработаны Национальная </w:t>
      </w:r>
      <w:r w:rsidRPr="00933DEB">
        <w:t xml:space="preserve">программа </w:t>
      </w:r>
      <w:r w:rsidR="0082316A" w:rsidRPr="00933DEB">
        <w:rPr>
          <w:rStyle w:val="ab"/>
          <w:vertAlign w:val="baseline"/>
        </w:rPr>
        <w:t>«</w:t>
      </w:r>
      <w:r w:rsidRPr="00933DEB">
        <w:t>Куна Мас</w:t>
      </w:r>
      <w:r w:rsidR="0082316A" w:rsidRPr="00933DEB">
        <w:rPr>
          <w:rStyle w:val="ab"/>
          <w:vertAlign w:val="baseline"/>
        </w:rPr>
        <w:t>»</w:t>
      </w:r>
      <w:r w:rsidRPr="00933DEB">
        <w:t xml:space="preserve"> и Национальная программа школьного питания </w:t>
      </w:r>
      <w:r w:rsidR="0082316A" w:rsidRPr="00933DEB">
        <w:rPr>
          <w:rStyle w:val="ab"/>
          <w:vertAlign w:val="baseline"/>
        </w:rPr>
        <w:t>«</w:t>
      </w:r>
      <w:r w:rsidRPr="00933DEB">
        <w:t>Кали Варма</w:t>
      </w:r>
      <w:r w:rsidR="0082316A" w:rsidRPr="00933DEB">
        <w:rPr>
          <w:rStyle w:val="ab"/>
          <w:vertAlign w:val="baseline"/>
        </w:rPr>
        <w:t>»</w:t>
      </w:r>
      <w:r w:rsidRPr="00933DEB">
        <w:t xml:space="preserve">. Основная цель первой из </w:t>
      </w:r>
      <w:r w:rsidRPr="00933DEB">
        <w:lastRenderedPageBreak/>
        <w:t>них заключается в улучшении развития детей в возрасте до трех лет в зонах, где население проживает в нищете и крайней нищете. Для этого предлагаются два вида услуг: с одной стороны, организуется дневной уход, в рамках которого</w:t>
      </w:r>
      <w:r>
        <w:t xml:space="preserve"> обеспечивается комплексный уход за охваченными этой услугой детьми, требующими помощи в удовлетворении их основных потребностей с точки зрения охраны здоровья, питания, игровых занятий, обучения и развития навыков. с другой стороны, охваченным этой услугой семьям оказывается поддержка в виде их посещений, во время которых в игровой форме и в семейном окружении проводятся обучающие занятия, прививаются навыки личной гигиены и, самое важное, поощряются проявления любви</w:t>
      </w:r>
      <w:r w:rsidRPr="00D93542">
        <w:rPr>
          <w:rStyle w:val="ab"/>
        </w:rPr>
        <w:footnoteReference w:id="139"/>
      </w:r>
      <w:r>
        <w:t>.</w:t>
      </w:r>
    </w:p>
    <w:p w14:paraId="0792F15C" w14:textId="77777777" w:rsidR="00CA1E90" w:rsidRDefault="00CA1E90" w:rsidP="00CA1E90">
      <w:pPr>
        <w:pStyle w:val="SingleTxtG"/>
      </w:pPr>
      <w:r>
        <w:t>94.</w:t>
      </w:r>
      <w:r>
        <w:tab/>
        <w:t>Следует отметить, что с 2013 года по июль 2019 года 398 080 детей были охвачены услугами по дневному уходу, а 574 591 семье была оказана поддержка на дому. Кроме того, в тот же период на оказание обеих услуг было израсходована сумма в размере 2 022 007 278,00 солей</w:t>
      </w:r>
      <w:r w:rsidRPr="00D93542">
        <w:rPr>
          <w:rStyle w:val="ab"/>
        </w:rPr>
        <w:footnoteReference w:id="140"/>
      </w:r>
      <w:r>
        <w:t>.</w:t>
      </w:r>
    </w:p>
    <w:p w14:paraId="2B4208DA" w14:textId="77777777" w:rsidR="00CA1E90" w:rsidRDefault="00CA1E90" w:rsidP="00CA1E90">
      <w:pPr>
        <w:pStyle w:val="SingleTxtG"/>
      </w:pPr>
      <w:r>
        <w:t>95.</w:t>
      </w:r>
      <w:r>
        <w:tab/>
      </w:r>
      <w:r w:rsidRPr="00933DEB">
        <w:t xml:space="preserve">Целью Национальной программы школьного питания </w:t>
      </w:r>
      <w:r w:rsidR="0082316A" w:rsidRPr="00933DEB">
        <w:rPr>
          <w:rStyle w:val="ab"/>
          <w:vertAlign w:val="baseline"/>
        </w:rPr>
        <w:t>«</w:t>
      </w:r>
      <w:r w:rsidRPr="00933DEB">
        <w:t>Кали Варма</w:t>
      </w:r>
      <w:r w:rsidR="0082316A" w:rsidRPr="00933DEB">
        <w:rPr>
          <w:rStyle w:val="ab"/>
          <w:vertAlign w:val="baseline"/>
        </w:rPr>
        <w:t>»</w:t>
      </w:r>
      <w:r w:rsidRPr="00933DEB">
        <w:t xml:space="preserve"> являются качественные услуги в области питания, адаптированные к местному рациону, оказываемые в координации с общиной и отвечающие требованиям устойчивости и безопасности для здоровья, для детей в системе дошкольного обучения (с трех лет) и в обычной системе базового образования, а также для детей и подростков в государственных учебных заведениях в районах проживания коренных народов Амазонии, включенных в официальную базу данных о коренных</w:t>
      </w:r>
      <w:r>
        <w:t xml:space="preserve"> народах</w:t>
      </w:r>
      <w:r w:rsidRPr="00D93542">
        <w:rPr>
          <w:rStyle w:val="ab"/>
        </w:rPr>
        <w:footnoteReference w:id="141"/>
      </w:r>
      <w:r>
        <w:t>.</w:t>
      </w:r>
    </w:p>
    <w:p w14:paraId="1F5A500A" w14:textId="77777777" w:rsidR="00CA1E90" w:rsidRDefault="00CA1E90" w:rsidP="00CA1E90">
      <w:pPr>
        <w:pStyle w:val="SingleTxtG"/>
      </w:pPr>
      <w:r>
        <w:t>96.</w:t>
      </w:r>
      <w:r>
        <w:tab/>
        <w:t>Следует отметить, что за период с 2013 года по июль 2019 года питание было организовано для 23 272 823 детей в 349 209 учебных заведениях. Кроме того, в тот же период на эти цели была израсходована сумма в размере 8 547 178 786,00 солей</w:t>
      </w:r>
      <w:r w:rsidRPr="00D93542">
        <w:rPr>
          <w:rStyle w:val="ab"/>
        </w:rPr>
        <w:footnoteReference w:id="142"/>
      </w:r>
      <w:r>
        <w:t>.</w:t>
      </w:r>
    </w:p>
    <w:p w14:paraId="66BD55FD" w14:textId="77777777" w:rsidR="00CA1E90" w:rsidRDefault="00CA1E90" w:rsidP="00CA1E90">
      <w:pPr>
        <w:pStyle w:val="SingleTxtG"/>
      </w:pPr>
      <w:r>
        <w:t>97.</w:t>
      </w:r>
      <w:r>
        <w:tab/>
        <w:t>В 2012 году был утвержден Национальный план действий в интересах детей и подростков на 2012</w:t>
      </w:r>
      <w:r w:rsidR="009418D1">
        <w:t>–</w:t>
      </w:r>
      <w:r>
        <w:t>2021 годы</w:t>
      </w:r>
      <w:r w:rsidRPr="00D93542">
        <w:rPr>
          <w:rStyle w:val="ab"/>
        </w:rPr>
        <w:footnoteReference w:id="143"/>
      </w:r>
      <w:r>
        <w:t>, который является инструментом государственной политики Перу и позволяет координировать и согласовывать стратегии, разрабатываемые в стране в интересах детей и подростков. В этой связи в рамках защиты интересов этой группы были утверждены следующие конкретные планы: a)</w:t>
      </w:r>
      <w:r w:rsidR="00933DEB">
        <w:t> </w:t>
      </w:r>
      <w:r>
        <w:t>Национальный план по сокращению масштабов анемии у матерей и младенцев и хронического нарушения питания у младенцев и борьбе с этими заболеваниями на 2017</w:t>
      </w:r>
      <w:r w:rsidR="00933DEB">
        <w:t>–</w:t>
      </w:r>
      <w:r>
        <w:t>2021 годы</w:t>
      </w:r>
      <w:r w:rsidRPr="00D93542">
        <w:rPr>
          <w:rStyle w:val="ab"/>
        </w:rPr>
        <w:footnoteReference w:id="144"/>
      </w:r>
      <w:r>
        <w:t xml:space="preserve">; b) План по предупреждению подростковой беременности на </w:t>
      </w:r>
      <w:r w:rsidR="00933DEB">
        <w:br/>
      </w:r>
      <w:r>
        <w:t>2013</w:t>
      </w:r>
      <w:r w:rsidR="00933DEB">
        <w:t>–</w:t>
      </w:r>
      <w:r>
        <w:t>2021 годы</w:t>
      </w:r>
      <w:r w:rsidRPr="00D93542">
        <w:rPr>
          <w:rStyle w:val="ab"/>
        </w:rPr>
        <w:footnoteReference w:id="145"/>
      </w:r>
      <w:r>
        <w:t>; с) Межведомственный план по борьбе с анемией</w:t>
      </w:r>
      <w:r w:rsidRPr="00D93542">
        <w:rPr>
          <w:rStyle w:val="ab"/>
        </w:rPr>
        <w:footnoteReference w:id="146"/>
      </w:r>
      <w:r>
        <w:t xml:space="preserve">; </w:t>
      </w:r>
      <w:r w:rsidR="00933DEB">
        <w:br/>
      </w:r>
      <w:r>
        <w:t xml:space="preserve">и d) Национальная стратегия предупреждения и искоренения детского труда на </w:t>
      </w:r>
      <w:r w:rsidR="00933DEB">
        <w:br/>
      </w:r>
      <w:r>
        <w:t>2012–2021 годы</w:t>
      </w:r>
      <w:r w:rsidRPr="00D93542">
        <w:rPr>
          <w:rStyle w:val="ab"/>
        </w:rPr>
        <w:footnoteReference w:id="147"/>
      </w:r>
      <w:r>
        <w:t>.</w:t>
      </w:r>
    </w:p>
    <w:p w14:paraId="0898BA42" w14:textId="77777777" w:rsidR="00CA1E90" w:rsidRDefault="00CA1E90" w:rsidP="00CA1E90">
      <w:pPr>
        <w:pStyle w:val="SingleTxtG"/>
      </w:pPr>
      <w:r>
        <w:t>98.</w:t>
      </w:r>
      <w:r>
        <w:tab/>
        <w:t>Что касается сексуальных и репродуктивных прав детей и подростков, то в 2013</w:t>
      </w:r>
      <w:r w:rsidR="00933DEB">
        <w:t> </w:t>
      </w:r>
      <w:r>
        <w:t>году был принят подзаконный акт, регулирующий применение Закона о поощрении реинтеграции в систему школьного обучения в связи с беременностью</w:t>
      </w:r>
      <w:r w:rsidRPr="00D93542">
        <w:rPr>
          <w:rStyle w:val="ab"/>
        </w:rPr>
        <w:footnoteReference w:id="148"/>
      </w:r>
      <w:r>
        <w:t xml:space="preserve">. Кроме того, в 2014 году было утверждено Национальное техническое руководство по стандартизации процедур комплексного ухода за женщинами, давшими осознанное </w:t>
      </w:r>
      <w:r>
        <w:lastRenderedPageBreak/>
        <w:t>согласие на добровольное прерывание беременности при сроке до 22 недель</w:t>
      </w:r>
      <w:r w:rsidRPr="00D93542">
        <w:rPr>
          <w:rStyle w:val="ab"/>
          <w:rFonts w:eastAsia="Calibri"/>
        </w:rPr>
        <w:footnoteReference w:id="149"/>
      </w:r>
      <w:r>
        <w:t>, в соответствии с положениями статьи 119 Политической конституции в целях стандартизации процедур такого ухода, причем его действие распространяется на все медицинские учреждения второго уровня национальной системы здравоохранения.</w:t>
      </w:r>
    </w:p>
    <w:p w14:paraId="662E264E" w14:textId="77777777" w:rsidR="00CA1E90" w:rsidRDefault="00CA1E90" w:rsidP="00CA1E90">
      <w:pPr>
        <w:pStyle w:val="SingleTxtG"/>
      </w:pPr>
      <w:r>
        <w:t>99.</w:t>
      </w:r>
      <w:r>
        <w:tab/>
        <w:t>Что касается подростков, находящихся в конфликте с законом, то в 2013 году был утвержден Национальный план профилактики и лечения подростков, находящихся в конфликте с законом, на 2013</w:t>
      </w:r>
      <w:r w:rsidR="00933DEB">
        <w:t>–</w:t>
      </w:r>
      <w:r>
        <w:t>2018 годы</w:t>
      </w:r>
      <w:r w:rsidRPr="00D93542">
        <w:rPr>
          <w:rStyle w:val="ab"/>
        </w:rPr>
        <w:footnoteReference w:id="150"/>
      </w:r>
      <w:r>
        <w:t>, в котором доктрина всесторонней защиты и наилучшего обеспечения интересов ребенка получили дальнейшее развитие.</w:t>
      </w:r>
    </w:p>
    <w:p w14:paraId="13805E3F" w14:textId="77777777" w:rsidR="00CA1E90" w:rsidRDefault="00CA1E90" w:rsidP="00CA1E90">
      <w:pPr>
        <w:pStyle w:val="SingleTxtG"/>
      </w:pPr>
      <w:r>
        <w:t>100.</w:t>
      </w:r>
      <w:r>
        <w:tab/>
        <w:t xml:space="preserve">Кроме того, в 2013 году была утверждена Национальная стратегия развития и социальной адаптации, озаглавленная </w:t>
      </w:r>
      <w:r w:rsidR="0082316A" w:rsidRPr="009852CB">
        <w:rPr>
          <w:rStyle w:val="ab"/>
          <w:vertAlign w:val="baseline"/>
        </w:rPr>
        <w:t>«</w:t>
      </w:r>
      <w:r w:rsidRPr="009852CB">
        <w:t>Адаптация в интересах роста</w:t>
      </w:r>
      <w:r w:rsidR="0082316A" w:rsidRPr="009852CB">
        <w:rPr>
          <w:rStyle w:val="ab"/>
          <w:vertAlign w:val="baseline"/>
        </w:rPr>
        <w:t>»</w:t>
      </w:r>
      <w:r w:rsidRPr="00D93542">
        <w:rPr>
          <w:rStyle w:val="ab"/>
        </w:rPr>
        <w:footnoteReference w:id="151"/>
      </w:r>
      <w:r>
        <w:t>, в которой предлагается подход на основе жизненного цикла, устанавливающий следующие четыре стратегических направления в сфере ухода за детьми и подростками: a)</w:t>
      </w:r>
      <w:r w:rsidR="00933DEB">
        <w:t> </w:t>
      </w:r>
      <w:r>
        <w:t>питание детей; b) развитие детей в раннем возрасте; c) всестороннее развитие детей и подростков; и d) экономическая адаптация.</w:t>
      </w:r>
    </w:p>
    <w:p w14:paraId="3EAC5D8B" w14:textId="77777777" w:rsidR="00CA1E90" w:rsidRDefault="00CA1E90" w:rsidP="00CA1E90">
      <w:pPr>
        <w:pStyle w:val="SingleTxtG"/>
        <w:rPr>
          <w:rFonts w:eastAsia="Calibri"/>
        </w:rPr>
      </w:pPr>
      <w:r>
        <w:t>101.</w:t>
      </w:r>
      <w:r>
        <w:tab/>
        <w:t>В рамках темы насилия в отношении детей и подростков и в целях искоренения телесных наказаний в 2015 году был принят Закон о запрещении телесных и унижающих достоинство наказаний детей и подростков при любых обстоятельствах</w:t>
      </w:r>
      <w:r w:rsidRPr="00D93542">
        <w:rPr>
          <w:rStyle w:val="ab"/>
          <w:rFonts w:eastAsia="Calibri"/>
        </w:rPr>
        <w:footnoteReference w:id="152"/>
      </w:r>
      <w:r>
        <w:t>.</w:t>
      </w:r>
    </w:p>
    <w:p w14:paraId="758D8259" w14:textId="77777777" w:rsidR="00CA1E90" w:rsidRDefault="00CA1E90" w:rsidP="00CA1E90">
      <w:pPr>
        <w:pStyle w:val="SingleTxtG"/>
        <w:rPr>
          <w:rFonts w:eastAsia="Calibri"/>
        </w:rPr>
      </w:pPr>
      <w:r>
        <w:t>102.</w:t>
      </w:r>
      <w:r>
        <w:tab/>
        <w:t>Кроме того, в 2016 году был принят Закон № 30466, устанавливающий параметры и процессуальные гарантии первоочередного учета наилучших интересов ребенка</w:t>
      </w:r>
      <w:r w:rsidRPr="00D93542">
        <w:rPr>
          <w:rStyle w:val="ab"/>
        </w:rPr>
        <w:footnoteReference w:id="153"/>
      </w:r>
      <w:r>
        <w:t xml:space="preserve"> в рамках процессов и разбирательств, в которых затрагиваются права детей и подростков.</w:t>
      </w:r>
    </w:p>
    <w:p w14:paraId="50CE7CE7" w14:textId="77777777" w:rsidR="00CA1E90" w:rsidRDefault="00CA1E90" w:rsidP="00CA1E90">
      <w:pPr>
        <w:pStyle w:val="SingleTxtG"/>
      </w:pPr>
      <w:r>
        <w:t>103.</w:t>
      </w:r>
      <w:r>
        <w:tab/>
        <w:t>В этой связи в 2018 году сотрудниками МЮПЧ, занимающимися государственной защитой пострадавших, было организовано шефство над 1788 детьми и подростками, что на 1150 человек больше, чем в 2014 году.</w:t>
      </w:r>
    </w:p>
    <w:p w14:paraId="1C9A8B67" w14:textId="77777777" w:rsidR="00CA1E90" w:rsidRDefault="00CA1E90" w:rsidP="00CA1E90">
      <w:pPr>
        <w:pStyle w:val="SingleTxtG"/>
      </w:pPr>
      <w:r>
        <w:t>104.</w:t>
      </w:r>
      <w:r>
        <w:tab/>
        <w:t>Кроме того, Законодательным указом № 1348 был утвержден Кодекс уголовной ответственности подростков, регулирующий процесс привлечения подростков к уголовной ответственности за совершение правонарушений, которые представляют собой деяния, квалифицируемые в Уголовном кодексе или в специальных законах в качестве преступлений или проступков. В нем предусмотрены меры, не связанные с возбуждением судебного разбирательства, действия по линии полиции, расследование противоправного деяния, установление ответственности в ходе судебного разбирательства, определение социально-воспитательных мер и исполнение принятых по ним решений</w:t>
      </w:r>
      <w:r w:rsidRPr="00D93542">
        <w:rPr>
          <w:rStyle w:val="ab"/>
        </w:rPr>
        <w:footnoteReference w:id="154"/>
      </w:r>
      <w:r>
        <w:t>.</w:t>
      </w:r>
    </w:p>
    <w:p w14:paraId="6FE2ADF4" w14:textId="77777777" w:rsidR="00CA1E90" w:rsidRDefault="00CA1E90" w:rsidP="00CA1E90">
      <w:pPr>
        <w:pStyle w:val="H23G"/>
      </w:pPr>
      <w:bookmarkStart w:id="50" w:name="_Toc19107170"/>
      <w:r>
        <w:tab/>
      </w:r>
      <w:r>
        <w:tab/>
      </w:r>
      <w:r>
        <w:rPr>
          <w:bCs/>
        </w:rPr>
        <w:t>Лица, лишенные свободы</w:t>
      </w:r>
      <w:bookmarkEnd w:id="50"/>
    </w:p>
    <w:p w14:paraId="66386B0A" w14:textId="77777777" w:rsidR="00CA1E90" w:rsidRDefault="00CA1E90" w:rsidP="00CA1E90">
      <w:pPr>
        <w:pStyle w:val="SingleTxtG"/>
        <w:rPr>
          <w:rFonts w:eastAsia="Calibri"/>
        </w:rPr>
      </w:pPr>
      <w:r>
        <w:t>105.</w:t>
      </w:r>
      <w:r>
        <w:tab/>
        <w:t>По данным Национального пенитенциарного института (НПИ), в 2019 году в учреждениях национальной пенитенциарной системы в рамках двух режимов содержалось 117 720 лиц, лишенных свободы</w:t>
      </w:r>
      <w:r w:rsidRPr="00D93542">
        <w:rPr>
          <w:rStyle w:val="ab"/>
          <w:rFonts w:eastAsia="Calibri"/>
        </w:rPr>
        <w:footnoteReference w:id="155"/>
      </w:r>
      <w:r>
        <w:t xml:space="preserve">. С одной стороны, по состоянию на 2019 год в стране действовало 69 пенитенциарных учреждений, в которых содержалось 93 828 заключенных (88 683 мужчины и 5141 женщина), из числа </w:t>
      </w:r>
      <w:r>
        <w:lastRenderedPageBreak/>
        <w:t>которых 34 247 человек находятся под следствием и 59 581 человек были осуждены. С другой стороны, в полуоткрытых учреждениях содержалось 23</w:t>
      </w:r>
      <w:r w:rsidR="00922286">
        <w:rPr>
          <w:lang w:val="en-US"/>
        </w:rPr>
        <w:t> </w:t>
      </w:r>
      <w:r>
        <w:t>892 человека, лишенного свободы</w:t>
      </w:r>
      <w:r w:rsidRPr="00D93542">
        <w:rPr>
          <w:rStyle w:val="ab"/>
          <w:rFonts w:eastAsia="Calibri"/>
        </w:rPr>
        <w:footnoteReference w:id="156"/>
      </w:r>
      <w:r>
        <w:t>.</w:t>
      </w:r>
    </w:p>
    <w:p w14:paraId="1D6F5326" w14:textId="77777777" w:rsidR="00CA1E90" w:rsidRDefault="00CA1E90" w:rsidP="00CA1E90">
      <w:pPr>
        <w:pStyle w:val="SingleTxtG"/>
        <w:rPr>
          <w:rFonts w:eastAsia="Calibri"/>
        </w:rPr>
      </w:pPr>
      <w:r>
        <w:t>106.</w:t>
      </w:r>
      <w:r>
        <w:tab/>
        <w:t>В Перу утверждены Национальная пенитенциарная политика и Национальный план в рамках пенитенциарной политики на 2016</w:t>
      </w:r>
      <w:r w:rsidR="00922286" w:rsidRPr="00922286">
        <w:t>–</w:t>
      </w:r>
      <w:r>
        <w:t>2020 годы</w:t>
      </w:r>
      <w:r w:rsidRPr="00D93542">
        <w:rPr>
          <w:rStyle w:val="ab"/>
          <w:rFonts w:eastAsia="Calibri"/>
        </w:rPr>
        <w:footnoteReference w:id="157"/>
      </w:r>
      <w:r>
        <w:t xml:space="preserve">, где предусматривается применение правозащитного, гендерного и межкультурного подходов по трем стратегическим направлениям: i) система уголовного правосудия; ii) обращение; </w:t>
      </w:r>
      <w:r w:rsidR="00933DEB">
        <w:br/>
      </w:r>
      <w:r>
        <w:t>и iii) рационализация.</w:t>
      </w:r>
      <w:bookmarkStart w:id="52" w:name="_Hlk16084780"/>
    </w:p>
    <w:p w14:paraId="52D59D97" w14:textId="77777777" w:rsidR="00CA1E90" w:rsidRDefault="00CA1E90" w:rsidP="00CA1E90">
      <w:pPr>
        <w:pStyle w:val="SingleTxtG"/>
        <w:rPr>
          <w:rFonts w:eastAsia="Calibri"/>
        </w:rPr>
      </w:pPr>
      <w:r>
        <w:t>107.</w:t>
      </w:r>
      <w:r>
        <w:tab/>
        <w:t xml:space="preserve">В 2016 году НИСИ, НПИ и МЮПЧ совместно провели первую </w:t>
      </w:r>
      <w:r w:rsidR="00933DEB">
        <w:br/>
      </w:r>
      <w:r>
        <w:t>национальную перепись заключенных</w:t>
      </w:r>
      <w:r w:rsidRPr="00D93542">
        <w:rPr>
          <w:rStyle w:val="ab"/>
          <w:rFonts w:eastAsia="Calibri"/>
        </w:rPr>
        <w:footnoteReference w:id="158"/>
      </w:r>
      <w:r>
        <w:t xml:space="preserve"> во всех государственных пенитенциарных учреждениях, по результатам которой было установлено, что на тот момент в них содержалось 76 180 лиц, лишенных свободы. Из них 74 296 человек были перуанцами </w:t>
      </w:r>
      <w:r w:rsidR="00933DEB">
        <w:br/>
      </w:r>
      <w:r>
        <w:t>(53</w:t>
      </w:r>
      <w:r w:rsidR="00922286">
        <w:rPr>
          <w:lang w:val="en-US"/>
        </w:rPr>
        <w:t> </w:t>
      </w:r>
      <w:r>
        <w:t>725 человек, родившихся в различных регионах страны, и 20</w:t>
      </w:r>
      <w:r w:rsidR="00922286">
        <w:rPr>
          <w:lang w:val="en-US"/>
        </w:rPr>
        <w:t> </w:t>
      </w:r>
      <w:r>
        <w:t>571 человек, родившийся в столице Лиме), а 1846 человек были иностранцами (19,2</w:t>
      </w:r>
      <w:r w:rsidR="00D265AC">
        <w:t xml:space="preserve"> процента</w:t>
      </w:r>
      <w:r>
        <w:t xml:space="preserve"> </w:t>
      </w:r>
      <w:r w:rsidR="00933DEB">
        <w:t>—</w:t>
      </w:r>
      <w:r>
        <w:t xml:space="preserve"> колумбийцы; 14,3</w:t>
      </w:r>
      <w:r w:rsidR="00D265AC">
        <w:t xml:space="preserve"> процента</w:t>
      </w:r>
      <w:r>
        <w:t xml:space="preserve"> </w:t>
      </w:r>
      <w:r w:rsidR="00922286" w:rsidRPr="00922286">
        <w:t>—</w:t>
      </w:r>
      <w:r>
        <w:t xml:space="preserve"> мексиканцы; 14</w:t>
      </w:r>
      <w:r w:rsidR="00D265AC">
        <w:t xml:space="preserve"> процент</w:t>
      </w:r>
      <w:r w:rsidR="009418D1">
        <w:t>ов</w:t>
      </w:r>
      <w:r>
        <w:t xml:space="preserve"> </w:t>
      </w:r>
      <w:r w:rsidR="00922286" w:rsidRPr="00922286">
        <w:t>—</w:t>
      </w:r>
      <w:r>
        <w:t xml:space="preserve"> испанцы; 4,9</w:t>
      </w:r>
      <w:r w:rsidR="00D265AC">
        <w:t xml:space="preserve"> процента</w:t>
      </w:r>
      <w:r>
        <w:t xml:space="preserve"> </w:t>
      </w:r>
      <w:r w:rsidR="00922286" w:rsidRPr="00922286">
        <w:t>—</w:t>
      </w:r>
      <w:r>
        <w:t xml:space="preserve"> боливийцы и 4,8</w:t>
      </w:r>
      <w:r w:rsidR="00D265AC">
        <w:t xml:space="preserve"> процента</w:t>
      </w:r>
      <w:r>
        <w:t xml:space="preserve"> </w:t>
      </w:r>
      <w:r w:rsidR="00933DEB">
        <w:t>—</w:t>
      </w:r>
      <w:r>
        <w:t xml:space="preserve"> эквадорцы).</w:t>
      </w:r>
    </w:p>
    <w:p w14:paraId="680B79F4" w14:textId="77777777" w:rsidR="00CA1E90" w:rsidRDefault="00CA1E90" w:rsidP="00CA1E90">
      <w:pPr>
        <w:pStyle w:val="SingleTxtG"/>
        <w:rPr>
          <w:rFonts w:eastAsia="Calibri"/>
        </w:rPr>
      </w:pPr>
      <w:r>
        <w:t>108.</w:t>
      </w:r>
      <w:r>
        <w:tab/>
        <w:t>Кроме того, в Директиве о всестороннем уходе и обращении с женщинами, находящимися под следствием, и осужденными женщинами в пенитенциарных и полуоткрытых учреждениях</w:t>
      </w:r>
      <w:r w:rsidRPr="00D93542">
        <w:rPr>
          <w:rStyle w:val="ab"/>
          <w:rFonts w:eastAsia="Calibri"/>
        </w:rPr>
        <w:footnoteReference w:id="159"/>
      </w:r>
      <w:r>
        <w:t xml:space="preserve"> отражены международные стандарты защиты женщин, лишенных свободы, в соответствии с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(Бангкокские правила).</w:t>
      </w:r>
    </w:p>
    <w:p w14:paraId="1B526627" w14:textId="77777777" w:rsidR="00CA1E90" w:rsidRDefault="00CA1E90" w:rsidP="00CA1E90">
      <w:pPr>
        <w:pStyle w:val="SingleTxtG"/>
      </w:pPr>
      <w:r>
        <w:t>109.</w:t>
      </w:r>
      <w:r>
        <w:tab/>
        <w:t>Была также утверждена новая редакция Руководства по правам человека для сотрудников пенитенциарных учреждений</w:t>
      </w:r>
      <w:r w:rsidRPr="00D93542">
        <w:rPr>
          <w:rStyle w:val="ab"/>
          <w:rFonts w:eastAsia="Calibri"/>
        </w:rPr>
        <w:footnoteReference w:id="160"/>
      </w:r>
      <w:r>
        <w:t>, в котором отражен правозащитный подход, а полномочия сотрудников пенитенциарных учреждений приводятся в соответствие с положениями в отношении основных прав лиц, лишенных свободы. Помимо всего прочего, в нем предусмотрены меры по содействию процессу ресоциализации лиц, лишенных свободы, в связи с чем сотрудники пенитенциарных учреждений при исполнении своих служебных обязанностей обязаны демонстрировать поведение, характеризующееся уважительным отношением к правам человека и заботой о них</w:t>
      </w:r>
      <w:r w:rsidRPr="00D93542">
        <w:rPr>
          <w:rStyle w:val="ab"/>
          <w:rFonts w:eastAsia="Calibri"/>
        </w:rPr>
        <w:footnoteReference w:id="161"/>
      </w:r>
      <w:r>
        <w:t>.</w:t>
      </w:r>
      <w:bookmarkEnd w:id="52"/>
    </w:p>
    <w:p w14:paraId="432597D8" w14:textId="77777777" w:rsidR="00CA1E90" w:rsidRDefault="00CA1E90" w:rsidP="00CA1E90">
      <w:pPr>
        <w:pStyle w:val="SingleTxtG"/>
      </w:pPr>
      <w:r>
        <w:t>110.</w:t>
      </w:r>
      <w:r>
        <w:tab/>
        <w:t>Что касается охраны здоровья в пенитенциарных учреждений, то нормативной основой для ухода за больными туберкулезом в них является Директива об уходе за больными туберкулезом в пенитенциарных учреждениях</w:t>
      </w:r>
      <w:r w:rsidRPr="00D93542">
        <w:rPr>
          <w:rStyle w:val="ab"/>
        </w:rPr>
        <w:footnoteReference w:id="162"/>
      </w:r>
      <w:r>
        <w:t>. В этой связи для медицинских работников, отвечающих за обучение санитаров из числа заключенных, было утверждено Руководство по инструктажу санитаров из числа лиц, лишенных свободы, и их обучению методам борьбы с туберкулезом</w:t>
      </w:r>
      <w:r w:rsidRPr="00D93542">
        <w:rPr>
          <w:rStyle w:val="ab"/>
        </w:rPr>
        <w:footnoteReference w:id="163"/>
      </w:r>
      <w:r>
        <w:t>.</w:t>
      </w:r>
    </w:p>
    <w:p w14:paraId="143F23B8" w14:textId="77777777" w:rsidR="00CA1E90" w:rsidRDefault="00CA1E90" w:rsidP="00CA1E90">
      <w:pPr>
        <w:pStyle w:val="SingleTxtG"/>
      </w:pPr>
      <w:r>
        <w:t>111.</w:t>
      </w:r>
      <w:r>
        <w:tab/>
        <w:t>Касательно образования в пенитенциарных учреждениях, была принята Директива об организации и развитии образования в пенитенциарных учреждениях</w:t>
      </w:r>
      <w:r w:rsidRPr="00D93542">
        <w:rPr>
          <w:rStyle w:val="ab"/>
        </w:rPr>
        <w:footnoteReference w:id="164"/>
      </w:r>
      <w:r>
        <w:t>. Цель заключается в обеспечении того, чтобы лица, лишенные свободы, и их дети (находящиеся в пенитенциарном учреждении) имели доступ к различным уровням и формам образования. К концу второго квартала 2019 года этой образовательной услугой воспользовались 8099 заключенных, что на 4272 человека больше, чем в 2013</w:t>
      </w:r>
      <w:r w:rsidR="00933DEB">
        <w:t> </w:t>
      </w:r>
      <w:r>
        <w:t>году</w:t>
      </w:r>
      <w:r w:rsidRPr="00D93542">
        <w:rPr>
          <w:rStyle w:val="ab"/>
        </w:rPr>
        <w:footnoteReference w:id="165"/>
      </w:r>
      <w:r>
        <w:t>.</w:t>
      </w:r>
    </w:p>
    <w:p w14:paraId="554A130C" w14:textId="77777777" w:rsidR="00CA1E90" w:rsidRDefault="00CA1E90" w:rsidP="00CA1E90">
      <w:pPr>
        <w:pStyle w:val="SingleTxtG"/>
      </w:pPr>
      <w:r>
        <w:lastRenderedPageBreak/>
        <w:t>112.</w:t>
      </w:r>
      <w:r>
        <w:tab/>
        <w:t>В отношении поощрения занятости среди лиц, лишенных свободы, следует сослаться на Законодательный указ № 1343</w:t>
      </w:r>
      <w:r w:rsidRPr="00D93542">
        <w:rPr>
          <w:rStyle w:val="ab"/>
        </w:rPr>
        <w:footnoteReference w:id="166"/>
      </w:r>
      <w:r>
        <w:t xml:space="preserve"> и Высочайший указ № 025-2017-JUS</w:t>
      </w:r>
      <w:r w:rsidRPr="00D93542">
        <w:rPr>
          <w:rStyle w:val="ab"/>
        </w:rPr>
        <w:footnoteReference w:id="167"/>
      </w:r>
      <w:r>
        <w:t>, где изложены принципы пенитенциарной политики, направленной на обеспечение того, чтобы тюрьмы были местом, где готовят продуктивных членов общества. Цель этой политики заключается в регулировании и укреплении пенитенциарного и постпенитенциарного режимов путем поощрения и развития производственной деятельности, которая позволит заключенным вновь выйти на рынок труда и будет способствовать их ресоциализации. В этой связи было проведено 314 семинаров с участием 11</w:t>
      </w:r>
      <w:r w:rsidR="009D4CDB">
        <w:rPr>
          <w:lang w:val="en-US"/>
        </w:rPr>
        <w:t> </w:t>
      </w:r>
      <w:r>
        <w:t>040 лиц, лишенных свободы, а между НПИ и компаниями частного сектора было подписано 185 договоров, которыми было охвачено 1459 лиц, лишенных свободы</w:t>
      </w:r>
      <w:r w:rsidRPr="00D93542">
        <w:rPr>
          <w:rStyle w:val="ab"/>
        </w:rPr>
        <w:footnoteReference w:id="168"/>
      </w:r>
      <w:r>
        <w:t>.</w:t>
      </w:r>
    </w:p>
    <w:p w14:paraId="15C99EF6" w14:textId="77777777" w:rsidR="00CA1E90" w:rsidRDefault="00CA1E90" w:rsidP="00CA1E90">
      <w:pPr>
        <w:pStyle w:val="H23G"/>
      </w:pPr>
      <w:bookmarkStart w:id="54" w:name="_Toc19107171"/>
      <w:r>
        <w:tab/>
      </w:r>
      <w:r>
        <w:tab/>
        <w:t>Лица, занятые в качестве д</w:t>
      </w:r>
      <w:r>
        <w:rPr>
          <w:bCs/>
        </w:rPr>
        <w:t>омашней прислуги</w:t>
      </w:r>
      <w:bookmarkEnd w:id="54"/>
    </w:p>
    <w:p w14:paraId="72E3F08C" w14:textId="77777777" w:rsidR="00CA1E90" w:rsidRDefault="00CA1E90" w:rsidP="00CA1E90">
      <w:pPr>
        <w:pStyle w:val="SingleTxtG"/>
        <w:rPr>
          <w:bCs/>
        </w:rPr>
      </w:pPr>
      <w:r>
        <w:t>113.</w:t>
      </w:r>
      <w:r>
        <w:tab/>
        <w:t>По данным НИСИ, по состоянию на 2018 год в Перу в качестве домашней прислуги работают 381</w:t>
      </w:r>
      <w:r w:rsidR="009418D1">
        <w:t> </w:t>
      </w:r>
      <w:r>
        <w:t>011 человек, 95,4</w:t>
      </w:r>
      <w:r w:rsidR="00D265AC">
        <w:t xml:space="preserve"> процента</w:t>
      </w:r>
      <w:r>
        <w:t xml:space="preserve"> из них </w:t>
      </w:r>
      <w:r w:rsidR="009418D1">
        <w:t>—</w:t>
      </w:r>
      <w:r>
        <w:t xml:space="preserve"> женщины</w:t>
      </w:r>
      <w:r w:rsidRPr="00D93542">
        <w:rPr>
          <w:rStyle w:val="ab"/>
        </w:rPr>
        <w:footnoteReference w:id="169"/>
      </w:r>
      <w:r>
        <w:t>. По</w:t>
      </w:r>
      <w:r w:rsidR="009418D1">
        <w:t> </w:t>
      </w:r>
      <w:r>
        <w:t xml:space="preserve">сравнению с результатами НОД за 2014 год число лиц, занятых в качестве домашней прислуги, продолжает расти, однако гендерный разрыв сохраняется: </w:t>
      </w:r>
      <w:r w:rsidR="009418D1">
        <w:br/>
      </w:r>
      <w:r>
        <w:t>95,8</w:t>
      </w:r>
      <w:r w:rsidR="00D265AC">
        <w:t xml:space="preserve"> процента</w:t>
      </w:r>
      <w:r>
        <w:t xml:space="preserve"> из них составляют женщины (342 192 человека)</w:t>
      </w:r>
      <w:r w:rsidRPr="00D93542">
        <w:rPr>
          <w:rStyle w:val="ab"/>
        </w:rPr>
        <w:footnoteReference w:id="170"/>
      </w:r>
      <w:r>
        <w:t>; 33,4</w:t>
      </w:r>
      <w:r w:rsidR="00D265AC">
        <w:t xml:space="preserve"> процента</w:t>
      </w:r>
      <w:r>
        <w:t xml:space="preserve"> </w:t>
      </w:r>
      <w:r w:rsidR="009D4CDB" w:rsidRPr="009D4CDB">
        <w:t>—</w:t>
      </w:r>
      <w:r>
        <w:t xml:space="preserve"> это молодежь</w:t>
      </w:r>
      <w:r w:rsidRPr="00D93542">
        <w:rPr>
          <w:rStyle w:val="ab"/>
        </w:rPr>
        <w:footnoteReference w:id="171"/>
      </w:r>
      <w:r>
        <w:t>; 39,1</w:t>
      </w:r>
      <w:r w:rsidR="00D265AC">
        <w:t xml:space="preserve"> процента</w:t>
      </w:r>
      <w:r>
        <w:t xml:space="preserve"> закончили только начальную школу; и 17,1</w:t>
      </w:r>
      <w:r w:rsidR="00D265AC">
        <w:t xml:space="preserve"> процента</w:t>
      </w:r>
      <w:r>
        <w:t xml:space="preserve"> вообще не имеют никакого образования</w:t>
      </w:r>
      <w:r w:rsidRPr="00D93542">
        <w:rPr>
          <w:rStyle w:val="ab"/>
        </w:rPr>
        <w:footnoteReference w:id="172"/>
      </w:r>
      <w:r>
        <w:t>. Эти статистические данные свидетельствуют о том, что работой в качестве домашней прислуги в Перу занимаются в основном женщины, в своем большинстве молодые, с низким уровнем образования, а также мигранты</w:t>
      </w:r>
      <w:r w:rsidRPr="00D93542">
        <w:rPr>
          <w:rStyle w:val="ab"/>
        </w:rPr>
        <w:footnoteReference w:id="173"/>
      </w:r>
      <w:r>
        <w:t>, которые расценивают ее как альтернативный путь своего развития. Во многих случаях они устраиваются на работу в качестве прислуги с проживанием ради того, чтобы уехать из сельской местности и перебраться в город</w:t>
      </w:r>
      <w:r w:rsidRPr="00D93542">
        <w:rPr>
          <w:rStyle w:val="ab"/>
        </w:rPr>
        <w:footnoteReference w:id="174"/>
      </w:r>
      <w:r>
        <w:t>.</w:t>
      </w:r>
    </w:p>
    <w:p w14:paraId="2D901901" w14:textId="77777777" w:rsidR="00CA1E90" w:rsidRDefault="00CA1E90" w:rsidP="00CA1E90">
      <w:pPr>
        <w:pStyle w:val="SingleTxtG"/>
      </w:pPr>
      <w:r>
        <w:t>114.</w:t>
      </w:r>
      <w:r>
        <w:tab/>
        <w:t>Кроме того, 3 июня 2003 года был обнародован Закон № 27986 о домашней прислуге</w:t>
      </w:r>
      <w:r w:rsidRPr="00D93542">
        <w:rPr>
          <w:rStyle w:val="ab"/>
        </w:rPr>
        <w:footnoteReference w:id="175"/>
      </w:r>
      <w:r>
        <w:t>, а 20 ноября 2003 года был принят регулирующий его применение подзаконный акт</w:t>
      </w:r>
      <w:r w:rsidRPr="00D93542">
        <w:rPr>
          <w:rStyle w:val="ab"/>
        </w:rPr>
        <w:footnoteReference w:id="176"/>
      </w:r>
      <w:r>
        <w:t>, которые обеспечивают правовую основу для защиты прав домашней прислуги. К этому следует добавить, что в 2014 году был создан Реестр работодателей домашней прислуги, домашней прислуги и их бенефициаров</w:t>
      </w:r>
      <w:r w:rsidRPr="00D93542">
        <w:rPr>
          <w:rStyle w:val="ab"/>
        </w:rPr>
        <w:footnoteReference w:id="177"/>
      </w:r>
      <w:r>
        <w:t>.</w:t>
      </w:r>
    </w:p>
    <w:p w14:paraId="0C1C15CE" w14:textId="77777777" w:rsidR="00CA1E90" w:rsidRDefault="00CA1E90" w:rsidP="00CA1E90">
      <w:pPr>
        <w:pStyle w:val="SingleTxtG"/>
      </w:pPr>
      <w:r>
        <w:t>115.</w:t>
      </w:r>
      <w:r>
        <w:tab/>
        <w:t>По состоянию на 2018 год в Реестре домашней прислуги Национального налогового управления было зарегистрировано 126</w:t>
      </w:r>
      <w:r w:rsidR="009D4CDB">
        <w:rPr>
          <w:lang w:val="en-US"/>
        </w:rPr>
        <w:t> </w:t>
      </w:r>
      <w:r>
        <w:t>711 лиц, занятых в качестве домашней прислуги, что составляет 33,3</w:t>
      </w:r>
      <w:r w:rsidR="00D265AC">
        <w:t xml:space="preserve"> процента</w:t>
      </w:r>
      <w:r>
        <w:t xml:space="preserve"> от общего числа работников</w:t>
      </w:r>
      <w:r w:rsidRPr="00D93542">
        <w:rPr>
          <w:rStyle w:val="ab"/>
        </w:rPr>
        <w:footnoteReference w:id="178"/>
      </w:r>
      <w:r>
        <w:t>.</w:t>
      </w:r>
    </w:p>
    <w:p w14:paraId="2C7D3C88" w14:textId="77777777" w:rsidR="00CA1E90" w:rsidRDefault="00CA1E90" w:rsidP="00CA1E90">
      <w:pPr>
        <w:pStyle w:val="H23G"/>
      </w:pPr>
      <w:bookmarkStart w:id="55" w:name="_Toc19107172"/>
      <w:r>
        <w:lastRenderedPageBreak/>
        <w:tab/>
      </w:r>
      <w:r>
        <w:tab/>
      </w:r>
      <w:r>
        <w:rPr>
          <w:bCs/>
        </w:rPr>
        <w:t>Лица из числа ЛГБТИ</w:t>
      </w:r>
      <w:bookmarkEnd w:id="55"/>
    </w:p>
    <w:p w14:paraId="5B87E5D3" w14:textId="77777777" w:rsidR="00CA1E90" w:rsidRDefault="00CA1E90" w:rsidP="00CA1E90">
      <w:pPr>
        <w:pStyle w:val="SingleTxtG"/>
      </w:pPr>
      <w:r>
        <w:t>116.</w:t>
      </w:r>
      <w:r>
        <w:tab/>
        <w:t>Официальной информации о численности ЛГБТИ-сообщества на национальном уровне не имеется. Однако в 2017 году был проведен первый виртуальный опрос, на который ответили 12 026 лиц из числа ЛГБТИ в возрасте 18 лет и старше (72</w:t>
      </w:r>
      <w:r w:rsidR="00D265AC">
        <w:t xml:space="preserve"> процента</w:t>
      </w:r>
      <w:r>
        <w:t xml:space="preserve"> из них в возрасте от 18 до 29 лет). 47,8</w:t>
      </w:r>
      <w:r w:rsidR="00D265AC">
        <w:t xml:space="preserve"> процента</w:t>
      </w:r>
      <w:r>
        <w:t xml:space="preserve"> из них указали, что при рождении они были лицами мужского пола, а 52,2</w:t>
      </w:r>
      <w:r w:rsidR="00D265AC">
        <w:t xml:space="preserve"> процента</w:t>
      </w:r>
      <w:r>
        <w:t xml:space="preserve"> </w:t>
      </w:r>
      <w:r w:rsidR="009418D1">
        <w:t>—</w:t>
      </w:r>
      <w:r>
        <w:t xml:space="preserve"> женского пола; 69,1</w:t>
      </w:r>
      <w:r w:rsidR="00D265AC">
        <w:t xml:space="preserve"> процента</w:t>
      </w:r>
      <w:r>
        <w:t xml:space="preserve"> считали себя метисами, а 16,4</w:t>
      </w:r>
      <w:r w:rsidR="00D265AC">
        <w:t xml:space="preserve"> процента</w:t>
      </w:r>
      <w:r>
        <w:t xml:space="preserve"> </w:t>
      </w:r>
      <w:r w:rsidR="009418D1">
        <w:t>—</w:t>
      </w:r>
      <w:r>
        <w:t xml:space="preserve"> белыми. Что касается сексуальной ориентации, то 35,2</w:t>
      </w:r>
      <w:r w:rsidR="00D265AC">
        <w:t xml:space="preserve"> процента</w:t>
      </w:r>
      <w:r>
        <w:t xml:space="preserve"> называли себя геями; 27,4</w:t>
      </w:r>
      <w:r w:rsidR="00D265AC">
        <w:t xml:space="preserve"> процента</w:t>
      </w:r>
      <w:r>
        <w:t xml:space="preserve"> </w:t>
      </w:r>
      <w:r w:rsidR="009418D1">
        <w:t>—</w:t>
      </w:r>
      <w:r>
        <w:t xml:space="preserve"> бисексуалами; и 21,4</w:t>
      </w:r>
      <w:r w:rsidR="00D265AC">
        <w:t xml:space="preserve"> процента</w:t>
      </w:r>
      <w:r>
        <w:t xml:space="preserve"> ‒ лесбиянками</w:t>
      </w:r>
      <w:r w:rsidRPr="00D93542">
        <w:rPr>
          <w:rStyle w:val="ab"/>
        </w:rPr>
        <w:footnoteReference w:id="179"/>
      </w:r>
      <w:r>
        <w:t>.</w:t>
      </w:r>
    </w:p>
    <w:p w14:paraId="0788C73E" w14:textId="77777777" w:rsidR="00CA1E90" w:rsidRDefault="00CA1E90" w:rsidP="00CA1E90">
      <w:pPr>
        <w:pStyle w:val="SingleTxtG"/>
        <w:rPr>
          <w:rFonts w:eastAsia="Calibri"/>
        </w:rPr>
      </w:pPr>
      <w:r>
        <w:t>117.</w:t>
      </w:r>
      <w:r>
        <w:tab/>
        <w:t>В контексте принятия мер по защите лиц, принадлежащих к ЛГТБИ</w:t>
      </w:r>
      <w:r w:rsidR="00933DEB">
        <w:noBreakHyphen/>
      </w:r>
      <w:r>
        <w:t>сообществу, в Руководстве по правам человека для сотрудников полиции предусматривается, что Национальная полиция Перу (НПП) должна избегать любых дискриминационных или унижающих достоинство действий</w:t>
      </w:r>
      <w:r w:rsidRPr="00D93542">
        <w:rPr>
          <w:rStyle w:val="ab"/>
        </w:rPr>
        <w:footnoteReference w:id="180"/>
      </w:r>
      <w:r>
        <w:t>. В том же ключе в Дисциплинарном кодексе НПП</w:t>
      </w:r>
      <w:r w:rsidR="00862A2D" w:rsidRPr="00D93542">
        <w:rPr>
          <w:rStyle w:val="ab"/>
        </w:rPr>
        <w:footnoteReference w:id="181"/>
      </w:r>
      <w:r>
        <w:t xml:space="preserve"> указывается, что </w:t>
      </w:r>
      <w:r w:rsidR="0082316A" w:rsidRPr="00CF2122">
        <w:rPr>
          <w:rStyle w:val="ab"/>
          <w:vertAlign w:val="baseline"/>
        </w:rPr>
        <w:t>«</w:t>
      </w:r>
      <w:r w:rsidRPr="00CF2122">
        <w:t>действия</w:t>
      </w:r>
      <w:r>
        <w:t xml:space="preserve"> при исполнении служебных обязанностей, представляющие собой дискриминацию по различным причинам или любого рода, являются серьезным правонарушением</w:t>
      </w:r>
      <w:r w:rsidR="0082316A" w:rsidRPr="00CF2122">
        <w:rPr>
          <w:rStyle w:val="ab"/>
          <w:vertAlign w:val="baseline"/>
        </w:rPr>
        <w:t>»</w:t>
      </w:r>
      <w:r>
        <w:t>.</w:t>
      </w:r>
    </w:p>
    <w:p w14:paraId="2550451B" w14:textId="77777777" w:rsidR="00CA1E90" w:rsidRDefault="00CA1E90" w:rsidP="00CA1E90">
      <w:pPr>
        <w:pStyle w:val="SingleTxtG"/>
        <w:rPr>
          <w:rFonts w:eastAsia="Calibri"/>
        </w:rPr>
      </w:pPr>
      <w:r>
        <w:t>118.</w:t>
      </w:r>
      <w:r>
        <w:tab/>
        <w:t>Кроме того, в 2016 году были утверждены Руководящие принципы оказания помощи лицам из числа ЛГБТИ в рамках Национального плана по борьбе с бытовым и сексуальным насилием МИМП</w:t>
      </w:r>
      <w:r w:rsidRPr="00D93542">
        <w:rPr>
          <w:rStyle w:val="ab"/>
          <w:rFonts w:eastAsia="Calibri"/>
        </w:rPr>
        <w:footnoteReference w:id="182"/>
      </w:r>
      <w:r>
        <w:t xml:space="preserve"> в целях стандартизации критериев и методологий оказания помощи лицам из числа ЛГБТИ по линии служб, специализирующихся на гендерном насилии, с уделением особого внимания бытовому и сексуальному насилию и с гарантией оказания помощи без всякой дискриминации</w:t>
      </w:r>
      <w:r w:rsidRPr="00D93542">
        <w:rPr>
          <w:rStyle w:val="ab"/>
        </w:rPr>
        <w:footnoteReference w:id="183"/>
      </w:r>
      <w:r>
        <w:t>.</w:t>
      </w:r>
    </w:p>
    <w:p w14:paraId="1377DD66" w14:textId="77777777" w:rsidR="00CA1E90" w:rsidRDefault="00CA1E90" w:rsidP="00CA1E90">
      <w:pPr>
        <w:pStyle w:val="SingleTxtG"/>
        <w:rPr>
          <w:rFonts w:eastAsia="Calibri"/>
        </w:rPr>
      </w:pPr>
      <w:r>
        <w:t>119.</w:t>
      </w:r>
      <w:r>
        <w:tab/>
        <w:t>В 2016 году были также созданы Рабочая группа по поощрению прав геев, транссексуалов, бисексуалов и интерсексуалов (ГТБИ)</w:t>
      </w:r>
      <w:r w:rsidRPr="00D93542">
        <w:rPr>
          <w:rStyle w:val="ab"/>
          <w:rFonts w:eastAsia="Calibri"/>
        </w:rPr>
        <w:footnoteReference w:id="184"/>
      </w:r>
      <w:r>
        <w:t xml:space="preserve"> и Рабочая группа по поощрению прав лесбиянок</w:t>
      </w:r>
      <w:r w:rsidRPr="00D93542">
        <w:rPr>
          <w:rStyle w:val="ab"/>
          <w:rFonts w:eastAsia="Calibri"/>
        </w:rPr>
        <w:footnoteReference w:id="185"/>
      </w:r>
      <w:r>
        <w:t xml:space="preserve"> с целью борьбы с дискриминацией в отношении ЛГБТИ-сообщества и разработки мер по защите их основных прав.</w:t>
      </w:r>
    </w:p>
    <w:p w14:paraId="78755B8E" w14:textId="77777777" w:rsidR="00CA1E90" w:rsidRDefault="00CA1E90" w:rsidP="00CA1E90">
      <w:pPr>
        <w:pStyle w:val="SingleTxtG"/>
        <w:rPr>
          <w:rFonts w:eastAsia="Calibri"/>
        </w:rPr>
      </w:pPr>
      <w:r>
        <w:t>120.</w:t>
      </w:r>
      <w:r>
        <w:tab/>
        <w:t>Кроме того, к 2019 году в Систему рассмотрения жалоб на действия полиции (СИДПОЛ) был добавлен модуль для регистрации жалоб на дискриминацию по признаку сексуальной ориентации и гендерной идентичности</w:t>
      </w:r>
      <w:r w:rsidRPr="00D93542">
        <w:rPr>
          <w:rStyle w:val="ab"/>
        </w:rPr>
        <w:footnoteReference w:id="186"/>
      </w:r>
      <w:r>
        <w:t>.</w:t>
      </w:r>
    </w:p>
    <w:p w14:paraId="49465E0E" w14:textId="77777777" w:rsidR="00CA1E90" w:rsidRDefault="00CA1E90" w:rsidP="00CA1E90">
      <w:pPr>
        <w:pStyle w:val="H23G"/>
      </w:pPr>
      <w:bookmarkStart w:id="56" w:name="_Toc19107173"/>
      <w:r>
        <w:tab/>
      </w:r>
      <w:r>
        <w:tab/>
      </w:r>
      <w:r>
        <w:rPr>
          <w:bCs/>
        </w:rPr>
        <w:t>Лица с ВИЧ/СПИДом и больные туберкулезом</w:t>
      </w:r>
      <w:bookmarkEnd w:id="56"/>
    </w:p>
    <w:p w14:paraId="2B932883" w14:textId="77777777" w:rsidR="00CA1E90" w:rsidRDefault="00CA1E90" w:rsidP="00CA1E90">
      <w:pPr>
        <w:pStyle w:val="SingleTxtG"/>
      </w:pPr>
      <w:r>
        <w:t>121.</w:t>
      </w:r>
      <w:r>
        <w:tab/>
        <w:t xml:space="preserve">К 2018 году на национальном уровне было выявлено </w:t>
      </w:r>
      <w:r w:rsidR="00933DEB">
        <w:br/>
      </w:r>
      <w:r>
        <w:t>115 797 ВИЧ-инфицированных и 41 684 больных СПИД</w:t>
      </w:r>
      <w:r w:rsidR="00862A2D">
        <w:t>ом</w:t>
      </w:r>
      <w:r>
        <w:t>, причем 70</w:t>
      </w:r>
      <w:r w:rsidR="00D265AC">
        <w:t xml:space="preserve"> процент</w:t>
      </w:r>
      <w:r w:rsidR="009418D1">
        <w:t>ов</w:t>
      </w:r>
      <w:r>
        <w:t xml:space="preserve"> из них приходилось на регион Лимы. Как показал анализ этих случаев, инфекция в большинстве случаев передавалась половым путем (97,6</w:t>
      </w:r>
      <w:r w:rsidR="00D265AC">
        <w:t xml:space="preserve"> процента</w:t>
      </w:r>
      <w:r>
        <w:t>), а соотношение мужчин и женщин составляло 4:1</w:t>
      </w:r>
      <w:r w:rsidRPr="00D93542">
        <w:rPr>
          <w:rStyle w:val="ab"/>
        </w:rPr>
        <w:footnoteReference w:id="187"/>
      </w:r>
      <w:r>
        <w:t xml:space="preserve">. Кроме того, к 2018 году было выявлено </w:t>
      </w:r>
      <w:r w:rsidR="009418D1">
        <w:br/>
      </w:r>
      <w:r>
        <w:t xml:space="preserve">1 901 840 больных туберкулезом, при этом общий показатель заболеваемости составил </w:t>
      </w:r>
      <w:r>
        <w:lastRenderedPageBreak/>
        <w:t>32 642 случая</w:t>
      </w:r>
      <w:r w:rsidRPr="00061A6B">
        <w:t xml:space="preserve">; </w:t>
      </w:r>
      <w:r>
        <w:t>по сравнению с 2012 годом число больных туберкулезом увеличилось на 474 348 человек, а</w:t>
      </w:r>
      <w:r w:rsidRPr="00061A6B">
        <w:t xml:space="preserve"> </w:t>
      </w:r>
      <w:r>
        <w:t>показатель заболеваемости увеличился на 937 случаев</w:t>
      </w:r>
      <w:r w:rsidRPr="00D93542">
        <w:rPr>
          <w:rStyle w:val="ab"/>
        </w:rPr>
        <w:footnoteReference w:id="188"/>
      </w:r>
      <w:r>
        <w:t>.</w:t>
      </w:r>
    </w:p>
    <w:p w14:paraId="4785F2DF" w14:textId="77777777" w:rsidR="00CA1E90" w:rsidRDefault="00CA1E90" w:rsidP="00CA1E90">
      <w:pPr>
        <w:pStyle w:val="SingleTxtG"/>
      </w:pPr>
      <w:r>
        <w:t>122.</w:t>
      </w:r>
      <w:r>
        <w:tab/>
        <w:t>По состоянию на 2018 год в пенитенциарных учреждениях было зарегистрировано в общей сложности 809 случаев инфицирования ВИЧ и 607 случаев применения методов антиретровирусной терапии. Следует отметить, что в период 2016</w:t>
      </w:r>
      <w:r w:rsidR="009418D1">
        <w:t>–</w:t>
      </w:r>
      <w:r>
        <w:t>2018 годов в пенитенциарных учреждениях по всей стране было проведено в общей сложности 96 302 экспресс-теста на предмет выявления ВИЧ</w:t>
      </w:r>
      <w:r w:rsidRPr="00D93542">
        <w:rPr>
          <w:rStyle w:val="ab"/>
        </w:rPr>
        <w:footnoteReference w:id="189"/>
      </w:r>
      <w:r>
        <w:t>.</w:t>
      </w:r>
    </w:p>
    <w:p w14:paraId="78C32136" w14:textId="77777777" w:rsidR="00CA1E90" w:rsidRDefault="00CA1E90" w:rsidP="00CA1E90">
      <w:pPr>
        <w:pStyle w:val="SingleTxtG"/>
      </w:pPr>
      <w:r>
        <w:t>123.</w:t>
      </w:r>
      <w:r>
        <w:tab/>
        <w:t>В 2010 году был утвержден Межведомственный стратегический план национальных действий по борьбе с туберкулезом в Перу на 2010</w:t>
      </w:r>
      <w:r w:rsidR="003E6FDB">
        <w:t>–</w:t>
      </w:r>
      <w:r>
        <w:t>2019 годы</w:t>
      </w:r>
      <w:r w:rsidRPr="00D93542">
        <w:rPr>
          <w:rStyle w:val="ab"/>
        </w:rPr>
        <w:footnoteReference w:id="190"/>
      </w:r>
      <w:r>
        <w:t>, направленный на постепенное и неуклонное снижение заболеваемости и смертности от туберкулеза. Кроме того, в 2013 году был утверждены Технические медицинские стандарты оказания комплексной помощи больным туберкулезом</w:t>
      </w:r>
      <w:r w:rsidRPr="00D93542">
        <w:rPr>
          <w:rStyle w:val="ab"/>
        </w:rPr>
        <w:footnoteReference w:id="191"/>
      </w:r>
      <w:r>
        <w:t>, которыми вводились инновационные стандарты систематизированной борьбы с туберкулезом.</w:t>
      </w:r>
    </w:p>
    <w:p w14:paraId="70DE0A67" w14:textId="77777777" w:rsidR="00CA1E90" w:rsidRDefault="00CA1E90" w:rsidP="00CA1E90">
      <w:pPr>
        <w:pStyle w:val="SingleTxtG"/>
      </w:pPr>
      <w:r>
        <w:t>124.</w:t>
      </w:r>
      <w:r>
        <w:tab/>
        <w:t>В 2013 году были утверждены Технические медицинские стандарты комплексного ухода и антиретровирусного лечения детей и подростков, инфицированных вирусом иммунодефицита человека (ВИЧ)</w:t>
      </w:r>
      <w:r w:rsidRPr="00D93542">
        <w:rPr>
          <w:rStyle w:val="ab"/>
        </w:rPr>
        <w:footnoteReference w:id="192"/>
      </w:r>
      <w:r>
        <w:t>. В 2014 году был</w:t>
      </w:r>
      <w:r w:rsidR="00862A2D">
        <w:t>и</w:t>
      </w:r>
      <w:r>
        <w:t xml:space="preserve"> утверждены Технические медицинские стандарты профилактики передачи ВИЧ и сифилиса от матери ребенку</w:t>
      </w:r>
      <w:r w:rsidRPr="00D93542">
        <w:rPr>
          <w:rStyle w:val="ab"/>
        </w:rPr>
        <w:footnoteReference w:id="193"/>
      </w:r>
      <w:r>
        <w:t>.</w:t>
      </w:r>
    </w:p>
    <w:p w14:paraId="1141FFF1" w14:textId="77777777" w:rsidR="00CA1E90" w:rsidRPr="00CE2A57" w:rsidRDefault="00CA1E90" w:rsidP="00CA1E90">
      <w:pPr>
        <w:pStyle w:val="SingleTxtG"/>
      </w:pPr>
      <w:r>
        <w:t>125.</w:t>
      </w:r>
      <w:r>
        <w:tab/>
        <w:t>Аналогичным образом, в 2014 году был принят Закон о профилактике туберкулеза и борьбе с ним в Перу</w:t>
      </w:r>
      <w:r w:rsidRPr="00D93542">
        <w:rPr>
          <w:rStyle w:val="ab"/>
        </w:rPr>
        <w:footnoteReference w:id="194"/>
      </w:r>
      <w:r>
        <w:t>, который предусматривает механизмы координации действий с ведомствами, занимающимися профилактикой туберкулеза и борьбой с ним. Впоследствии, в 2015 году, был утвержден Межведомственный стратегический план по профилактике инфекций, передаваемых половым путем</w:t>
      </w:r>
      <w:r w:rsidRPr="00DE05C1">
        <w:t xml:space="preserve"> (</w:t>
      </w:r>
      <w:r>
        <w:t>ИППП</w:t>
      </w:r>
      <w:r w:rsidRPr="00DE05C1">
        <w:t>)</w:t>
      </w:r>
      <w:r>
        <w:t>, и ВИЧ и борьбе с ними на 2015</w:t>
      </w:r>
      <w:r w:rsidR="003E6FDB">
        <w:t>–</w:t>
      </w:r>
      <w:r>
        <w:t>2019 годы</w:t>
      </w:r>
      <w:r w:rsidRPr="00D93542">
        <w:rPr>
          <w:rStyle w:val="ab"/>
        </w:rPr>
        <w:footnoteReference w:id="195"/>
      </w:r>
      <w:r>
        <w:t>.</w:t>
      </w:r>
    </w:p>
    <w:p w14:paraId="2C047108" w14:textId="77777777" w:rsidR="00CA1E90" w:rsidRDefault="00CA1E90" w:rsidP="00CA1E90">
      <w:pPr>
        <w:pStyle w:val="SingleTxtG"/>
      </w:pPr>
      <w:r>
        <w:t>126.</w:t>
      </w:r>
      <w:r>
        <w:tab/>
        <w:t>Кроме того, 13 марта 2018 года были утверждены Технические медицинские стандарты комплексного медицинского обслуживания взрослых с ВИЧ-инфекцией</w:t>
      </w:r>
      <w:r w:rsidRPr="00D93542">
        <w:rPr>
          <w:rStyle w:val="ab"/>
        </w:rPr>
        <w:footnoteReference w:id="196"/>
      </w:r>
      <w:r>
        <w:t>. В этой связи к 2018 году национальный показатель заболеваемости туберкулезом легких с бактериовыделением снизился до 51,6 человека на 100 000 жителей. Что касается людей, живущих с ВИЧ, то антиретровирусной терапией сейчас охвачено 85</w:t>
      </w:r>
      <w:r w:rsidR="003E6FDB">
        <w:t> </w:t>
      </w:r>
      <w:r w:rsidR="00D265AC">
        <w:t>процент</w:t>
      </w:r>
      <w:r w:rsidR="003E6FDB">
        <w:t>ов</w:t>
      </w:r>
      <w:r>
        <w:t xml:space="preserve"> из них</w:t>
      </w:r>
      <w:r w:rsidRPr="00D93542">
        <w:rPr>
          <w:rStyle w:val="ab"/>
        </w:rPr>
        <w:footnoteReference w:id="197"/>
      </w:r>
      <w:r>
        <w:t>.</w:t>
      </w:r>
    </w:p>
    <w:p w14:paraId="41710763" w14:textId="77777777" w:rsidR="00CA1E90" w:rsidRDefault="00CA1E90" w:rsidP="00CA1E90">
      <w:pPr>
        <w:pStyle w:val="H23G"/>
      </w:pPr>
      <w:r>
        <w:t xml:space="preserve"> </w:t>
      </w:r>
      <w:r>
        <w:tab/>
      </w:r>
      <w:r>
        <w:tab/>
      </w:r>
      <w:r>
        <w:rPr>
          <w:bCs/>
        </w:rPr>
        <w:t>Правозащитники</w:t>
      </w:r>
      <w:bookmarkStart w:id="57" w:name="_Toc19107174"/>
      <w:bookmarkEnd w:id="57"/>
    </w:p>
    <w:p w14:paraId="283545BF" w14:textId="77777777" w:rsidR="00CA1E90" w:rsidRDefault="00CA1E90" w:rsidP="00CA1E90">
      <w:pPr>
        <w:pStyle w:val="SingleTxtG"/>
      </w:pPr>
      <w:r>
        <w:t>127.</w:t>
      </w:r>
      <w:r>
        <w:tab/>
        <w:t>В 2019 году был утвержден Протокол о гарантиях защиты правозащитников, где прописаны действия, процедуры и меры по координации, призванные создавать надлежащие условия для осуществления их деятельности по поощрению, защите и отстаиванию прав человека</w:t>
      </w:r>
      <w:r w:rsidRPr="00D93542">
        <w:rPr>
          <w:rStyle w:val="ab"/>
        </w:rPr>
        <w:footnoteReference w:id="198"/>
      </w:r>
      <w:r>
        <w:t>. Кроме того, в нем предусматривается создание первого официального реестра, в котором фиксируются жалобы и случаи нападения на правозащитников или конкретные ситуации риска.</w:t>
      </w:r>
    </w:p>
    <w:p w14:paraId="1EC16FA1" w14:textId="77777777" w:rsidR="00CA1E90" w:rsidRDefault="00CA1E90" w:rsidP="00CA1E90">
      <w:pPr>
        <w:pStyle w:val="H23G"/>
      </w:pPr>
      <w:bookmarkStart w:id="58" w:name="_Toc19107175"/>
      <w:r>
        <w:lastRenderedPageBreak/>
        <w:tab/>
      </w:r>
      <w:r>
        <w:tab/>
      </w:r>
      <w:r>
        <w:rPr>
          <w:bCs/>
        </w:rPr>
        <w:t>Коренные народы</w:t>
      </w:r>
      <w:bookmarkEnd w:id="58"/>
    </w:p>
    <w:p w14:paraId="7DE432A6" w14:textId="77777777" w:rsidR="00CA1E90" w:rsidRDefault="00CA1E90" w:rsidP="00CA1E90">
      <w:pPr>
        <w:pStyle w:val="SingleTxtG"/>
      </w:pPr>
      <w:r>
        <w:t>128.</w:t>
      </w:r>
      <w:r>
        <w:tab/>
        <w:t xml:space="preserve">В ходе переписи населения 2017 года впервые собирались сведения об этнорасовой принадлежности, что позволило выявить жителей, считающих себя представителями коренных или исконных народов, в зависимости от района проживания и/или родного языка, приобретенного в детстве. Таким образом, </w:t>
      </w:r>
      <w:r w:rsidR="009D0D86">
        <w:br/>
      </w:r>
      <w:r>
        <w:t>5</w:t>
      </w:r>
      <w:r w:rsidR="003E6FDB">
        <w:t> </w:t>
      </w:r>
      <w:r>
        <w:t xml:space="preserve">984 708 человек были идентифицированы как представители коренных или исконных народов. Из них в соответствии с районом их проживания в Андах </w:t>
      </w:r>
      <w:r w:rsidR="009D0D86">
        <w:br/>
      </w:r>
      <w:r>
        <w:t>5 771 885 человек были идентифицированы как представители этнических групп, в основном, кечуа и аймара, а в Амазонии 212 823 человека были идентифицированы как представители этнических групп, в основном, ашанинка и авахун</w:t>
      </w:r>
      <w:r w:rsidRPr="00D93542">
        <w:rPr>
          <w:rStyle w:val="ab"/>
        </w:rPr>
        <w:footnoteReference w:id="199"/>
      </w:r>
      <w:r>
        <w:t>.</w:t>
      </w:r>
    </w:p>
    <w:p w14:paraId="36780F3A" w14:textId="77777777" w:rsidR="00CA1E90" w:rsidRDefault="00CA1E90" w:rsidP="00CA1E90">
      <w:pPr>
        <w:pStyle w:val="SingleTxtG"/>
      </w:pPr>
      <w:r>
        <w:t>129.</w:t>
      </w:r>
      <w:r>
        <w:tab/>
        <w:t xml:space="preserve">Кроме того, согласно базе данных Министерства культуры о коренных и исконных народах, в 2018 году в Перу их было 55. Из них 51 </w:t>
      </w:r>
      <w:r w:rsidR="003E6FDB">
        <w:t>—</w:t>
      </w:r>
      <w:r>
        <w:t xml:space="preserve"> в Амазонии и 4 </w:t>
      </w:r>
      <w:r w:rsidR="003E6FDB">
        <w:t>—</w:t>
      </w:r>
      <w:r>
        <w:t xml:space="preserve"> в Андах</w:t>
      </w:r>
      <w:r w:rsidRPr="00D93542">
        <w:rPr>
          <w:rStyle w:val="ab"/>
        </w:rPr>
        <w:footnoteReference w:id="200"/>
      </w:r>
      <w:r>
        <w:t>.</w:t>
      </w:r>
    </w:p>
    <w:p w14:paraId="36ED06E7" w14:textId="77777777" w:rsidR="00CA1E90" w:rsidRDefault="00CA1E90" w:rsidP="00CA1E90">
      <w:pPr>
        <w:pStyle w:val="SingleTxtG"/>
      </w:pPr>
      <w:r>
        <w:t>130.</w:t>
      </w:r>
      <w:r>
        <w:tab/>
        <w:t>В 2011 году был принят Закон № 29785 о праве коренных или исконных народов на предварительные консультации</w:t>
      </w:r>
      <w:r w:rsidRPr="00D93542">
        <w:rPr>
          <w:rStyle w:val="ab"/>
        </w:rPr>
        <w:footnoteReference w:id="201"/>
      </w:r>
      <w:r>
        <w:t>. В 2012 году был принят подзаконный акт, регулирующий его применение</w:t>
      </w:r>
      <w:r w:rsidRPr="00D93542">
        <w:rPr>
          <w:rStyle w:val="ab"/>
        </w:rPr>
        <w:footnoteReference w:id="202"/>
      </w:r>
      <w:r>
        <w:t>. В 2013 году была утверждена также Директива, регулирующая регистрацию актов и прав общин аборигенного населения в государственных реестрах</w:t>
      </w:r>
      <w:r w:rsidRPr="00D93542">
        <w:rPr>
          <w:rStyle w:val="ab"/>
        </w:rPr>
        <w:footnoteReference w:id="203"/>
      </w:r>
      <w:r>
        <w:t>. Кроме того, была регламентирована процедура, касающаяся права коренных народов на подачу петиций об их включении в процесс предварительных консультаций или о его осуществлении</w:t>
      </w:r>
      <w:r w:rsidRPr="00D93542">
        <w:rPr>
          <w:rStyle w:val="ab"/>
        </w:rPr>
        <w:footnoteReference w:id="204"/>
      </w:r>
      <w:r>
        <w:t>.</w:t>
      </w:r>
    </w:p>
    <w:p w14:paraId="3E2E95CC" w14:textId="77777777" w:rsidR="00CA1E90" w:rsidRDefault="00CA1E90" w:rsidP="00CA1E90">
      <w:pPr>
        <w:pStyle w:val="SingleTxtG"/>
      </w:pPr>
      <w:r>
        <w:t>131.</w:t>
      </w:r>
      <w:r>
        <w:tab/>
        <w:t>В 2014 году была создана Рабочая группа по политике в отношении коренных народов, которая представляет собой площадку, где представители коренных народов могут вести диалог с исполнительной властью в целях координации, выработки предложений и принятия последующих мер в контексте государственной политики, затрагивающей их интересы</w:t>
      </w:r>
      <w:r w:rsidRPr="00D93542">
        <w:rPr>
          <w:rStyle w:val="ab"/>
        </w:rPr>
        <w:footnoteReference w:id="205"/>
      </w:r>
      <w:r>
        <w:t>.</w:t>
      </w:r>
    </w:p>
    <w:p w14:paraId="1C3590B3" w14:textId="77777777" w:rsidR="00CA1E90" w:rsidRDefault="00CA1E90" w:rsidP="00CA1E90">
      <w:pPr>
        <w:pStyle w:val="SingleTxtG"/>
      </w:pPr>
      <w:r>
        <w:t>132.</w:t>
      </w:r>
      <w:r>
        <w:tab/>
        <w:t>В 2015 году были установлены административные процедуры для проведения процессов предварительных консультаций с коренными или исконными народами в той мере, в какой это непосредственно затрагивает их коллективные права. Кроме того, в 2016 году была создана постоянно действующая Межведомственная комиссия по вопросам охраны и осознания значимости традиционных и унаследованных от предков знаний, умений и видов практики коренных и исконных народов</w:t>
      </w:r>
      <w:r w:rsidRPr="00D93542">
        <w:rPr>
          <w:rStyle w:val="ab"/>
        </w:rPr>
        <w:footnoteReference w:id="206"/>
      </w:r>
      <w:r>
        <w:t>.</w:t>
      </w:r>
    </w:p>
    <w:p w14:paraId="4DFCD17B" w14:textId="77777777" w:rsidR="00CA1E90" w:rsidRDefault="00CA1E90" w:rsidP="00CA1E90">
      <w:pPr>
        <w:pStyle w:val="SingleTxtG"/>
      </w:pPr>
      <w:r>
        <w:t>133.</w:t>
      </w:r>
      <w:r>
        <w:tab/>
        <w:t>В 2018 году на основании министерского постановления № 519-2018-MINEDU была внедрена модель межкультурного двуязычного образования</w:t>
      </w:r>
      <w:r w:rsidRPr="00D93542">
        <w:rPr>
          <w:rStyle w:val="ab"/>
        </w:rPr>
        <w:footnoteReference w:id="207"/>
      </w:r>
      <w:r>
        <w:t xml:space="preserve">. В 2019 году были утверждены руководящие принципы применения межкультурного подхода к предупреждению сексуального насилия в отношении детей, подростков и женщин из числа коренных или исконных народов, оказанию помощи пострадавшим и их </w:t>
      </w:r>
      <w:r>
        <w:lastRenderedPageBreak/>
        <w:t>защите</w:t>
      </w:r>
      <w:r w:rsidRPr="00D93542">
        <w:rPr>
          <w:rStyle w:val="ab"/>
        </w:rPr>
        <w:footnoteReference w:id="208"/>
      </w:r>
      <w:r>
        <w:t>, с тем чтобы содействовать их доступу к государственным услугам по предупреждению сексуального насилия, оказанию помощи пострадавшим и их защите с учетом культурных и языковых факторов в рамках признания и осознания значимости культурного и языкового многообразия.</w:t>
      </w:r>
    </w:p>
    <w:p w14:paraId="76FD4D32" w14:textId="77777777" w:rsidR="00CA1E90" w:rsidRDefault="00CA1E90" w:rsidP="00CA1E90">
      <w:pPr>
        <w:pStyle w:val="SingleTxtG"/>
      </w:pPr>
      <w:r>
        <w:t>134.</w:t>
      </w:r>
      <w:r>
        <w:tab/>
        <w:t>Следует также отметить, что Министерство культуры в лице заместителя министра по межкультурным вопросам является головным ведомством в этой области, которое через Главное управление по межкультурному взаимодействию граждан и Главное управление по правам коренных народов отвечает за разработку и осуществление политики, планов и программ по защите, поощрению прав и развитию коренных народов, а также за решение вопросов культурного многообразия и ликвидации дискриминации, предварительных консультаций, языков коренных народов и коренных народов, проживающих в условиях изоляции и/или налаживания первоначальных контактов</w:t>
      </w:r>
      <w:r w:rsidRPr="00D93542">
        <w:rPr>
          <w:rStyle w:val="ab"/>
        </w:rPr>
        <w:footnoteReference w:id="209"/>
      </w:r>
      <w:r>
        <w:t>.</w:t>
      </w:r>
    </w:p>
    <w:p w14:paraId="6E877E7B" w14:textId="77777777" w:rsidR="00CA1E90" w:rsidRDefault="00CA1E90" w:rsidP="00CA1E90">
      <w:pPr>
        <w:pStyle w:val="SingleTxtG"/>
      </w:pPr>
      <w:r>
        <w:t>135.</w:t>
      </w:r>
      <w:r>
        <w:tab/>
        <w:t>На этот счет приняты Закон о защите коренных или исконных народов, проживающих в условиях изоляции и/или налаживания первоначальных контактов</w:t>
      </w:r>
      <w:r w:rsidRPr="00D93542">
        <w:rPr>
          <w:rStyle w:val="ab"/>
        </w:rPr>
        <w:footnoteReference w:id="210"/>
      </w:r>
      <w:r>
        <w:t>, и подзаконный акт, регулирующий его применение</w:t>
      </w:r>
      <w:r w:rsidRPr="00D93542">
        <w:rPr>
          <w:rStyle w:val="ab"/>
        </w:rPr>
        <w:footnoteReference w:id="211"/>
      </w:r>
      <w:r>
        <w:t>.</w:t>
      </w:r>
    </w:p>
    <w:p w14:paraId="5F0C36AF" w14:textId="77777777" w:rsidR="00CA1E90" w:rsidRDefault="00CA1E90" w:rsidP="00CA1E90">
      <w:pPr>
        <w:pStyle w:val="H23G"/>
      </w:pPr>
      <w:r>
        <w:tab/>
      </w:r>
      <w:r>
        <w:tab/>
      </w:r>
      <w:r>
        <w:rPr>
          <w:bCs/>
        </w:rPr>
        <w:t>Лица, находящиеся в процессе транзита</w:t>
      </w:r>
      <w:bookmarkStart w:id="59" w:name="_Toc19107176"/>
      <w:bookmarkEnd w:id="59"/>
    </w:p>
    <w:p w14:paraId="729AB71B" w14:textId="77777777" w:rsidR="00CA1E90" w:rsidRDefault="00CA1E90" w:rsidP="00CA1E90">
      <w:pPr>
        <w:pStyle w:val="SingleTxtG"/>
      </w:pPr>
      <w:r>
        <w:t>136.</w:t>
      </w:r>
      <w:r>
        <w:tab/>
        <w:t>Тема мобильности людей является в Перу вполне актуальной. Как указывает НИСИ, в период 1990</w:t>
      </w:r>
      <w:r w:rsidR="003E6FDB">
        <w:t>–</w:t>
      </w:r>
      <w:r>
        <w:t>2017 годов страну официально покинули 3 089 123 перуанца, которые к 2018 году в страну не вернулись</w:t>
      </w:r>
      <w:r w:rsidRPr="00D93542">
        <w:rPr>
          <w:rStyle w:val="ab"/>
        </w:rPr>
        <w:footnoteReference w:id="212"/>
      </w:r>
      <w:r>
        <w:t>. Кроме того, как отмечает Национальное управление по миграции, ежегодно более 8 млн иностранных граждан находятся в стране в состоянии транзита (на срок между въездом и выездом), из которых более 90</w:t>
      </w:r>
      <w:r w:rsidR="003E6FDB">
        <w:t> </w:t>
      </w:r>
      <w:r w:rsidR="00D265AC">
        <w:t>процент</w:t>
      </w:r>
      <w:r w:rsidR="00CB2E2D">
        <w:t>ов</w:t>
      </w:r>
      <w:r>
        <w:t xml:space="preserve"> имеют миграционный статус туристов</w:t>
      </w:r>
      <w:r w:rsidRPr="00D93542">
        <w:rPr>
          <w:rStyle w:val="ab"/>
        </w:rPr>
        <w:footnoteReference w:id="213"/>
      </w:r>
      <w:r>
        <w:t>.</w:t>
      </w:r>
    </w:p>
    <w:p w14:paraId="346F775A" w14:textId="77777777" w:rsidR="00CA1E90" w:rsidRDefault="00CA1E90" w:rsidP="00CA1E90">
      <w:pPr>
        <w:pStyle w:val="SingleTxtG"/>
      </w:pPr>
      <w:r>
        <w:t>137.</w:t>
      </w:r>
      <w:r>
        <w:tab/>
        <w:t>В последнее время число мигрантов, въезжающих на территорию Перу, увеличилось. В этой связи Национальное управление по миграции сообщило о том, что в период с января по сентябрь 2018 года в страну в качестве мигрантов въехало в общей сложности 426 тыс. иностранных граждан. Из этого числа 78</w:t>
      </w:r>
      <w:r w:rsidR="00D265AC">
        <w:t xml:space="preserve"> процент</w:t>
      </w:r>
      <w:r w:rsidR="003E6FDB">
        <w:t>ов</w:t>
      </w:r>
      <w:r>
        <w:t xml:space="preserve"> мигрантов </w:t>
      </w:r>
      <w:r w:rsidR="003E6FDB">
        <w:t>—</w:t>
      </w:r>
      <w:r>
        <w:t xml:space="preserve"> это граждане Венесуэлы (331 000 человек)</w:t>
      </w:r>
      <w:r w:rsidRPr="00D93542">
        <w:rPr>
          <w:rStyle w:val="ab"/>
        </w:rPr>
        <w:footnoteReference w:id="214"/>
      </w:r>
      <w:r>
        <w:t>. Стоит отметить, что в 2014</w:t>
      </w:r>
      <w:r w:rsidR="003E6FDB">
        <w:t> </w:t>
      </w:r>
      <w:r>
        <w:t xml:space="preserve">и 2016 годах в страну ежегодно въезжало порядка 50 000 человек. В отличие от этого в 2017 году эта цифра увеличилась до более чем 223 </w:t>
      </w:r>
      <w:r w:rsidR="00CB2E2D">
        <w:t>тыс.</w:t>
      </w:r>
      <w:r>
        <w:t xml:space="preserve"> человек по сравнению с числом уезжающих из страны, которое возросло до 113 340 человек.</w:t>
      </w:r>
    </w:p>
    <w:p w14:paraId="33428AF1" w14:textId="77777777" w:rsidR="00CA1E90" w:rsidRDefault="00CA1E90" w:rsidP="00CA1E90">
      <w:pPr>
        <w:pStyle w:val="SingleTxtG"/>
      </w:pPr>
      <w:r>
        <w:t>138.</w:t>
      </w:r>
      <w:r>
        <w:tab/>
        <w:t>В целях укрепления системы управления миграционными процессами на основе реализации прав человека мигрантов и упорядочения миграции в нормативной сфере были приняты: Законодательный указ № 1350, Законодательный указ о миграции</w:t>
      </w:r>
      <w:r w:rsidRPr="00D93542">
        <w:rPr>
          <w:rStyle w:val="ab"/>
        </w:rPr>
        <w:footnoteReference w:id="215"/>
      </w:r>
      <w:r>
        <w:t xml:space="preserve"> и </w:t>
      </w:r>
      <w:r>
        <w:lastRenderedPageBreak/>
        <w:t>соответствующий подзаконный акт</w:t>
      </w:r>
      <w:r w:rsidRPr="00D93542">
        <w:rPr>
          <w:rStyle w:val="ab"/>
        </w:rPr>
        <w:footnoteReference w:id="216"/>
      </w:r>
      <w:r>
        <w:t>, а также Высочайший указ № 015-2017-RE, которым утверждается Национальная миграционная политика на 2017</w:t>
      </w:r>
      <w:r w:rsidR="009D0D86" w:rsidRPr="009D0D86">
        <w:t>–</w:t>
      </w:r>
      <w:r>
        <w:t>2025 годы</w:t>
      </w:r>
      <w:r w:rsidRPr="00D93542">
        <w:rPr>
          <w:rStyle w:val="ab"/>
        </w:rPr>
        <w:footnoteReference w:id="217"/>
      </w:r>
      <w:r>
        <w:t>.</w:t>
      </w:r>
    </w:p>
    <w:p w14:paraId="1AD911D3" w14:textId="77777777" w:rsidR="00CA1E90" w:rsidRDefault="00CA1E90" w:rsidP="00CA1E90">
      <w:pPr>
        <w:pStyle w:val="SingleTxtG"/>
      </w:pPr>
      <w:r>
        <w:t>139.</w:t>
      </w:r>
      <w:r>
        <w:tab/>
        <w:t>Кроме того, в 2018 году были утверждены Межведомственные руководящие принципы предупреждения преступлений, связанных незаконным ввозом мигрантов, уголовного преследования виновных, оказания помощи лицам, вовлеченным в незаконный провоз мигрантов, и жертвам преступлений, совершаемых в контексте миграции, и их защиты</w:t>
      </w:r>
      <w:r w:rsidRPr="00D93542">
        <w:rPr>
          <w:rStyle w:val="ab"/>
        </w:rPr>
        <w:footnoteReference w:id="218"/>
      </w:r>
      <w:r>
        <w:t>.</w:t>
      </w:r>
    </w:p>
    <w:p w14:paraId="148D9011" w14:textId="77777777" w:rsidR="00CA1E90" w:rsidRPr="00CE2A57" w:rsidRDefault="00CA1E90" w:rsidP="00CA1E90">
      <w:pPr>
        <w:pStyle w:val="SingleTxtG"/>
      </w:pPr>
      <w:r>
        <w:t>140.</w:t>
      </w:r>
      <w:r>
        <w:tab/>
        <w:t>Что касается защиты беженцев в Перу, то, помимо Конвенции о статусе беженцев, действуют Закон № 27891 о беженцах</w:t>
      </w:r>
      <w:r w:rsidRPr="00D93542">
        <w:rPr>
          <w:rStyle w:val="ab"/>
          <w:rFonts w:eastAsia="Calibri"/>
        </w:rPr>
        <w:footnoteReference w:id="219"/>
      </w:r>
      <w:r>
        <w:t xml:space="preserve"> и регулирующий его применение подзаконный акт, утвержденный Высочайшим указом № 119-2003-RE</w:t>
      </w:r>
      <w:r w:rsidRPr="00D93542">
        <w:rPr>
          <w:rStyle w:val="ab"/>
          <w:rFonts w:eastAsia="Calibri"/>
        </w:rPr>
        <w:footnoteReference w:id="220"/>
      </w:r>
      <w:r>
        <w:t>. Этими нормами устанавливается процедура, которая обеспечивает соблюдение процессуальных гарантий, применение соответствующих принципов международного беженского права и соблюдение принципа двух инстанций. Решение о признании статуса беженца принимается Специальной комиссией по беженцам (СКБ) в первой инстанции и Комиссией по пересмотру решений о беженцах во второй. Принимаемые решения должны оформляться аргументированным постановлением.</w:t>
      </w:r>
    </w:p>
    <w:p w14:paraId="15DC896F" w14:textId="77777777" w:rsidR="00CA1E90" w:rsidRPr="00CE2A57" w:rsidRDefault="00CA1E90" w:rsidP="00CA1E90">
      <w:pPr>
        <w:pStyle w:val="H23G"/>
      </w:pPr>
      <w:bookmarkStart w:id="61" w:name="_Toc19107177"/>
      <w:r>
        <w:tab/>
      </w:r>
      <w:r>
        <w:tab/>
      </w:r>
      <w:r>
        <w:rPr>
          <w:bCs/>
        </w:rPr>
        <w:t>Лица, ставшие жертвами насилия в период 1980</w:t>
      </w:r>
      <w:r w:rsidR="00E24F35">
        <w:rPr>
          <w:bCs/>
        </w:rPr>
        <w:t>–</w:t>
      </w:r>
      <w:r>
        <w:rPr>
          <w:bCs/>
        </w:rPr>
        <w:t>2000 годов</w:t>
      </w:r>
      <w:bookmarkEnd w:id="61"/>
    </w:p>
    <w:p w14:paraId="48913613" w14:textId="77777777" w:rsidR="00CA1E90" w:rsidRDefault="00CA1E90" w:rsidP="00CA1E90">
      <w:pPr>
        <w:pStyle w:val="SingleTxtG"/>
      </w:pPr>
      <w:r>
        <w:t>141.</w:t>
      </w:r>
      <w:r>
        <w:tab/>
        <w:t>В период 1980</w:t>
      </w:r>
      <w:r w:rsidR="00E24F35">
        <w:t>–</w:t>
      </w:r>
      <w:r>
        <w:t>2000 годов, характеризовавшийся разгулом насилия, в Перу были совершены различные преступления и многочисленные акты насилия. В связи с этим в 2005 году был принят Закон о разработке Комплексного плана возмещения ущерба</w:t>
      </w:r>
      <w:r w:rsidRPr="00D93542">
        <w:rPr>
          <w:rStyle w:val="ab"/>
        </w:rPr>
        <w:footnoteReference w:id="221"/>
      </w:r>
      <w:r>
        <w:t>, а в 2006 году был утвержден подзаконный акт, регулирующий его применение</w:t>
      </w:r>
      <w:r w:rsidRPr="00D93542">
        <w:rPr>
          <w:rStyle w:val="ab"/>
        </w:rPr>
        <w:footnoteReference w:id="222"/>
      </w:r>
      <w:r>
        <w:t>.</w:t>
      </w:r>
    </w:p>
    <w:p w14:paraId="05D44D13" w14:textId="77777777" w:rsidR="00CA1E90" w:rsidRPr="00BE59E9" w:rsidRDefault="00CA1E90" w:rsidP="00CA1E90">
      <w:pPr>
        <w:pStyle w:val="SingleTxtG"/>
      </w:pPr>
      <w:r>
        <w:t>142.</w:t>
      </w:r>
      <w:r>
        <w:tab/>
        <w:t>Вышеупомянутый План состоит из семи программ: а) программы восстановления прав граждан; b) программы возмещения ущерба в части образования; с) программы возмещения ущерба в части охраны здоровья; d) программы коллективного возмещения ущерба; e) программы символического возмещения ущерба; f) программы поощрения и облегчения доступа к жилью; и g) других программ, одобренных Межведомственной комиссией высокого уровня по контролю за деятельностью и политикой государства в вопросах установления мира, коллективного возмещения ущерба и национального примирения.</w:t>
      </w:r>
    </w:p>
    <w:p w14:paraId="3C9D8108" w14:textId="77777777" w:rsidR="00CA1E90" w:rsidRDefault="00CA1E90" w:rsidP="00CA1E90">
      <w:pPr>
        <w:pStyle w:val="SingleTxtG"/>
      </w:pPr>
      <w:r>
        <w:t>143.</w:t>
      </w:r>
      <w:r>
        <w:tab/>
        <w:t xml:space="preserve">После принятия этого Закона были осуществлены различные меры, основными из которых являются следующие. Во-первых, был учрежден Совет по возмещению ущерба (СВУ), коллегиальный орган при МЮПЧ, основной задачей которого является пофамильное установление жертв насилия, имевшего место в период с мая 1980 года по ноябрь 2000 года. 27 марта 2007 года Совет приступил к работе, и к 2009 году действовало 65 его представительств на местах, а в 2019 году </w:t>
      </w:r>
      <w:r w:rsidR="00E24F35">
        <w:t>—</w:t>
      </w:r>
      <w:r>
        <w:t xml:space="preserve"> 87.</w:t>
      </w:r>
    </w:p>
    <w:p w14:paraId="016BF36A" w14:textId="77777777" w:rsidR="00CA1E90" w:rsidRDefault="00CA1E90" w:rsidP="00CA1E90">
      <w:pPr>
        <w:pStyle w:val="SingleTxtG"/>
      </w:pPr>
      <w:r>
        <w:t>144.</w:t>
      </w:r>
      <w:r>
        <w:tab/>
        <w:t xml:space="preserve">Во-вторых, был создан Единый реестр жертв (ЕРЖ), представляющий собой публично-правовой документ общенационального характера, где регистрируются жертвы насилия за указанный выше период. Этот реестр состоит из двух частей: в первой части регистрируются индивидуальные жертвы, а во второй части жертвы объединены по группам. Следует отметить, что этот реестр находится в ведении СВУ, </w:t>
      </w:r>
      <w:r>
        <w:lastRenderedPageBreak/>
        <w:t>который отвечает также за проверку достоверности предоставляемых жертвами сведений до их регистрации.</w:t>
      </w:r>
    </w:p>
    <w:p w14:paraId="2565E561" w14:textId="77777777" w:rsidR="00CA1E90" w:rsidRDefault="00CA1E90" w:rsidP="00CA1E90">
      <w:pPr>
        <w:pStyle w:val="SingleTxtG"/>
      </w:pPr>
      <w:r>
        <w:t>145.</w:t>
      </w:r>
      <w:r>
        <w:tab/>
        <w:t xml:space="preserve">К 2019 году число лиц, фигурировавших в ЕРЖ, составило 250 821 человек. Если смотреть по типу регистрации, то было зарегистрировано </w:t>
      </w:r>
      <w:r w:rsidR="009D0D86">
        <w:br/>
      </w:r>
      <w:r>
        <w:t>228 880 индивидуальных жертв; 5712 коллективных жертв; 146 организованных групп невозвратившихся перемещенных лиц; и 16 083 человека в Специальном реестре лиц, получивших возмещение ущерба в части образования. В разбивке по полу было зарегистрировано 84</w:t>
      </w:r>
      <w:r w:rsidR="00CA35D8">
        <w:t> </w:t>
      </w:r>
      <w:r>
        <w:t>797 индивидуальных жертв мужского пола; 58</w:t>
      </w:r>
      <w:r w:rsidR="00CA35D8">
        <w:t> </w:t>
      </w:r>
      <w:r>
        <w:t>048 жертв женского пола; 36 666 родственников жертв мужского пола; 49 369 родственников жертв женского пола.</w:t>
      </w:r>
    </w:p>
    <w:p w14:paraId="511D72BC" w14:textId="77777777" w:rsidR="00CA1E90" w:rsidRDefault="00CA1E90" w:rsidP="00CA1E90">
      <w:pPr>
        <w:pStyle w:val="SingleTxtG"/>
      </w:pPr>
      <w:r>
        <w:t>146.</w:t>
      </w:r>
      <w:r>
        <w:tab/>
        <w:t>Кроме того, в 2016 году был принят Закон о розыске лиц, пропавших без вести в период насилия 1980</w:t>
      </w:r>
      <w:r w:rsidR="00E24F35">
        <w:t>–</w:t>
      </w:r>
      <w:r>
        <w:t>2000 годов</w:t>
      </w:r>
      <w:r w:rsidRPr="00D93542">
        <w:rPr>
          <w:rStyle w:val="ab"/>
        </w:rPr>
        <w:footnoteReference w:id="223"/>
      </w:r>
      <w:r>
        <w:t>, в соответствии с которым была разработана политика розыска пропавших без вести лиц, где приоритетное внимание уделяется гуманитарному подходу (подпункт а) статьи 2). В том же 2016 году был утвержден Национальный план розыска пропавших без вести лиц (1980</w:t>
      </w:r>
      <w:r w:rsidR="00E24F35">
        <w:t>–</w:t>
      </w:r>
      <w:r>
        <w:t>2000 годы)</w:t>
      </w:r>
      <w:r w:rsidRPr="00D93542">
        <w:rPr>
          <w:rStyle w:val="ab"/>
        </w:rPr>
        <w:footnoteReference w:id="224"/>
      </w:r>
      <w:r>
        <w:t>, основная цель которого заключается в том, чтобы в соответствии с Законом № 30470 принять меры по всестороннему удовлетворению потребностей семей пропавших без вести лиц.</w:t>
      </w:r>
    </w:p>
    <w:p w14:paraId="71C779FC" w14:textId="77777777" w:rsidR="00CA1E90" w:rsidRDefault="00CA1E90" w:rsidP="00CA1E90">
      <w:pPr>
        <w:pStyle w:val="SingleTxtG"/>
      </w:pPr>
      <w:r>
        <w:t>147.</w:t>
      </w:r>
      <w:r>
        <w:tab/>
        <w:t>В 2017 году было создано Главное управление по розыску пропавших без вести лиц в качестве профильного подразделения под началом заместителя министра по правам человека и доступу к правосудию МЮПЧ</w:t>
      </w:r>
      <w:r w:rsidRPr="00D93542">
        <w:rPr>
          <w:rStyle w:val="ab"/>
        </w:rPr>
        <w:footnoteReference w:id="225"/>
      </w:r>
      <w:r>
        <w:t>, которому поручено разрабатывать, и осуществлять Национальный план розыска пропавших без вести лиц (1980</w:t>
      </w:r>
      <w:r w:rsidR="00E24F35">
        <w:t>–</w:t>
      </w:r>
      <w:r>
        <w:t xml:space="preserve">2000 годы), а также вести Национальный реестр пропавших без вести лиц и мест захоронения. В 2019 году в состав этого Управления входило </w:t>
      </w:r>
      <w:r w:rsidR="00E24F35">
        <w:t>четыре</w:t>
      </w:r>
      <w:r>
        <w:t xml:space="preserve"> отделения, которые были открыты в регионах Лима, Аякучо, Уануко и Хунин, где работают сотрудники, говорящие на испанском языке и кечуа.</w:t>
      </w:r>
    </w:p>
    <w:p w14:paraId="0C9FBF6C" w14:textId="77777777" w:rsidR="00CA1E90" w:rsidRDefault="00CA1E90" w:rsidP="00CA1E90">
      <w:pPr>
        <w:pStyle w:val="SingleTxtG"/>
      </w:pPr>
      <w:r>
        <w:t>148.</w:t>
      </w:r>
      <w:r>
        <w:tab/>
        <w:t>В 2017 году была также утверждена Директива о нормативном регулировании процесса розыска пропавших без вести лиц на основе гуманитарного подхода</w:t>
      </w:r>
      <w:r w:rsidRPr="00D93542">
        <w:rPr>
          <w:rStyle w:val="ab"/>
        </w:rPr>
        <w:footnoteReference w:id="226"/>
      </w:r>
      <w:r>
        <w:t>. Кроме того, в 2018 году был создан банк генетических данных для розыска пропавших без вести лиц в Перу</w:t>
      </w:r>
      <w:r w:rsidRPr="00D93542">
        <w:rPr>
          <w:rStyle w:val="ab"/>
        </w:rPr>
        <w:footnoteReference w:id="227"/>
      </w:r>
      <w:r>
        <w:t xml:space="preserve"> с целью проверки и сопоставления генетических профилей на предмет установления родства, что способствует установлению личности пропавших без вести лиц.</w:t>
      </w:r>
    </w:p>
    <w:p w14:paraId="677F43E9" w14:textId="77777777" w:rsidR="00CA1E90" w:rsidRDefault="00CA1E90" w:rsidP="00CA1E90">
      <w:pPr>
        <w:pStyle w:val="SingleTxtG"/>
      </w:pPr>
      <w:r>
        <w:t>149.</w:t>
      </w:r>
      <w:r>
        <w:tab/>
        <w:t>Важно отметить, что 23 апреля 2018 года МЮПЧ представило сводный список в рамках Национального реестра пропавших без вести лиц и мест захоронения, который объединяет информацию из основных источников государства и организаций гражданского общества и является официальным списком</w:t>
      </w:r>
      <w:r w:rsidRPr="00262F00">
        <w:t xml:space="preserve"> </w:t>
      </w:r>
      <w:r>
        <w:t>лиц, пропавших без вести в Перу в период насилия 1980</w:t>
      </w:r>
      <w:r w:rsidR="00E24F35">
        <w:t>–</w:t>
      </w:r>
      <w:r>
        <w:t>2000 годов. Этот Реестр периодически обновляется, поскольку число пропавших без вести лиц может варьироваться, в зависимости от включения в него сведений их новых источников</w:t>
      </w:r>
      <w:r w:rsidRPr="00D93542">
        <w:rPr>
          <w:rStyle w:val="ab"/>
        </w:rPr>
        <w:footnoteReference w:id="228"/>
      </w:r>
      <w:r>
        <w:t>.</w:t>
      </w:r>
    </w:p>
    <w:p w14:paraId="185D2BE5" w14:textId="77777777" w:rsidR="00CA1E90" w:rsidRDefault="00CA1E90" w:rsidP="00CA1E90">
      <w:pPr>
        <w:pStyle w:val="SingleTxtG"/>
      </w:pPr>
      <w:r>
        <w:t>150.</w:t>
      </w:r>
      <w:r>
        <w:tab/>
        <w:t>По состоянию на 2019 год в Национальном реестре пропавших без вести лиц и мест захоронения зарегистрировано 20 507 человек, из них 16 280 человек ‒ это лица мужского пола (79,39</w:t>
      </w:r>
      <w:r w:rsidR="00D265AC">
        <w:t xml:space="preserve"> процента</w:t>
      </w:r>
      <w:r>
        <w:t xml:space="preserve">), 4219 человек </w:t>
      </w:r>
      <w:r w:rsidR="00E24F35">
        <w:t>—</w:t>
      </w:r>
      <w:r>
        <w:t xml:space="preserve"> лица женского пола (20,57</w:t>
      </w:r>
      <w:r w:rsidR="00D265AC">
        <w:t xml:space="preserve"> процента</w:t>
      </w:r>
      <w:r>
        <w:t xml:space="preserve">) и у </w:t>
      </w:r>
      <w:r w:rsidR="00E24F35">
        <w:t>восьми</w:t>
      </w:r>
      <w:r>
        <w:t xml:space="preserve"> человек пол определить не удалось (0,04</w:t>
      </w:r>
      <w:r w:rsidR="00D265AC">
        <w:t xml:space="preserve"> процента</w:t>
      </w:r>
      <w:r>
        <w:t xml:space="preserve">). Что касается их возраста, то, как было установлено, 2675 человек были в возрасте от 0 до 17 лет </w:t>
      </w:r>
      <w:r w:rsidR="00E24F35">
        <w:br/>
      </w:r>
      <w:r>
        <w:t>(13,04</w:t>
      </w:r>
      <w:r w:rsidR="00D265AC">
        <w:t xml:space="preserve"> процента</w:t>
      </w:r>
      <w:r>
        <w:t xml:space="preserve">), 9765 человек </w:t>
      </w:r>
      <w:r w:rsidR="00E24F35">
        <w:t>—</w:t>
      </w:r>
      <w:r>
        <w:t xml:space="preserve"> в возрасте от 18 до 40 лет (47,62</w:t>
      </w:r>
      <w:r w:rsidR="00D265AC">
        <w:t xml:space="preserve"> процента</w:t>
      </w:r>
      <w:r>
        <w:t xml:space="preserve">), </w:t>
      </w:r>
      <w:r w:rsidR="00E24F35">
        <w:br/>
      </w:r>
      <w:r>
        <w:lastRenderedPageBreak/>
        <w:t xml:space="preserve">3868 человек </w:t>
      </w:r>
      <w:r w:rsidR="00E24F35">
        <w:t>—</w:t>
      </w:r>
      <w:r>
        <w:t xml:space="preserve"> в возрасте от 41 до 64 лет (18,86</w:t>
      </w:r>
      <w:r w:rsidR="00D265AC">
        <w:t xml:space="preserve"> процента</w:t>
      </w:r>
      <w:r>
        <w:t>), 488 человек ‒ в возрасте 65 лет и старше (2,38</w:t>
      </w:r>
      <w:r w:rsidR="00D265AC">
        <w:t xml:space="preserve"> процента</w:t>
      </w:r>
      <w:r>
        <w:t>) и у 3</w:t>
      </w:r>
      <w:r w:rsidR="00CA35D8">
        <w:t> </w:t>
      </w:r>
      <w:r>
        <w:t xml:space="preserve">711 человек возраст установить не удалось </w:t>
      </w:r>
      <w:r w:rsidR="00E24F35">
        <w:br/>
      </w:r>
      <w:r>
        <w:t>(18,10</w:t>
      </w:r>
      <w:r w:rsidR="00D265AC">
        <w:t xml:space="preserve"> процента</w:t>
      </w:r>
      <w:r>
        <w:t>).</w:t>
      </w:r>
    </w:p>
    <w:p w14:paraId="4969B965" w14:textId="77777777" w:rsidR="00CA1E90" w:rsidRPr="009760F1" w:rsidRDefault="00CA1E90" w:rsidP="00CA1E90">
      <w:pPr>
        <w:pStyle w:val="SingleTxtG"/>
      </w:pPr>
      <w:r>
        <w:t>151.</w:t>
      </w:r>
      <w:r>
        <w:tab/>
        <w:t xml:space="preserve">Кроме того, в 2019 году был принят Высочайший указ № 015-2019-JUS, освобождающий от уплаты регистрационных сборов за регистрационные услуги и от уплаты сборов за пересылку в государственные реестры актов, связанных с возмещением ущерба лицам, которые пострадали от насилия в период </w:t>
      </w:r>
      <w:r w:rsidR="00E24F35">
        <w:br/>
      </w:r>
      <w:r>
        <w:t>1980</w:t>
      </w:r>
      <w:r w:rsidR="00E24F35">
        <w:t>–</w:t>
      </w:r>
      <w:r>
        <w:t>2000 годов и фигурируют в Едином реестре жертв</w:t>
      </w:r>
      <w:r w:rsidRPr="00D93542">
        <w:rPr>
          <w:rStyle w:val="ab"/>
        </w:rPr>
        <w:footnoteReference w:id="229"/>
      </w:r>
      <w:r>
        <w:t>.</w:t>
      </w:r>
    </w:p>
    <w:p w14:paraId="77FA4349" w14:textId="77777777" w:rsidR="00CA1E90" w:rsidRDefault="00CA1E90" w:rsidP="00CA1E90">
      <w:pPr>
        <w:pStyle w:val="H1G"/>
      </w:pPr>
      <w:bookmarkStart w:id="62" w:name="_Toc19107178"/>
      <w:r>
        <w:tab/>
      </w:r>
      <w:r>
        <w:tab/>
      </w:r>
      <w:r>
        <w:rPr>
          <w:bCs/>
        </w:rPr>
        <w:t>Другие темы, имеющие отношение к правам человека</w:t>
      </w:r>
      <w:bookmarkEnd w:id="62"/>
    </w:p>
    <w:p w14:paraId="56F4416D" w14:textId="77777777" w:rsidR="00CA1E90" w:rsidRDefault="00CA1E90" w:rsidP="00CA1E90">
      <w:pPr>
        <w:pStyle w:val="H23G"/>
      </w:pPr>
      <w:bookmarkStart w:id="63" w:name="_Toc19107179"/>
      <w:r>
        <w:tab/>
      </w:r>
      <w:r>
        <w:tab/>
      </w:r>
      <w:r>
        <w:rPr>
          <w:bCs/>
        </w:rPr>
        <w:t>Запрещение актов пыток и бесчеловечных или унижающих достоинство видов обращения</w:t>
      </w:r>
      <w:bookmarkEnd w:id="63"/>
    </w:p>
    <w:p w14:paraId="737EE0D0" w14:textId="77777777" w:rsidR="00CA1E90" w:rsidRDefault="00CA1E90" w:rsidP="00CA1E90">
      <w:pPr>
        <w:pStyle w:val="SingleTxtG"/>
      </w:pPr>
      <w:r>
        <w:t>152.</w:t>
      </w:r>
      <w:r>
        <w:tab/>
        <w:t>Акты пыток и бесчеловечные или унижающие достоинство виды обращения запрещены Политической конституцией Перу</w:t>
      </w:r>
      <w:r w:rsidRPr="00D93542">
        <w:rPr>
          <w:rStyle w:val="ab"/>
        </w:rPr>
        <w:footnoteReference w:id="230"/>
      </w:r>
      <w:r>
        <w:t xml:space="preserve"> и отнесены к уголовно наказуемым деяниям в статье 321 Уголовного кодекса.</w:t>
      </w:r>
    </w:p>
    <w:p w14:paraId="6583932E" w14:textId="77777777" w:rsidR="00CA1E90" w:rsidRDefault="00CA1E90" w:rsidP="00CA1E90">
      <w:pPr>
        <w:pStyle w:val="SingleTxtG"/>
      </w:pPr>
      <w:r>
        <w:t>153.</w:t>
      </w:r>
      <w:r>
        <w:tab/>
        <w:t>Что касается медицинских экспертиз, то Институт судебной медицины и криминалистики (ИСМК)</w:t>
      </w:r>
      <w:r w:rsidRPr="00D93542">
        <w:rPr>
          <w:rStyle w:val="ab"/>
          <w:rFonts w:eastAsia="Calibri"/>
        </w:rPr>
        <w:footnoteReference w:id="231"/>
      </w:r>
      <w:r>
        <w:t xml:space="preserve"> располагает Протоколом по расследованию пыток или жестоких, бесчеловечных или унижающих достоинство видов обращения</w:t>
      </w:r>
      <w:r w:rsidRPr="00D93542">
        <w:rPr>
          <w:rStyle w:val="ab"/>
          <w:rFonts w:eastAsia="Calibri"/>
        </w:rPr>
        <w:footnoteReference w:id="232"/>
      </w:r>
      <w:r>
        <w:t>, отражающим положения Стамбульского протокола.</w:t>
      </w:r>
    </w:p>
    <w:p w14:paraId="03B2433A" w14:textId="77777777" w:rsidR="00CA1E90" w:rsidRDefault="00CA1E90" w:rsidP="00CA1E90">
      <w:pPr>
        <w:pStyle w:val="SingleTxtG"/>
      </w:pPr>
      <w:r>
        <w:t>154.</w:t>
      </w:r>
      <w:r>
        <w:tab/>
        <w:t>ИСМК утвердил следующие руководящие принципы</w:t>
      </w:r>
      <w:r w:rsidRPr="00D93542">
        <w:rPr>
          <w:rStyle w:val="ab"/>
          <w:rFonts w:eastAsia="Calibri"/>
        </w:rPr>
        <w:footnoteReference w:id="233"/>
      </w:r>
      <w:r>
        <w:t>: i) Руководство по оценке психологического ущерба у взрослых жертв преднамеренного насилия; ii)</w:t>
      </w:r>
      <w:r w:rsidR="009D0D86">
        <w:rPr>
          <w:lang w:val="en-US"/>
        </w:rPr>
        <w:t> </w:t>
      </w:r>
      <w:r>
        <w:t>Руководство по единой процедуре снятия показаний с жертв в соответствии с Законом № 30364 о предупреждении и искоренении насилия в отношении женщин и членов семьи и наказании за него и детей и подростков мужского пола, ставших жертвами насилия; iii) Руководство по проведению судебно-психологической экспертизы в случаях насилия в отношении женщин и членов семьи и в других случаях насилия; и iv) Руководство для судмедэкспертов по комплексной оценке телесных повреждений.</w:t>
      </w:r>
    </w:p>
    <w:p w14:paraId="68C9B0AE" w14:textId="77777777" w:rsidR="00CA1E90" w:rsidRDefault="00CA1E90" w:rsidP="00CA1E90">
      <w:pPr>
        <w:pStyle w:val="H23G"/>
      </w:pPr>
      <w:bookmarkStart w:id="64" w:name="_Toc19107180"/>
      <w:bookmarkStart w:id="65" w:name="_Hlk16000460"/>
      <w:r>
        <w:tab/>
      </w:r>
      <w:r>
        <w:tab/>
      </w:r>
      <w:r>
        <w:rPr>
          <w:bCs/>
        </w:rPr>
        <w:t>Борьба с торговлей людьми и незаконным ввозом мигрантов</w:t>
      </w:r>
      <w:bookmarkEnd w:id="64"/>
    </w:p>
    <w:p w14:paraId="1C8BEE49" w14:textId="77777777" w:rsidR="00CA1E90" w:rsidRDefault="00CA1E90" w:rsidP="00CA1E90">
      <w:pPr>
        <w:pStyle w:val="SingleTxtG"/>
      </w:pPr>
      <w:r>
        <w:t>155.</w:t>
      </w:r>
      <w:r>
        <w:tab/>
        <w:t>В 2015 году была утверждена Национальная политика борьбы с торговлей людьми и со связанными с ней формами эксплуатации, а также борьбы с торговлей людьми и незаконным ввозом мигрантов</w:t>
      </w:r>
      <w:r w:rsidRPr="00D93542">
        <w:rPr>
          <w:rStyle w:val="ab"/>
        </w:rPr>
        <w:footnoteReference w:id="234"/>
      </w:r>
      <w:r>
        <w:t>. Ранее, в 2007 году, был принят Закон №</w:t>
      </w:r>
      <w:r w:rsidR="00E24F35">
        <w:t> </w:t>
      </w:r>
      <w:r>
        <w:t>28950 о борьбе с торговлей людьми и незаконным ввозом мигрантов, а в 2016 году был принят подзаконный акт, регулирующий его применение</w:t>
      </w:r>
      <w:r w:rsidRPr="00D93542">
        <w:rPr>
          <w:rStyle w:val="ab"/>
        </w:rPr>
        <w:footnoteReference w:id="235"/>
      </w:r>
      <w:r>
        <w:t>.</w:t>
      </w:r>
    </w:p>
    <w:p w14:paraId="3F412FA6" w14:textId="77777777" w:rsidR="00CA1E90" w:rsidRDefault="00CA1E90" w:rsidP="00CA1E90">
      <w:pPr>
        <w:pStyle w:val="SingleTxtG"/>
      </w:pPr>
      <w:r>
        <w:t>156.</w:t>
      </w:r>
      <w:r>
        <w:tab/>
        <w:t>Кроме того, в 2016 году был утвержден Межведомственный протокол о предупреждении преступления торговли людьми, уголовном преследовании за нее, а также о защите жертв торговли людьми, оказании им помощи и их реинтеграции</w:t>
      </w:r>
      <w:r w:rsidRPr="00D93542">
        <w:rPr>
          <w:rStyle w:val="ab"/>
        </w:rPr>
        <w:footnoteReference w:id="236"/>
      </w:r>
      <w:r>
        <w:t xml:space="preserve">, в </w:t>
      </w:r>
      <w:r>
        <w:lastRenderedPageBreak/>
        <w:t xml:space="preserve">котором определены обязанности государственных органов, позволяющие осуществлять совместные и скоординированные действия. В этой связи в 2017 году был утвержден Национальный план по борьбе с торговлей людьми на </w:t>
      </w:r>
      <w:r w:rsidR="00E24F35">
        <w:br/>
      </w:r>
      <w:r>
        <w:t>2017</w:t>
      </w:r>
      <w:r w:rsidR="009D0D86" w:rsidRPr="009D0D86">
        <w:t>–</w:t>
      </w:r>
      <w:r>
        <w:t>2021</w:t>
      </w:r>
      <w:r w:rsidR="009D0D86">
        <w:rPr>
          <w:lang w:val="en-US"/>
        </w:rPr>
        <w:t> </w:t>
      </w:r>
      <w:r>
        <w:t>годы</w:t>
      </w:r>
      <w:r w:rsidRPr="00D93542">
        <w:rPr>
          <w:rStyle w:val="ab"/>
        </w:rPr>
        <w:footnoteReference w:id="237"/>
      </w:r>
      <w:r>
        <w:t>.</w:t>
      </w:r>
    </w:p>
    <w:p w14:paraId="42CDD7EF" w14:textId="77777777" w:rsidR="00CA1E90" w:rsidRDefault="00CA1E90" w:rsidP="00CA1E90">
      <w:pPr>
        <w:pStyle w:val="SingleTxtG"/>
      </w:pPr>
      <w:r>
        <w:t>157.</w:t>
      </w:r>
      <w:r>
        <w:tab/>
        <w:t>Что касается предупреждения торговли людьми в сфере туризма, то в 2018 году был принят закон, устанавливающий условия размещения детей и подростков в заведениях гостиничного типа с целью обеспечения их защиты и неприкосновенности</w:t>
      </w:r>
      <w:r w:rsidRPr="00D93542">
        <w:rPr>
          <w:rStyle w:val="ab"/>
        </w:rPr>
        <w:footnoteReference w:id="238"/>
      </w:r>
      <w:r>
        <w:t>, в результате чего 4167 заведений, оказывающих услуги в сфере туризма по всей стране, подписали Аффидевит об обязательном присоединении к Кодексу поведения поставщиков туристических услуг для защиты детей и подростков от сексуальной эксплуатации в сфере туризма</w:t>
      </w:r>
      <w:r w:rsidRPr="00D93542">
        <w:rPr>
          <w:rStyle w:val="ab"/>
        </w:rPr>
        <w:footnoteReference w:id="239"/>
      </w:r>
      <w:r>
        <w:t>.</w:t>
      </w:r>
    </w:p>
    <w:p w14:paraId="6DE1C37D" w14:textId="77777777" w:rsidR="00CA1E90" w:rsidRDefault="00CA1E90" w:rsidP="00CA1E90">
      <w:pPr>
        <w:pStyle w:val="SingleTxtG"/>
      </w:pPr>
      <w:r>
        <w:t>158.</w:t>
      </w:r>
      <w:r>
        <w:tab/>
        <w:t>Аналогичным образом, в 2018 году были утверждены Кодекс поведения поставщиков туристических услуг для защиты детей и подростков от сексуальной эксплуатации в сфере туризма и текст Аффидевита об обязательном присоединении к Кодексу поведения поставщиков туристических услуг для защиты детей и подростков от сексуальной эксплуатации в сфере туризма</w:t>
      </w:r>
      <w:r w:rsidRPr="00D93542">
        <w:rPr>
          <w:rStyle w:val="ab"/>
        </w:rPr>
        <w:footnoteReference w:id="240"/>
      </w:r>
      <w:r>
        <w:t>.</w:t>
      </w:r>
    </w:p>
    <w:p w14:paraId="0915802F" w14:textId="77777777" w:rsidR="00CA1E90" w:rsidRDefault="00CA1E90" w:rsidP="00CA1E90">
      <w:pPr>
        <w:pStyle w:val="SingleTxtG"/>
      </w:pPr>
      <w:r>
        <w:t>159.</w:t>
      </w:r>
      <w:r>
        <w:tab/>
        <w:t xml:space="preserve">Кроме того, подготовку в этой области прошли государственные должностные лица, поставщики туристических услуг, студенты и преподаватели училищ, институтов и университетов, а также население в целом; если в 2011 году число лиц, прошедших подготовку, составило 2520 человек, то в 2018 году </w:t>
      </w:r>
      <w:r w:rsidR="00E24F35">
        <w:t>—</w:t>
      </w:r>
      <w:r>
        <w:t xml:space="preserve"> 5570 человек. За</w:t>
      </w:r>
      <w:r w:rsidR="009D0D86">
        <w:rPr>
          <w:lang w:val="en-US"/>
        </w:rPr>
        <w:t> </w:t>
      </w:r>
      <w:r>
        <w:t>период 2011</w:t>
      </w:r>
      <w:r w:rsidR="00E24F35">
        <w:t>–</w:t>
      </w:r>
      <w:r>
        <w:t>2018 годов ею было охвачено 26 187 человек</w:t>
      </w:r>
      <w:r w:rsidRPr="00D93542">
        <w:rPr>
          <w:rStyle w:val="ab"/>
        </w:rPr>
        <w:footnoteReference w:id="241"/>
      </w:r>
      <w:r>
        <w:t>.</w:t>
      </w:r>
    </w:p>
    <w:p w14:paraId="18E34299" w14:textId="77777777" w:rsidR="00CA1E90" w:rsidRDefault="00CA1E90" w:rsidP="00CA1E90">
      <w:pPr>
        <w:pStyle w:val="H23G"/>
      </w:pPr>
      <w:bookmarkStart w:id="66" w:name="_Toc19107181"/>
      <w:r>
        <w:tab/>
      </w:r>
      <w:r>
        <w:tab/>
      </w:r>
      <w:r>
        <w:rPr>
          <w:bCs/>
        </w:rPr>
        <w:t>Органы правопорядка и права человека</w:t>
      </w:r>
      <w:bookmarkEnd w:id="65"/>
      <w:bookmarkEnd w:id="66"/>
    </w:p>
    <w:p w14:paraId="617EB1E9" w14:textId="77777777" w:rsidR="00CA1E90" w:rsidRDefault="00CA1E90" w:rsidP="00CA1E90">
      <w:pPr>
        <w:pStyle w:val="SingleTxtG"/>
      </w:pPr>
      <w:r>
        <w:t>160.</w:t>
      </w:r>
      <w:r>
        <w:tab/>
        <w:t>В 2003 году был создан Центр по международному гуманитарному праву и правам человека при вооруженных силах</w:t>
      </w:r>
      <w:r w:rsidRPr="00D93542">
        <w:rPr>
          <w:rStyle w:val="ab"/>
        </w:rPr>
        <w:footnoteReference w:id="242"/>
      </w:r>
      <w:r>
        <w:t>. По состоянию на 2019 год в этом Центре прошли подготовку по вопросам международного гуманитарного права и прав человека в общей сложности 15 627 человек (военнослужащие вооруженных сил и другие гражданские специалисты)</w:t>
      </w:r>
      <w:r w:rsidRPr="00D93542">
        <w:rPr>
          <w:rStyle w:val="ab"/>
        </w:rPr>
        <w:footnoteReference w:id="243"/>
      </w:r>
      <w:r>
        <w:t>.</w:t>
      </w:r>
    </w:p>
    <w:p w14:paraId="547C18AD" w14:textId="77777777" w:rsidR="00CA1E90" w:rsidRDefault="00CA1E90" w:rsidP="00CA1E90">
      <w:pPr>
        <w:pStyle w:val="SingleTxtG"/>
      </w:pPr>
      <w:r>
        <w:t>161.</w:t>
      </w:r>
      <w:r>
        <w:tab/>
        <w:t>Что касается применения силы, то в 2015 году был принят Законодательный указ, регулирующий применение силы НПП</w:t>
      </w:r>
      <w:r w:rsidRPr="00D93542">
        <w:rPr>
          <w:rStyle w:val="ab"/>
        </w:rPr>
        <w:footnoteReference w:id="244"/>
      </w:r>
      <w:r>
        <w:t>, а в 2016 году был принят подзаконный акт, регулирующий его применение</w:t>
      </w:r>
      <w:r w:rsidRPr="00D93542">
        <w:rPr>
          <w:rStyle w:val="ab"/>
        </w:rPr>
        <w:footnoteReference w:id="245"/>
      </w:r>
      <w:r>
        <w:t>, и все это в рамках международных стандартов в области прав человека, применимых к деятельности полиции, в частности Кодекса поведения должностных лиц по поддержанию правопорядка и Основных принципов применения силы и огнестрельного оружия должностными лицами по поддержанию правопорядка.</w:t>
      </w:r>
    </w:p>
    <w:p w14:paraId="37CB874E" w14:textId="77777777" w:rsidR="00CA1E90" w:rsidRDefault="00CA1E90" w:rsidP="00CA1E90">
      <w:pPr>
        <w:pStyle w:val="SingleTxtG"/>
      </w:pPr>
      <w:r>
        <w:t>162.</w:t>
      </w:r>
      <w:r>
        <w:tab/>
        <w:t>Кроме того, в 2018 году была принята Общая директива № 002-MINDEF-SG-VPD/DIGEDOC</w:t>
      </w:r>
      <w:r w:rsidRPr="00D93542">
        <w:rPr>
          <w:rStyle w:val="ab"/>
        </w:rPr>
        <w:footnoteReference w:id="246"/>
      </w:r>
      <w:r>
        <w:t xml:space="preserve">, утверждающая систему учебной подготовки в сфере обороны, в рамках которой устанавливаются руководящие принципы учебной подготовки в вооруженных силах, учебных заведениях и государственных учреждениях, связанных с МО. Данная Директива предусматривает соблюдение конституционных рамок, </w:t>
      </w:r>
      <w:r>
        <w:lastRenderedPageBreak/>
        <w:t>международных договоров, прав человека и норм международного гуманитарного права (статья 5.4.4).</w:t>
      </w:r>
    </w:p>
    <w:p w14:paraId="161288BD" w14:textId="77777777" w:rsidR="00CA1E90" w:rsidRDefault="00CA1E90" w:rsidP="00CA1E90">
      <w:pPr>
        <w:pStyle w:val="SingleTxtG"/>
      </w:pPr>
      <w:r>
        <w:t>163.</w:t>
      </w:r>
      <w:r>
        <w:tab/>
        <w:t>В этой связи в 2018 году было утверждено Руководство по правам человека для сотрудников полиции, которое представляет собой нормативный документ с изложением информации о нормативно-правовых аспектах прав человека, связанных с деятельностью НПП. Их понимание позволяет надлежащим образом осуществлять деятельность по поддержанию правопорядка, направленную на гарантирование свободного осуществления основных прав и сведение к минимуму рисков для неприкосновенности или жизни тех, кто оказывается в зоне проведения полицейской операции</w:t>
      </w:r>
      <w:r w:rsidRPr="00D93542">
        <w:rPr>
          <w:rStyle w:val="ab"/>
        </w:rPr>
        <w:footnoteReference w:id="247"/>
      </w:r>
      <w:r>
        <w:t>.</w:t>
      </w:r>
    </w:p>
    <w:p w14:paraId="6014867C" w14:textId="77777777" w:rsidR="00CA1E90" w:rsidRDefault="00CA1E90" w:rsidP="00CA1E90">
      <w:pPr>
        <w:pStyle w:val="H23G"/>
      </w:pPr>
      <w:bookmarkStart w:id="67" w:name="_Toc19107182"/>
      <w:r>
        <w:tab/>
      </w:r>
      <w:r>
        <w:tab/>
      </w:r>
      <w:r>
        <w:rPr>
          <w:bCs/>
        </w:rPr>
        <w:t>Коррупция и права человека</w:t>
      </w:r>
      <w:bookmarkEnd w:id="67"/>
    </w:p>
    <w:p w14:paraId="0E783C5C" w14:textId="77777777" w:rsidR="00CA1E90" w:rsidRDefault="00CA1E90" w:rsidP="00CA1E90">
      <w:pPr>
        <w:pStyle w:val="SingleTxtG"/>
      </w:pPr>
      <w:r>
        <w:t>164.</w:t>
      </w:r>
      <w:r>
        <w:tab/>
        <w:t>В целях наращивания усилий, координации действий и выработки среднесрочной и долгосрочной политики, направленной на предупреждение коррупции и борьбу с ней в стране, в 2010 году была создана Антикоррупционная комиссия высокого уровня</w:t>
      </w:r>
      <w:r w:rsidRPr="00D93542">
        <w:rPr>
          <w:rStyle w:val="ab"/>
        </w:rPr>
        <w:footnoteReference w:id="248"/>
      </w:r>
      <w:r>
        <w:t>, в состав которой вошли представители государственных и частных учреждений и гражданского общества. В рамках ее деятельности были приняты такие различные документы, как Антикоррупционная стратегия органов исполнительной власти</w:t>
      </w:r>
      <w:r w:rsidRPr="00D93542">
        <w:rPr>
          <w:rStyle w:val="ab"/>
        </w:rPr>
        <w:footnoteReference w:id="249"/>
      </w:r>
      <w:r>
        <w:t>, Национальная политика обеспечения неподкупности и борьбы с коррупцией</w:t>
      </w:r>
      <w:r w:rsidRPr="00D93542">
        <w:rPr>
          <w:rStyle w:val="ab"/>
        </w:rPr>
        <w:footnoteReference w:id="250"/>
      </w:r>
      <w:r>
        <w:t xml:space="preserve"> и Национальный план по обеспечению неподкупности и борьбе с коррупцией на 2018</w:t>
      </w:r>
      <w:r w:rsidR="00E24F35">
        <w:t>–</w:t>
      </w:r>
      <w:r>
        <w:t>2021 годы</w:t>
      </w:r>
      <w:r w:rsidRPr="00D93542">
        <w:rPr>
          <w:rStyle w:val="ab"/>
        </w:rPr>
        <w:footnoteReference w:id="251"/>
      </w:r>
      <w:r>
        <w:t>. Кроме того, к 2018 году было разработано и реализовано 18 ведомственных планов по борьбе с коррупцией.</w:t>
      </w:r>
    </w:p>
    <w:p w14:paraId="35B04BD2" w14:textId="77777777" w:rsidR="00CA1E90" w:rsidRDefault="00CA1E90" w:rsidP="00CA1E90">
      <w:pPr>
        <w:pStyle w:val="SingleTxtG"/>
      </w:pPr>
      <w:r>
        <w:t>165.</w:t>
      </w:r>
      <w:r>
        <w:tab/>
        <w:t>По данным НИСИ</w:t>
      </w:r>
      <w:r w:rsidRPr="00D93542">
        <w:rPr>
          <w:rStyle w:val="ab"/>
        </w:rPr>
        <w:footnoteReference w:id="252"/>
      </w:r>
      <w:r>
        <w:t>, в 2018 году 49,5</w:t>
      </w:r>
      <w:r w:rsidR="00D265AC">
        <w:t xml:space="preserve"> процента</w:t>
      </w:r>
      <w:r>
        <w:t xml:space="preserve"> жителей страны главной проблемой страны считали коррупцию, за которой следовала преступность: ее уровень с 2017 года вырос на 5,2 процентного пункта.</w:t>
      </w:r>
    </w:p>
    <w:p w14:paraId="47598C2F" w14:textId="77777777" w:rsidR="00CA1E90" w:rsidRDefault="00CA1E90" w:rsidP="00CA1E90">
      <w:pPr>
        <w:pStyle w:val="H23G"/>
      </w:pPr>
      <w:bookmarkStart w:id="68" w:name="_Toc19107183"/>
      <w:r>
        <w:tab/>
      </w:r>
      <w:r>
        <w:tab/>
      </w:r>
      <w:r>
        <w:rPr>
          <w:bCs/>
        </w:rPr>
        <w:t>Окружающая среда и обеспечение готовности к бедствиям и ликвидация их</w:t>
      </w:r>
      <w:r w:rsidR="00E24F35">
        <w:rPr>
          <w:bCs/>
        </w:rPr>
        <w:t> </w:t>
      </w:r>
      <w:r>
        <w:rPr>
          <w:bCs/>
        </w:rPr>
        <w:t>последствий</w:t>
      </w:r>
      <w:bookmarkEnd w:id="68"/>
    </w:p>
    <w:p w14:paraId="5163B932" w14:textId="77777777" w:rsidR="00CA1E90" w:rsidRDefault="00CA1E90" w:rsidP="00CA1E90">
      <w:pPr>
        <w:pStyle w:val="SingleTxtG"/>
      </w:pPr>
      <w:r>
        <w:t>166.</w:t>
      </w:r>
      <w:r>
        <w:tab/>
        <w:t>В 2018 году был принят Рамочный закон об изменении климата</w:t>
      </w:r>
      <w:r w:rsidRPr="00D93542">
        <w:rPr>
          <w:rStyle w:val="ab"/>
        </w:rPr>
        <w:footnoteReference w:id="253"/>
      </w:r>
      <w:r>
        <w:t>, целью которого является выработка принципов, подходов и общих положений для разработки, формулирования, координации, осуществления, мониторинга, оценки и продвижения государственной политики комплексного, основанного на широком участии и транспарентного принятия мер по адаптации к изменению климата и смягчению его последствий, с тем чтобы уменьшить уязвимость страны к изменению климата, реализовать возможности низкоуглеродного роста и выполнить международные обязательства, взятые на себя государством в соответствии с Рамочной конвенцией Организации Объединенных Наций об изменении климата, на основе подхода, учитывающего интересы разных поколений.</w:t>
      </w:r>
    </w:p>
    <w:p w14:paraId="79C48FFF" w14:textId="77777777" w:rsidR="00CA1E90" w:rsidRDefault="00CA1E90" w:rsidP="00CA1E90">
      <w:pPr>
        <w:pStyle w:val="SingleTxtG"/>
      </w:pPr>
      <w:r>
        <w:lastRenderedPageBreak/>
        <w:t>167.</w:t>
      </w:r>
      <w:r>
        <w:tab/>
        <w:t>В связи этим в 2019 году был принят регулирующий применение этого закона подзаконный акт об охране окружающей среды в энергетике</w:t>
      </w:r>
      <w:r w:rsidRPr="00D93542">
        <w:rPr>
          <w:rStyle w:val="ab"/>
        </w:rPr>
        <w:footnoteReference w:id="254"/>
      </w:r>
      <w:r>
        <w:t xml:space="preserve"> с целью поощрения и регулирования природопользования при производстве, передаче и распределении электроэнергии для предотвращения, минимизации, ликвидации и/или компенсации негативных экологических последствий такой деятельности в контексте устойчивого развития.</w:t>
      </w:r>
    </w:p>
    <w:p w14:paraId="04D52BDE" w14:textId="77777777" w:rsidR="00CA1E90" w:rsidRDefault="00CA1E90" w:rsidP="00CA1E90">
      <w:pPr>
        <w:pStyle w:val="SingleTxtG"/>
        <w:rPr>
          <w:szCs w:val="24"/>
        </w:rPr>
      </w:pPr>
      <w:r>
        <w:t>168.</w:t>
      </w:r>
      <w:r>
        <w:tab/>
        <w:t>В период 2008</w:t>
      </w:r>
      <w:r w:rsidR="00E24F35">
        <w:t>–</w:t>
      </w:r>
      <w:r>
        <w:t xml:space="preserve">2018 годов по всей стране было зарегистрировано </w:t>
      </w:r>
      <w:r w:rsidR="009D6336">
        <w:br/>
      </w:r>
      <w:r>
        <w:t xml:space="preserve">53 780 чрезвычайных ситуаций, от которых пострадало 12 815 724 человека, а ущерб понесли 1 267 049 человек. Из общего числа чрезвычайных ситуаций подавляющее большинство пришлось на горные районы страны (32 702 чрезвычайные ситуации), за которыми следовало побережье (9569 чрезвычайных ситуаций); из общего числа пострадавших подавляющее большинство находилось в горных районах </w:t>
      </w:r>
      <w:r w:rsidR="00E24F35">
        <w:br/>
      </w:r>
      <w:r>
        <w:t>(8 112 524 человека), за которыми следовали низменные леса (1</w:t>
      </w:r>
      <w:r w:rsidR="001B719F">
        <w:t> </w:t>
      </w:r>
      <w:r>
        <w:t xml:space="preserve">479 445 человек); </w:t>
      </w:r>
      <w:r w:rsidR="00E24F35">
        <w:br/>
      </w:r>
      <w:r>
        <w:t xml:space="preserve">и из числа лиц, понесших ущерб большинство находилось в низменных лесах </w:t>
      </w:r>
      <w:r w:rsidR="00E24F35">
        <w:br/>
      </w:r>
      <w:r>
        <w:t>(431 145 человек) и в горных районах (403 659 человек)</w:t>
      </w:r>
      <w:r w:rsidRPr="00D93542">
        <w:rPr>
          <w:rStyle w:val="ab"/>
        </w:rPr>
        <w:footnoteReference w:id="255"/>
      </w:r>
      <w:r>
        <w:t>.</w:t>
      </w:r>
    </w:p>
    <w:p w14:paraId="01008B71" w14:textId="77777777" w:rsidR="00CA1E90" w:rsidRDefault="00CA1E90" w:rsidP="00CA1E90">
      <w:pPr>
        <w:pStyle w:val="SingleTxtG"/>
        <w:rPr>
          <w:szCs w:val="24"/>
        </w:rPr>
      </w:pPr>
      <w:r>
        <w:t>169.</w:t>
      </w:r>
      <w:r>
        <w:tab/>
        <w:t>В этой связи в 2018 году был принят Закон о применении правозащитного подхода в интересах лиц, пострадавших или понесших ущерб в результате стихийных бедствий</w:t>
      </w:r>
      <w:r w:rsidRPr="00D93542">
        <w:rPr>
          <w:rStyle w:val="ab"/>
        </w:rPr>
        <w:footnoteReference w:id="256"/>
      </w:r>
      <w:r>
        <w:t>, посредством мер реагирования, реконструкции и восстановления пострадавших служб и объектов инфраструктуры общего пользования. Это подразумевает, среди прочего, признание всех пострадавших или понесших ущерб лиц в качестве правообладателей и обязанность государства поощрять, уважать и защищать права человека этих лиц путем содействия их реституции, а также внедрение на всех трех уровнях государственного управления эффективных механизмов приема жалоб на нарушения основных прав лиц, которые пострадали или понесли ущерб в результате бедствий.</w:t>
      </w:r>
    </w:p>
    <w:p w14:paraId="0CF20C7A" w14:textId="77777777" w:rsidR="00CA1E90" w:rsidRDefault="00CA1E90" w:rsidP="00CA1E90">
      <w:pPr>
        <w:pStyle w:val="SingleTxtG"/>
        <w:rPr>
          <w:szCs w:val="24"/>
        </w:rPr>
      </w:pPr>
      <w:r>
        <w:t>170.</w:t>
      </w:r>
      <w:r>
        <w:tab/>
        <w:t>Также в том же году было утверждено новое Руководство по оценке ущерба и анализу потребностей</w:t>
      </w:r>
      <w:r w:rsidRPr="00D93542">
        <w:rPr>
          <w:rStyle w:val="ab"/>
        </w:rPr>
        <w:footnoteReference w:id="257"/>
      </w:r>
      <w:r>
        <w:t>, где прописан механизм сбора данных и обработки качественной и количественной информации о масштабах, тяжести и локализации последствий того или иного неблагоприятного события, а также конкретизируется процедура определения потребностей в мерах, связанных с реагированием, восстановлением и реконструкцией. С этой целью информация представляется в разбивке по возрасту, полу и наиболее уязвимым группам, таким как младенцы, дети и подростки, взрослые, пожилые люди и беременные женщины.</w:t>
      </w:r>
    </w:p>
    <w:p w14:paraId="3CD54E0F" w14:textId="77777777" w:rsidR="00CA1E90" w:rsidRDefault="00CA1E90" w:rsidP="00CA1E90">
      <w:pPr>
        <w:pStyle w:val="H1G"/>
      </w:pPr>
      <w:bookmarkStart w:id="69" w:name="_Toc19107184"/>
      <w:r>
        <w:tab/>
      </w:r>
      <w:r>
        <w:tab/>
      </w:r>
      <w:r>
        <w:rPr>
          <w:bCs/>
        </w:rPr>
        <w:t>Информация о недискриминации в национальной отчетности</w:t>
      </w:r>
      <w:bookmarkEnd w:id="69"/>
    </w:p>
    <w:p w14:paraId="5E205B18" w14:textId="77777777" w:rsidR="00CA1E90" w:rsidRDefault="00CA1E90" w:rsidP="00CA1E90">
      <w:pPr>
        <w:pStyle w:val="SingleTxtG"/>
      </w:pPr>
      <w:r>
        <w:t>171.</w:t>
      </w:r>
      <w:r>
        <w:tab/>
        <w:t xml:space="preserve">МЮПЧ является ведомством, которое отвечает, среди прочего, за соблюдение прав человека, а на заместителя министра по правам человека и доступу к правосудию возложены следующие обязанности: </w:t>
      </w:r>
      <w:r w:rsidR="0082316A" w:rsidRPr="00E24F35">
        <w:rPr>
          <w:rStyle w:val="ab"/>
          <w:vertAlign w:val="baseline"/>
        </w:rPr>
        <w:t>«</w:t>
      </w:r>
      <w:r w:rsidRPr="00E24F35">
        <w:t>а) формулировать, координировать, осуществлять и контролировать политику в области прав человека и доступа к правосудию в рамках своей компетенции согласно соответствующей национальной политике; b) утверждать периодические или непериодические доклады, запрашиваемые органами международных правозащитных систем и надлежащим образом согласованные по предусмотренным для этого каналам соответствующим руководящим органом; и с) утверждать минимальные стандарты в области прав человека, а также руководящие принципы и директивы по их соблюдению</w:t>
      </w:r>
      <w:r w:rsidR="0082316A" w:rsidRPr="00E24F35">
        <w:rPr>
          <w:rStyle w:val="ab"/>
          <w:vertAlign w:val="baseline"/>
        </w:rPr>
        <w:t>»</w:t>
      </w:r>
      <w:r w:rsidRPr="00E24F35">
        <w:t>.</w:t>
      </w:r>
    </w:p>
    <w:p w14:paraId="1A538E60" w14:textId="77777777" w:rsidR="00CA1E90" w:rsidRPr="00BE59E9" w:rsidRDefault="00CA1E90" w:rsidP="00CA1E90">
      <w:pPr>
        <w:pStyle w:val="SingleTxtG"/>
      </w:pPr>
      <w:r>
        <w:t>172.</w:t>
      </w:r>
      <w:r>
        <w:tab/>
        <w:t>В этой связи Главное управление по правам человека</w:t>
      </w:r>
      <w:r w:rsidRPr="00E24F35">
        <w:t xml:space="preserve">, являющееся профильным органом в ведении заместителя министра, отвечает за то, чтобы: </w:t>
      </w:r>
      <w:r w:rsidR="0082316A" w:rsidRPr="00E24F35">
        <w:rPr>
          <w:rStyle w:val="ab"/>
          <w:vertAlign w:val="baseline"/>
        </w:rPr>
        <w:t>«</w:t>
      </w:r>
      <w:r w:rsidRPr="00E24F35">
        <w:t>a)</w:t>
      </w:r>
      <w:r>
        <w:t xml:space="preserve"> координировать с </w:t>
      </w:r>
      <w:r>
        <w:lastRenderedPageBreak/>
        <w:t xml:space="preserve">другими государственными учреждениями подготовку докладов, запрашиваемых органами международных правозащитных систем, которые учреждены в соответствии с международными договорами и другими соглашениями (...); b) распространять периодические или непериодические доклады, запрашиваемые органами международных правозащитных систем и надлежащим согласованные по предусмотренным для этого каналам соответствующим руководящим органом; </w:t>
      </w:r>
      <w:r w:rsidR="00E436C8">
        <w:br/>
      </w:r>
      <w:r>
        <w:t>и с) налаживать и поддерживать опирающиеся на координацию, взаимодействие взаимную помощь отношения с (...) национальными и международными структурами, занимающимися вопросами защиты и поощрения прав человека и международного гуманитарного права</w:t>
      </w:r>
      <w:r w:rsidR="0082316A" w:rsidRPr="00E24F35">
        <w:rPr>
          <w:rStyle w:val="ab"/>
          <w:vertAlign w:val="baseline"/>
        </w:rPr>
        <w:t>»</w:t>
      </w:r>
      <w:r>
        <w:t>.</w:t>
      </w:r>
    </w:p>
    <w:p w14:paraId="1289A682" w14:textId="77777777" w:rsidR="00CA1E90" w:rsidRDefault="00CA1E90" w:rsidP="00CA1E90">
      <w:pPr>
        <w:pStyle w:val="SingleTxtG"/>
      </w:pPr>
      <w:r>
        <w:t>173.</w:t>
      </w:r>
      <w:r>
        <w:tab/>
        <w:t>В обязанности Национального совета по правам человека (НСПЧ) входит также вынесение заключений по первоначальным или периодическим докладам, которые перуанское государство обязано представлять органам международных правозащитных систем в соответствии с договорами или в рамках универсального периодического обзора</w:t>
      </w:r>
      <w:r w:rsidRPr="00D93542">
        <w:rPr>
          <w:rStyle w:val="ab"/>
        </w:rPr>
        <w:footnoteReference w:id="258"/>
      </w:r>
      <w:r>
        <w:t>.</w:t>
      </w:r>
    </w:p>
    <w:p w14:paraId="45C59474" w14:textId="77777777" w:rsidR="00CA1E90" w:rsidRDefault="00CA1E90" w:rsidP="00CA1E90">
      <w:pPr>
        <w:pStyle w:val="SingleTxtG"/>
      </w:pPr>
      <w:r>
        <w:t>174.</w:t>
      </w:r>
      <w:r>
        <w:tab/>
        <w:t>Со своей стороны, Министерство иностранных дел отвечает, среди прочего, за проведение внешней политики и развитие внешних связей. Одна из его обязанностей состоит в том, чтобы на постоянной основе представлять государство на международной арене через внешнеполитическую и дипломатическую службу Республики.</w:t>
      </w:r>
    </w:p>
    <w:p w14:paraId="47DD0E11" w14:textId="77777777" w:rsidR="00CA1E90" w:rsidRDefault="00CA1E90" w:rsidP="00CA1E90">
      <w:pPr>
        <w:pStyle w:val="SingleTxtG"/>
      </w:pPr>
      <w:r>
        <w:t>175.</w:t>
      </w:r>
      <w:r>
        <w:tab/>
        <w:t>В свою очередь Управление по правам человека этого Министерства, входящее в состав Главного управления по многосторонним и глобальным вопросам, отвечает, в частности, за выработку и озвучивание в координации с МЮПЧ и другими соответствующими органами государственного управления позиции страны в сфере прав человека на специализированных многосторонних форумах. В его обязанности входит также оказание содействия Национальному совету по правам человека при МЮПЧ в подготовке национальных докладов</w:t>
      </w:r>
      <w:r w:rsidRPr="00D93542">
        <w:rPr>
          <w:rStyle w:val="ab"/>
        </w:rPr>
        <w:footnoteReference w:id="259"/>
      </w:r>
      <w:r>
        <w:t>.</w:t>
      </w:r>
    </w:p>
    <w:p w14:paraId="0671798C" w14:textId="77777777" w:rsidR="00CA1E90" w:rsidRDefault="00CA1E90" w:rsidP="00CA1E90">
      <w:pPr>
        <w:pStyle w:val="SingleTxtG"/>
      </w:pPr>
      <w:r>
        <w:t>176.</w:t>
      </w:r>
      <w:r>
        <w:tab/>
        <w:t>Следует также отметить, что согласно Стратегическому направлению деятельности № 4 НППЧ на 2018</w:t>
      </w:r>
      <w:r w:rsidR="001B719F">
        <w:t>–</w:t>
      </w:r>
      <w:r>
        <w:t xml:space="preserve">2021 годы перед МЮПЧ и Министерством иностранных дел поставлена задача </w:t>
      </w:r>
      <w:r w:rsidRPr="00E436C8">
        <w:t xml:space="preserve">создать </w:t>
      </w:r>
      <w:r w:rsidR="0082316A" w:rsidRPr="00E436C8">
        <w:rPr>
          <w:rStyle w:val="ab"/>
          <w:vertAlign w:val="baseline"/>
        </w:rPr>
        <w:t>«</w:t>
      </w:r>
      <w:r w:rsidRPr="00E436C8">
        <w:t>национальный механизм для разработки и представления докладов международным правозащитным системам и осуществления последующей деятельности</w:t>
      </w:r>
      <w:r w:rsidR="00E436C8">
        <w:t>»</w:t>
      </w:r>
      <w:r w:rsidRPr="00D93542">
        <w:rPr>
          <w:rStyle w:val="ab"/>
        </w:rPr>
        <w:footnoteReference w:id="260"/>
      </w:r>
      <w:r>
        <w:t>.</w:t>
      </w:r>
    </w:p>
    <w:p w14:paraId="4A509B64" w14:textId="77777777" w:rsidR="00CA1E90" w:rsidRDefault="00CA1E90" w:rsidP="00CA1E90">
      <w:pPr>
        <w:pStyle w:val="H1G"/>
      </w:pPr>
      <w:r>
        <w:tab/>
      </w:r>
      <w:r>
        <w:tab/>
      </w:r>
      <w:r>
        <w:rPr>
          <w:bCs/>
        </w:rPr>
        <w:t>Информация о недискриминации, равенстве и эффективных средствах правовой защиты</w:t>
      </w:r>
      <w:bookmarkStart w:id="70" w:name="_Toc19107185"/>
      <w:bookmarkEnd w:id="70"/>
    </w:p>
    <w:p w14:paraId="116639A0" w14:textId="77777777" w:rsidR="00CA1E90" w:rsidRDefault="00CA1E90" w:rsidP="00CA1E90">
      <w:pPr>
        <w:pStyle w:val="SingleTxtG"/>
      </w:pPr>
      <w:r>
        <w:t>177.</w:t>
      </w:r>
      <w:r>
        <w:tab/>
        <w:t>По мнению Конституционного суда</w:t>
      </w:r>
      <w:r w:rsidRPr="00D93542">
        <w:rPr>
          <w:rStyle w:val="ab"/>
        </w:rPr>
        <w:footnoteReference w:id="261"/>
      </w:r>
      <w:r>
        <w:t>, признанный в Конституции Перу правовой принцип равенства нельзя трактовать однобоко как простое требование равного обращения с лицами, находящимися в аналогичных условиях (формальное равенство). Этические соображения, вытекающие из принципа человеческого достоинства, расширяют содержание понятия равенства, требуя более активной роли государства, которое призвано гарантировать реальное или подлинное равенство путем принятия конкретных мер в интересах этих групп.</w:t>
      </w:r>
    </w:p>
    <w:p w14:paraId="19BD70FD" w14:textId="77777777" w:rsidR="00CA1E90" w:rsidRDefault="00CA1E90" w:rsidP="00CA1E90">
      <w:pPr>
        <w:pStyle w:val="SingleTxtG"/>
      </w:pPr>
      <w:r>
        <w:t>178.</w:t>
      </w:r>
      <w:r>
        <w:tab/>
        <w:t xml:space="preserve">Следует отметить, что в 2017 году сексуальная ориентация и гендерная идентичность были включены в качестве запрещенного основания в определение уголовно-наказуемого преступления дискриминации (статья 323 Уголовного </w:t>
      </w:r>
      <w:r>
        <w:lastRenderedPageBreak/>
        <w:t>кодекса)</w:t>
      </w:r>
      <w:r w:rsidRPr="00D93542">
        <w:rPr>
          <w:rStyle w:val="ab"/>
          <w:rFonts w:eastAsia="Calibri"/>
        </w:rPr>
        <w:footnoteReference w:id="262"/>
      </w:r>
      <w:r>
        <w:t>; кроме того, эти основания считаются отягчающими обстоятельствами преступления (статья 46 Уголовного кодекса).</w:t>
      </w:r>
    </w:p>
    <w:p w14:paraId="13A466CA" w14:textId="77777777" w:rsidR="00CA1E90" w:rsidRDefault="00CA1E90" w:rsidP="00CA1E90">
      <w:pPr>
        <w:pStyle w:val="SingleTxtG"/>
        <w:rPr>
          <w:rFonts w:eastAsia="Arial"/>
        </w:rPr>
      </w:pPr>
      <w:r>
        <w:t>179.</w:t>
      </w:r>
      <w:r>
        <w:tab/>
        <w:t>Была также укреплена институциональная основа борьбы с расизмом и этнорасовой дискриминацией в Перу. Так, в соответствии с Высочайшим указом №</w:t>
      </w:r>
      <w:r w:rsidR="00E436C8">
        <w:t> </w:t>
      </w:r>
      <w:r>
        <w:t>005-2013-MC в структуре Министерства культуры в качестве штатного подразделения появилось Управление по вопросам культурного многообразия и ликвидации расовой дискриминации, которое отвечает за разработку, осуществление и мониторинг программ, способствующих ликвидации этнорасовой дискриминации и поощрению межкультурного взаимодействия граждан. Создание этого профильного управления является важной вехой для Перу, поскольку впервые в перуанском государстве проблема расизма и этнорасовой дискриминации решается на институциональном уровне.</w:t>
      </w:r>
    </w:p>
    <w:p w14:paraId="250814CC" w14:textId="77777777" w:rsidR="00CA1E90" w:rsidRDefault="00CA1E90" w:rsidP="00CA1E90">
      <w:pPr>
        <w:pStyle w:val="SingleTxtG"/>
        <w:rPr>
          <w:rFonts w:eastAsia="Arial"/>
        </w:rPr>
      </w:pPr>
      <w:r>
        <w:t>180.</w:t>
      </w:r>
      <w:r>
        <w:tab/>
        <w:t xml:space="preserve">Кроме того, была создана платформа </w:t>
      </w:r>
      <w:r w:rsidR="0082316A" w:rsidRPr="00E436C8">
        <w:rPr>
          <w:rStyle w:val="ab"/>
          <w:vertAlign w:val="baseline"/>
        </w:rPr>
        <w:t>«</w:t>
      </w:r>
      <w:r w:rsidRPr="00E436C8">
        <w:t>Внимание, расизм!</w:t>
      </w:r>
      <w:r w:rsidR="0082316A" w:rsidRPr="00E436C8">
        <w:rPr>
          <w:rStyle w:val="ab"/>
          <w:vertAlign w:val="baseline"/>
        </w:rPr>
        <w:t>»</w:t>
      </w:r>
      <w:r w:rsidRPr="00E436C8">
        <w:t>,</w:t>
      </w:r>
      <w:r>
        <w:t xml:space="preserve"> которая в соответствии с министерским постановлением № 431-2015-MC была объявлена официальной платформой с целью генерирования и распространения информации об этнорасовой дискриминации в Перу. Благодаря этой инициативе появилась информационная система, которая облегчает взаимодействие с гражданами в целях борьбы с дискриминацией и выполняет также функцию мониторинга этой социальной проблемы, генерируя информацию, необходимую для выработки государственной политики, которая направлена на повышение эффективности принимаемых государством мер.</w:t>
      </w:r>
    </w:p>
    <w:p w14:paraId="42129F8A" w14:textId="77777777" w:rsidR="00CA1E90" w:rsidRDefault="00CA1E90" w:rsidP="00CA1E90">
      <w:pPr>
        <w:pStyle w:val="SingleTxtG"/>
        <w:rPr>
          <w:rFonts w:eastAsia="Calibri"/>
        </w:rPr>
      </w:pPr>
      <w:r>
        <w:t>181.</w:t>
      </w:r>
      <w:r>
        <w:tab/>
        <w:t>Другой мерой стало учреждение Национальной комиссии по борьбе с дискриминацией</w:t>
      </w:r>
      <w:r w:rsidRPr="00D93542">
        <w:rPr>
          <w:rStyle w:val="ab"/>
        </w:rPr>
        <w:footnoteReference w:id="263"/>
      </w:r>
      <w:r>
        <w:t xml:space="preserve"> (КОНАКОД) (Высочайший указ № 015-2013-JUS), в задачи которой входит осуществление последующей деятельности и контроля, а также вынесение заключений и оказание технической консультативной помощи органам исполнительной власти в разработке государственной политики, программ, проектов, планов действий и стратегий в области обеспечения равенства и недискриминации.</w:t>
      </w:r>
    </w:p>
    <w:p w14:paraId="5F7F4B45" w14:textId="77777777" w:rsidR="00CA1E90" w:rsidRDefault="00CA1E90" w:rsidP="001C713E">
      <w:pPr>
        <w:pStyle w:val="SingleTxtG"/>
      </w:pPr>
      <w:r>
        <w:t>182.</w:t>
      </w:r>
      <w:r>
        <w:tab/>
        <w:t xml:space="preserve">Эта Комиссия сосредоточила внимание на защите групп населения, находящихся в уязвимом положении, в результате чего в 2019 году были утверждены два важных доклада, направленных на поощрение равенства и недискриминации в стране. Речь идет о докладе о положении с гендерной идентичностью транссексуалов в Перу и докладе о дискриминации в средствах массовой информации в Перу с особым упором на </w:t>
      </w:r>
      <w:proofErr w:type="spellStart"/>
      <w:r>
        <w:t>этнорасовую</w:t>
      </w:r>
      <w:proofErr w:type="spellEnd"/>
      <w:r>
        <w:t xml:space="preserve"> дискриминацию.</w:t>
      </w:r>
      <w:r w:rsidR="00C6046B">
        <w:t xml:space="preserve"> </w:t>
      </w:r>
    </w:p>
    <w:p w14:paraId="3177839D" w14:textId="77777777" w:rsidR="00CA1E90" w:rsidRPr="001C713E" w:rsidRDefault="001C713E" w:rsidP="001C713E">
      <w:pPr>
        <w:pStyle w:val="SingleTxtG"/>
        <w:spacing w:before="240" w:after="0"/>
        <w:jc w:val="center"/>
        <w:rPr>
          <w:u w:val="single"/>
        </w:rPr>
      </w:pPr>
      <w:r>
        <w:rPr>
          <w:u w:val="single"/>
        </w:rPr>
        <w:tab/>
      </w:r>
      <w:r>
        <w:rPr>
          <w:u w:val="single"/>
        </w:rPr>
        <w:tab/>
      </w:r>
      <w:r>
        <w:rPr>
          <w:u w:val="single"/>
        </w:rPr>
        <w:tab/>
      </w:r>
      <w:r>
        <w:rPr>
          <w:u w:val="single"/>
        </w:rPr>
        <w:tab/>
      </w:r>
    </w:p>
    <w:p w14:paraId="5100E6F1" w14:textId="77777777" w:rsidR="00381C24" w:rsidRPr="00CA1E90" w:rsidRDefault="00381C24" w:rsidP="002B1258"/>
    <w:sectPr w:rsidR="00381C24" w:rsidRPr="00CA1E90" w:rsidSect="00CA1E9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3B4E" w14:textId="77777777" w:rsidR="009852CB" w:rsidRPr="00A312BC" w:rsidRDefault="009852CB" w:rsidP="00A312BC"/>
  </w:endnote>
  <w:endnote w:type="continuationSeparator" w:id="0">
    <w:p w14:paraId="4C86404B" w14:textId="77777777" w:rsidR="009852CB" w:rsidRPr="00A312BC" w:rsidRDefault="009852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9C57" w14:textId="77777777" w:rsidR="009852CB" w:rsidRPr="00CA1E90" w:rsidRDefault="009852CB">
    <w:pPr>
      <w:pStyle w:val="a9"/>
    </w:pPr>
    <w:r w:rsidRPr="00CA1E90">
      <w:rPr>
        <w:b/>
        <w:sz w:val="18"/>
      </w:rPr>
      <w:fldChar w:fldCharType="begin"/>
    </w:r>
    <w:r w:rsidRPr="00CA1E90">
      <w:rPr>
        <w:b/>
        <w:sz w:val="18"/>
      </w:rPr>
      <w:instrText xml:space="preserve"> PAGE  \* MERGEFORMAT </w:instrText>
    </w:r>
    <w:r w:rsidRPr="00CA1E90">
      <w:rPr>
        <w:b/>
        <w:sz w:val="18"/>
      </w:rPr>
      <w:fldChar w:fldCharType="separate"/>
    </w:r>
    <w:r w:rsidRPr="00CA1E90">
      <w:rPr>
        <w:b/>
        <w:noProof/>
        <w:sz w:val="18"/>
      </w:rPr>
      <w:t>2</w:t>
    </w:r>
    <w:r w:rsidRPr="00CA1E90">
      <w:rPr>
        <w:b/>
        <w:sz w:val="18"/>
      </w:rPr>
      <w:fldChar w:fldCharType="end"/>
    </w:r>
    <w:r>
      <w:rPr>
        <w:b/>
        <w:sz w:val="18"/>
      </w:rPr>
      <w:tab/>
    </w:r>
    <w:r>
      <w:t>GE.20-09726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8A5D" w14:textId="77777777" w:rsidR="009852CB" w:rsidRPr="00CA1E90" w:rsidRDefault="009852CB" w:rsidP="00CA1E90">
    <w:pPr>
      <w:pStyle w:val="a9"/>
      <w:tabs>
        <w:tab w:val="clear" w:pos="9639"/>
        <w:tab w:val="right" w:pos="9638"/>
      </w:tabs>
      <w:rPr>
        <w:b/>
        <w:sz w:val="18"/>
      </w:rPr>
    </w:pPr>
    <w:r>
      <w:t>GE.20-09726</w:t>
    </w:r>
    <w:r>
      <w:tab/>
    </w:r>
    <w:r w:rsidRPr="00CA1E90">
      <w:rPr>
        <w:b/>
        <w:sz w:val="18"/>
      </w:rPr>
      <w:fldChar w:fldCharType="begin"/>
    </w:r>
    <w:r w:rsidRPr="00CA1E90">
      <w:rPr>
        <w:b/>
        <w:sz w:val="18"/>
      </w:rPr>
      <w:instrText xml:space="preserve"> PAGE  \* MERGEFORMAT </w:instrText>
    </w:r>
    <w:r w:rsidRPr="00CA1E90">
      <w:rPr>
        <w:b/>
        <w:sz w:val="18"/>
      </w:rPr>
      <w:fldChar w:fldCharType="separate"/>
    </w:r>
    <w:r w:rsidRPr="00CA1E90">
      <w:rPr>
        <w:b/>
        <w:noProof/>
        <w:sz w:val="18"/>
      </w:rPr>
      <w:t>3</w:t>
    </w:r>
    <w:r w:rsidRPr="00CA1E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B3CC" w14:textId="77777777" w:rsidR="009852CB" w:rsidRPr="00CA1E90" w:rsidRDefault="009852CB" w:rsidP="00CA1E90">
    <w:pPr>
      <w:spacing w:before="120" w:line="240" w:lineRule="auto"/>
    </w:pPr>
    <w:r>
      <w:t>GE.</w:t>
    </w:r>
    <w:r>
      <w:rPr>
        <w:b/>
        <w:noProof/>
        <w:lang w:val="fr-CH" w:eastAsia="fr-CH"/>
      </w:rPr>
      <w:drawing>
        <wp:anchor distT="0" distB="0" distL="114300" distR="114300" simplePos="0" relativeHeight="251658240" behindDoc="0" locked="0" layoutInCell="1" allowOverlap="1" wp14:anchorId="6F8D43C7" wp14:editId="196E0F2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20-09726  (R)</w:t>
    </w:r>
    <w:r>
      <w:rPr>
        <w:lang w:val="en-US"/>
      </w:rPr>
      <w:t xml:space="preserve">  080920  </w:t>
    </w:r>
    <w:r>
      <w:t>11</w:t>
    </w:r>
    <w:r>
      <w:rPr>
        <w:lang w:val="en-US"/>
      </w:rPr>
      <w:t>0920</w:t>
    </w:r>
    <w:r>
      <w:br/>
    </w:r>
    <w:r w:rsidRPr="00CA1E90">
      <w:rPr>
        <w:rFonts w:ascii="C39T30Lfz" w:hAnsi="C39T30Lfz"/>
        <w:kern w:val="14"/>
        <w:sz w:val="56"/>
      </w:rPr>
      <w:t>*2009726*</w:t>
    </w:r>
    <w:r>
      <w:rPr>
        <w:noProof/>
      </w:rPr>
      <w:drawing>
        <wp:anchor distT="0" distB="0" distL="114300" distR="114300" simplePos="0" relativeHeight="251659264" behindDoc="0" locked="0" layoutInCell="1" allowOverlap="1" wp14:anchorId="2E46EC68" wp14:editId="71E82AF1">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79DE" w14:textId="77777777" w:rsidR="009852CB" w:rsidRPr="001075E9" w:rsidRDefault="009852CB" w:rsidP="001075E9">
      <w:pPr>
        <w:tabs>
          <w:tab w:val="right" w:pos="2155"/>
        </w:tabs>
        <w:spacing w:after="80" w:line="240" w:lineRule="auto"/>
        <w:ind w:left="680"/>
        <w:rPr>
          <w:u w:val="single"/>
        </w:rPr>
      </w:pPr>
      <w:r>
        <w:rPr>
          <w:u w:val="single"/>
        </w:rPr>
        <w:tab/>
      </w:r>
    </w:p>
  </w:footnote>
  <w:footnote w:type="continuationSeparator" w:id="0">
    <w:p w14:paraId="443D7A4A" w14:textId="77777777" w:rsidR="009852CB" w:rsidRDefault="009852CB" w:rsidP="00407B78">
      <w:pPr>
        <w:tabs>
          <w:tab w:val="right" w:pos="2155"/>
        </w:tabs>
        <w:spacing w:after="80"/>
        <w:ind w:left="680"/>
        <w:rPr>
          <w:u w:val="single"/>
        </w:rPr>
      </w:pPr>
      <w:r>
        <w:rPr>
          <w:u w:val="single"/>
        </w:rPr>
        <w:tab/>
      </w:r>
    </w:p>
  </w:footnote>
  <w:footnote w:id="1">
    <w:p w14:paraId="72C46598" w14:textId="77777777" w:rsidR="009852CB" w:rsidRPr="005A3799" w:rsidRDefault="009852CB" w:rsidP="00933DEB">
      <w:pPr>
        <w:pStyle w:val="ae"/>
      </w:pPr>
      <w:r>
        <w:tab/>
      </w:r>
      <w:r w:rsidRPr="00CA1E90">
        <w:rPr>
          <w:sz w:val="20"/>
        </w:rPr>
        <w:t>*</w:t>
      </w:r>
      <w:r w:rsidRPr="00CA1E90">
        <w:rPr>
          <w:sz w:val="20"/>
        </w:rPr>
        <w:tab/>
      </w:r>
      <w:r>
        <w:t>Настоящий документ выпускается без официального редактирования.</w:t>
      </w:r>
    </w:p>
  </w:footnote>
  <w:footnote w:id="2">
    <w:p w14:paraId="737A76C5" w14:textId="77777777" w:rsidR="009852CB" w:rsidRPr="00066F1B" w:rsidRDefault="009852CB" w:rsidP="00933DEB">
      <w:pPr>
        <w:pStyle w:val="ae"/>
      </w:pPr>
      <w:r>
        <w:tab/>
      </w:r>
      <w:r w:rsidRPr="00933DEB">
        <w:rPr>
          <w:rStyle w:val="ab"/>
        </w:rPr>
        <w:footnoteRef/>
      </w:r>
      <w:bookmarkStart w:id="3" w:name="_Hlk16079703"/>
      <w:r w:rsidRPr="00CA1E90">
        <w:rPr>
          <w:lang w:val="es-ES_tradnl"/>
        </w:rPr>
        <w:tab/>
        <w:t xml:space="preserve">Congreso Constituyente Democrático. (1993). Constitución Política del Perú. Art. 43. </w:t>
      </w:r>
      <w:r w:rsidRPr="00CA1E90">
        <w:rPr>
          <w:lang w:val="en-US"/>
        </w:rPr>
        <w:t>URL</w:t>
      </w:r>
      <w:r w:rsidRPr="00CA1E90">
        <w:t xml:space="preserve">: </w:t>
      </w:r>
      <w:hyperlink r:id="rId1" w:history="1">
        <w:r w:rsidRPr="00CA1E90">
          <w:rPr>
            <w:rStyle w:val="af2"/>
            <w:lang w:val="en-US"/>
          </w:rPr>
          <w:t>http</w:t>
        </w:r>
        <w:r w:rsidRPr="00CA1E90">
          <w:rPr>
            <w:rStyle w:val="af2"/>
          </w:rPr>
          <w:t>://</w:t>
        </w:r>
        <w:r w:rsidRPr="00CA1E90">
          <w:rPr>
            <w:rStyle w:val="af2"/>
            <w:lang w:val="en-US"/>
          </w:rPr>
          <w:t>www</w:t>
        </w:r>
        <w:r w:rsidRPr="00CA1E90">
          <w:rPr>
            <w:rStyle w:val="af2"/>
          </w:rPr>
          <w:t>4.</w:t>
        </w:r>
        <w:r w:rsidRPr="00CA1E90">
          <w:rPr>
            <w:rStyle w:val="af2"/>
            <w:lang w:val="en-US"/>
          </w:rPr>
          <w:t>congreso</w:t>
        </w:r>
        <w:r w:rsidRPr="00CA1E90">
          <w:rPr>
            <w:rStyle w:val="af2"/>
          </w:rPr>
          <w:t>.</w:t>
        </w:r>
        <w:r w:rsidRPr="00CA1E90">
          <w:rPr>
            <w:rStyle w:val="af2"/>
            <w:lang w:val="en-US"/>
          </w:rPr>
          <w:t>gob</w:t>
        </w:r>
        <w:r w:rsidRPr="00CA1E90">
          <w:rPr>
            <w:rStyle w:val="af2"/>
          </w:rPr>
          <w:t>.</w:t>
        </w:r>
        <w:r w:rsidRPr="00CA1E90">
          <w:rPr>
            <w:rStyle w:val="af2"/>
            <w:lang w:val="en-US"/>
          </w:rPr>
          <w:t>pe</w:t>
        </w:r>
        <w:r w:rsidRPr="00CA1E90">
          <w:rPr>
            <w:rStyle w:val="af2"/>
          </w:rPr>
          <w:t>/</w:t>
        </w:r>
        <w:r w:rsidRPr="00CA1E90">
          <w:rPr>
            <w:rStyle w:val="af2"/>
            <w:lang w:val="en-US"/>
          </w:rPr>
          <w:t>ntley</w:t>
        </w:r>
        <w:r w:rsidRPr="00CA1E90">
          <w:rPr>
            <w:rStyle w:val="af2"/>
          </w:rPr>
          <w:t>/</w:t>
        </w:r>
        <w:r w:rsidRPr="00CA1E90">
          <w:rPr>
            <w:rStyle w:val="af2"/>
            <w:lang w:val="en-US"/>
          </w:rPr>
          <w:t>Imagenes</w:t>
        </w:r>
        <w:r w:rsidRPr="00CA1E90">
          <w:rPr>
            <w:rStyle w:val="af2"/>
          </w:rPr>
          <w:t>/</w:t>
        </w:r>
        <w:r w:rsidRPr="00CA1E90">
          <w:rPr>
            <w:rStyle w:val="af2"/>
            <w:lang w:val="en-US"/>
          </w:rPr>
          <w:t>Constitu</w:t>
        </w:r>
        <w:r w:rsidRPr="00CA1E90">
          <w:rPr>
            <w:rStyle w:val="af2"/>
          </w:rPr>
          <w:t>/</w:t>
        </w:r>
        <w:r w:rsidRPr="00CA1E90">
          <w:rPr>
            <w:rStyle w:val="af2"/>
            <w:lang w:val="en-US"/>
          </w:rPr>
          <w:t>Cons</w:t>
        </w:r>
        <w:r w:rsidRPr="00CA1E90">
          <w:rPr>
            <w:rStyle w:val="af2"/>
          </w:rPr>
          <w:t>1993.</w:t>
        </w:r>
        <w:r w:rsidRPr="00CA1E90">
          <w:rPr>
            <w:rStyle w:val="af2"/>
            <w:lang w:val="en-US"/>
          </w:rPr>
          <w:t>pdf</w:t>
        </w:r>
      </w:hyperlink>
      <w:r w:rsidRPr="00CA1E90">
        <w:t xml:space="preserve"> </w:t>
      </w:r>
      <w:r>
        <w:t>(дата обращения: 07.08.2019).</w:t>
      </w:r>
      <w:bookmarkEnd w:id="3"/>
    </w:p>
  </w:footnote>
  <w:footnote w:id="3">
    <w:p w14:paraId="3C2B5BD4" w14:textId="77777777" w:rsidR="009852CB" w:rsidRPr="00CA1E90" w:rsidRDefault="009852CB" w:rsidP="00933DEB">
      <w:pPr>
        <w:pStyle w:val="ae"/>
        <w:rPr>
          <w:lang w:val="es-ES_tradnl"/>
        </w:rPr>
      </w:pPr>
      <w:r>
        <w:tab/>
      </w:r>
      <w:r w:rsidRPr="00933DEB">
        <w:rPr>
          <w:rStyle w:val="ab"/>
        </w:rPr>
        <w:footnoteRef/>
      </w:r>
      <w:r w:rsidRPr="00CA1E90">
        <w:rPr>
          <w:lang w:val="es-ES_tradnl"/>
        </w:rPr>
        <w:tab/>
        <w:t>Constitución Política del Perú. Art. 43.</w:t>
      </w:r>
    </w:p>
  </w:footnote>
  <w:footnote w:id="4">
    <w:p w14:paraId="666E9C05"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Constitución Política del Perú. Art. 1.</w:t>
      </w:r>
    </w:p>
  </w:footnote>
  <w:footnote w:id="5">
    <w:p w14:paraId="3C645B03" w14:textId="77777777" w:rsidR="009852CB" w:rsidRPr="00FF106B" w:rsidRDefault="009852CB" w:rsidP="00933DEB">
      <w:pPr>
        <w:pStyle w:val="ae"/>
        <w:rPr>
          <w:lang w:val="fr-CH"/>
        </w:rPr>
      </w:pPr>
      <w:r w:rsidRPr="00CA1E90">
        <w:rPr>
          <w:lang w:val="es-ES_tradnl"/>
        </w:rPr>
        <w:tab/>
      </w:r>
      <w:r w:rsidRPr="00933DEB">
        <w:rPr>
          <w:rStyle w:val="ab"/>
        </w:rPr>
        <w:footnoteRef/>
      </w:r>
      <w:r w:rsidRPr="00CA1E90">
        <w:rPr>
          <w:lang w:val="es-ES_tradnl"/>
        </w:rPr>
        <w:tab/>
        <w:t>INEI. (2017). Perú: Principales Indicadores. URL</w:t>
      </w:r>
      <w:r w:rsidRPr="00FF106B">
        <w:rPr>
          <w:lang w:val="fr-CH"/>
        </w:rPr>
        <w:t xml:space="preserve">: </w:t>
      </w:r>
      <w:hyperlink r:id="rId2" w:history="1">
        <w:r w:rsidRPr="00FF106B">
          <w:rPr>
            <w:rStyle w:val="af2"/>
            <w:rFonts w:eastAsiaTheme="minorHAnsi"/>
            <w:lang w:val="fr-CH"/>
          </w:rPr>
          <w:t>https://www.inei.gob.pe/</w:t>
        </w:r>
      </w:hyperlink>
      <w:r w:rsidRPr="00FF106B">
        <w:rPr>
          <w:lang w:val="fr-CH"/>
        </w:rPr>
        <w:t xml:space="preserve"> (</w:t>
      </w:r>
      <w:r>
        <w:t>дата</w:t>
      </w:r>
      <w:r w:rsidRPr="00FF106B">
        <w:rPr>
          <w:lang w:val="fr-CH"/>
        </w:rPr>
        <w:t xml:space="preserve"> </w:t>
      </w:r>
      <w:r>
        <w:t>обращения</w:t>
      </w:r>
      <w:r w:rsidRPr="00FF106B">
        <w:rPr>
          <w:lang w:val="fr-CH"/>
        </w:rPr>
        <w:t>: 07.08.2019).</w:t>
      </w:r>
    </w:p>
  </w:footnote>
  <w:footnote w:id="6">
    <w:p w14:paraId="71044AD8" w14:textId="77777777" w:rsidR="009852CB" w:rsidRPr="00CA1E90" w:rsidRDefault="009852CB" w:rsidP="00933DEB">
      <w:pPr>
        <w:pStyle w:val="ae"/>
        <w:rPr>
          <w:lang w:val="es-ES_tradnl"/>
        </w:rPr>
      </w:pPr>
      <w:r w:rsidRPr="00FF106B">
        <w:rPr>
          <w:lang w:val="fr-CH"/>
        </w:rPr>
        <w:tab/>
      </w:r>
      <w:r w:rsidRPr="00933DEB">
        <w:rPr>
          <w:rStyle w:val="ab"/>
        </w:rPr>
        <w:footnoteRef/>
      </w:r>
      <w:r w:rsidRPr="00CA1E90">
        <w:rPr>
          <w:lang w:val="es-ES_tradnl"/>
        </w:rPr>
        <w:tab/>
        <w:t>Informe Anual 2018 para el Desarrollo Sostenible. Pág. 82.</w:t>
      </w:r>
    </w:p>
  </w:footnote>
  <w:footnote w:id="7">
    <w:p w14:paraId="4CB8289E" w14:textId="77777777" w:rsidR="009852CB" w:rsidRPr="00FF106B" w:rsidRDefault="009852CB" w:rsidP="00933DEB">
      <w:pPr>
        <w:pStyle w:val="ae"/>
        <w:rPr>
          <w:szCs w:val="18"/>
          <w:lang w:val="es-ES_tradnl"/>
        </w:rPr>
      </w:pPr>
      <w:r w:rsidRPr="00CA1E90">
        <w:rPr>
          <w:lang w:val="es-ES_tradnl"/>
        </w:rPr>
        <w:tab/>
      </w:r>
      <w:r w:rsidRPr="00933DEB">
        <w:rPr>
          <w:rStyle w:val="ab"/>
        </w:rPr>
        <w:footnoteRef/>
      </w:r>
      <w:r w:rsidRPr="00CA1E90">
        <w:rPr>
          <w:lang w:val="es-ES_tradnl"/>
        </w:rPr>
        <w:tab/>
        <w:t xml:space="preserve">CEPLAN. (2019). El Perú en el que vivimos: caracterización del territorio. </w:t>
      </w:r>
      <w:r w:rsidRPr="00FF106B">
        <w:rPr>
          <w:lang w:val="es-ES_tradnl"/>
        </w:rPr>
        <w:t xml:space="preserve">Pág. 15. </w:t>
      </w:r>
      <w:r>
        <w:rPr>
          <w:lang w:val="es-ES_tradnl"/>
        </w:rPr>
        <w:br/>
      </w:r>
      <w:r w:rsidRPr="00FF106B">
        <w:rPr>
          <w:lang w:val="es-ES_tradnl"/>
        </w:rPr>
        <w:t>URL:</w:t>
      </w:r>
      <w:r w:rsidRPr="00ED0D70">
        <w:rPr>
          <w:lang w:val="es-ES_tradnl"/>
        </w:rPr>
        <w:t xml:space="preserve"> </w:t>
      </w:r>
      <w:hyperlink r:id="rId3" w:history="1">
        <w:r w:rsidRPr="00FF106B">
          <w:rPr>
            <w:rStyle w:val="af2"/>
            <w:szCs w:val="18"/>
            <w:lang w:val="es-ES_tradnl"/>
          </w:rPr>
          <w:t xml:space="preserve">https://www.ceplan.gob.pe/wp-content/uploads/2018/11/El-Per </w:t>
        </w:r>
        <w:r>
          <w:rPr>
            <w:rStyle w:val="af2"/>
            <w:szCs w:val="18"/>
          </w:rPr>
          <w:t>процента</w:t>
        </w:r>
        <w:r w:rsidRPr="00FF106B">
          <w:rPr>
            <w:rStyle w:val="af2"/>
            <w:szCs w:val="18"/>
            <w:lang w:val="es-ES_tradnl"/>
          </w:rPr>
          <w:t xml:space="preserve">C3 </w:t>
        </w:r>
        <w:r>
          <w:rPr>
            <w:rStyle w:val="af2"/>
            <w:szCs w:val="18"/>
          </w:rPr>
          <w:t>процента</w:t>
        </w:r>
        <w:r w:rsidRPr="00FF106B">
          <w:rPr>
            <w:rStyle w:val="af2"/>
            <w:szCs w:val="18"/>
            <w:lang w:val="es-ES_tradnl"/>
          </w:rPr>
          <w:t>BA-en-el-que-vivimos-CEPLAN.pdf</w:t>
        </w:r>
      </w:hyperlink>
      <w:r w:rsidRPr="00FF106B">
        <w:rPr>
          <w:lang w:val="es-ES_tradnl"/>
        </w:rPr>
        <w:t xml:space="preserve"> (</w:t>
      </w:r>
      <w:r>
        <w:t>дата</w:t>
      </w:r>
      <w:r w:rsidRPr="00FF106B">
        <w:rPr>
          <w:lang w:val="es-ES_tradnl"/>
        </w:rPr>
        <w:t xml:space="preserve"> </w:t>
      </w:r>
      <w:r>
        <w:t>обращения</w:t>
      </w:r>
      <w:r w:rsidRPr="00FF106B">
        <w:rPr>
          <w:lang w:val="es-ES_tradnl"/>
        </w:rPr>
        <w:t>: 07.08.2019).</w:t>
      </w:r>
    </w:p>
  </w:footnote>
  <w:footnote w:id="8">
    <w:p w14:paraId="4FFB21D2" w14:textId="77777777" w:rsidR="009852CB" w:rsidRPr="00FF106B" w:rsidRDefault="009852CB" w:rsidP="00933DEB">
      <w:pPr>
        <w:pStyle w:val="ae"/>
        <w:rPr>
          <w:szCs w:val="18"/>
          <w:lang w:val="es-ES_tradnl"/>
        </w:rPr>
      </w:pPr>
      <w:bookmarkStart w:id="5" w:name="_Hlk16067454"/>
      <w:r w:rsidRPr="00FF106B">
        <w:rPr>
          <w:lang w:val="es-ES_tradnl"/>
        </w:rPr>
        <w:tab/>
      </w:r>
      <w:r w:rsidRPr="00933DEB">
        <w:rPr>
          <w:rStyle w:val="ab"/>
        </w:rPr>
        <w:footnoteRef/>
      </w:r>
      <w:bookmarkStart w:id="6" w:name="_Hlk16067496"/>
      <w:r w:rsidRPr="00CA1E90">
        <w:rPr>
          <w:lang w:val="es-ES_tradnl"/>
        </w:rPr>
        <w:tab/>
        <w:t xml:space="preserve">CEPLAN. (2018). Informe Anual 2018 para el Desarrollo Sostenible. </w:t>
      </w:r>
      <w:r w:rsidRPr="00FF106B">
        <w:rPr>
          <w:lang w:val="es-ES_tradnl"/>
        </w:rPr>
        <w:t>Pág. 84. URL: </w:t>
      </w:r>
      <w:r>
        <w:fldChar w:fldCharType="begin"/>
      </w:r>
      <w:r w:rsidRPr="00FF106B">
        <w:rPr>
          <w:lang w:val="es-ES_tradnl"/>
        </w:rPr>
        <w:instrText xml:space="preserve"> HYPERLINK "https://www.ceplan.gob.pe/informe-nacional/" </w:instrText>
      </w:r>
      <w:r>
        <w:fldChar w:fldCharType="separate"/>
      </w:r>
      <w:r w:rsidRPr="00FF106B">
        <w:rPr>
          <w:rStyle w:val="af2"/>
          <w:szCs w:val="18"/>
          <w:lang w:val="es-ES_tradnl"/>
        </w:rPr>
        <w:t>https://www.ceplan.gob.pe/informe-nacional/</w:t>
      </w:r>
      <w:r>
        <w:rPr>
          <w:rStyle w:val="af2"/>
          <w:szCs w:val="18"/>
        </w:rPr>
        <w:fldChar w:fldCharType="end"/>
      </w:r>
      <w:r w:rsidRPr="00FF106B">
        <w:rPr>
          <w:lang w:val="es-ES_tradnl"/>
        </w:rPr>
        <w:t xml:space="preserve"> (</w:t>
      </w:r>
      <w:r>
        <w:t>дата</w:t>
      </w:r>
      <w:r w:rsidRPr="00FF106B">
        <w:rPr>
          <w:lang w:val="es-ES_tradnl"/>
        </w:rPr>
        <w:t xml:space="preserve"> </w:t>
      </w:r>
      <w:r>
        <w:t>обращения</w:t>
      </w:r>
      <w:r w:rsidRPr="00FF106B">
        <w:rPr>
          <w:lang w:val="es-ES_tradnl"/>
        </w:rPr>
        <w:t>: 07.08.2019).</w:t>
      </w:r>
      <w:bookmarkEnd w:id="5"/>
      <w:bookmarkEnd w:id="6"/>
    </w:p>
  </w:footnote>
  <w:footnote w:id="9">
    <w:p w14:paraId="704D48C2" w14:textId="77777777" w:rsidR="009852CB" w:rsidRPr="00CA1E90" w:rsidRDefault="009852CB" w:rsidP="00933DEB">
      <w:pPr>
        <w:pStyle w:val="ae"/>
        <w:rPr>
          <w:lang w:val="es-ES_tradnl"/>
        </w:rPr>
      </w:pPr>
      <w:r w:rsidRPr="00FF106B">
        <w:rPr>
          <w:lang w:val="es-ES_tradnl"/>
        </w:rPr>
        <w:tab/>
      </w:r>
      <w:r w:rsidRPr="00933DEB">
        <w:rPr>
          <w:rStyle w:val="ab"/>
        </w:rPr>
        <w:footnoteRef/>
      </w:r>
      <w:r w:rsidRPr="00CA1E90">
        <w:rPr>
          <w:lang w:val="es-ES_tradnl"/>
        </w:rPr>
        <w:tab/>
        <w:t>INEI- XII Censo de Población y VII de Vivienda- Año 2017/ Estimaciones y Proyecciones de Población 1950-2050, Boletín de Análisis Demográfico Nº 36.</w:t>
      </w:r>
    </w:p>
  </w:footnote>
  <w:footnote w:id="10">
    <w:p w14:paraId="5FED21A7" w14:textId="77777777" w:rsidR="009852CB" w:rsidRPr="009760F1" w:rsidRDefault="009852CB" w:rsidP="00933DEB">
      <w:pPr>
        <w:pStyle w:val="ae"/>
        <w:rPr>
          <w:szCs w:val="18"/>
        </w:rPr>
      </w:pPr>
      <w:r w:rsidRPr="00CA1E90">
        <w:rPr>
          <w:lang w:val="es-ES_tradnl"/>
        </w:rPr>
        <w:tab/>
      </w:r>
      <w:r w:rsidRPr="00933DEB">
        <w:rPr>
          <w:rStyle w:val="ab"/>
        </w:rPr>
        <w:footnoteRef/>
      </w:r>
      <w:bookmarkStart w:id="9" w:name="_Hlk16070720"/>
      <w:r w:rsidRPr="00CA1E90">
        <w:rPr>
          <w:lang w:val="es-ES_tradnl"/>
        </w:rPr>
        <w:tab/>
        <w:t xml:space="preserve">INEI. (2017). Censos Nacionales 2017: XII de Población, VII de Vivienda y III de Comunidades Indígenas. </w:t>
      </w:r>
      <w:r>
        <w:t xml:space="preserve">URL: </w:t>
      </w:r>
      <w:r>
        <w:fldChar w:fldCharType="begin"/>
      </w:r>
      <w:r>
        <w:instrText xml:space="preserve"> HYPERLINK "http://censos2017.inei.gob.pe/redatam/" </w:instrText>
      </w:r>
      <w:r>
        <w:fldChar w:fldCharType="separate"/>
      </w:r>
      <w:r w:rsidRPr="009760F1">
        <w:rPr>
          <w:rStyle w:val="af2"/>
          <w:szCs w:val="18"/>
        </w:rPr>
        <w:t>http://censos2017.inei.gob.pe/redatam/</w:t>
      </w:r>
      <w:r>
        <w:rPr>
          <w:rStyle w:val="af2"/>
          <w:szCs w:val="18"/>
        </w:rPr>
        <w:fldChar w:fldCharType="end"/>
      </w:r>
      <w:r>
        <w:t xml:space="preserve"> (дата обращения: 07.08.2019).</w:t>
      </w:r>
      <w:bookmarkStart w:id="10" w:name="_Hlk16159470"/>
      <w:bookmarkEnd w:id="9"/>
      <w:bookmarkEnd w:id="10"/>
    </w:p>
  </w:footnote>
  <w:footnote w:id="11">
    <w:p w14:paraId="2730E228" w14:textId="77777777" w:rsidR="009852CB" w:rsidRPr="00FF106B" w:rsidRDefault="009852CB" w:rsidP="00933DEB">
      <w:pPr>
        <w:pStyle w:val="ae"/>
        <w:rPr>
          <w:szCs w:val="18"/>
          <w:lang w:val="fr-CH"/>
        </w:rPr>
      </w:pPr>
      <w:r>
        <w:tab/>
      </w:r>
      <w:r w:rsidRPr="00933DEB">
        <w:rPr>
          <w:rStyle w:val="ab"/>
        </w:rPr>
        <w:footnoteRef/>
      </w:r>
      <w:r w:rsidRPr="00BB227E">
        <w:tab/>
      </w:r>
      <w:r w:rsidRPr="00066F1B">
        <w:t xml:space="preserve">INEI. </w:t>
      </w:r>
      <w:r w:rsidRPr="00CA1E90">
        <w:rPr>
          <w:lang w:val="es-ES_tradnl"/>
        </w:rPr>
        <w:t>(2017). Perú: Principales Indicadores. URL</w:t>
      </w:r>
      <w:r w:rsidRPr="00FF106B">
        <w:rPr>
          <w:lang w:val="fr-CH"/>
        </w:rPr>
        <w:t xml:space="preserve">: </w:t>
      </w:r>
      <w:hyperlink r:id="rId4" w:history="1">
        <w:r w:rsidRPr="00FF106B">
          <w:rPr>
            <w:rStyle w:val="af2"/>
            <w:szCs w:val="18"/>
            <w:lang w:val="fr-CH"/>
          </w:rPr>
          <w:t>https://www1.inei.gob.pe/</w:t>
        </w:r>
      </w:hyperlink>
      <w:r w:rsidRPr="00FF106B">
        <w:rPr>
          <w:lang w:val="fr-CH"/>
        </w:rPr>
        <w:t xml:space="preserve"> (</w:t>
      </w:r>
      <w:r>
        <w:t>дата</w:t>
      </w:r>
      <w:r w:rsidRPr="00FF106B">
        <w:rPr>
          <w:lang w:val="fr-CH"/>
        </w:rPr>
        <w:t xml:space="preserve"> </w:t>
      </w:r>
      <w:r>
        <w:t>обращения</w:t>
      </w:r>
      <w:r w:rsidRPr="00FF106B">
        <w:rPr>
          <w:lang w:val="fr-CH"/>
        </w:rPr>
        <w:t>: 07.08.2019).</w:t>
      </w:r>
    </w:p>
  </w:footnote>
  <w:footnote w:id="12">
    <w:p w14:paraId="1960CDE2" w14:textId="77777777" w:rsidR="009852CB" w:rsidRPr="00CA1E90" w:rsidRDefault="009852CB" w:rsidP="00933DEB">
      <w:pPr>
        <w:pStyle w:val="ae"/>
        <w:rPr>
          <w:lang w:val="es-ES_tradnl"/>
        </w:rPr>
      </w:pPr>
      <w:r w:rsidRPr="00FF106B">
        <w:rPr>
          <w:lang w:val="fr-CH"/>
        </w:rPr>
        <w:tab/>
      </w:r>
      <w:r w:rsidRPr="00933DEB">
        <w:rPr>
          <w:rStyle w:val="ab"/>
        </w:rPr>
        <w:footnoteRef/>
      </w:r>
      <w:bookmarkStart w:id="11" w:name="_Hlk16073217"/>
      <w:bookmarkStart w:id="12" w:name="_Hlk16159578"/>
      <w:bookmarkStart w:id="13" w:name="_Hlk16075030"/>
      <w:r w:rsidRPr="00CA1E90">
        <w:rPr>
          <w:lang w:val="es-ES_tradnl"/>
        </w:rPr>
        <w:tab/>
        <w:t>INEI. Oficio núm. 335-2019-INEI/DTDIS. Fecha: 31 de julio de 2019.</w:t>
      </w:r>
      <w:bookmarkStart w:id="14" w:name="_Hlk16165938"/>
      <w:bookmarkEnd w:id="11"/>
      <w:bookmarkEnd w:id="12"/>
      <w:bookmarkEnd w:id="14"/>
    </w:p>
    <w:bookmarkEnd w:id="13"/>
  </w:footnote>
  <w:footnote w:id="13">
    <w:p w14:paraId="31C7172B"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r>
      <w:r w:rsidRPr="009852CB">
        <w:rPr>
          <w:lang w:val="fr-CH"/>
        </w:rPr>
        <w:t>Ibid.</w:t>
      </w:r>
    </w:p>
  </w:footnote>
  <w:footnote w:id="14">
    <w:p w14:paraId="3DD08BB6" w14:textId="77777777" w:rsidR="009852CB" w:rsidRPr="00CA1E90" w:rsidRDefault="009852CB" w:rsidP="00933DEB">
      <w:pPr>
        <w:pStyle w:val="ae"/>
        <w:rPr>
          <w:lang w:val="es-ES_tradnl"/>
        </w:rPr>
      </w:pPr>
      <w:r w:rsidRPr="00CA1E90">
        <w:rPr>
          <w:lang w:val="es-ES_tradnl"/>
        </w:rPr>
        <w:tab/>
      </w:r>
      <w:r w:rsidRPr="00933DEB">
        <w:rPr>
          <w:rStyle w:val="ab"/>
        </w:rPr>
        <w:footnoteRef/>
      </w:r>
      <w:bookmarkStart w:id="16" w:name="_Hlk16073912"/>
      <w:r w:rsidRPr="00CA1E90">
        <w:rPr>
          <w:lang w:val="es-ES_tradnl"/>
        </w:rPr>
        <w:tab/>
        <w:t>Informe Anual 2018 para el Desarrollo Sostenible. Pág. 16.</w:t>
      </w:r>
      <w:bookmarkEnd w:id="16"/>
    </w:p>
  </w:footnote>
  <w:footnote w:id="15">
    <w:p w14:paraId="048C9CB6" w14:textId="77777777" w:rsidR="009852CB" w:rsidRPr="00CA1E90" w:rsidRDefault="009852CB" w:rsidP="00933DEB">
      <w:pPr>
        <w:pStyle w:val="ae"/>
        <w:rPr>
          <w:lang w:val="es-ES_tradnl"/>
        </w:rPr>
      </w:pPr>
      <w:r w:rsidRPr="00CA1E90">
        <w:rPr>
          <w:lang w:val="es-ES_tradnl"/>
        </w:rPr>
        <w:tab/>
      </w:r>
      <w:r w:rsidRPr="00933DEB">
        <w:rPr>
          <w:rStyle w:val="ab"/>
        </w:rPr>
        <w:footnoteRef/>
      </w:r>
      <w:bookmarkStart w:id="17" w:name="_Hlk16160009"/>
      <w:r w:rsidRPr="00CA1E90">
        <w:rPr>
          <w:lang w:val="es-ES_tradnl"/>
        </w:rPr>
        <w:tab/>
      </w:r>
      <w:bookmarkEnd w:id="17"/>
      <w:r w:rsidRPr="00EC35D6">
        <w:rPr>
          <w:lang w:val="en-US"/>
        </w:rPr>
        <w:t>Ibid.</w:t>
      </w:r>
    </w:p>
  </w:footnote>
  <w:footnote w:id="16">
    <w:p w14:paraId="2164B28F" w14:textId="77777777" w:rsidR="009852CB" w:rsidRPr="00CA1E90" w:rsidRDefault="009852CB" w:rsidP="00933DEB">
      <w:pPr>
        <w:pStyle w:val="ae"/>
        <w:rPr>
          <w:lang w:val="es-ES_tradnl"/>
        </w:rPr>
      </w:pPr>
      <w:r w:rsidRPr="00CA1E90">
        <w:rPr>
          <w:lang w:val="es-ES_tradnl"/>
        </w:rPr>
        <w:tab/>
      </w:r>
      <w:r w:rsidRPr="00933DEB">
        <w:rPr>
          <w:rStyle w:val="ab"/>
        </w:rPr>
        <w:footnoteRef/>
      </w:r>
      <w:bookmarkStart w:id="18" w:name="_Hlk16074444"/>
      <w:bookmarkStart w:id="19" w:name="_Hlk16159875"/>
      <w:r w:rsidRPr="00CA1E90">
        <w:rPr>
          <w:lang w:val="es-ES_tradnl"/>
        </w:rPr>
        <w:tab/>
      </w:r>
      <w:bookmarkEnd w:id="18"/>
      <w:bookmarkEnd w:id="19"/>
      <w:r w:rsidRPr="009852CB">
        <w:rPr>
          <w:lang w:val="en-US"/>
        </w:rPr>
        <w:t>Ibid</w:t>
      </w:r>
      <w:r w:rsidRPr="00EC35D6">
        <w:rPr>
          <w:lang w:val="en-US"/>
        </w:rPr>
        <w:t>.</w:t>
      </w:r>
    </w:p>
  </w:footnote>
  <w:footnote w:id="17">
    <w:p w14:paraId="2F22D385"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INEI. Oficio núm. 335-2019-INEI/DTDIS. Fecha: 31 de julio de 2019.</w:t>
      </w:r>
    </w:p>
  </w:footnote>
  <w:footnote w:id="18">
    <w:p w14:paraId="6619584D"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Informe Anual 2018 para el Desarrollo Sostenible. Pág. 16.</w:t>
      </w:r>
    </w:p>
  </w:footnote>
  <w:footnote w:id="19">
    <w:p w14:paraId="755D6AA5"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r>
      <w:r>
        <w:rPr>
          <w:lang w:val="es-PE"/>
        </w:rPr>
        <w:t>Ministerio de Educación. Oficio núm. 128-2019-MINEDU/VMGP. Pág. 08</w:t>
      </w:r>
      <w:r w:rsidRPr="00FF106B">
        <w:rPr>
          <w:lang w:val="en-US"/>
        </w:rPr>
        <w:t>–</w:t>
      </w:r>
      <w:r>
        <w:rPr>
          <w:lang w:val="es-PE"/>
        </w:rPr>
        <w:t>08.</w:t>
      </w:r>
    </w:p>
  </w:footnote>
  <w:footnote w:id="20">
    <w:p w14:paraId="1BD132A1" w14:textId="77777777" w:rsidR="009852CB" w:rsidRPr="00CA1E90" w:rsidRDefault="009852CB" w:rsidP="00933DEB">
      <w:pPr>
        <w:pStyle w:val="ae"/>
        <w:rPr>
          <w:lang w:val="es-ES_tradnl"/>
        </w:rPr>
      </w:pPr>
      <w:r w:rsidRPr="00CA1E90">
        <w:rPr>
          <w:lang w:val="es-ES_tradnl"/>
        </w:rPr>
        <w:tab/>
      </w:r>
      <w:r w:rsidRPr="00933DEB">
        <w:rPr>
          <w:rStyle w:val="ab"/>
        </w:rPr>
        <w:footnoteRef/>
      </w:r>
      <w:bookmarkStart w:id="20" w:name="_Hlk16079178"/>
      <w:bookmarkStart w:id="21" w:name="_Hlk16075185"/>
      <w:bookmarkStart w:id="22" w:name="_Hlk16499123"/>
      <w:r w:rsidRPr="00CA1E90">
        <w:rPr>
          <w:lang w:val="es-ES_tradnl"/>
        </w:rPr>
        <w:tab/>
        <w:t>INEI. Oficio núm. 335-2019-INEI/DTDIS. Fecha: 31 de julio de 2019.</w:t>
      </w:r>
      <w:bookmarkEnd w:id="20"/>
      <w:bookmarkEnd w:id="21"/>
      <w:bookmarkEnd w:id="22"/>
    </w:p>
  </w:footnote>
  <w:footnote w:id="21">
    <w:p w14:paraId="4390198A"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w:t>
      </w:r>
    </w:p>
  </w:footnote>
  <w:footnote w:id="22">
    <w:p w14:paraId="0A308ED0"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Informe Anual 2018 para el Desarrollo Sostenible. Pág. 16.</w:t>
      </w:r>
    </w:p>
  </w:footnote>
  <w:footnote w:id="23">
    <w:p w14:paraId="03E38693" w14:textId="3DC4CC84"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MINJUSDH. (2019). Informe Anual sobre los avances en el cumplimiento del PNDH, Año 2018. Informe en versión preliminar. Pág.</w:t>
      </w:r>
      <w:r w:rsidR="002D1B8E">
        <w:rPr>
          <w:lang w:val="es-ES_tradnl"/>
        </w:rPr>
        <w:t xml:space="preserve"> </w:t>
      </w:r>
      <w:bookmarkStart w:id="24" w:name="_GoBack"/>
      <w:bookmarkEnd w:id="24"/>
      <w:r w:rsidRPr="00CA1E90">
        <w:rPr>
          <w:lang w:val="es-ES_tradnl"/>
        </w:rPr>
        <w:t>56.</w:t>
      </w:r>
    </w:p>
  </w:footnote>
  <w:footnote w:id="24">
    <w:p w14:paraId="4AAE740B"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r>
      <w:r w:rsidRPr="009852CB">
        <w:rPr>
          <w:lang w:val="es-ES_tradnl"/>
        </w:rPr>
        <w:t>Ibid. Pág. 55.</w:t>
      </w:r>
    </w:p>
  </w:footnote>
  <w:footnote w:id="25">
    <w:p w14:paraId="21A69E25"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INEI. Oficio núm. 335-2019-INEI/DTDIS. Fecha: 31 de julio de 2019.</w:t>
      </w:r>
    </w:p>
  </w:footnote>
  <w:footnote w:id="26">
    <w:p w14:paraId="100DA43F" w14:textId="77777777" w:rsidR="009852CB" w:rsidRPr="00FF106B" w:rsidRDefault="009852CB" w:rsidP="00933DEB">
      <w:pPr>
        <w:pStyle w:val="ae"/>
        <w:rPr>
          <w:lang w:val="es-ES_tradnl"/>
        </w:rPr>
      </w:pPr>
      <w:r w:rsidRPr="00CA1E90">
        <w:rPr>
          <w:lang w:val="es-ES_tradnl"/>
        </w:rPr>
        <w:tab/>
      </w:r>
      <w:r w:rsidRPr="00933DEB">
        <w:rPr>
          <w:rStyle w:val="ab"/>
        </w:rPr>
        <w:footnoteRef/>
      </w:r>
      <w:r w:rsidRPr="00CA1E90">
        <w:rPr>
          <w:lang w:val="es-ES_tradnl"/>
        </w:rPr>
        <w:tab/>
        <w:t xml:space="preserve">Memoria 2018. </w:t>
      </w:r>
      <w:r w:rsidRPr="00FF106B">
        <w:rPr>
          <w:lang w:val="es-ES_tradnl"/>
        </w:rPr>
        <w:t xml:space="preserve">Pág. 85. </w:t>
      </w:r>
    </w:p>
  </w:footnote>
  <w:footnote w:id="27">
    <w:p w14:paraId="7662BE34" w14:textId="77777777" w:rsidR="009852CB" w:rsidRPr="00FF106B" w:rsidRDefault="009852CB" w:rsidP="00933DEB">
      <w:pPr>
        <w:pStyle w:val="ae"/>
        <w:rPr>
          <w:lang w:val="es-ES_tradnl"/>
        </w:rPr>
      </w:pPr>
      <w:r w:rsidRPr="00FF106B">
        <w:rPr>
          <w:lang w:val="es-ES_tradnl"/>
        </w:rPr>
        <w:tab/>
      </w:r>
      <w:r w:rsidRPr="00933DEB">
        <w:rPr>
          <w:rStyle w:val="ab"/>
        </w:rPr>
        <w:footnoteRef/>
      </w:r>
      <w:bookmarkStart w:id="27" w:name="_Hlk16080019"/>
      <w:bookmarkStart w:id="28" w:name="_Hlk16160696"/>
      <w:r w:rsidRPr="00FF106B">
        <w:rPr>
          <w:lang w:val="es-ES_tradnl"/>
        </w:rPr>
        <w:tab/>
      </w:r>
      <w:r>
        <w:t>Политическая</w:t>
      </w:r>
      <w:r w:rsidRPr="00FF106B">
        <w:rPr>
          <w:lang w:val="es-ES_tradnl"/>
        </w:rPr>
        <w:t xml:space="preserve"> </w:t>
      </w:r>
      <w:r>
        <w:t>конституция</w:t>
      </w:r>
      <w:r w:rsidRPr="00FF106B">
        <w:rPr>
          <w:lang w:val="es-ES_tradnl"/>
        </w:rPr>
        <w:t xml:space="preserve"> </w:t>
      </w:r>
      <w:r>
        <w:t>Перу</w:t>
      </w:r>
      <w:r w:rsidRPr="00FF106B">
        <w:rPr>
          <w:lang w:val="es-ES_tradnl"/>
        </w:rPr>
        <w:t xml:space="preserve">. </w:t>
      </w:r>
      <w:r>
        <w:t>Ст</w:t>
      </w:r>
      <w:r w:rsidRPr="00FF106B">
        <w:rPr>
          <w:lang w:val="es-ES_tradnl"/>
        </w:rPr>
        <w:t>. 90.</w:t>
      </w:r>
      <w:bookmarkEnd w:id="27"/>
      <w:bookmarkEnd w:id="28"/>
    </w:p>
  </w:footnote>
  <w:footnote w:id="28">
    <w:p w14:paraId="4527CF5F" w14:textId="77777777" w:rsidR="009852CB" w:rsidRPr="006025EB" w:rsidRDefault="009852CB" w:rsidP="00933DEB">
      <w:pPr>
        <w:pStyle w:val="ae"/>
      </w:pPr>
      <w:r w:rsidRPr="00FF106B">
        <w:rPr>
          <w:lang w:val="es-ES_tradnl"/>
        </w:rPr>
        <w:tab/>
      </w:r>
      <w:r w:rsidRPr="00933DEB">
        <w:rPr>
          <w:rStyle w:val="ab"/>
        </w:rPr>
        <w:footnoteRef/>
      </w:r>
      <w:r>
        <w:tab/>
        <w:t>Там же. Ст</w:t>
      </w:r>
      <w:r w:rsidRPr="00FF106B">
        <w:t>.</w:t>
      </w:r>
      <w:r>
        <w:t xml:space="preserve"> 102.</w:t>
      </w:r>
    </w:p>
  </w:footnote>
  <w:footnote w:id="29">
    <w:p w14:paraId="234B3A5E" w14:textId="77777777" w:rsidR="009852CB" w:rsidRPr="006025EB" w:rsidRDefault="009852CB" w:rsidP="00933DEB">
      <w:pPr>
        <w:pStyle w:val="ae"/>
      </w:pPr>
      <w:r>
        <w:tab/>
      </w:r>
      <w:r w:rsidRPr="00933DEB">
        <w:rPr>
          <w:rStyle w:val="ab"/>
        </w:rPr>
        <w:footnoteRef/>
      </w:r>
      <w:r>
        <w:tab/>
        <w:t>Там же. Ст</w:t>
      </w:r>
      <w:r w:rsidRPr="00FF106B">
        <w:t xml:space="preserve">. </w:t>
      </w:r>
      <w:r>
        <w:t>110.</w:t>
      </w:r>
    </w:p>
  </w:footnote>
  <w:footnote w:id="30">
    <w:p w14:paraId="180AED3C" w14:textId="77777777" w:rsidR="009852CB" w:rsidRPr="006025EB" w:rsidRDefault="009852CB" w:rsidP="00933DEB">
      <w:pPr>
        <w:pStyle w:val="ae"/>
      </w:pPr>
      <w:r>
        <w:tab/>
      </w:r>
      <w:r w:rsidRPr="00933DEB">
        <w:rPr>
          <w:rStyle w:val="ab"/>
        </w:rPr>
        <w:footnoteRef/>
      </w:r>
      <w:r>
        <w:tab/>
        <w:t>Там же. Ст</w:t>
      </w:r>
      <w:r w:rsidRPr="00FF106B">
        <w:t>.</w:t>
      </w:r>
      <w:r>
        <w:t xml:space="preserve"> 118.</w:t>
      </w:r>
    </w:p>
  </w:footnote>
  <w:footnote w:id="31">
    <w:p w14:paraId="763BDC67" w14:textId="77777777" w:rsidR="009852CB" w:rsidRPr="006025EB" w:rsidRDefault="009852CB" w:rsidP="00933DEB">
      <w:pPr>
        <w:pStyle w:val="ae"/>
      </w:pPr>
      <w:r>
        <w:tab/>
      </w:r>
      <w:r w:rsidRPr="00933DEB">
        <w:rPr>
          <w:rStyle w:val="ab"/>
        </w:rPr>
        <w:footnoteRef/>
      </w:r>
      <w:bookmarkStart w:id="30" w:name="_Hlk16164770"/>
      <w:r>
        <w:tab/>
        <w:t>Там же. Ст</w:t>
      </w:r>
      <w:r w:rsidRPr="00FF106B">
        <w:t>.</w:t>
      </w:r>
      <w:r>
        <w:t xml:space="preserve"> 125.</w:t>
      </w:r>
      <w:bookmarkEnd w:id="30"/>
    </w:p>
  </w:footnote>
  <w:footnote w:id="32">
    <w:p w14:paraId="718351CD" w14:textId="77777777" w:rsidR="009852CB" w:rsidRPr="009760F1" w:rsidRDefault="009852CB" w:rsidP="00933DEB">
      <w:pPr>
        <w:pStyle w:val="ae"/>
        <w:rPr>
          <w:szCs w:val="18"/>
        </w:rPr>
      </w:pPr>
      <w:r>
        <w:tab/>
      </w:r>
      <w:r w:rsidRPr="00933DEB">
        <w:rPr>
          <w:rStyle w:val="ab"/>
        </w:rPr>
        <w:footnoteRef/>
      </w:r>
      <w:r w:rsidRPr="00B85D37">
        <w:tab/>
      </w:r>
      <w:r>
        <w:t>Правительство Перу</w:t>
      </w:r>
      <w:r w:rsidRPr="00B85D37">
        <w:t xml:space="preserve"> (2019</w:t>
      </w:r>
      <w:r>
        <w:t xml:space="preserve"> год</w:t>
      </w:r>
      <w:r w:rsidRPr="00B85D37">
        <w:t xml:space="preserve">). </w:t>
      </w:r>
      <w:r>
        <w:t>Органы исполнительной власти</w:t>
      </w:r>
      <w:r w:rsidRPr="00B85D37">
        <w:t xml:space="preserve">. </w:t>
      </w:r>
      <w:r>
        <w:t xml:space="preserve">URL: </w:t>
      </w:r>
      <w:hyperlink r:id="rId5" w:history="1">
        <w:r w:rsidRPr="009760F1">
          <w:rPr>
            <w:rStyle w:val="af2"/>
            <w:szCs w:val="18"/>
          </w:rPr>
          <w:t>https://www.gob.pe/estado/poder-ejecutivo</w:t>
        </w:r>
      </w:hyperlink>
      <w:r>
        <w:t xml:space="preserve"> (дата обращения: 08.08.2019).</w:t>
      </w:r>
    </w:p>
  </w:footnote>
  <w:footnote w:id="33">
    <w:p w14:paraId="55E62560" w14:textId="77777777" w:rsidR="009852CB" w:rsidRPr="009B4DD2" w:rsidRDefault="009852CB" w:rsidP="00933DEB">
      <w:pPr>
        <w:pStyle w:val="ae"/>
      </w:pPr>
      <w:r>
        <w:tab/>
      </w:r>
      <w:r w:rsidRPr="00933DEB">
        <w:rPr>
          <w:rStyle w:val="ab"/>
        </w:rPr>
        <w:footnoteRef/>
      </w:r>
      <w:r>
        <w:tab/>
        <w:t xml:space="preserve">Конгресс Республики. Закон № 29809, опубликованный в </w:t>
      </w:r>
      <w:r w:rsidRPr="00651450">
        <w:rPr>
          <w:i/>
          <w:iCs/>
        </w:rPr>
        <w:t>О</w:t>
      </w:r>
      <w:r>
        <w:rPr>
          <w:i/>
          <w:iCs/>
        </w:rPr>
        <w:t xml:space="preserve">фициальном </w:t>
      </w:r>
      <w:r w:rsidRPr="0082316A">
        <w:rPr>
          <w:i/>
          <w:iCs/>
        </w:rPr>
        <w:t xml:space="preserve">вестнике </w:t>
      </w:r>
      <w:r>
        <w:rPr>
          <w:rStyle w:val="ab"/>
          <w:vertAlign w:val="baseline"/>
        </w:rPr>
        <w:t>«</w:t>
      </w:r>
      <w:r w:rsidRPr="0082316A">
        <w:rPr>
          <w:i/>
          <w:iCs/>
        </w:rPr>
        <w:t>Перуано</w:t>
      </w:r>
      <w:r>
        <w:rPr>
          <w:rStyle w:val="ab"/>
          <w:vertAlign w:val="baseline"/>
        </w:rPr>
        <w:t>»</w:t>
      </w:r>
      <w:r>
        <w:t xml:space="preserve"> 8 декабря 2011 года.</w:t>
      </w:r>
    </w:p>
  </w:footnote>
  <w:footnote w:id="34">
    <w:p w14:paraId="7934B01C" w14:textId="77777777" w:rsidR="009852CB" w:rsidRPr="009760F1" w:rsidRDefault="009852CB" w:rsidP="00933DEB">
      <w:pPr>
        <w:pStyle w:val="ae"/>
      </w:pPr>
      <w:r>
        <w:tab/>
      </w:r>
      <w:r w:rsidRPr="00933DEB">
        <w:rPr>
          <w:rStyle w:val="ab"/>
        </w:rPr>
        <w:footnoteRef/>
      </w:r>
      <w:r>
        <w:tab/>
        <w:t xml:space="preserve">Министерство юстиции и по правам человека (МЮПЧ) (2017 год). Высочайший указ </w:t>
      </w:r>
      <w:r>
        <w:br/>
        <w:t xml:space="preserve">№ 013-2017-JUS, опубликованный в </w:t>
      </w:r>
      <w:r>
        <w:rPr>
          <w:i/>
          <w:iCs/>
        </w:rPr>
        <w:t xml:space="preserve">Официальном </w:t>
      </w:r>
      <w:r w:rsidRPr="00D265AC">
        <w:rPr>
          <w:i/>
          <w:iCs/>
        </w:rPr>
        <w:t xml:space="preserve">вестнике </w:t>
      </w:r>
      <w:r w:rsidRPr="00D265AC">
        <w:rPr>
          <w:rStyle w:val="ab"/>
          <w:vertAlign w:val="baseline"/>
        </w:rPr>
        <w:t>«</w:t>
      </w:r>
      <w:r w:rsidRPr="00D265AC">
        <w:rPr>
          <w:i/>
          <w:iCs/>
        </w:rPr>
        <w:t>Перуано</w:t>
      </w:r>
      <w:r w:rsidRPr="00D265AC">
        <w:rPr>
          <w:rStyle w:val="ab"/>
          <w:vertAlign w:val="baseline"/>
        </w:rPr>
        <w:t>»</w:t>
      </w:r>
      <w:r w:rsidRPr="00D265AC">
        <w:t xml:space="preserve"> 22</w:t>
      </w:r>
      <w:r>
        <w:t xml:space="preserve"> июня 2017 года.</w:t>
      </w:r>
    </w:p>
  </w:footnote>
  <w:footnote w:id="35">
    <w:p w14:paraId="75551303" w14:textId="77777777" w:rsidR="009852CB" w:rsidRPr="006025EB" w:rsidRDefault="009852CB" w:rsidP="00933DEB">
      <w:pPr>
        <w:pStyle w:val="ae"/>
      </w:pPr>
      <w:r>
        <w:tab/>
      </w:r>
      <w:r w:rsidRPr="00933DEB">
        <w:rPr>
          <w:rStyle w:val="ab"/>
        </w:rPr>
        <w:footnoteRef/>
      </w:r>
      <w:r>
        <w:tab/>
        <w:t>Политическая конституция Перу. Ст. 139.</w:t>
      </w:r>
    </w:p>
  </w:footnote>
  <w:footnote w:id="36">
    <w:p w14:paraId="5BC74935" w14:textId="77777777" w:rsidR="009852CB" w:rsidRPr="00ED0D70" w:rsidRDefault="009852CB" w:rsidP="00933DEB">
      <w:pPr>
        <w:pStyle w:val="ae"/>
        <w:rPr>
          <w:szCs w:val="18"/>
          <w:lang w:val="es-ES_tradnl"/>
        </w:rPr>
      </w:pPr>
      <w:r>
        <w:tab/>
      </w:r>
      <w:r w:rsidRPr="00933DEB">
        <w:rPr>
          <w:rStyle w:val="ab"/>
        </w:rPr>
        <w:footnoteRef/>
      </w:r>
      <w:r w:rsidRPr="009852CB">
        <w:rPr>
          <w:lang w:val="fr-CH"/>
        </w:rPr>
        <w:tab/>
      </w:r>
      <w:proofErr w:type="spellStart"/>
      <w:r w:rsidRPr="009852CB">
        <w:rPr>
          <w:lang w:val="fr-CH"/>
        </w:rPr>
        <w:t>Poder</w:t>
      </w:r>
      <w:proofErr w:type="spellEnd"/>
      <w:r w:rsidRPr="009852CB">
        <w:rPr>
          <w:lang w:val="fr-CH"/>
        </w:rPr>
        <w:t xml:space="preserve"> </w:t>
      </w:r>
      <w:proofErr w:type="spellStart"/>
      <w:r w:rsidRPr="009852CB">
        <w:rPr>
          <w:lang w:val="fr-CH"/>
        </w:rPr>
        <w:t>Judicial</w:t>
      </w:r>
      <w:proofErr w:type="spellEnd"/>
      <w:r w:rsidRPr="009852CB">
        <w:rPr>
          <w:lang w:val="fr-CH"/>
        </w:rPr>
        <w:t xml:space="preserve"> (PJ). </w:t>
      </w:r>
      <w:r w:rsidRPr="00CA1E90">
        <w:rPr>
          <w:lang w:val="es-ES_tradnl"/>
        </w:rPr>
        <w:t>(2019). Comisiones y Programas.</w:t>
      </w:r>
      <w:r w:rsidRPr="00ED0D70">
        <w:rPr>
          <w:lang w:val="es-ES_tradnl"/>
        </w:rPr>
        <w:t xml:space="preserve"> </w:t>
      </w:r>
      <w:r w:rsidRPr="00CA1E90">
        <w:rPr>
          <w:lang w:val="es-ES_tradnl"/>
        </w:rPr>
        <w:t>URL</w:t>
      </w:r>
      <w:r w:rsidRPr="00ED0D70">
        <w:rPr>
          <w:lang w:val="es-ES_tradnl"/>
        </w:rPr>
        <w:t xml:space="preserve">: </w:t>
      </w:r>
      <w:hyperlink r:id="rId6" w:history="1">
        <w:r w:rsidRPr="00ED0D70">
          <w:rPr>
            <w:rStyle w:val="af2"/>
            <w:szCs w:val="18"/>
            <w:lang w:val="es-ES_tradnl"/>
          </w:rPr>
          <w:t xml:space="preserve">https://www.pj.gob.pe/wps/wcm/connect/ </w:t>
        </w:r>
        <w:proofErr w:type="spellStart"/>
        <w:r w:rsidRPr="00ED0D70">
          <w:rPr>
            <w:rStyle w:val="af2"/>
            <w:szCs w:val="18"/>
            <w:lang w:val="es-ES_tradnl"/>
          </w:rPr>
          <w:t>CorteSuprema</w:t>
        </w:r>
        <w:proofErr w:type="spellEnd"/>
        <w:r w:rsidRPr="00ED0D70">
          <w:rPr>
            <w:rStyle w:val="af2"/>
            <w:szCs w:val="18"/>
            <w:lang w:val="es-ES_tradnl"/>
          </w:rPr>
          <w:t>/</w:t>
        </w:r>
        <w:proofErr w:type="spellStart"/>
        <w:r w:rsidRPr="00ED0D70">
          <w:rPr>
            <w:rStyle w:val="af2"/>
            <w:szCs w:val="18"/>
            <w:lang w:val="es-ES_tradnl"/>
          </w:rPr>
          <w:t>s_cortes_suprema_home</w:t>
        </w:r>
        <w:proofErr w:type="spellEnd"/>
        <w:r w:rsidRPr="00ED0D70">
          <w:rPr>
            <w:rStyle w:val="af2"/>
            <w:szCs w:val="18"/>
            <w:lang w:val="es-ES_tradnl"/>
          </w:rPr>
          <w:t>/</w:t>
        </w:r>
        <w:proofErr w:type="spellStart"/>
        <w:r w:rsidRPr="00ED0D70">
          <w:rPr>
            <w:rStyle w:val="af2"/>
            <w:szCs w:val="18"/>
            <w:lang w:val="es-ES_tradnl"/>
          </w:rPr>
          <w:t>as_comisiones_y_programas</w:t>
        </w:r>
        <w:proofErr w:type="spellEnd"/>
        <w:r w:rsidRPr="00ED0D70">
          <w:rPr>
            <w:rStyle w:val="af2"/>
            <w:szCs w:val="18"/>
            <w:lang w:val="es-ES_tradnl"/>
          </w:rPr>
          <w:t>/</w:t>
        </w:r>
      </w:hyperlink>
      <w:r w:rsidRPr="00ED0D70">
        <w:rPr>
          <w:lang w:val="es-ES_tradnl"/>
        </w:rPr>
        <w:t xml:space="preserve"> (</w:t>
      </w:r>
      <w:r>
        <w:t>дата</w:t>
      </w:r>
      <w:r w:rsidRPr="00ED0D70">
        <w:rPr>
          <w:lang w:val="es-ES_tradnl"/>
        </w:rPr>
        <w:t xml:space="preserve"> </w:t>
      </w:r>
      <w:r>
        <w:t>обращения</w:t>
      </w:r>
      <w:r w:rsidRPr="00ED0D70">
        <w:rPr>
          <w:lang w:val="es-ES_tradnl"/>
        </w:rPr>
        <w:t>: 07.08.2019).</w:t>
      </w:r>
    </w:p>
  </w:footnote>
  <w:footnote w:id="37">
    <w:p w14:paraId="07505E7C" w14:textId="77777777" w:rsidR="009852CB" w:rsidRPr="00ED0D70" w:rsidRDefault="009852CB" w:rsidP="00933DEB">
      <w:pPr>
        <w:pStyle w:val="ae"/>
        <w:rPr>
          <w:lang w:val="es-ES_tradnl"/>
        </w:rPr>
      </w:pPr>
      <w:r w:rsidRPr="00ED0D70">
        <w:rPr>
          <w:lang w:val="es-ES_tradnl"/>
        </w:rPr>
        <w:tab/>
      </w:r>
      <w:r w:rsidRPr="00933DEB">
        <w:rPr>
          <w:rStyle w:val="ab"/>
        </w:rPr>
        <w:footnoteRef/>
      </w:r>
      <w:r w:rsidRPr="00CA1E90">
        <w:rPr>
          <w:lang w:val="es-ES_tradnl"/>
        </w:rPr>
        <w:tab/>
        <w:t xml:space="preserve">Poder Judicial. R.A. núm. 090-2016-CE-PJ. Fecha: 7 de abril de 2016. </w:t>
      </w:r>
      <w:r>
        <w:rPr>
          <w:lang w:val="es-ES_tradnl"/>
        </w:rPr>
        <w:br/>
      </w:r>
      <w:r w:rsidRPr="00ED0D70">
        <w:rPr>
          <w:lang w:val="es-ES_tradnl"/>
        </w:rPr>
        <w:t>URL:</w:t>
      </w:r>
      <w:r w:rsidRPr="00FB668D">
        <w:rPr>
          <w:lang w:val="en-US"/>
        </w:rPr>
        <w:t xml:space="preserve"> </w:t>
      </w:r>
      <w:hyperlink r:id="rId7" w:history="1">
        <w:r w:rsidRPr="00ED0D70">
          <w:rPr>
            <w:rStyle w:val="af2"/>
            <w:szCs w:val="18"/>
            <w:lang w:val="es-ES_tradnl"/>
          </w:rPr>
          <w:t>https://busquedas.elperuano.pe/normaslegales/aprueban-documento-denominado-plan-nacional-de-acceso-a-la-resolucion-administrativa-no-090-2016-ce-pj-1366551-6/</w:t>
        </w:r>
      </w:hyperlink>
      <w:r w:rsidRPr="00ED0D70">
        <w:rPr>
          <w:lang w:val="es-ES_tradnl"/>
        </w:rPr>
        <w:t xml:space="preserve">. </w:t>
      </w:r>
    </w:p>
  </w:footnote>
  <w:footnote w:id="38">
    <w:p w14:paraId="31456190" w14:textId="77777777" w:rsidR="009852CB" w:rsidRPr="009D0BA6" w:rsidRDefault="009852CB" w:rsidP="00933DEB">
      <w:pPr>
        <w:pStyle w:val="ae"/>
      </w:pPr>
      <w:r w:rsidRPr="00ED0D70">
        <w:rPr>
          <w:lang w:val="es-ES_tradnl"/>
        </w:rPr>
        <w:tab/>
      </w:r>
      <w:r w:rsidRPr="00933DEB">
        <w:rPr>
          <w:rStyle w:val="ab"/>
        </w:rPr>
        <w:footnoteRef/>
      </w:r>
      <w:r>
        <w:tab/>
        <w:t>Политическая конституция Перу. Ст. 158.</w:t>
      </w:r>
    </w:p>
  </w:footnote>
  <w:footnote w:id="39">
    <w:p w14:paraId="4DBC92B9" w14:textId="77777777" w:rsidR="009852CB" w:rsidRPr="009D0BA6" w:rsidRDefault="009852CB" w:rsidP="00933DEB">
      <w:pPr>
        <w:pStyle w:val="ae"/>
      </w:pPr>
      <w:r>
        <w:tab/>
      </w:r>
      <w:r w:rsidRPr="00933DEB">
        <w:rPr>
          <w:rStyle w:val="ab"/>
        </w:rPr>
        <w:footnoteRef/>
      </w:r>
      <w:bookmarkStart w:id="32" w:name="_Hlk16082371"/>
      <w:r>
        <w:tab/>
        <w:t>Там же. Ст</w:t>
      </w:r>
      <w:r w:rsidRPr="009852CB">
        <w:t>.</w:t>
      </w:r>
      <w:r>
        <w:t xml:space="preserve"> 150 и155. </w:t>
      </w:r>
      <w:bookmarkEnd w:id="32"/>
    </w:p>
  </w:footnote>
  <w:footnote w:id="40">
    <w:p w14:paraId="5655B300" w14:textId="77777777" w:rsidR="009852CB" w:rsidRPr="009D0BA6" w:rsidRDefault="009852CB" w:rsidP="00933DEB">
      <w:pPr>
        <w:pStyle w:val="ae"/>
      </w:pPr>
      <w:r>
        <w:tab/>
      </w:r>
      <w:r w:rsidRPr="00933DEB">
        <w:rPr>
          <w:rStyle w:val="ab"/>
        </w:rPr>
        <w:footnoteRef/>
      </w:r>
      <w:r>
        <w:tab/>
        <w:t>Там же. Ст. 161.</w:t>
      </w:r>
    </w:p>
  </w:footnote>
  <w:footnote w:id="41">
    <w:p w14:paraId="30C0E124" w14:textId="77777777" w:rsidR="009852CB" w:rsidRPr="00FF106B" w:rsidRDefault="009852CB" w:rsidP="00933DEB">
      <w:pPr>
        <w:pStyle w:val="ae"/>
        <w:rPr>
          <w:lang w:val="fr-CH"/>
        </w:rPr>
      </w:pPr>
      <w:r>
        <w:tab/>
      </w:r>
      <w:r w:rsidRPr="00933DEB">
        <w:rPr>
          <w:rStyle w:val="ab"/>
        </w:rPr>
        <w:footnoteRef/>
      </w:r>
      <w:r w:rsidRPr="00CA1E90">
        <w:rPr>
          <w:lang w:val="es-ES_tradnl"/>
        </w:rPr>
        <w:tab/>
        <w:t xml:space="preserve">Defensoría del Pueblo. Resolución Defensorial núm. 007-2019-DP. Fecha: 2 de abril de 2019. </w:t>
      </w:r>
      <w:r>
        <w:rPr>
          <w:lang w:val="es-ES_tradnl"/>
        </w:rPr>
        <w:br/>
      </w:r>
      <w:proofErr w:type="gramStart"/>
      <w:r w:rsidRPr="00FF106B">
        <w:rPr>
          <w:lang w:val="fr-CH"/>
        </w:rPr>
        <w:t>URL:</w:t>
      </w:r>
      <w:proofErr w:type="gramEnd"/>
      <w:r w:rsidRPr="00FF106B">
        <w:rPr>
          <w:lang w:val="fr-CH"/>
        </w:rPr>
        <w:t xml:space="preserve"> </w:t>
      </w:r>
      <w:hyperlink r:id="rId8" w:history="1">
        <w:r w:rsidRPr="00FF106B">
          <w:rPr>
            <w:rStyle w:val="af2"/>
            <w:rFonts w:eastAsiaTheme="minorHAnsi"/>
            <w:lang w:val="fr-CH"/>
          </w:rPr>
          <w:t>http://spij.minjus.gob.pe/Graficos/Peru/2019/Abril/03/RD-007-2019-DP.pdf</w:t>
        </w:r>
      </w:hyperlink>
      <w:r w:rsidRPr="00FF106B">
        <w:rPr>
          <w:lang w:val="fr-CH"/>
        </w:rPr>
        <w:t>.</w:t>
      </w:r>
    </w:p>
  </w:footnote>
  <w:footnote w:id="42">
    <w:p w14:paraId="7289E942" w14:textId="77777777" w:rsidR="009852CB" w:rsidRPr="00D265AC" w:rsidRDefault="009852CB" w:rsidP="00933DEB">
      <w:pPr>
        <w:pStyle w:val="ae"/>
      </w:pPr>
      <w:r w:rsidRPr="00FF106B">
        <w:rPr>
          <w:lang w:val="fr-CH"/>
        </w:rPr>
        <w:tab/>
      </w:r>
      <w:r w:rsidRPr="00933DEB">
        <w:rPr>
          <w:rStyle w:val="ab"/>
        </w:rPr>
        <w:footnoteRef/>
      </w:r>
      <w:r>
        <w:tab/>
        <w:t>Конгресс Республики. Закон № 30364, принятый 22 декабря 2015 года.</w:t>
      </w:r>
      <w:r w:rsidRPr="00DB2AC5">
        <w:t xml:space="preserve"> </w:t>
      </w:r>
      <w:r w:rsidRPr="00BC5892">
        <w:rPr>
          <w:lang w:val="en-US"/>
        </w:rPr>
        <w:t>URL</w:t>
      </w:r>
      <w:r w:rsidRPr="00D265AC">
        <w:t>:</w:t>
      </w:r>
      <w:r>
        <w:t> </w:t>
      </w:r>
      <w:hyperlink r:id="rId9" w:history="1">
        <w:r w:rsidRPr="0082316A">
          <w:rPr>
            <w:rStyle w:val="af2"/>
            <w:rFonts w:eastAsiaTheme="minorHAnsi"/>
            <w:lang w:val="en-US"/>
          </w:rPr>
          <w:t>http</w:t>
        </w:r>
        <w:r w:rsidRPr="00D265AC">
          <w:rPr>
            <w:rStyle w:val="af2"/>
            <w:rFonts w:eastAsiaTheme="minorHAnsi"/>
          </w:rPr>
          <w:t>://</w:t>
        </w:r>
        <w:r w:rsidRPr="0082316A">
          <w:rPr>
            <w:rStyle w:val="af2"/>
            <w:rFonts w:eastAsiaTheme="minorHAnsi"/>
            <w:lang w:val="en-US"/>
          </w:rPr>
          <w:t>www</w:t>
        </w:r>
        <w:r w:rsidRPr="00D265AC">
          <w:rPr>
            <w:rStyle w:val="af2"/>
            <w:rFonts w:eastAsiaTheme="minorHAnsi"/>
          </w:rPr>
          <w:t>.</w:t>
        </w:r>
        <w:proofErr w:type="spellStart"/>
        <w:r w:rsidRPr="0082316A">
          <w:rPr>
            <w:rStyle w:val="af2"/>
            <w:rFonts w:eastAsiaTheme="minorHAnsi"/>
            <w:lang w:val="en-US"/>
          </w:rPr>
          <w:t>leyes</w:t>
        </w:r>
        <w:proofErr w:type="spellEnd"/>
        <w:r w:rsidRPr="00D265AC">
          <w:rPr>
            <w:rStyle w:val="af2"/>
            <w:rFonts w:eastAsiaTheme="minorHAnsi"/>
          </w:rPr>
          <w:t>.</w:t>
        </w:r>
        <w:proofErr w:type="spellStart"/>
        <w:r w:rsidRPr="0082316A">
          <w:rPr>
            <w:rStyle w:val="af2"/>
            <w:rFonts w:eastAsiaTheme="minorHAnsi"/>
            <w:lang w:val="en-US"/>
          </w:rPr>
          <w:t>congreso</w:t>
        </w:r>
        <w:proofErr w:type="spellEnd"/>
        <w:r w:rsidRPr="00D265AC">
          <w:rPr>
            <w:rStyle w:val="af2"/>
            <w:rFonts w:eastAsiaTheme="minorHAnsi"/>
          </w:rPr>
          <w:t>.</w:t>
        </w:r>
        <w:r w:rsidRPr="0082316A">
          <w:rPr>
            <w:rStyle w:val="af2"/>
            <w:rFonts w:eastAsiaTheme="minorHAnsi"/>
            <w:lang w:val="en-US"/>
          </w:rPr>
          <w:t>gob</w:t>
        </w:r>
        <w:r w:rsidRPr="00D265AC">
          <w:rPr>
            <w:rStyle w:val="af2"/>
            <w:rFonts w:eastAsiaTheme="minorHAnsi"/>
          </w:rPr>
          <w:t>.</w:t>
        </w:r>
        <w:r w:rsidRPr="0082316A">
          <w:rPr>
            <w:rStyle w:val="af2"/>
            <w:rFonts w:eastAsiaTheme="minorHAnsi"/>
            <w:lang w:val="en-US"/>
          </w:rPr>
          <w:t>pe</w:t>
        </w:r>
        <w:r w:rsidRPr="00D265AC">
          <w:rPr>
            <w:rStyle w:val="af2"/>
            <w:rFonts w:eastAsiaTheme="minorHAnsi"/>
          </w:rPr>
          <w:t>/</w:t>
        </w:r>
        <w:proofErr w:type="spellStart"/>
        <w:r w:rsidRPr="0082316A">
          <w:rPr>
            <w:rStyle w:val="af2"/>
            <w:rFonts w:eastAsiaTheme="minorHAnsi"/>
            <w:lang w:val="en-US"/>
          </w:rPr>
          <w:t>Documentos</w:t>
        </w:r>
        <w:proofErr w:type="spellEnd"/>
        <w:r w:rsidRPr="00D265AC">
          <w:rPr>
            <w:rStyle w:val="af2"/>
            <w:rFonts w:eastAsiaTheme="minorHAnsi"/>
          </w:rPr>
          <w:t>/</w:t>
        </w:r>
        <w:proofErr w:type="spellStart"/>
        <w:r w:rsidRPr="0082316A">
          <w:rPr>
            <w:rStyle w:val="af2"/>
            <w:rFonts w:eastAsiaTheme="minorHAnsi"/>
            <w:lang w:val="en-US"/>
          </w:rPr>
          <w:t>Leyes</w:t>
        </w:r>
        <w:proofErr w:type="spellEnd"/>
        <w:r w:rsidRPr="00D265AC">
          <w:rPr>
            <w:rStyle w:val="af2"/>
            <w:rFonts w:eastAsiaTheme="minorHAnsi"/>
          </w:rPr>
          <w:t>/30394.</w:t>
        </w:r>
        <w:r w:rsidRPr="0082316A">
          <w:rPr>
            <w:rStyle w:val="af2"/>
            <w:rFonts w:eastAsiaTheme="minorHAnsi"/>
            <w:lang w:val="en-US"/>
          </w:rPr>
          <w:t>pdf</w:t>
        </w:r>
      </w:hyperlink>
      <w:r w:rsidRPr="00D265AC">
        <w:t>.</w:t>
      </w:r>
    </w:p>
  </w:footnote>
  <w:footnote w:id="43">
    <w:p w14:paraId="2FC6783F" w14:textId="77777777" w:rsidR="009852CB" w:rsidRPr="00CA1E90" w:rsidRDefault="009852CB" w:rsidP="00933DEB">
      <w:pPr>
        <w:pStyle w:val="ae"/>
        <w:rPr>
          <w:color w:val="000000"/>
          <w:lang w:val="es-ES_tradnl"/>
        </w:rPr>
      </w:pPr>
      <w:r w:rsidRPr="00D265AC">
        <w:rPr>
          <w:color w:val="000000"/>
        </w:rPr>
        <w:tab/>
      </w:r>
      <w:r w:rsidRPr="00933DEB">
        <w:rPr>
          <w:rStyle w:val="ab"/>
        </w:rPr>
        <w:footnoteRef/>
      </w:r>
      <w:r w:rsidRPr="00CA1E90">
        <w:rPr>
          <w:lang w:val="es-ES_tradnl"/>
        </w:rPr>
        <w:tab/>
        <w:t xml:space="preserve">Defensoría del Pueblo. </w:t>
      </w:r>
      <w:r w:rsidRPr="00A90C2A">
        <w:rPr>
          <w:i/>
          <w:iCs/>
          <w:lang w:val="es-ES_tradnl"/>
        </w:rPr>
        <w:t>Primer Informe Anual. Mecanismo Nacional de Prevención de la Tortura y otros tratos o penas crueles, inhumanos o degradantes</w:t>
      </w:r>
      <w:r w:rsidRPr="00CA1E90">
        <w:rPr>
          <w:lang w:val="es-ES_tradnl"/>
        </w:rPr>
        <w:t>, Lima, 2017, p. 47.</w:t>
      </w:r>
    </w:p>
  </w:footnote>
  <w:footnote w:id="44">
    <w:p w14:paraId="6BFFD8AF" w14:textId="77777777" w:rsidR="009852CB" w:rsidRPr="00D265AC" w:rsidRDefault="009852CB" w:rsidP="00933DEB">
      <w:pPr>
        <w:pStyle w:val="ae"/>
        <w:rPr>
          <w:szCs w:val="18"/>
        </w:rPr>
      </w:pPr>
      <w:r w:rsidRPr="00CA1E90">
        <w:rPr>
          <w:lang w:val="es-ES_tradnl"/>
        </w:rPr>
        <w:tab/>
      </w:r>
      <w:r w:rsidRPr="00933DEB">
        <w:rPr>
          <w:rStyle w:val="ab"/>
        </w:rPr>
        <w:footnoteRef/>
      </w:r>
      <w:r>
        <w:tab/>
        <w:t xml:space="preserve">Конгресс Республики. Закон № 30364, принятый 22 декабря 2015 года. </w:t>
      </w:r>
      <w:r w:rsidRPr="00BC5892">
        <w:rPr>
          <w:lang w:val="en-US"/>
        </w:rPr>
        <w:t>URL</w:t>
      </w:r>
      <w:r w:rsidRPr="00D265AC">
        <w:t>:</w:t>
      </w:r>
      <w:r>
        <w:t> </w:t>
      </w:r>
      <w:hyperlink r:id="rId10" w:history="1">
        <w:r w:rsidRPr="0082316A">
          <w:rPr>
            <w:rStyle w:val="af2"/>
            <w:szCs w:val="18"/>
            <w:lang w:val="en-US"/>
          </w:rPr>
          <w:t>http</w:t>
        </w:r>
        <w:r w:rsidRPr="00D265AC">
          <w:rPr>
            <w:rStyle w:val="af2"/>
            <w:szCs w:val="18"/>
          </w:rPr>
          <w:t>://</w:t>
        </w:r>
        <w:r w:rsidRPr="0082316A">
          <w:rPr>
            <w:rStyle w:val="af2"/>
            <w:szCs w:val="18"/>
            <w:lang w:val="en-US"/>
          </w:rPr>
          <w:t>www</w:t>
        </w:r>
        <w:r w:rsidRPr="00D265AC">
          <w:rPr>
            <w:rStyle w:val="af2"/>
            <w:szCs w:val="18"/>
          </w:rPr>
          <w:t>.</w:t>
        </w:r>
        <w:proofErr w:type="spellStart"/>
        <w:r w:rsidRPr="0082316A">
          <w:rPr>
            <w:rStyle w:val="af2"/>
            <w:szCs w:val="18"/>
            <w:lang w:val="en-US"/>
          </w:rPr>
          <w:t>leyes</w:t>
        </w:r>
        <w:proofErr w:type="spellEnd"/>
        <w:r w:rsidRPr="00D265AC">
          <w:rPr>
            <w:rStyle w:val="af2"/>
            <w:szCs w:val="18"/>
          </w:rPr>
          <w:t>.</w:t>
        </w:r>
        <w:proofErr w:type="spellStart"/>
        <w:r w:rsidRPr="0082316A">
          <w:rPr>
            <w:rStyle w:val="af2"/>
            <w:szCs w:val="18"/>
            <w:lang w:val="en-US"/>
          </w:rPr>
          <w:t>congreso</w:t>
        </w:r>
        <w:proofErr w:type="spellEnd"/>
        <w:r w:rsidRPr="00D265AC">
          <w:rPr>
            <w:rStyle w:val="af2"/>
            <w:szCs w:val="18"/>
          </w:rPr>
          <w:t>.</w:t>
        </w:r>
        <w:r w:rsidRPr="0082316A">
          <w:rPr>
            <w:rStyle w:val="af2"/>
            <w:szCs w:val="18"/>
            <w:lang w:val="en-US"/>
          </w:rPr>
          <w:t>gob</w:t>
        </w:r>
        <w:r w:rsidRPr="00D265AC">
          <w:rPr>
            <w:rStyle w:val="af2"/>
            <w:szCs w:val="18"/>
          </w:rPr>
          <w:t>.</w:t>
        </w:r>
        <w:r w:rsidRPr="0082316A">
          <w:rPr>
            <w:rStyle w:val="af2"/>
            <w:szCs w:val="18"/>
            <w:lang w:val="en-US"/>
          </w:rPr>
          <w:t>pe</w:t>
        </w:r>
        <w:r w:rsidRPr="00D265AC">
          <w:rPr>
            <w:rStyle w:val="af2"/>
            <w:szCs w:val="18"/>
          </w:rPr>
          <w:t>/</w:t>
        </w:r>
        <w:proofErr w:type="spellStart"/>
        <w:r w:rsidRPr="0082316A">
          <w:rPr>
            <w:rStyle w:val="af2"/>
            <w:szCs w:val="18"/>
            <w:lang w:val="en-US"/>
          </w:rPr>
          <w:t>Documentos</w:t>
        </w:r>
        <w:proofErr w:type="spellEnd"/>
        <w:r w:rsidRPr="00D265AC">
          <w:rPr>
            <w:rStyle w:val="af2"/>
            <w:szCs w:val="18"/>
          </w:rPr>
          <w:t>/</w:t>
        </w:r>
        <w:proofErr w:type="spellStart"/>
        <w:r w:rsidRPr="0082316A">
          <w:rPr>
            <w:rStyle w:val="af2"/>
            <w:szCs w:val="18"/>
            <w:lang w:val="en-US"/>
          </w:rPr>
          <w:t>Leyes</w:t>
        </w:r>
        <w:proofErr w:type="spellEnd"/>
        <w:r w:rsidRPr="00D265AC">
          <w:rPr>
            <w:rStyle w:val="af2"/>
            <w:szCs w:val="18"/>
          </w:rPr>
          <w:t>/30394.</w:t>
        </w:r>
        <w:r w:rsidRPr="0082316A">
          <w:rPr>
            <w:rStyle w:val="af2"/>
            <w:szCs w:val="18"/>
            <w:lang w:val="en-US"/>
          </w:rPr>
          <w:t>pdf</w:t>
        </w:r>
      </w:hyperlink>
      <w:r w:rsidRPr="00D265AC">
        <w:t>.</w:t>
      </w:r>
    </w:p>
  </w:footnote>
  <w:footnote w:id="45">
    <w:p w14:paraId="51289C92" w14:textId="77777777" w:rsidR="009852CB" w:rsidRPr="00066F1B" w:rsidRDefault="009852CB" w:rsidP="00933DEB">
      <w:pPr>
        <w:pStyle w:val="ae"/>
      </w:pPr>
      <w:r w:rsidRPr="00D265AC">
        <w:tab/>
      </w:r>
      <w:r w:rsidRPr="00933DEB">
        <w:rPr>
          <w:rStyle w:val="ab"/>
        </w:rPr>
        <w:footnoteRef/>
      </w:r>
      <w:r>
        <w:tab/>
        <w:t>Политическая конституция Перу. Ст. 177.</w:t>
      </w:r>
    </w:p>
  </w:footnote>
  <w:footnote w:id="46">
    <w:p w14:paraId="1E0B7591" w14:textId="77777777" w:rsidR="009852CB" w:rsidRPr="009852CB" w:rsidRDefault="009852CB" w:rsidP="00933DEB">
      <w:pPr>
        <w:pStyle w:val="ae"/>
        <w:rPr>
          <w:lang w:val="en-US"/>
        </w:rPr>
      </w:pPr>
      <w:r>
        <w:tab/>
      </w:r>
      <w:r w:rsidRPr="00933DEB">
        <w:rPr>
          <w:rStyle w:val="ab"/>
        </w:rPr>
        <w:footnoteRef/>
      </w:r>
      <w:r>
        <w:tab/>
        <w:t xml:space="preserve">Там же. </w:t>
      </w:r>
      <w:proofErr w:type="spellStart"/>
      <w:r>
        <w:t>Ст</w:t>
      </w:r>
      <w:proofErr w:type="spellEnd"/>
      <w:r w:rsidRPr="009852CB">
        <w:rPr>
          <w:lang w:val="en-US"/>
        </w:rPr>
        <w:t>. 178.</w:t>
      </w:r>
    </w:p>
  </w:footnote>
  <w:footnote w:id="47">
    <w:p w14:paraId="38A9FE10" w14:textId="77777777" w:rsidR="009852CB" w:rsidRPr="00066F1B" w:rsidRDefault="009852CB" w:rsidP="00933DEB">
      <w:pPr>
        <w:pStyle w:val="ae"/>
      </w:pPr>
      <w:r w:rsidRPr="009852CB">
        <w:rPr>
          <w:lang w:val="en-US"/>
        </w:rPr>
        <w:tab/>
      </w:r>
      <w:r w:rsidRPr="00933DEB">
        <w:rPr>
          <w:rStyle w:val="ab"/>
        </w:rPr>
        <w:footnoteRef/>
      </w:r>
      <w:r w:rsidRPr="00CA1E90">
        <w:rPr>
          <w:lang w:val="es-ES_tradnl"/>
        </w:rPr>
        <w:tab/>
        <w:t xml:space="preserve">ONPE. Oficio núm. 001199-2019-SG/ONPE. </w:t>
      </w:r>
      <w:r w:rsidRPr="00066F1B">
        <w:t>Fecha: 31</w:t>
      </w:r>
      <w:r>
        <w:t xml:space="preserve"> de julio de </w:t>
      </w:r>
      <w:r w:rsidRPr="00066F1B">
        <w:t>2019</w:t>
      </w:r>
      <w:r>
        <w:t>.</w:t>
      </w:r>
    </w:p>
  </w:footnote>
  <w:footnote w:id="48">
    <w:p w14:paraId="6C84831A" w14:textId="77777777" w:rsidR="009852CB" w:rsidRPr="006025EB" w:rsidRDefault="009852CB" w:rsidP="00933DEB">
      <w:pPr>
        <w:pStyle w:val="ae"/>
      </w:pPr>
      <w:r>
        <w:tab/>
      </w:r>
      <w:r w:rsidRPr="00933DEB">
        <w:rPr>
          <w:rStyle w:val="ab"/>
        </w:rPr>
        <w:footnoteRef/>
      </w:r>
      <w:r>
        <w:tab/>
        <w:t>Политическая конституция Перу. Ст. 183.</w:t>
      </w:r>
    </w:p>
  </w:footnote>
  <w:footnote w:id="49">
    <w:p w14:paraId="32A66DBD" w14:textId="77777777" w:rsidR="009852CB" w:rsidRPr="006025EB" w:rsidRDefault="009852CB" w:rsidP="00933DEB">
      <w:pPr>
        <w:pStyle w:val="ae"/>
      </w:pPr>
      <w:r>
        <w:tab/>
      </w:r>
      <w:r w:rsidRPr="00933DEB">
        <w:rPr>
          <w:rStyle w:val="ab"/>
        </w:rPr>
        <w:footnoteRef/>
      </w:r>
      <w:r>
        <w:tab/>
        <w:t>Там же. Ст. 201 и 202.</w:t>
      </w:r>
    </w:p>
  </w:footnote>
  <w:footnote w:id="50">
    <w:p w14:paraId="35CCB7B7" w14:textId="77777777" w:rsidR="009852CB" w:rsidRPr="006025EB" w:rsidRDefault="009852CB" w:rsidP="00933DEB">
      <w:pPr>
        <w:pStyle w:val="ae"/>
      </w:pPr>
      <w:r>
        <w:tab/>
      </w:r>
      <w:r w:rsidRPr="00933DEB">
        <w:rPr>
          <w:rStyle w:val="ab"/>
        </w:rPr>
        <w:footnoteRef/>
      </w:r>
      <w:r>
        <w:tab/>
        <w:t>Там же. Ст. 200.</w:t>
      </w:r>
    </w:p>
  </w:footnote>
  <w:footnote w:id="51">
    <w:p w14:paraId="09B0A8F9" w14:textId="77777777" w:rsidR="009852CB" w:rsidRPr="006025EB" w:rsidRDefault="009852CB" w:rsidP="00933DEB">
      <w:pPr>
        <w:pStyle w:val="ae"/>
      </w:pPr>
      <w:r>
        <w:tab/>
      </w:r>
      <w:r w:rsidRPr="00933DEB">
        <w:rPr>
          <w:rStyle w:val="ab"/>
        </w:rPr>
        <w:footnoteRef/>
      </w:r>
      <w:r>
        <w:tab/>
        <w:t>Там же. Ст. 51.</w:t>
      </w:r>
    </w:p>
  </w:footnote>
  <w:footnote w:id="52">
    <w:p w14:paraId="594F027E" w14:textId="77777777" w:rsidR="009852CB" w:rsidRPr="006025EB" w:rsidRDefault="009852CB" w:rsidP="00933DEB">
      <w:pPr>
        <w:pStyle w:val="ae"/>
      </w:pPr>
      <w:r>
        <w:tab/>
      </w:r>
      <w:r w:rsidRPr="00933DEB">
        <w:rPr>
          <w:rStyle w:val="ab"/>
        </w:rPr>
        <w:footnoteRef/>
      </w:r>
      <w:r>
        <w:tab/>
        <w:t>Там же. Четвертое заключительное и переходное положение.</w:t>
      </w:r>
    </w:p>
  </w:footnote>
  <w:footnote w:id="53">
    <w:p w14:paraId="471F71CA" w14:textId="77777777" w:rsidR="009852CB" w:rsidRPr="006025EB" w:rsidRDefault="009852CB" w:rsidP="00933DEB">
      <w:pPr>
        <w:pStyle w:val="ae"/>
      </w:pPr>
      <w:r>
        <w:tab/>
      </w:r>
      <w:r w:rsidRPr="00933DEB">
        <w:rPr>
          <w:rStyle w:val="ab"/>
        </w:rPr>
        <w:footnoteRef/>
      </w:r>
      <w:r>
        <w:tab/>
        <w:t>Министерство иностранных дел. Постановление № 2-19-A/25 RE (DDH) от 19 июля 2019 года.</w:t>
      </w:r>
    </w:p>
  </w:footnote>
  <w:footnote w:id="54">
    <w:p w14:paraId="1C5D404E" w14:textId="77777777" w:rsidR="009852CB" w:rsidRPr="009760F1" w:rsidRDefault="009852CB" w:rsidP="00933DEB">
      <w:pPr>
        <w:pStyle w:val="ae"/>
        <w:rPr>
          <w:szCs w:val="18"/>
        </w:rPr>
      </w:pPr>
      <w:r>
        <w:tab/>
      </w:r>
      <w:r w:rsidRPr="00933DEB">
        <w:rPr>
          <w:rStyle w:val="ab"/>
        </w:rPr>
        <w:footnoteRef/>
      </w:r>
      <w:r>
        <w:tab/>
        <w:t xml:space="preserve">Национальный договор (2019 года). Цели Национального договора. </w:t>
      </w:r>
      <w:r>
        <w:br/>
      </w:r>
      <w:r w:rsidRPr="00BC5892">
        <w:rPr>
          <w:lang w:val="en-US"/>
        </w:rPr>
        <w:t>URL</w:t>
      </w:r>
      <w:r w:rsidRPr="00CA1E90">
        <w:t xml:space="preserve">: </w:t>
      </w:r>
      <w:hyperlink r:id="rId11" w:history="1">
        <w:r w:rsidRPr="009760F1">
          <w:rPr>
            <w:rStyle w:val="af2"/>
            <w:szCs w:val="18"/>
          </w:rPr>
          <w:t>https://acuerdonacional.pe/politicas-de-estado-del-acuerdo-nacional/objetivos-del-acuerdo-nacional/</w:t>
        </w:r>
      </w:hyperlink>
      <w:r w:rsidRPr="00CA1E90">
        <w:t xml:space="preserve"> (</w:t>
      </w:r>
      <w:r>
        <w:t>дата</w:t>
      </w:r>
      <w:r w:rsidRPr="00CA1E90">
        <w:t xml:space="preserve"> </w:t>
      </w:r>
      <w:r>
        <w:t>обращения</w:t>
      </w:r>
      <w:r w:rsidRPr="00CA1E90">
        <w:t>: 07.08.2019).</w:t>
      </w:r>
    </w:p>
  </w:footnote>
  <w:footnote w:id="55">
    <w:p w14:paraId="4078B5B8" w14:textId="77777777" w:rsidR="009852CB" w:rsidRPr="00066F1B" w:rsidRDefault="009852CB" w:rsidP="00933DEB">
      <w:pPr>
        <w:pStyle w:val="ae"/>
      </w:pPr>
      <w:r w:rsidRPr="00CA1E90">
        <w:tab/>
      </w:r>
      <w:r w:rsidRPr="00933DEB">
        <w:rPr>
          <w:rStyle w:val="ab"/>
        </w:rPr>
        <w:footnoteRef/>
      </w:r>
      <w:r>
        <w:tab/>
        <w:t xml:space="preserve">Аппарат Председателя Совета министров. Высочайший указ № 056-2018-PCM, опубликованный в </w:t>
      </w:r>
      <w:r>
        <w:rPr>
          <w:i/>
          <w:iCs/>
        </w:rPr>
        <w:t xml:space="preserve">Официальном </w:t>
      </w:r>
      <w:r w:rsidRPr="0082316A">
        <w:rPr>
          <w:i/>
          <w:iCs/>
        </w:rPr>
        <w:t xml:space="preserve">вестнике </w:t>
      </w:r>
      <w:r w:rsidRPr="0082316A">
        <w:rPr>
          <w:rStyle w:val="ab"/>
          <w:vertAlign w:val="baseline"/>
        </w:rPr>
        <w:t>«</w:t>
      </w:r>
      <w:r w:rsidRPr="0082316A">
        <w:rPr>
          <w:i/>
          <w:iCs/>
        </w:rPr>
        <w:t>Перуано</w:t>
      </w:r>
      <w:r w:rsidRPr="0082316A">
        <w:rPr>
          <w:rStyle w:val="ab"/>
          <w:vertAlign w:val="baseline"/>
        </w:rPr>
        <w:t>»</w:t>
      </w:r>
      <w:r w:rsidRPr="0082316A">
        <w:t xml:space="preserve"> 24</w:t>
      </w:r>
      <w:r>
        <w:t xml:space="preserve"> мая 2018 года.</w:t>
      </w:r>
    </w:p>
  </w:footnote>
  <w:footnote w:id="56">
    <w:p w14:paraId="71E03553" w14:textId="77777777" w:rsidR="009852CB" w:rsidRPr="00066F1B" w:rsidRDefault="009852CB" w:rsidP="00933DEB">
      <w:pPr>
        <w:pStyle w:val="ae"/>
      </w:pPr>
      <w:r>
        <w:tab/>
      </w:r>
      <w:r w:rsidRPr="00933DEB">
        <w:rPr>
          <w:rStyle w:val="ab"/>
        </w:rPr>
        <w:footnoteRef/>
      </w:r>
      <w:r>
        <w:tab/>
        <w:t>Там же. Высочайший указ № 54-2011-PCM, утвержденный 22 июня 2011 года.</w:t>
      </w:r>
    </w:p>
  </w:footnote>
  <w:footnote w:id="57">
    <w:p w14:paraId="416A970E" w14:textId="77777777" w:rsidR="009852CB" w:rsidRPr="00E853DA" w:rsidRDefault="009852CB" w:rsidP="00933DEB">
      <w:pPr>
        <w:pStyle w:val="ae"/>
      </w:pPr>
      <w:r>
        <w:tab/>
      </w:r>
      <w:r w:rsidRPr="00933DEB">
        <w:rPr>
          <w:rStyle w:val="ab"/>
        </w:rPr>
        <w:footnoteRef/>
      </w:r>
      <w:bookmarkStart w:id="44" w:name="_Hlk16073784"/>
      <w:r w:rsidRPr="00CA1E90">
        <w:rPr>
          <w:lang w:val="es-ES_tradnl"/>
        </w:rPr>
        <w:tab/>
        <w:t xml:space="preserve">Informe Anual 2018 para el Desarrollo Sostenible. </w:t>
      </w:r>
      <w:r>
        <w:t>Pág. 112.</w:t>
      </w:r>
      <w:bookmarkEnd w:id="44"/>
    </w:p>
  </w:footnote>
  <w:footnote w:id="58">
    <w:p w14:paraId="3131CF20" w14:textId="77777777" w:rsidR="009852CB" w:rsidRPr="00E853DA" w:rsidRDefault="009852CB" w:rsidP="00933DEB">
      <w:pPr>
        <w:pStyle w:val="ae"/>
      </w:pPr>
      <w:r>
        <w:tab/>
      </w:r>
      <w:r w:rsidRPr="00933DEB">
        <w:rPr>
          <w:rStyle w:val="ab"/>
        </w:rPr>
        <w:footnoteRef/>
      </w:r>
      <w:r>
        <w:tab/>
        <w:t xml:space="preserve">Министерство юстиции и по правам человека. Высочайший указ № 002-2018-JUS, опубликованный в </w:t>
      </w:r>
      <w:r>
        <w:rPr>
          <w:i/>
          <w:iCs/>
        </w:rPr>
        <w:t xml:space="preserve">Официальном </w:t>
      </w:r>
      <w:r w:rsidRPr="0082316A">
        <w:rPr>
          <w:i/>
          <w:iCs/>
        </w:rPr>
        <w:t xml:space="preserve">вестнике </w:t>
      </w:r>
      <w:r w:rsidRPr="0082316A">
        <w:rPr>
          <w:rStyle w:val="ab"/>
          <w:vertAlign w:val="baseline"/>
        </w:rPr>
        <w:t>«</w:t>
      </w:r>
      <w:r w:rsidRPr="0082316A">
        <w:rPr>
          <w:i/>
          <w:iCs/>
        </w:rPr>
        <w:t>Перуано</w:t>
      </w:r>
      <w:r w:rsidRPr="0082316A">
        <w:rPr>
          <w:rStyle w:val="ab"/>
          <w:vertAlign w:val="baseline"/>
        </w:rPr>
        <w:t>»</w:t>
      </w:r>
      <w:r>
        <w:rPr>
          <w:i/>
          <w:iCs/>
        </w:rPr>
        <w:t xml:space="preserve"> </w:t>
      </w:r>
      <w:r>
        <w:t>31 января 2018 года.</w:t>
      </w:r>
    </w:p>
  </w:footnote>
  <w:footnote w:id="59">
    <w:p w14:paraId="5EE3CCB3" w14:textId="77777777" w:rsidR="009852CB" w:rsidRPr="00CA1E90" w:rsidRDefault="009852CB" w:rsidP="00933DEB">
      <w:pPr>
        <w:pStyle w:val="ae"/>
        <w:rPr>
          <w:lang w:val="es-ES_tradnl"/>
        </w:rPr>
      </w:pPr>
      <w:r>
        <w:tab/>
      </w:r>
      <w:r w:rsidRPr="00933DEB">
        <w:rPr>
          <w:rStyle w:val="ab"/>
        </w:rPr>
        <w:footnoteRef/>
      </w:r>
      <w:r w:rsidRPr="00CA1E90">
        <w:rPr>
          <w:lang w:val="es-ES_tradnl"/>
        </w:rPr>
        <w:tab/>
        <w:t>RENIEC. Oficio núm. 002062-2019/SGEN/RENIEC. Fecha 6 de agosto de 2019.</w:t>
      </w:r>
    </w:p>
  </w:footnote>
  <w:footnote w:id="60">
    <w:p w14:paraId="6430D334"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INEI. Oficio núm. 335-2019-INEI/DTDIS. Fecha: 31 de julio de 2019.</w:t>
      </w:r>
    </w:p>
  </w:footnote>
  <w:footnote w:id="61">
    <w:p w14:paraId="40236C79" w14:textId="77777777" w:rsidR="009852CB" w:rsidRPr="00E853DA" w:rsidRDefault="009852CB" w:rsidP="00933DEB">
      <w:pPr>
        <w:pStyle w:val="ae"/>
      </w:pPr>
      <w:r w:rsidRPr="00CA1E90">
        <w:rPr>
          <w:lang w:val="es-ES_tradnl"/>
        </w:rPr>
        <w:tab/>
      </w:r>
      <w:r w:rsidRPr="00933DEB">
        <w:rPr>
          <w:rStyle w:val="ab"/>
        </w:rPr>
        <w:footnoteRef/>
      </w:r>
      <w:r>
        <w:tab/>
        <w:t xml:space="preserve">Конгресс Республики. Закон № 29792, опубликованный в </w:t>
      </w:r>
      <w:r>
        <w:rPr>
          <w:i/>
          <w:iCs/>
        </w:rPr>
        <w:t xml:space="preserve">Официальном </w:t>
      </w:r>
      <w:r w:rsidRPr="0082316A">
        <w:rPr>
          <w:i/>
          <w:iCs/>
        </w:rPr>
        <w:t xml:space="preserve">вестнике </w:t>
      </w:r>
      <w:r w:rsidRPr="0082316A">
        <w:rPr>
          <w:rStyle w:val="ab"/>
          <w:vertAlign w:val="baseline"/>
        </w:rPr>
        <w:t>«</w:t>
      </w:r>
      <w:r w:rsidRPr="0082316A">
        <w:rPr>
          <w:i/>
          <w:iCs/>
        </w:rPr>
        <w:t>Перуано</w:t>
      </w:r>
      <w:r w:rsidRPr="0082316A">
        <w:rPr>
          <w:rStyle w:val="ab"/>
          <w:vertAlign w:val="baseline"/>
        </w:rPr>
        <w:t>»</w:t>
      </w:r>
      <w:r>
        <w:t xml:space="preserve"> 20 октября 2011 года.</w:t>
      </w:r>
    </w:p>
  </w:footnote>
  <w:footnote w:id="62">
    <w:p w14:paraId="2A053E17" w14:textId="77777777" w:rsidR="009852CB" w:rsidRPr="00E853DA" w:rsidRDefault="009852CB" w:rsidP="00933DEB">
      <w:pPr>
        <w:pStyle w:val="ae"/>
      </w:pPr>
      <w:r>
        <w:tab/>
      </w:r>
      <w:r w:rsidRPr="00933DEB">
        <w:rPr>
          <w:rStyle w:val="ab"/>
        </w:rPr>
        <w:footnoteRef/>
      </w:r>
      <w:r>
        <w:tab/>
        <w:t xml:space="preserve">Центральный резервный банк. Среднемесячный обменный курс соля к долл. США в августе 2019 года. URL: </w:t>
      </w:r>
      <w:hyperlink r:id="rId12" w:history="1">
        <w:r>
          <w:rPr>
            <w:rStyle w:val="af2"/>
            <w:rFonts w:eastAsiaTheme="minorHAnsi"/>
          </w:rPr>
          <w:t>https://estadisticas.bcrp.gob.pe/estadisticas/series/mensuales/resultados/</w:t>
        </w:r>
        <w:r w:rsidRPr="00FF106B">
          <w:rPr>
            <w:rStyle w:val="af2"/>
            <w:rFonts w:eastAsiaTheme="minorHAnsi"/>
          </w:rPr>
          <w:t xml:space="preserve"> </w:t>
        </w:r>
        <w:r>
          <w:rPr>
            <w:rStyle w:val="af2"/>
            <w:rFonts w:eastAsiaTheme="minorHAnsi"/>
          </w:rPr>
          <w:t>PN01208PM/</w:t>
        </w:r>
        <w:proofErr w:type="spellStart"/>
        <w:r>
          <w:rPr>
            <w:rStyle w:val="af2"/>
            <w:rFonts w:eastAsiaTheme="minorHAnsi"/>
          </w:rPr>
          <w:t>html</w:t>
        </w:r>
        <w:proofErr w:type="spellEnd"/>
        <w:r>
          <w:rPr>
            <w:rStyle w:val="af2"/>
            <w:rFonts w:eastAsiaTheme="minorHAnsi"/>
          </w:rPr>
          <w:t>/2017-09/2019-09/</w:t>
        </w:r>
      </w:hyperlink>
      <w:r>
        <w:t xml:space="preserve"> (дата обращения: 19.09.2019).</w:t>
      </w:r>
    </w:p>
  </w:footnote>
  <w:footnote w:id="63">
    <w:p w14:paraId="262BD3EB" w14:textId="77777777" w:rsidR="009852CB" w:rsidRPr="00066F1B" w:rsidRDefault="009852CB" w:rsidP="00933DEB">
      <w:pPr>
        <w:pStyle w:val="ae"/>
        <w:rPr>
          <w:szCs w:val="18"/>
        </w:rPr>
      </w:pPr>
      <w:r>
        <w:tab/>
      </w:r>
      <w:r w:rsidRPr="00933DEB">
        <w:rPr>
          <w:rStyle w:val="ab"/>
        </w:rPr>
        <w:footnoteRef/>
      </w:r>
      <w:r>
        <w:tab/>
        <w:t>Министерство развития и социальной адаптации. Постановление № 043-2019-MIDIS/VMPES от 13 сентября 2019 года. Стр. 8 испанского текста.</w:t>
      </w:r>
    </w:p>
  </w:footnote>
  <w:footnote w:id="64">
    <w:p w14:paraId="7A6DB6DC" w14:textId="77777777" w:rsidR="009852CB" w:rsidRPr="00E34221" w:rsidRDefault="009852CB" w:rsidP="00933DEB">
      <w:pPr>
        <w:pStyle w:val="ae"/>
      </w:pPr>
      <w:r>
        <w:tab/>
      </w:r>
      <w:r w:rsidRPr="00933DEB">
        <w:rPr>
          <w:rStyle w:val="ab"/>
        </w:rPr>
        <w:footnoteRef/>
      </w:r>
      <w:r>
        <w:tab/>
        <w:t xml:space="preserve">Центральный резервный банк. Среднемесячный обменный курс соля к долл. США в августе 2019 года. URL: </w:t>
      </w:r>
      <w:hyperlink r:id="rId13" w:history="1">
        <w:r>
          <w:rPr>
            <w:rStyle w:val="af2"/>
            <w:rFonts w:eastAsiaTheme="minorHAnsi"/>
          </w:rPr>
          <w:t>https://estadisticas.bcrp.gob.pe/estadisticas/series/mensuales/resultados/</w:t>
        </w:r>
        <w:r w:rsidRPr="00FF106B">
          <w:rPr>
            <w:rStyle w:val="af2"/>
            <w:rFonts w:eastAsiaTheme="minorHAnsi"/>
          </w:rPr>
          <w:t xml:space="preserve"> </w:t>
        </w:r>
        <w:r>
          <w:rPr>
            <w:rStyle w:val="af2"/>
            <w:rFonts w:eastAsiaTheme="minorHAnsi"/>
          </w:rPr>
          <w:t>PN01208PM/</w:t>
        </w:r>
        <w:proofErr w:type="spellStart"/>
        <w:r>
          <w:rPr>
            <w:rStyle w:val="af2"/>
            <w:rFonts w:eastAsiaTheme="minorHAnsi"/>
          </w:rPr>
          <w:t>html</w:t>
        </w:r>
        <w:proofErr w:type="spellEnd"/>
        <w:r>
          <w:rPr>
            <w:rStyle w:val="af2"/>
            <w:rFonts w:eastAsiaTheme="minorHAnsi"/>
          </w:rPr>
          <w:t>/2017-09/2019-09/</w:t>
        </w:r>
      </w:hyperlink>
      <w:r>
        <w:t xml:space="preserve"> (дата обращения: 19.09.2019).</w:t>
      </w:r>
    </w:p>
  </w:footnote>
  <w:footnote w:id="65">
    <w:p w14:paraId="5E0D039E" w14:textId="77777777" w:rsidR="009852CB" w:rsidRPr="00066F1B" w:rsidRDefault="009852CB" w:rsidP="00933DEB">
      <w:pPr>
        <w:pStyle w:val="ae"/>
      </w:pPr>
      <w:r>
        <w:tab/>
      </w:r>
      <w:r w:rsidRPr="00933DEB">
        <w:rPr>
          <w:rStyle w:val="ab"/>
        </w:rPr>
        <w:footnoteRef/>
      </w:r>
      <w:r>
        <w:tab/>
      </w:r>
      <w:r w:rsidRPr="00714406">
        <w:rPr>
          <w:iCs/>
        </w:rPr>
        <w:t>Там же</w:t>
      </w:r>
      <w:r>
        <w:rPr>
          <w:i/>
          <w:iCs/>
        </w:rPr>
        <w:t>.</w:t>
      </w:r>
    </w:p>
  </w:footnote>
  <w:footnote w:id="66">
    <w:p w14:paraId="34509B3E" w14:textId="77777777" w:rsidR="009852CB" w:rsidRPr="00066F1B" w:rsidRDefault="009852CB" w:rsidP="00933DEB">
      <w:pPr>
        <w:pStyle w:val="ae"/>
        <w:rPr>
          <w:szCs w:val="18"/>
        </w:rPr>
      </w:pPr>
      <w:r>
        <w:rPr>
          <w:szCs w:val="18"/>
        </w:rPr>
        <w:tab/>
      </w:r>
      <w:r w:rsidRPr="00933DEB">
        <w:rPr>
          <w:rStyle w:val="ab"/>
        </w:rPr>
        <w:footnoteRef/>
      </w:r>
      <w:r>
        <w:tab/>
        <w:t>Министерство по делам женщин и уязвимых слоев населения. Министерское постановление № 382-2014-MIMP, принятое 17 октября 2014 года.</w:t>
      </w:r>
    </w:p>
  </w:footnote>
  <w:footnote w:id="67">
    <w:p w14:paraId="13606102" w14:textId="77777777" w:rsidR="009852CB" w:rsidRPr="00066F1B" w:rsidRDefault="009852CB" w:rsidP="00933DEB">
      <w:pPr>
        <w:pStyle w:val="ae"/>
        <w:rPr>
          <w:szCs w:val="18"/>
        </w:rPr>
      </w:pPr>
      <w:r>
        <w:rPr>
          <w:szCs w:val="18"/>
        </w:rPr>
        <w:tab/>
      </w:r>
      <w:r w:rsidRPr="00933DEB">
        <w:rPr>
          <w:rStyle w:val="ab"/>
        </w:rPr>
        <w:footnoteRef/>
      </w:r>
      <w:r>
        <w:tab/>
        <w:t xml:space="preserve">Конгресс Республики. Закон № 30490,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21 июля 2016 года.</w:t>
      </w:r>
    </w:p>
  </w:footnote>
  <w:footnote w:id="68">
    <w:p w14:paraId="73764824" w14:textId="77777777" w:rsidR="009852CB" w:rsidRPr="00670112" w:rsidRDefault="009852CB" w:rsidP="00A16FB8">
      <w:pPr>
        <w:pStyle w:val="ae"/>
        <w:rPr>
          <w:szCs w:val="18"/>
        </w:rPr>
      </w:pPr>
      <w:r>
        <w:rPr>
          <w:szCs w:val="18"/>
        </w:rPr>
        <w:tab/>
      </w:r>
      <w:r w:rsidRPr="00933DEB">
        <w:rPr>
          <w:rStyle w:val="ab"/>
        </w:rPr>
        <w:footnoteRef/>
      </w:r>
      <w:r>
        <w:tab/>
        <w:t xml:space="preserve">Министерство по делам женщин и уязвимых слоев населения. Высочайший указ </w:t>
      </w:r>
      <w:r>
        <w:br/>
        <w:t xml:space="preserve">№ 007-2018-MIMP,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26 августа 2018 года.</w:t>
      </w:r>
    </w:p>
  </w:footnote>
  <w:footnote w:id="69">
    <w:p w14:paraId="1BBA72AF" w14:textId="77777777" w:rsidR="009852CB" w:rsidRPr="00066F1B" w:rsidRDefault="009852CB" w:rsidP="00933DEB">
      <w:pPr>
        <w:pStyle w:val="ae"/>
      </w:pPr>
      <w:r>
        <w:tab/>
      </w:r>
      <w:r w:rsidRPr="00933DEB">
        <w:rPr>
          <w:rStyle w:val="ab"/>
        </w:rPr>
        <w:footnoteRef/>
      </w:r>
      <w:r>
        <w:tab/>
        <w:t xml:space="preserve">Судебные власть. Административное распоряжение № 134-2016-CE-PJ, опубликованное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15 июля 2016 года.</w:t>
      </w:r>
    </w:p>
  </w:footnote>
  <w:footnote w:id="70">
    <w:p w14:paraId="5ACE62BD" w14:textId="77777777" w:rsidR="009852CB" w:rsidRPr="00066F1B" w:rsidRDefault="009852CB" w:rsidP="00A16FB8">
      <w:pPr>
        <w:pStyle w:val="ae"/>
      </w:pPr>
      <w:r>
        <w:tab/>
      </w:r>
      <w:r w:rsidRPr="00933DEB">
        <w:rPr>
          <w:rStyle w:val="ab"/>
        </w:rPr>
        <w:footnoteRef/>
      </w:r>
      <w:r>
        <w:tab/>
        <w:t xml:space="preserve">Министерство жилищного фонда, строительства и санитарии. Высочайший указ </w:t>
      </w:r>
      <w:r>
        <w:br/>
        <w:t>№ 12-20</w:t>
      </w:r>
      <w:r w:rsidRPr="00714406">
        <w:t>1</w:t>
      </w:r>
      <w:r>
        <w:t>8-VIVIENDA, опубликованный в</w:t>
      </w:r>
      <w:r>
        <w:rPr>
          <w:i/>
          <w:iCs/>
        </w:rPr>
        <w:t xml:space="preserve"> 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8 августа 2018 года.</w:t>
      </w:r>
    </w:p>
  </w:footnote>
  <w:footnote w:id="71">
    <w:p w14:paraId="3AAECB38" w14:textId="77777777" w:rsidR="009852CB" w:rsidRPr="00CA1E90" w:rsidRDefault="009852CB" w:rsidP="00933DEB">
      <w:pPr>
        <w:pStyle w:val="ae"/>
        <w:rPr>
          <w:lang w:val="es-ES_tradnl"/>
        </w:rPr>
      </w:pPr>
      <w:r>
        <w:tab/>
      </w:r>
      <w:r w:rsidRPr="00933DEB">
        <w:rPr>
          <w:rStyle w:val="ab"/>
        </w:rPr>
        <w:footnoteRef/>
      </w:r>
      <w:r w:rsidRPr="00CA1E90">
        <w:rPr>
          <w:lang w:val="es-ES_tradnl"/>
        </w:rPr>
        <w:tab/>
        <w:t>Ministerio de Justicia y Derechos Humanos. Informe Anual sobre los avances en el cumplimiento del PNDH, Año 2018. Informe en versión preliminar.</w:t>
      </w:r>
    </w:p>
  </w:footnote>
  <w:footnote w:id="72">
    <w:p w14:paraId="5EB70606" w14:textId="77777777" w:rsidR="009852CB" w:rsidRPr="009227CF" w:rsidRDefault="009852CB" w:rsidP="00933DEB">
      <w:pPr>
        <w:pStyle w:val="ae"/>
      </w:pPr>
      <w:r w:rsidRPr="00CA1E90">
        <w:rPr>
          <w:lang w:val="es-ES_tradnl"/>
        </w:rPr>
        <w:tab/>
      </w:r>
      <w:r w:rsidRPr="00933DEB">
        <w:rPr>
          <w:rStyle w:val="ab"/>
        </w:rPr>
        <w:footnoteRef/>
      </w:r>
      <w:r w:rsidRPr="00CA1E90">
        <w:rPr>
          <w:lang w:val="es-ES_tradnl"/>
        </w:rPr>
        <w:tab/>
        <w:t>INEI, Ministerio de Cultura. (2018). La autoidentificación étnica: Población Indígena y Afroperuana. Pág. 123. URL</w:t>
      </w:r>
      <w:r w:rsidRPr="009227CF">
        <w:t xml:space="preserve">: </w:t>
      </w:r>
      <w:hyperlink r:id="rId14" w:history="1">
        <w:r w:rsidRPr="009760F1">
          <w:rPr>
            <w:rStyle w:val="af2"/>
            <w:szCs w:val="18"/>
          </w:rPr>
          <w:t>https://www.inei.gob.pe/media/MenuRecursivo/publicaciones_digitales/Est/Lib1642/</w:t>
        </w:r>
      </w:hyperlink>
      <w:r w:rsidRPr="009227CF">
        <w:t xml:space="preserve"> (</w:t>
      </w:r>
      <w:r>
        <w:t>дата</w:t>
      </w:r>
      <w:r w:rsidRPr="009227CF">
        <w:t xml:space="preserve"> </w:t>
      </w:r>
      <w:r>
        <w:t>обращения</w:t>
      </w:r>
      <w:r w:rsidRPr="009227CF">
        <w:t>: 12.08.2019).</w:t>
      </w:r>
    </w:p>
  </w:footnote>
  <w:footnote w:id="73">
    <w:p w14:paraId="2E6EF67D" w14:textId="77777777" w:rsidR="009852CB" w:rsidRPr="00066F1B" w:rsidRDefault="009852CB" w:rsidP="00933DEB">
      <w:pPr>
        <w:pStyle w:val="ae"/>
      </w:pPr>
      <w:r w:rsidRPr="009227CF">
        <w:tab/>
      </w:r>
      <w:r w:rsidRPr="00933DEB">
        <w:rPr>
          <w:rStyle w:val="ab"/>
        </w:rPr>
        <w:footnoteRef/>
      </w:r>
      <w:r>
        <w:tab/>
        <w:t xml:space="preserve">Министерство культуры. Министерское постановление № 339-2014-MC, опубликованное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25 ноября 2013 года.</w:t>
      </w:r>
    </w:p>
  </w:footnote>
  <w:footnote w:id="74">
    <w:p w14:paraId="71F2D8DF" w14:textId="77777777" w:rsidR="009852CB" w:rsidRPr="00066F1B" w:rsidRDefault="009852CB" w:rsidP="00933DEB">
      <w:pPr>
        <w:pStyle w:val="ae"/>
      </w:pPr>
      <w:r>
        <w:tab/>
      </w:r>
      <w:r w:rsidRPr="00933DEB">
        <w:rPr>
          <w:rStyle w:val="ab"/>
        </w:rPr>
        <w:footnoteRef/>
      </w:r>
      <w:r>
        <w:tab/>
        <w:t>Там же. Высочайший указ № 003-2015-MC, утвержденный 27 октября 2015 года.</w:t>
      </w:r>
    </w:p>
  </w:footnote>
  <w:footnote w:id="75">
    <w:p w14:paraId="0C76DD73" w14:textId="77777777" w:rsidR="009852CB" w:rsidRPr="006025EB" w:rsidRDefault="009852CB" w:rsidP="00933DEB">
      <w:pPr>
        <w:pStyle w:val="ae"/>
      </w:pPr>
      <w:r>
        <w:tab/>
      </w:r>
      <w:r w:rsidRPr="00933DEB">
        <w:rPr>
          <w:rStyle w:val="ab"/>
        </w:rPr>
        <w:footnoteRef/>
      </w:r>
      <w:r>
        <w:tab/>
        <w:t xml:space="preserve">Там же. Высочайший указ № 003-2016-MC,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15 июля 2016 года.</w:t>
      </w:r>
    </w:p>
  </w:footnote>
  <w:footnote w:id="76">
    <w:p w14:paraId="471A30C3" w14:textId="77777777" w:rsidR="009852CB" w:rsidRPr="006025EB" w:rsidRDefault="009852CB" w:rsidP="00933DEB">
      <w:pPr>
        <w:pStyle w:val="ae"/>
      </w:pPr>
      <w:r>
        <w:tab/>
      </w:r>
      <w:r w:rsidRPr="00933DEB">
        <w:rPr>
          <w:rStyle w:val="ab"/>
        </w:rPr>
        <w:footnoteRef/>
      </w:r>
      <w:r>
        <w:tab/>
        <w:t xml:space="preserve">Там же. Управление политики в интересах афроперуанского населения. </w:t>
      </w:r>
      <w:r>
        <w:br/>
      </w:r>
      <w:r w:rsidRPr="00BC5892">
        <w:rPr>
          <w:lang w:val="en-US"/>
        </w:rPr>
        <w:t>URL</w:t>
      </w:r>
      <w:r w:rsidRPr="009227CF">
        <w:t>:</w:t>
      </w:r>
      <w:r w:rsidRPr="00CF2122">
        <w:t xml:space="preserve"> </w:t>
      </w:r>
      <w:hyperlink r:id="rId15" w:history="1">
        <w:r>
          <w:rPr>
            <w:rStyle w:val="af2"/>
            <w:rFonts w:eastAsiaTheme="minorHAnsi"/>
          </w:rPr>
          <w:t>http://poblacionafroperuana.cultura.pe/direccion-de-politicas-para-poblacion-afroperuana</w:t>
        </w:r>
      </w:hyperlink>
      <w:r>
        <w:t xml:space="preserve"> </w:t>
      </w:r>
      <w:r>
        <w:br/>
        <w:t>(дата обращения: 02.09.2019).</w:t>
      </w:r>
    </w:p>
  </w:footnote>
  <w:footnote w:id="77">
    <w:p w14:paraId="52CD7438" w14:textId="77777777" w:rsidR="009852CB" w:rsidRPr="006025EB" w:rsidRDefault="009852CB" w:rsidP="00933DEB">
      <w:pPr>
        <w:pStyle w:val="ae"/>
      </w:pPr>
      <w:r>
        <w:tab/>
      </w:r>
      <w:r w:rsidRPr="00933DEB">
        <w:rPr>
          <w:rStyle w:val="ab"/>
        </w:rPr>
        <w:footnoteRef/>
      </w:r>
      <w:r>
        <w:tab/>
        <w:t>Там же. Постановление заместителя министра № 025-2016-VMI-MC, принятое 9 ноября 2016 года.</w:t>
      </w:r>
    </w:p>
  </w:footnote>
  <w:footnote w:id="78">
    <w:p w14:paraId="2EF057D8" w14:textId="77777777" w:rsidR="009852CB" w:rsidRPr="00CA1E90" w:rsidRDefault="009852CB" w:rsidP="00933DEB">
      <w:pPr>
        <w:pStyle w:val="ae"/>
        <w:rPr>
          <w:lang w:val="es-ES_tradnl"/>
        </w:rPr>
      </w:pPr>
      <w:r>
        <w:tab/>
      </w:r>
      <w:r w:rsidRPr="00933DEB">
        <w:rPr>
          <w:rStyle w:val="ab"/>
        </w:rPr>
        <w:footnoteRef/>
      </w:r>
      <w:r w:rsidRPr="00CA1E90">
        <w:rPr>
          <w:lang w:val="es-ES_tradnl"/>
        </w:rPr>
        <w:tab/>
        <w:t>INEI. (2018). Perú: Perfil Sociodemográfico. Pág.177.</w:t>
      </w:r>
    </w:p>
  </w:footnote>
  <w:footnote w:id="79">
    <w:p w14:paraId="5566C898" w14:textId="77777777" w:rsidR="009852CB" w:rsidRPr="006025EB" w:rsidRDefault="009852CB" w:rsidP="00C5089C">
      <w:pPr>
        <w:pStyle w:val="ae"/>
      </w:pPr>
      <w:r w:rsidRPr="00CA1E90">
        <w:rPr>
          <w:lang w:val="es-ES_tradnl"/>
        </w:rPr>
        <w:tab/>
      </w:r>
      <w:r w:rsidRPr="00933DEB">
        <w:rPr>
          <w:rStyle w:val="ab"/>
        </w:rPr>
        <w:footnoteRef/>
      </w:r>
      <w:r>
        <w:tab/>
        <w:t xml:space="preserve">Конгресс Республики. Закон № 29973,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rPr>
          <w:i/>
          <w:iCs/>
        </w:rPr>
        <w:t xml:space="preserve"> </w:t>
      </w:r>
      <w:r>
        <w:t>24 декабря 2012 года.</w:t>
      </w:r>
    </w:p>
  </w:footnote>
  <w:footnote w:id="80">
    <w:p w14:paraId="632A41DD" w14:textId="77777777" w:rsidR="009852CB" w:rsidRPr="006025EB" w:rsidRDefault="009852CB" w:rsidP="00933DEB">
      <w:pPr>
        <w:pStyle w:val="ae"/>
        <w:rPr>
          <w:i/>
        </w:rPr>
      </w:pPr>
      <w:r>
        <w:tab/>
      </w:r>
      <w:r w:rsidRPr="00933DEB">
        <w:rPr>
          <w:rStyle w:val="ab"/>
        </w:rPr>
        <w:footnoteRef/>
      </w:r>
      <w:r>
        <w:tab/>
        <w:t xml:space="preserve">Министерство по делам женщин и уязвимых слоев населения. Высочайший указ </w:t>
      </w:r>
      <w:r>
        <w:br/>
        <w:t>№ 002-2014-MIMP, опубликованный в</w:t>
      </w:r>
      <w:r>
        <w:rPr>
          <w:i/>
          <w:iCs/>
        </w:rPr>
        <w:t xml:space="preserve"> 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rPr>
          <w:i/>
          <w:iCs/>
        </w:rPr>
        <w:t xml:space="preserve"> </w:t>
      </w:r>
      <w:r>
        <w:t>8 апреля 2014 года.</w:t>
      </w:r>
    </w:p>
  </w:footnote>
  <w:footnote w:id="81">
    <w:p w14:paraId="672DA289" w14:textId="77777777" w:rsidR="009852CB" w:rsidRPr="006025EB" w:rsidRDefault="009852CB" w:rsidP="00933DEB">
      <w:pPr>
        <w:pStyle w:val="ae"/>
      </w:pPr>
      <w:r>
        <w:tab/>
      </w:r>
      <w:r w:rsidRPr="00933DEB">
        <w:rPr>
          <w:rStyle w:val="ab"/>
        </w:rPr>
        <w:footnoteRef/>
      </w:r>
      <w:r>
        <w:tab/>
        <w:t xml:space="preserve">Конгресс Республики. Закон № 30947,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23 мая 2019 года.</w:t>
      </w:r>
    </w:p>
  </w:footnote>
  <w:footnote w:id="82">
    <w:p w14:paraId="5CC14725" w14:textId="77777777" w:rsidR="009852CB" w:rsidRPr="006025EB" w:rsidRDefault="009852CB" w:rsidP="00933DEB">
      <w:pPr>
        <w:pStyle w:val="ae"/>
      </w:pPr>
      <w:r>
        <w:tab/>
      </w:r>
      <w:r w:rsidRPr="00933DEB">
        <w:rPr>
          <w:rStyle w:val="ab"/>
        </w:rPr>
        <w:footnoteRef/>
      </w:r>
      <w:r>
        <w:tab/>
        <w:t xml:space="preserve">Министерство по делам женщин и уязвимых слоев населения. Высочайший указ </w:t>
      </w:r>
      <w:r>
        <w:br/>
        <w:t xml:space="preserve">№ 001-2019-MIMP,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rPr>
          <w:i/>
          <w:iCs/>
        </w:rPr>
        <w:t xml:space="preserve"> </w:t>
      </w:r>
      <w:r>
        <w:t>10 января 2019 года.</w:t>
      </w:r>
    </w:p>
  </w:footnote>
  <w:footnote w:id="83">
    <w:p w14:paraId="7DD34D6D" w14:textId="77777777" w:rsidR="009852CB" w:rsidRPr="006025EB" w:rsidRDefault="009852CB" w:rsidP="00933DEB">
      <w:pPr>
        <w:pStyle w:val="ae"/>
      </w:pPr>
      <w:r>
        <w:tab/>
      </w:r>
      <w:r w:rsidRPr="00933DEB">
        <w:rPr>
          <w:rStyle w:val="ab"/>
        </w:rPr>
        <w:footnoteRef/>
      </w:r>
      <w:r>
        <w:tab/>
        <w:t xml:space="preserve">Там же. Высочайший указ № 006-2019-MIMP,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11 марта 2019 года.</w:t>
      </w:r>
    </w:p>
  </w:footnote>
  <w:footnote w:id="84">
    <w:p w14:paraId="2E4E3986" w14:textId="77777777" w:rsidR="009852CB" w:rsidRPr="006025EB" w:rsidRDefault="009852CB" w:rsidP="00933DEB">
      <w:pPr>
        <w:pStyle w:val="ae"/>
      </w:pPr>
      <w:r>
        <w:tab/>
      </w:r>
      <w:r w:rsidRPr="00933DEB">
        <w:rPr>
          <w:rStyle w:val="ab"/>
        </w:rPr>
        <w:footnoteRef/>
      </w:r>
      <w:r>
        <w:tab/>
        <w:t xml:space="preserve">Исполнительная власть. Законодательный указ № 1417,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13 октября 2018 года.</w:t>
      </w:r>
    </w:p>
  </w:footnote>
  <w:footnote w:id="85">
    <w:p w14:paraId="0A0184F4" w14:textId="77777777" w:rsidR="009852CB" w:rsidRPr="006025EB" w:rsidRDefault="009852CB" w:rsidP="00933DEB">
      <w:pPr>
        <w:pStyle w:val="ae"/>
        <w:rPr>
          <w:i/>
        </w:rPr>
      </w:pPr>
      <w:r>
        <w:tab/>
      </w:r>
      <w:r w:rsidRPr="00933DEB">
        <w:rPr>
          <w:rStyle w:val="ab"/>
        </w:rPr>
        <w:footnoteRef/>
      </w:r>
      <w:r>
        <w:tab/>
        <w:t xml:space="preserve">Судебная власть. Административное распоряжение № 010-2018-CE-PJ, опубликованное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20 января 2018 года.</w:t>
      </w:r>
    </w:p>
  </w:footnote>
  <w:footnote w:id="86">
    <w:p w14:paraId="77562BC0" w14:textId="77777777" w:rsidR="009852CB" w:rsidRPr="006025EB" w:rsidRDefault="009852CB" w:rsidP="00933DEB">
      <w:pPr>
        <w:pStyle w:val="ae"/>
      </w:pPr>
      <w:r>
        <w:tab/>
      </w:r>
      <w:r w:rsidRPr="00933DEB">
        <w:rPr>
          <w:rStyle w:val="ab"/>
        </w:rPr>
        <w:footnoteRef/>
      </w:r>
      <w:r>
        <w:tab/>
        <w:t xml:space="preserve">Министерство жилищного фонда, строительства и санитарии. Высочайший указ </w:t>
      </w:r>
      <w:r>
        <w:br/>
        <w:t>№ 012-2018-VIVIENDA, опубликованный в</w:t>
      </w:r>
      <w:r>
        <w:rPr>
          <w:i/>
          <w:iCs/>
        </w:rPr>
        <w:t xml:space="preserve"> 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8 августа 2018 года.</w:t>
      </w:r>
    </w:p>
  </w:footnote>
  <w:footnote w:id="87">
    <w:p w14:paraId="3FD95DE9" w14:textId="77777777" w:rsidR="009852CB" w:rsidRPr="006025EB" w:rsidRDefault="009852CB" w:rsidP="00933DEB">
      <w:pPr>
        <w:pStyle w:val="ae"/>
      </w:pPr>
      <w:r>
        <w:tab/>
      </w:r>
      <w:r w:rsidRPr="00933DEB">
        <w:rPr>
          <w:rStyle w:val="ab"/>
        </w:rPr>
        <w:footnoteRef/>
      </w:r>
      <w:r>
        <w:tab/>
        <w:t>Конгресс Республики. Закон № 30797, опубликованный в</w:t>
      </w:r>
      <w:r>
        <w:rPr>
          <w:i/>
          <w:iCs/>
        </w:rPr>
        <w:t xml:space="preserve"> Официальном вестнике </w:t>
      </w:r>
      <w:r w:rsidRPr="009227CF">
        <w:rPr>
          <w:rStyle w:val="ab"/>
          <w:vertAlign w:val="baseline"/>
        </w:rPr>
        <w:t>«</w:t>
      </w:r>
      <w:r w:rsidRPr="009227CF">
        <w:rPr>
          <w:i/>
          <w:iCs/>
        </w:rPr>
        <w:t>Перуано</w:t>
      </w:r>
      <w:r w:rsidRPr="009227CF">
        <w:rPr>
          <w:rStyle w:val="ab"/>
          <w:vertAlign w:val="baseline"/>
        </w:rPr>
        <w:t>»</w:t>
      </w:r>
      <w:r w:rsidRPr="009227CF">
        <w:t xml:space="preserve"> </w:t>
      </w:r>
      <w:r>
        <w:t>21 июня 2018 года.</w:t>
      </w:r>
    </w:p>
  </w:footnote>
  <w:footnote w:id="88">
    <w:p w14:paraId="10F4828C" w14:textId="77777777" w:rsidR="009852CB" w:rsidRPr="006025EB" w:rsidRDefault="009852CB" w:rsidP="00933DEB">
      <w:pPr>
        <w:pStyle w:val="ae"/>
      </w:pPr>
      <w:r>
        <w:tab/>
      </w:r>
      <w:r w:rsidRPr="00933DEB">
        <w:rPr>
          <w:rStyle w:val="ab"/>
        </w:rPr>
        <w:footnoteRef/>
      </w:r>
      <w:r>
        <w:tab/>
        <w:t xml:space="preserve">Там же. Закон № 30795,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rPr>
          <w:i/>
          <w:iCs/>
        </w:rPr>
        <w:t xml:space="preserve"> </w:t>
      </w:r>
      <w:r>
        <w:t>18 июня 2018 года.</w:t>
      </w:r>
    </w:p>
  </w:footnote>
  <w:footnote w:id="89">
    <w:p w14:paraId="0F40F29B" w14:textId="77777777" w:rsidR="009852CB" w:rsidRPr="006025EB" w:rsidRDefault="009852CB" w:rsidP="00933DEB">
      <w:pPr>
        <w:pStyle w:val="ae"/>
      </w:pPr>
      <w:r>
        <w:tab/>
      </w:r>
      <w:r w:rsidRPr="00933DEB">
        <w:rPr>
          <w:rStyle w:val="ab"/>
        </w:rPr>
        <w:footnoteRef/>
      </w:r>
      <w:r>
        <w:tab/>
        <w:t xml:space="preserve">Там же. Закон № 30603,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5 июля 2017 года.</w:t>
      </w:r>
    </w:p>
  </w:footnote>
  <w:footnote w:id="90">
    <w:p w14:paraId="49A7CB32" w14:textId="77777777" w:rsidR="009852CB" w:rsidRPr="006025EB" w:rsidRDefault="009852CB" w:rsidP="00933DEB">
      <w:pPr>
        <w:pStyle w:val="ae"/>
      </w:pPr>
      <w:r>
        <w:tab/>
      </w:r>
      <w:r w:rsidRPr="00933DEB">
        <w:rPr>
          <w:rStyle w:val="ab"/>
        </w:rPr>
        <w:footnoteRef/>
      </w:r>
      <w:r>
        <w:tab/>
        <w:t xml:space="preserve">Там же. Закон № 30669,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4 июля 2017 года.</w:t>
      </w:r>
    </w:p>
  </w:footnote>
  <w:footnote w:id="91">
    <w:p w14:paraId="452B216B" w14:textId="77777777" w:rsidR="009852CB" w:rsidRPr="006025EB" w:rsidRDefault="009852CB" w:rsidP="00933DEB">
      <w:pPr>
        <w:pStyle w:val="ae"/>
      </w:pPr>
      <w:r>
        <w:tab/>
      </w:r>
      <w:r w:rsidRPr="00933DEB">
        <w:rPr>
          <w:rStyle w:val="ab"/>
        </w:rPr>
        <w:footnoteRef/>
      </w:r>
      <w:r>
        <w:tab/>
        <w:t xml:space="preserve">Там же. Закон № 30687,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29 ноября 2017 года.</w:t>
      </w:r>
    </w:p>
  </w:footnote>
  <w:footnote w:id="92">
    <w:p w14:paraId="22ADE110" w14:textId="77777777" w:rsidR="009852CB" w:rsidRPr="006025EB" w:rsidRDefault="009852CB" w:rsidP="00933DEB">
      <w:pPr>
        <w:pStyle w:val="ae"/>
      </w:pPr>
      <w:r>
        <w:tab/>
      </w:r>
      <w:r w:rsidRPr="00933DEB">
        <w:rPr>
          <w:rStyle w:val="ab"/>
        </w:rPr>
        <w:footnoteRef/>
      </w:r>
      <w:r>
        <w:tab/>
        <w:t xml:space="preserve">Там же. Закон № 30433,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13 мая 2016 года.</w:t>
      </w:r>
    </w:p>
  </w:footnote>
  <w:footnote w:id="93">
    <w:p w14:paraId="039FD877" w14:textId="77777777" w:rsidR="009852CB" w:rsidRPr="006025EB" w:rsidRDefault="009852CB" w:rsidP="00933DEB">
      <w:pPr>
        <w:pStyle w:val="ae"/>
      </w:pPr>
      <w:r>
        <w:tab/>
      </w:r>
      <w:r w:rsidRPr="00933DEB">
        <w:rPr>
          <w:rStyle w:val="ab"/>
        </w:rPr>
        <w:footnoteRef/>
      </w:r>
      <w:r>
        <w:tab/>
        <w:t>Исполнительная власть. Законодательный указ № 1246, опубликованный в</w:t>
      </w:r>
      <w:r>
        <w:rPr>
          <w:i/>
          <w:iCs/>
        </w:rPr>
        <w:t xml:space="preserve"> 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10 ноября 2016 года.</w:t>
      </w:r>
    </w:p>
  </w:footnote>
  <w:footnote w:id="94">
    <w:p w14:paraId="264002CE" w14:textId="77777777" w:rsidR="009852CB" w:rsidRPr="006025EB" w:rsidRDefault="009852CB" w:rsidP="00933DEB">
      <w:pPr>
        <w:pStyle w:val="ae"/>
      </w:pPr>
      <w:r>
        <w:tab/>
      </w:r>
      <w:r w:rsidRPr="00933DEB">
        <w:rPr>
          <w:rStyle w:val="ab"/>
        </w:rPr>
        <w:footnoteRef/>
      </w:r>
      <w:r>
        <w:tab/>
        <w:t xml:space="preserve">Конгресс Республики. Закон № 30412,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13 января 2016 года.</w:t>
      </w:r>
    </w:p>
  </w:footnote>
  <w:footnote w:id="95">
    <w:p w14:paraId="00B86DCF" w14:textId="77777777" w:rsidR="009852CB" w:rsidRPr="006025EB" w:rsidRDefault="009852CB" w:rsidP="00933DEB">
      <w:pPr>
        <w:pStyle w:val="ae"/>
      </w:pPr>
      <w:r>
        <w:tab/>
      </w:r>
      <w:r w:rsidRPr="00933DEB">
        <w:rPr>
          <w:rStyle w:val="ab"/>
        </w:rPr>
        <w:footnoteRef/>
      </w:r>
      <w:r>
        <w:tab/>
        <w:t xml:space="preserve">Там же. Закон № 30150,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8 января 2014 года.</w:t>
      </w:r>
    </w:p>
  </w:footnote>
  <w:footnote w:id="96">
    <w:p w14:paraId="3E5950ED" w14:textId="77777777" w:rsidR="009852CB" w:rsidRPr="006025EB" w:rsidRDefault="009852CB" w:rsidP="00933DEB">
      <w:pPr>
        <w:pStyle w:val="ae"/>
      </w:pPr>
      <w:r>
        <w:tab/>
      </w:r>
      <w:r w:rsidRPr="00933DEB">
        <w:rPr>
          <w:rStyle w:val="ab"/>
        </w:rPr>
        <w:footnoteRef/>
      </w:r>
      <w:r>
        <w:tab/>
        <w:t xml:space="preserve">Там же. Закон № 30036,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rPr>
          <w:i/>
          <w:iCs/>
        </w:rPr>
        <w:t xml:space="preserve"> </w:t>
      </w:r>
      <w:r>
        <w:t>5 июня 2013 года.</w:t>
      </w:r>
    </w:p>
  </w:footnote>
  <w:footnote w:id="97">
    <w:p w14:paraId="03826CD1" w14:textId="77777777" w:rsidR="009852CB" w:rsidRPr="006025EB" w:rsidRDefault="009852CB" w:rsidP="00933DEB">
      <w:pPr>
        <w:pStyle w:val="ae"/>
      </w:pPr>
      <w:r>
        <w:tab/>
      </w:r>
      <w:r w:rsidRPr="00933DEB">
        <w:rPr>
          <w:rStyle w:val="ab"/>
        </w:rPr>
        <w:footnoteRef/>
      </w:r>
      <w:r>
        <w:tab/>
        <w:t xml:space="preserve">Там же. Закон № 29992,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rPr>
          <w:i/>
          <w:iCs/>
        </w:rPr>
        <w:t xml:space="preserve"> </w:t>
      </w:r>
      <w:r>
        <w:t>6 февраля 2013 года.</w:t>
      </w:r>
    </w:p>
  </w:footnote>
  <w:footnote w:id="98">
    <w:p w14:paraId="3D954F44" w14:textId="77777777" w:rsidR="009852CB" w:rsidRPr="00066F1B" w:rsidRDefault="009852CB" w:rsidP="00933DEB">
      <w:pPr>
        <w:pStyle w:val="ae"/>
      </w:pPr>
      <w:r>
        <w:tab/>
      </w:r>
      <w:r w:rsidRPr="00933DEB">
        <w:rPr>
          <w:rStyle w:val="ab"/>
        </w:rPr>
        <w:footnoteRef/>
      </w:r>
      <w:r>
        <w:tab/>
        <w:t xml:space="preserve">Там же. Закон № 30119, опубликованный в </w:t>
      </w:r>
      <w:r>
        <w:rPr>
          <w:i/>
          <w:iCs/>
        </w:rPr>
        <w:t xml:space="preserve">Официальном </w:t>
      </w:r>
      <w:r w:rsidRPr="009227CF">
        <w:rPr>
          <w:i/>
          <w:iCs/>
        </w:rPr>
        <w:t xml:space="preserve">вестнике </w:t>
      </w:r>
      <w:r w:rsidRPr="009227CF">
        <w:rPr>
          <w:rStyle w:val="ab"/>
          <w:vertAlign w:val="baseline"/>
        </w:rPr>
        <w:t>«</w:t>
      </w:r>
      <w:r w:rsidRPr="009227CF">
        <w:rPr>
          <w:i/>
          <w:iCs/>
        </w:rPr>
        <w:t>Перуано</w:t>
      </w:r>
      <w:r w:rsidRPr="009227CF">
        <w:rPr>
          <w:rStyle w:val="ab"/>
          <w:vertAlign w:val="baseline"/>
        </w:rPr>
        <w:t>»</w:t>
      </w:r>
      <w:r>
        <w:t xml:space="preserve"> 3 декабря 2013 года.</w:t>
      </w:r>
    </w:p>
  </w:footnote>
  <w:footnote w:id="99">
    <w:p w14:paraId="240EA62B" w14:textId="77777777" w:rsidR="009852CB" w:rsidRPr="00066F1B" w:rsidRDefault="009852CB" w:rsidP="00933DEB">
      <w:pPr>
        <w:pStyle w:val="ae"/>
      </w:pPr>
      <w:r>
        <w:tab/>
      </w:r>
      <w:r w:rsidRPr="00933DEB">
        <w:rPr>
          <w:rStyle w:val="ab"/>
        </w:rPr>
        <w:footnoteRef/>
      </w:r>
      <w:r>
        <w:tab/>
        <w:t xml:space="preserve">Там же. Закон № 29535, опубликованный в </w:t>
      </w:r>
      <w:r>
        <w:rPr>
          <w:i/>
          <w:iCs/>
        </w:rPr>
        <w:t xml:space="preserve">Официальном вестнике </w:t>
      </w:r>
      <w:r w:rsidRPr="009227CF">
        <w:rPr>
          <w:rStyle w:val="ab"/>
          <w:vertAlign w:val="baseline"/>
        </w:rPr>
        <w:t>«</w:t>
      </w:r>
      <w:r w:rsidRPr="009227CF">
        <w:rPr>
          <w:i/>
          <w:iCs/>
        </w:rPr>
        <w:t>Перуано</w:t>
      </w:r>
      <w:r w:rsidRPr="009227CF">
        <w:rPr>
          <w:rStyle w:val="ab"/>
          <w:vertAlign w:val="baseline"/>
        </w:rPr>
        <w:t>»</w:t>
      </w:r>
      <w:r>
        <w:t xml:space="preserve"> 21 мая 2010 года.</w:t>
      </w:r>
    </w:p>
  </w:footnote>
  <w:footnote w:id="100">
    <w:p w14:paraId="61097784" w14:textId="77777777" w:rsidR="009852CB" w:rsidRPr="00066F1B" w:rsidRDefault="009852CB" w:rsidP="00933DEB">
      <w:pPr>
        <w:pStyle w:val="ae"/>
      </w:pPr>
      <w:r>
        <w:tab/>
      </w:r>
      <w:r w:rsidRPr="00933DEB">
        <w:rPr>
          <w:rStyle w:val="ab"/>
        </w:rPr>
        <w:footnoteRef/>
      </w:r>
      <w:r>
        <w:tab/>
        <w:t xml:space="preserve">Министерство по делам женщин и уязвимых слоев населения. Высочайший указ </w:t>
      </w:r>
      <w:r>
        <w:br/>
        <w:t xml:space="preserve">№ 004-2015-MIMP,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11 августа 2015 года.</w:t>
      </w:r>
    </w:p>
  </w:footnote>
  <w:footnote w:id="101">
    <w:p w14:paraId="433AF020" w14:textId="77777777" w:rsidR="009852CB" w:rsidRPr="000C14E8" w:rsidRDefault="009852CB" w:rsidP="00933DEB">
      <w:pPr>
        <w:pStyle w:val="ae"/>
      </w:pPr>
      <w:r>
        <w:tab/>
      </w:r>
      <w:r w:rsidRPr="00933DEB">
        <w:rPr>
          <w:rStyle w:val="ab"/>
        </w:rPr>
        <w:footnoteRef/>
      </w:r>
      <w:r>
        <w:tab/>
        <w:t>Министерство развития и социальной адаптации. Высочайший указ № 008-2017-MI</w:t>
      </w:r>
      <w:r>
        <w:rPr>
          <w:lang w:val="en-US"/>
        </w:rPr>
        <w:t>DIS</w:t>
      </w:r>
      <w:r>
        <w:t xml:space="preserve">,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12 марта 2017 года.</w:t>
      </w:r>
    </w:p>
  </w:footnote>
  <w:footnote w:id="102">
    <w:p w14:paraId="471AC80D" w14:textId="77777777" w:rsidR="009852CB" w:rsidRPr="000C14E8" w:rsidRDefault="009852CB" w:rsidP="00933DEB">
      <w:pPr>
        <w:pStyle w:val="ae"/>
      </w:pPr>
      <w:r>
        <w:tab/>
      </w:r>
      <w:r w:rsidRPr="00933DEB">
        <w:rPr>
          <w:rStyle w:val="ab"/>
        </w:rPr>
        <w:footnoteRef/>
      </w:r>
      <w:r>
        <w:tab/>
        <w:t>Постановление № 043-2019-MIDIS/VMPES от 13 сентября 2019 года. Стр. 9 испанского текста.</w:t>
      </w:r>
    </w:p>
  </w:footnote>
  <w:footnote w:id="103">
    <w:p w14:paraId="69797F0D" w14:textId="77777777" w:rsidR="009852CB" w:rsidRPr="000C14E8" w:rsidRDefault="009852CB" w:rsidP="00933DEB">
      <w:pPr>
        <w:pStyle w:val="ae"/>
      </w:pPr>
      <w:r>
        <w:tab/>
      </w:r>
      <w:r w:rsidRPr="00933DEB">
        <w:rPr>
          <w:rStyle w:val="ab"/>
        </w:rPr>
        <w:footnoteRef/>
      </w:r>
      <w:r>
        <w:tab/>
      </w:r>
      <w:r w:rsidRPr="004B275D">
        <w:rPr>
          <w:iCs/>
        </w:rPr>
        <w:t>Там же</w:t>
      </w:r>
      <w:r>
        <w:rPr>
          <w:i/>
          <w:iCs/>
        </w:rPr>
        <w:t>.</w:t>
      </w:r>
    </w:p>
  </w:footnote>
  <w:footnote w:id="104">
    <w:p w14:paraId="750BF7E0" w14:textId="77777777" w:rsidR="009852CB" w:rsidRPr="00066F1B" w:rsidRDefault="009852CB" w:rsidP="00933DEB">
      <w:pPr>
        <w:pStyle w:val="ae"/>
      </w:pPr>
      <w:r>
        <w:tab/>
      </w:r>
      <w:r w:rsidRPr="00933DEB">
        <w:rPr>
          <w:rStyle w:val="ab"/>
        </w:rPr>
        <w:footnoteRef/>
      </w:r>
      <w:r>
        <w:tab/>
        <w:t>Исполнительная власть. Законодательный указ № 1384, опубликованный в</w:t>
      </w:r>
      <w:r>
        <w:rPr>
          <w:i/>
          <w:iCs/>
        </w:rPr>
        <w:t xml:space="preserve"> 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4 октября 2018 года. Подзаконный акт: Министерство по делам женщин и уязвимых слоев населения. Высочайший указ № 016-2019-MIMP, опубликованный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25 августа 2019 года.</w:t>
      </w:r>
    </w:p>
  </w:footnote>
  <w:footnote w:id="105">
    <w:p w14:paraId="67314AA1" w14:textId="77777777" w:rsidR="009852CB" w:rsidRPr="006025EB" w:rsidRDefault="009852CB" w:rsidP="00933DEB">
      <w:pPr>
        <w:pStyle w:val="ae"/>
      </w:pPr>
      <w:r>
        <w:tab/>
      </w:r>
      <w:r w:rsidRPr="00933DEB">
        <w:rPr>
          <w:rStyle w:val="ab"/>
        </w:rPr>
        <w:footnoteRef/>
      </w:r>
      <w:r>
        <w:tab/>
        <w:t xml:space="preserve">Судебная власть. Административное распоряжение № 046-2019-CE-PJ, опубликованное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23 января 2019 года.</w:t>
      </w:r>
    </w:p>
  </w:footnote>
  <w:footnote w:id="106">
    <w:p w14:paraId="6908DEDF" w14:textId="77777777" w:rsidR="009852CB" w:rsidRPr="006025EB" w:rsidRDefault="009852CB" w:rsidP="00933DEB">
      <w:pPr>
        <w:pStyle w:val="ae"/>
      </w:pPr>
      <w:r>
        <w:tab/>
      </w:r>
      <w:r w:rsidRPr="00933DEB">
        <w:rPr>
          <w:rStyle w:val="ab"/>
        </w:rPr>
        <w:footnoteRef/>
      </w:r>
      <w:r>
        <w:tab/>
        <w:t xml:space="preserve">Министерство труда и занятости. Министерское постановление № 171-2019-TR, опубликованное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3 июля 2019 года.</w:t>
      </w:r>
    </w:p>
  </w:footnote>
  <w:footnote w:id="107">
    <w:p w14:paraId="145B0FCB" w14:textId="77777777" w:rsidR="009852CB" w:rsidRPr="006025EB" w:rsidRDefault="009852CB" w:rsidP="00933DEB">
      <w:pPr>
        <w:pStyle w:val="ae"/>
      </w:pPr>
      <w:r>
        <w:tab/>
      </w:r>
      <w:r w:rsidRPr="00933DEB">
        <w:rPr>
          <w:rStyle w:val="ab"/>
        </w:rPr>
        <w:footnoteRef/>
      </w:r>
      <w:r>
        <w:tab/>
        <w:t xml:space="preserve">Конгресс Республики. Закон № 30364,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23 ноября 2015 года.</w:t>
      </w:r>
    </w:p>
  </w:footnote>
  <w:footnote w:id="108">
    <w:p w14:paraId="04799F1D" w14:textId="77777777" w:rsidR="009852CB" w:rsidRPr="006025EB" w:rsidRDefault="009852CB" w:rsidP="00933DEB">
      <w:pPr>
        <w:pStyle w:val="ae"/>
      </w:pPr>
      <w:r>
        <w:tab/>
      </w:r>
      <w:r w:rsidRPr="00933DEB">
        <w:rPr>
          <w:rStyle w:val="ab"/>
          <w:rFonts w:eastAsia="SimSun"/>
        </w:rPr>
        <w:footnoteRef/>
      </w:r>
      <w:r>
        <w:tab/>
        <w:t xml:space="preserve">Министерство по делам женщин и уязвимых слоев населения. Высочайший указ </w:t>
      </w:r>
      <w:r>
        <w:br/>
        <w:t xml:space="preserve">№ 009-2016-MIMP,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27 июля 2016 года.</w:t>
      </w:r>
    </w:p>
  </w:footnote>
  <w:footnote w:id="109">
    <w:p w14:paraId="48D9D022" w14:textId="77777777" w:rsidR="009852CB" w:rsidRPr="006025EB" w:rsidRDefault="009852CB" w:rsidP="00933DEB">
      <w:pPr>
        <w:pStyle w:val="ae"/>
      </w:pPr>
      <w:r>
        <w:tab/>
      </w:r>
      <w:r w:rsidRPr="00933DEB">
        <w:rPr>
          <w:rStyle w:val="ab"/>
        </w:rPr>
        <w:footnoteRef/>
      </w:r>
      <w:r>
        <w:tab/>
        <w:t>Там же. Высочайший указ № 008-2019-MIMP, принятый 4 апреля 2019 года.</w:t>
      </w:r>
    </w:p>
  </w:footnote>
  <w:footnote w:id="110">
    <w:p w14:paraId="671295D2" w14:textId="77777777" w:rsidR="009852CB" w:rsidRPr="006025EB" w:rsidRDefault="009852CB" w:rsidP="00933DEB">
      <w:pPr>
        <w:pStyle w:val="ae"/>
      </w:pPr>
      <w:r>
        <w:tab/>
      </w:r>
      <w:r w:rsidRPr="00933DEB">
        <w:rPr>
          <w:rStyle w:val="ab"/>
        </w:rPr>
        <w:footnoteRef/>
      </w:r>
      <w:r>
        <w:tab/>
        <w:t xml:space="preserve">Там же. Высочайший указ № 008-2016-MIMP, опубликованный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26 июля 2016 года.</w:t>
      </w:r>
    </w:p>
  </w:footnote>
  <w:footnote w:id="111">
    <w:p w14:paraId="4F0A8197" w14:textId="77777777" w:rsidR="009852CB" w:rsidRPr="006025EB" w:rsidRDefault="009852CB" w:rsidP="00933DEB">
      <w:pPr>
        <w:pStyle w:val="ae"/>
      </w:pPr>
      <w:r>
        <w:tab/>
      </w:r>
      <w:r w:rsidRPr="00933DEB">
        <w:rPr>
          <w:rStyle w:val="ab"/>
        </w:rPr>
        <w:footnoteRef/>
      </w:r>
      <w:r>
        <w:tab/>
        <w:t xml:space="preserve">Там же. Высочайший указ № 004-2019-MIMP, опубликованный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7 марта 2019 года.</w:t>
      </w:r>
    </w:p>
  </w:footnote>
  <w:footnote w:id="112">
    <w:p w14:paraId="611A51B3" w14:textId="77777777" w:rsidR="009852CB" w:rsidRPr="006025EB" w:rsidRDefault="009852CB" w:rsidP="00933DEB">
      <w:pPr>
        <w:pStyle w:val="ae"/>
      </w:pPr>
      <w:r>
        <w:tab/>
      </w:r>
      <w:r w:rsidRPr="00933DEB">
        <w:rPr>
          <w:rStyle w:val="ab"/>
        </w:rPr>
        <w:footnoteRef/>
      </w:r>
      <w:r>
        <w:tab/>
        <w:t xml:space="preserve">Исполнительная власть. Законодательный указ № 1386,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4 сентября 2018 года.</w:t>
      </w:r>
    </w:p>
  </w:footnote>
  <w:footnote w:id="113">
    <w:p w14:paraId="49BD23AF" w14:textId="77777777" w:rsidR="009852CB" w:rsidRPr="006025EB" w:rsidRDefault="009852CB" w:rsidP="00933DEB">
      <w:pPr>
        <w:pStyle w:val="ae"/>
      </w:pPr>
      <w:r>
        <w:tab/>
      </w:r>
      <w:r w:rsidRPr="00933DEB">
        <w:rPr>
          <w:rStyle w:val="ab"/>
        </w:rPr>
        <w:footnoteRef/>
      </w:r>
      <w:r>
        <w:tab/>
        <w:t xml:space="preserve">Там же. Законодательный указ № 1408,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12 сентября 2018 года.</w:t>
      </w:r>
    </w:p>
  </w:footnote>
  <w:footnote w:id="114">
    <w:p w14:paraId="780EBA60" w14:textId="77777777" w:rsidR="009852CB" w:rsidRPr="006025EB" w:rsidRDefault="009852CB" w:rsidP="00933DEB">
      <w:pPr>
        <w:pStyle w:val="ae"/>
      </w:pPr>
      <w:r>
        <w:tab/>
      </w:r>
      <w:r w:rsidRPr="00933DEB">
        <w:rPr>
          <w:rStyle w:val="ab"/>
        </w:rPr>
        <w:footnoteRef/>
      </w:r>
      <w:r>
        <w:tab/>
        <w:t xml:space="preserve">Конгресс Республики. Закон № 30403, опубликованный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30 декабря 2015 года.</w:t>
      </w:r>
    </w:p>
  </w:footnote>
  <w:footnote w:id="115">
    <w:p w14:paraId="6810F1DA" w14:textId="77777777" w:rsidR="009852CB" w:rsidRPr="006025EB" w:rsidRDefault="009852CB" w:rsidP="00933DEB">
      <w:pPr>
        <w:pStyle w:val="ae"/>
      </w:pPr>
      <w:r>
        <w:tab/>
      </w:r>
      <w:r w:rsidRPr="00933DEB">
        <w:rPr>
          <w:rStyle w:val="ab"/>
        </w:rPr>
        <w:footnoteRef/>
      </w:r>
      <w:r>
        <w:tab/>
        <w:t>Министерство здравоохранения. Министерское постановление № 070-2017-MIMSA, принятое 3 февраля 2017 года.</w:t>
      </w:r>
    </w:p>
  </w:footnote>
  <w:footnote w:id="116">
    <w:p w14:paraId="6D1B377F" w14:textId="77777777" w:rsidR="009852CB" w:rsidRPr="006025EB" w:rsidRDefault="009852CB" w:rsidP="00933DEB">
      <w:pPr>
        <w:pStyle w:val="ae"/>
      </w:pPr>
      <w:r>
        <w:tab/>
      </w:r>
      <w:r w:rsidRPr="00933DEB">
        <w:rPr>
          <w:rStyle w:val="ab"/>
        </w:rPr>
        <w:footnoteRef/>
      </w:r>
      <w:r>
        <w:tab/>
        <w:t xml:space="preserve">Конгресс Республики. Закон № 28983, опубликованный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16 марта 2007 года.</w:t>
      </w:r>
    </w:p>
  </w:footnote>
  <w:footnote w:id="117">
    <w:p w14:paraId="482CF447" w14:textId="77777777" w:rsidR="009852CB" w:rsidRPr="006025EB" w:rsidRDefault="009852CB" w:rsidP="00933DEB">
      <w:pPr>
        <w:pStyle w:val="ae"/>
      </w:pPr>
      <w:r>
        <w:tab/>
      </w:r>
      <w:r w:rsidRPr="00933DEB">
        <w:rPr>
          <w:rStyle w:val="ab"/>
        </w:rPr>
        <w:footnoteRef/>
      </w:r>
      <w:r>
        <w:tab/>
        <w:t xml:space="preserve">Там же. Закон № 30862,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25 октября 2018 года.</w:t>
      </w:r>
    </w:p>
  </w:footnote>
  <w:footnote w:id="118">
    <w:p w14:paraId="7FA42C6B" w14:textId="77777777" w:rsidR="009852CB" w:rsidRPr="006025EB" w:rsidRDefault="009852CB" w:rsidP="00933DEB">
      <w:pPr>
        <w:pStyle w:val="ae"/>
      </w:pPr>
      <w:r>
        <w:tab/>
      </w:r>
      <w:r w:rsidRPr="00933DEB">
        <w:rPr>
          <w:rStyle w:val="ab"/>
        </w:rPr>
        <w:footnoteRef/>
      </w:r>
      <w:r>
        <w:tab/>
        <w:t xml:space="preserve">Министерство труда и занятости. Министерское постановление № 052-2016-TR, опубликованное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rsidRPr="007E055A">
        <w:t xml:space="preserve"> 10</w:t>
      </w:r>
      <w:r>
        <w:t xml:space="preserve"> марта 2016 года.</w:t>
      </w:r>
    </w:p>
  </w:footnote>
  <w:footnote w:id="119">
    <w:p w14:paraId="584902E6" w14:textId="77777777" w:rsidR="009852CB" w:rsidRPr="006025EB" w:rsidRDefault="009852CB" w:rsidP="00933DEB">
      <w:pPr>
        <w:pStyle w:val="ae"/>
      </w:pPr>
      <w:r>
        <w:tab/>
      </w:r>
      <w:r w:rsidRPr="00933DEB">
        <w:rPr>
          <w:rStyle w:val="ab"/>
        </w:rPr>
        <w:footnoteRef/>
      </w:r>
      <w:r>
        <w:tab/>
        <w:t xml:space="preserve">Министерство по делам женщин и уязвимых слоев населения. Министерское постановление № 157-2016-MIMP, опубликованное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26 июля 2016 года.</w:t>
      </w:r>
    </w:p>
  </w:footnote>
  <w:footnote w:id="120">
    <w:p w14:paraId="04011F7A" w14:textId="77777777" w:rsidR="009852CB" w:rsidRPr="006025EB" w:rsidRDefault="009852CB" w:rsidP="00933DEB">
      <w:pPr>
        <w:pStyle w:val="ae"/>
      </w:pPr>
      <w:r>
        <w:tab/>
      </w:r>
      <w:r w:rsidRPr="00933DEB">
        <w:rPr>
          <w:rStyle w:val="ab"/>
        </w:rPr>
        <w:footnoteRef/>
      </w:r>
      <w:r>
        <w:tab/>
        <w:t xml:space="preserve">Исполнительная власть. Законодательный указ № 1323, опубликованный в </w:t>
      </w:r>
      <w:r>
        <w:rPr>
          <w:i/>
          <w:iCs/>
        </w:rPr>
        <w:t xml:space="preserve">Официальном вестнике </w:t>
      </w:r>
      <w:r w:rsidRPr="007E055A">
        <w:rPr>
          <w:rStyle w:val="ab"/>
          <w:vertAlign w:val="baseline"/>
        </w:rPr>
        <w:t>«</w:t>
      </w:r>
      <w:r w:rsidRPr="007E055A">
        <w:rPr>
          <w:i/>
          <w:iCs/>
        </w:rPr>
        <w:t>Перуано</w:t>
      </w:r>
      <w:r w:rsidRPr="007E055A">
        <w:rPr>
          <w:rStyle w:val="ab"/>
          <w:vertAlign w:val="baseline"/>
        </w:rPr>
        <w:t>»</w:t>
      </w:r>
      <w:r>
        <w:t xml:space="preserve"> 6 января 2017 года.</w:t>
      </w:r>
    </w:p>
  </w:footnote>
  <w:footnote w:id="121">
    <w:p w14:paraId="3A2150B4" w14:textId="77777777" w:rsidR="009852CB" w:rsidRPr="006025EB" w:rsidRDefault="009852CB" w:rsidP="00933DEB">
      <w:pPr>
        <w:pStyle w:val="ae"/>
      </w:pPr>
      <w:r>
        <w:tab/>
      </w:r>
      <w:r w:rsidRPr="00933DEB">
        <w:rPr>
          <w:rStyle w:val="ab"/>
        </w:rPr>
        <w:footnoteRef/>
      </w:r>
      <w:r>
        <w:tab/>
        <w:t xml:space="preserve">Конгресс Республики. Закон № 30068,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18 июля 2013 года.</w:t>
      </w:r>
    </w:p>
  </w:footnote>
  <w:footnote w:id="122">
    <w:p w14:paraId="2B21EAE0" w14:textId="77777777" w:rsidR="009852CB" w:rsidRPr="006025EB" w:rsidRDefault="009852CB" w:rsidP="00933DEB">
      <w:pPr>
        <w:pStyle w:val="ae"/>
      </w:pPr>
      <w:r>
        <w:tab/>
      </w:r>
      <w:r w:rsidRPr="00933DEB">
        <w:rPr>
          <w:rStyle w:val="ab"/>
        </w:rPr>
        <w:footnoteRef/>
      </w:r>
      <w:r>
        <w:tab/>
        <w:t xml:space="preserve">Там же. Закон № 27942,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t xml:space="preserve"> 27 февраля 2003 года.</w:t>
      </w:r>
    </w:p>
  </w:footnote>
  <w:footnote w:id="123">
    <w:p w14:paraId="4F3C52EA" w14:textId="77777777" w:rsidR="009852CB" w:rsidRPr="006025EB" w:rsidRDefault="009852CB" w:rsidP="00933DEB">
      <w:pPr>
        <w:pStyle w:val="ae"/>
      </w:pPr>
      <w:r>
        <w:tab/>
      </w:r>
      <w:r w:rsidRPr="00933DEB">
        <w:rPr>
          <w:rStyle w:val="ab"/>
        </w:rPr>
        <w:footnoteRef/>
      </w:r>
      <w:r>
        <w:tab/>
        <w:t xml:space="preserve">Там же. Закон № 30314, опубликованный в </w:t>
      </w:r>
      <w:r>
        <w:rPr>
          <w:i/>
          <w:iCs/>
        </w:rPr>
        <w:t xml:space="preserve">Официальном </w:t>
      </w:r>
      <w:r w:rsidRPr="007E055A">
        <w:rPr>
          <w:i/>
          <w:iCs/>
        </w:rPr>
        <w:t xml:space="preserve">вестнике </w:t>
      </w:r>
      <w:r w:rsidRPr="007E055A">
        <w:rPr>
          <w:rStyle w:val="ab"/>
          <w:vertAlign w:val="baseline"/>
        </w:rPr>
        <w:t>«</w:t>
      </w:r>
      <w:r w:rsidRPr="007E055A">
        <w:rPr>
          <w:i/>
          <w:iCs/>
        </w:rPr>
        <w:t>Перуано</w:t>
      </w:r>
      <w:r w:rsidRPr="007E055A">
        <w:rPr>
          <w:rStyle w:val="ab"/>
          <w:vertAlign w:val="baseline"/>
        </w:rPr>
        <w:t>»</w:t>
      </w:r>
      <w:r w:rsidRPr="007E055A">
        <w:t xml:space="preserve"> 26</w:t>
      </w:r>
      <w:r>
        <w:t xml:space="preserve"> марта 2015 года.</w:t>
      </w:r>
    </w:p>
  </w:footnote>
  <w:footnote w:id="124">
    <w:p w14:paraId="5845B60B" w14:textId="77777777" w:rsidR="009852CB" w:rsidRPr="006025EB" w:rsidRDefault="009852CB" w:rsidP="00933DEB">
      <w:pPr>
        <w:pStyle w:val="ae"/>
      </w:pPr>
      <w:r>
        <w:tab/>
      </w:r>
      <w:r w:rsidRPr="00933DEB">
        <w:rPr>
          <w:rStyle w:val="ab"/>
        </w:rPr>
        <w:footnoteRef/>
      </w:r>
      <w:r>
        <w:tab/>
        <w:t xml:space="preserve">Исполнительная власть. Законодательный указ № 1410, опубликованный в </w:t>
      </w:r>
      <w:r>
        <w:rPr>
          <w:i/>
          <w:iCs/>
        </w:rPr>
        <w:t xml:space="preserve">Официальном вестнике </w:t>
      </w:r>
      <w:r w:rsidRPr="00933DEB">
        <w:rPr>
          <w:rStyle w:val="ab"/>
          <w:vertAlign w:val="baseline"/>
        </w:rPr>
        <w:t>«</w:t>
      </w:r>
      <w:r w:rsidRPr="00933DEB">
        <w:rPr>
          <w:i/>
          <w:iCs/>
        </w:rPr>
        <w:t>Перуано</w:t>
      </w:r>
      <w:r w:rsidRPr="00933DEB">
        <w:rPr>
          <w:rStyle w:val="ab"/>
          <w:vertAlign w:val="baseline"/>
        </w:rPr>
        <w:t>»</w:t>
      </w:r>
      <w:r>
        <w:t xml:space="preserve"> 12 сентября 2018 года.</w:t>
      </w:r>
    </w:p>
  </w:footnote>
  <w:footnote w:id="125">
    <w:p w14:paraId="0565B870" w14:textId="77777777" w:rsidR="009852CB" w:rsidRPr="006025EB" w:rsidRDefault="009852CB" w:rsidP="00933DEB">
      <w:pPr>
        <w:pStyle w:val="ae"/>
      </w:pPr>
      <w:r>
        <w:tab/>
      </w:r>
      <w:r w:rsidRPr="00933DEB">
        <w:rPr>
          <w:rStyle w:val="ab"/>
          <w:rFonts w:eastAsia="SimSun"/>
        </w:rPr>
        <w:footnoteRef/>
      </w:r>
      <w:r>
        <w:tab/>
        <w:t>Министерство по делам женщин и уязвимых слоев населения. Главное управление по борьбе с гендерным насилием</w:t>
      </w:r>
      <w:r w:rsidRPr="00756753">
        <w:t>.</w:t>
      </w:r>
      <w:r>
        <w:t xml:space="preserve"> Постановление №</w:t>
      </w:r>
      <w:r w:rsidRPr="00756753">
        <w:t xml:space="preserve"> 288</w:t>
      </w:r>
      <w:r w:rsidRPr="00756753">
        <w:noBreakHyphen/>
        <w:t>2016-</w:t>
      </w:r>
      <w:r w:rsidRPr="00BC5892">
        <w:rPr>
          <w:lang w:val="en-US"/>
        </w:rPr>
        <w:t>MIMO</w:t>
      </w:r>
      <w:r w:rsidRPr="00756753">
        <w:t>/</w:t>
      </w:r>
      <w:r w:rsidRPr="00BC5892">
        <w:rPr>
          <w:lang w:val="en-US"/>
        </w:rPr>
        <w:t>DGCVG</w:t>
      </w:r>
      <w:r>
        <w:t xml:space="preserve"> от 14 сентября 2016 года. Стр. 4 испанского текста.</w:t>
      </w:r>
    </w:p>
  </w:footnote>
  <w:footnote w:id="126">
    <w:p w14:paraId="2A615E81" w14:textId="77777777" w:rsidR="009852CB" w:rsidRPr="006025EB" w:rsidRDefault="009852CB" w:rsidP="00933DEB">
      <w:pPr>
        <w:pStyle w:val="ae"/>
      </w:pPr>
      <w:r>
        <w:tab/>
      </w:r>
      <w:r w:rsidRPr="00933DEB">
        <w:rPr>
          <w:rStyle w:val="ab"/>
        </w:rPr>
        <w:footnoteRef/>
      </w:r>
      <w:r>
        <w:tab/>
        <w:t xml:space="preserve">Министерство образования. Министерское постановление № 380-2018-MINEDU, опубликованное в </w:t>
      </w:r>
      <w:r>
        <w:rPr>
          <w:i/>
          <w:iCs/>
        </w:rPr>
        <w:t xml:space="preserve">Официальном </w:t>
      </w:r>
      <w:r w:rsidRPr="009418D1">
        <w:rPr>
          <w:i/>
          <w:iCs/>
        </w:rPr>
        <w:t xml:space="preserve">вестнике </w:t>
      </w:r>
      <w:r w:rsidRPr="009418D1">
        <w:rPr>
          <w:rStyle w:val="ab"/>
          <w:vertAlign w:val="baseline"/>
        </w:rPr>
        <w:t>«</w:t>
      </w:r>
      <w:r w:rsidRPr="009418D1">
        <w:rPr>
          <w:i/>
          <w:iCs/>
        </w:rPr>
        <w:t>Перуано</w:t>
      </w:r>
      <w:r w:rsidRPr="009418D1">
        <w:rPr>
          <w:rStyle w:val="ab"/>
          <w:vertAlign w:val="baseline"/>
        </w:rPr>
        <w:t>»</w:t>
      </w:r>
      <w:r>
        <w:t xml:space="preserve"> 18 июля 2018 года.</w:t>
      </w:r>
    </w:p>
  </w:footnote>
  <w:footnote w:id="127">
    <w:p w14:paraId="74734F14" w14:textId="77777777" w:rsidR="009852CB" w:rsidRPr="006B40A8" w:rsidRDefault="009852CB" w:rsidP="00933DEB">
      <w:pPr>
        <w:pStyle w:val="ae"/>
      </w:pPr>
      <w:r>
        <w:tab/>
      </w:r>
      <w:r w:rsidRPr="00933DEB">
        <w:rPr>
          <w:rStyle w:val="ab"/>
        </w:rPr>
        <w:footnoteRef/>
      </w:r>
      <w:r>
        <w:tab/>
        <w:t xml:space="preserve">Министерство по делам женщин и уязвимых слоев населения. Высочайший указ </w:t>
      </w:r>
      <w:r>
        <w:br/>
        <w:t xml:space="preserve">№ 006-2018-MIMP,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2 августа 2018 года.</w:t>
      </w:r>
    </w:p>
  </w:footnote>
  <w:footnote w:id="128">
    <w:p w14:paraId="06ADB8C4" w14:textId="77777777" w:rsidR="009852CB" w:rsidRPr="006B40A8" w:rsidRDefault="009852CB" w:rsidP="00933DEB">
      <w:pPr>
        <w:pStyle w:val="ae"/>
      </w:pPr>
      <w:r>
        <w:tab/>
      </w:r>
      <w:r w:rsidRPr="00933DEB">
        <w:rPr>
          <w:rStyle w:val="ab"/>
        </w:rPr>
        <w:footnoteRef/>
      </w:r>
      <w:r>
        <w:tab/>
        <w:t>Там же. Высочайший указ №008-2001-PROMUDEH, принятый 24 апреля 2001 года.</w:t>
      </w:r>
    </w:p>
  </w:footnote>
  <w:footnote w:id="129">
    <w:p w14:paraId="5195EC7A" w14:textId="77777777" w:rsidR="009852CB" w:rsidRPr="006B40A8" w:rsidRDefault="009852CB" w:rsidP="00933DEB">
      <w:pPr>
        <w:pStyle w:val="ae"/>
      </w:pPr>
      <w:r>
        <w:tab/>
      </w:r>
      <w:r w:rsidRPr="00933DEB">
        <w:rPr>
          <w:rStyle w:val="ab"/>
        </w:rPr>
        <w:footnoteRef/>
      </w:r>
      <w:r>
        <w:tab/>
        <w:t>Там же. Постановление №</w:t>
      </w:r>
      <w:r w:rsidRPr="00756753">
        <w:t xml:space="preserve"> 032-2019-</w:t>
      </w:r>
      <w:r w:rsidRPr="00BC5892">
        <w:rPr>
          <w:lang w:val="en-US"/>
        </w:rPr>
        <w:t>MIMP</w:t>
      </w:r>
      <w:r w:rsidRPr="00756753">
        <w:t>/</w:t>
      </w:r>
      <w:r w:rsidRPr="00BC5892">
        <w:rPr>
          <w:lang w:val="en-US"/>
        </w:rPr>
        <w:t>DVMM</w:t>
      </w:r>
      <w:r w:rsidRPr="00756753">
        <w:t xml:space="preserve">. </w:t>
      </w:r>
      <w:r>
        <w:t>Стр.</w:t>
      </w:r>
      <w:r w:rsidRPr="00756753">
        <w:t xml:space="preserve"> 3</w:t>
      </w:r>
      <w:r>
        <w:t xml:space="preserve"> испанского текста</w:t>
      </w:r>
      <w:r w:rsidRPr="00756753">
        <w:t>.</w:t>
      </w:r>
    </w:p>
  </w:footnote>
  <w:footnote w:id="130">
    <w:p w14:paraId="7F9DE3C7" w14:textId="77777777" w:rsidR="009852CB" w:rsidRPr="00716B97" w:rsidRDefault="009852CB" w:rsidP="00933DEB">
      <w:pPr>
        <w:pStyle w:val="ae"/>
      </w:pPr>
      <w:r w:rsidRPr="00756753">
        <w:tab/>
      </w:r>
      <w:r w:rsidRPr="00933DEB">
        <w:rPr>
          <w:rStyle w:val="ab"/>
        </w:rPr>
        <w:footnoteRef/>
      </w:r>
      <w:r>
        <w:tab/>
        <w:t>Там же.</w:t>
      </w:r>
    </w:p>
  </w:footnote>
  <w:footnote w:id="131">
    <w:p w14:paraId="673832DD" w14:textId="77777777" w:rsidR="009852CB" w:rsidRPr="006025EB" w:rsidRDefault="009852CB" w:rsidP="00933DEB">
      <w:pPr>
        <w:pStyle w:val="ae"/>
      </w:pPr>
      <w:r>
        <w:tab/>
      </w:r>
      <w:r w:rsidRPr="00933DEB">
        <w:rPr>
          <w:rStyle w:val="ab"/>
        </w:rPr>
        <w:footnoteRef/>
      </w:r>
      <w:r>
        <w:tab/>
        <w:t>Демократический учредительный конгресс. Политическая конституция Перу (1993 год). Статья 191.</w:t>
      </w:r>
    </w:p>
  </w:footnote>
  <w:footnote w:id="132">
    <w:p w14:paraId="720445F0" w14:textId="77777777" w:rsidR="009852CB" w:rsidRPr="006025EB" w:rsidRDefault="009852CB" w:rsidP="00933DEB">
      <w:pPr>
        <w:pStyle w:val="ae"/>
      </w:pPr>
      <w:r>
        <w:tab/>
      </w:r>
      <w:r w:rsidRPr="00933DEB">
        <w:rPr>
          <w:rStyle w:val="ab"/>
        </w:rPr>
        <w:footnoteRef/>
      </w:r>
      <w:r>
        <w:tab/>
        <w:t xml:space="preserve">Конгресс Республики. Закон № 30996,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27 августа 2019 года.</w:t>
      </w:r>
    </w:p>
  </w:footnote>
  <w:footnote w:id="133">
    <w:p w14:paraId="28FBF97B" w14:textId="77777777" w:rsidR="009852CB" w:rsidRPr="006025EB" w:rsidRDefault="009852CB" w:rsidP="00933DEB">
      <w:pPr>
        <w:pStyle w:val="ae"/>
      </w:pPr>
      <w:r>
        <w:tab/>
      </w:r>
      <w:r w:rsidRPr="00933DEB">
        <w:rPr>
          <w:rStyle w:val="ab"/>
        </w:rPr>
        <w:footnoteRef/>
      </w:r>
      <w:r>
        <w:tab/>
        <w:t xml:space="preserve">Министерство юстиции и по правам человека. Высочайший указ № 006-2015-JUS,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6 ноября 2015 года.</w:t>
      </w:r>
    </w:p>
  </w:footnote>
  <w:footnote w:id="134">
    <w:p w14:paraId="659EAFBC" w14:textId="77777777" w:rsidR="009852CB" w:rsidRPr="00066F1B" w:rsidRDefault="009852CB" w:rsidP="00933DEB">
      <w:pPr>
        <w:pStyle w:val="ae"/>
      </w:pPr>
      <w:r>
        <w:tab/>
      </w:r>
      <w:r w:rsidRPr="00933DEB">
        <w:rPr>
          <w:rStyle w:val="ab"/>
        </w:rPr>
        <w:footnoteRef/>
      </w:r>
      <w:r>
        <w:tab/>
        <w:t xml:space="preserve">Там же. Министерское постановление № 0319-2015-JUS, опубликованное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7 декабря 2015 года.</w:t>
      </w:r>
    </w:p>
  </w:footnote>
  <w:footnote w:id="135">
    <w:p w14:paraId="13C8A727" w14:textId="77777777" w:rsidR="009852CB" w:rsidRPr="00066F1B" w:rsidRDefault="009852CB" w:rsidP="00933DEB">
      <w:pPr>
        <w:pStyle w:val="ae"/>
      </w:pPr>
      <w:r>
        <w:tab/>
      </w:r>
      <w:r w:rsidRPr="00933DEB">
        <w:rPr>
          <w:rStyle w:val="ab"/>
        </w:rPr>
        <w:footnoteRef/>
      </w:r>
      <w:r>
        <w:tab/>
        <w:t xml:space="preserve">Там же. Министерское постановление № 001-2016-JUS, опубликованное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11 января 2016 года.</w:t>
      </w:r>
    </w:p>
  </w:footnote>
  <w:footnote w:id="136">
    <w:p w14:paraId="13C12D35" w14:textId="77777777" w:rsidR="009852CB" w:rsidRPr="00066F1B" w:rsidRDefault="009852CB" w:rsidP="00933DEB">
      <w:pPr>
        <w:pStyle w:val="ae"/>
      </w:pPr>
      <w:r>
        <w:tab/>
      </w:r>
      <w:r w:rsidRPr="00933DEB">
        <w:rPr>
          <w:rStyle w:val="ab"/>
        </w:rPr>
        <w:footnoteRef/>
      </w:r>
      <w:r>
        <w:tab/>
        <w:t xml:space="preserve">Там же. Министерское постановление № 262-2015-MIMP, опубликованное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11 января 2016 года.</w:t>
      </w:r>
    </w:p>
  </w:footnote>
  <w:footnote w:id="137">
    <w:p w14:paraId="74EFF9E8" w14:textId="77777777" w:rsidR="009852CB" w:rsidRPr="005123E8" w:rsidRDefault="009852CB" w:rsidP="00933DEB">
      <w:pPr>
        <w:pStyle w:val="ae"/>
      </w:pPr>
      <w:r>
        <w:tab/>
      </w:r>
      <w:r w:rsidRPr="00933DEB">
        <w:rPr>
          <w:rStyle w:val="ab"/>
        </w:rPr>
        <w:footnoteRef/>
      </w:r>
      <w:r>
        <w:tab/>
        <w:t>Там же. Управление по вопросам политики и администрирования в сфере прав человека. Постановление № 1-2018-JUS-DGDH/DPGDH от 28 сентября 2019 года.</w:t>
      </w:r>
    </w:p>
  </w:footnote>
  <w:footnote w:id="138">
    <w:p w14:paraId="35532734" w14:textId="77777777" w:rsidR="009852CB" w:rsidRPr="00CA1E90" w:rsidRDefault="009852CB" w:rsidP="00933DEB">
      <w:pPr>
        <w:pStyle w:val="ae"/>
        <w:rPr>
          <w:lang w:val="es-ES_tradnl"/>
        </w:rPr>
      </w:pPr>
      <w:r>
        <w:tab/>
      </w:r>
      <w:r w:rsidRPr="00933DEB">
        <w:rPr>
          <w:rStyle w:val="ab"/>
        </w:rPr>
        <w:footnoteRef/>
      </w:r>
      <w:r w:rsidRPr="00BB227E">
        <w:tab/>
      </w:r>
      <w:r w:rsidRPr="005123E8">
        <w:t xml:space="preserve">RENIEC. Oficio núm. 002062-2019/SGEN/RENIEC. </w:t>
      </w:r>
      <w:r w:rsidRPr="00CA1E90">
        <w:rPr>
          <w:lang w:val="es-ES_tradnl"/>
        </w:rPr>
        <w:t>Fecha 6 de agosto de 2019.</w:t>
      </w:r>
    </w:p>
  </w:footnote>
  <w:footnote w:id="139">
    <w:p w14:paraId="5213BB59" w14:textId="77777777" w:rsidR="009852CB" w:rsidRPr="00CA1E90" w:rsidRDefault="009852CB" w:rsidP="00933DEB">
      <w:pPr>
        <w:pStyle w:val="ae"/>
        <w:rPr>
          <w:szCs w:val="18"/>
          <w:lang w:val="es-ES_tradnl"/>
        </w:rPr>
      </w:pPr>
      <w:r w:rsidRPr="00CA1E90">
        <w:rPr>
          <w:lang w:val="es-ES_tradnl"/>
        </w:rPr>
        <w:tab/>
      </w:r>
      <w:r w:rsidRPr="00933DEB">
        <w:rPr>
          <w:rStyle w:val="ab"/>
        </w:rPr>
        <w:footnoteRef/>
      </w:r>
      <w:r w:rsidRPr="00CA1E90">
        <w:rPr>
          <w:lang w:val="es-ES_tradnl"/>
        </w:rPr>
        <w:tab/>
      </w:r>
      <w:r w:rsidRPr="00066F1B">
        <w:rPr>
          <w:lang w:val="es-PE"/>
        </w:rPr>
        <w:t>Oficio núm. 043-2019-MIDIS/VMPES. Fecha: 13</w:t>
      </w:r>
      <w:r>
        <w:rPr>
          <w:lang w:val="es-PE"/>
        </w:rPr>
        <w:t xml:space="preserve"> de septiembre de </w:t>
      </w:r>
      <w:r w:rsidRPr="00066F1B">
        <w:rPr>
          <w:lang w:val="es-PE"/>
        </w:rPr>
        <w:t>2019. Pág. 06</w:t>
      </w:r>
      <w:r w:rsidRPr="00CA1E90">
        <w:rPr>
          <w:lang w:val="es-ES_tradnl"/>
        </w:rPr>
        <w:t>.</w:t>
      </w:r>
    </w:p>
  </w:footnote>
  <w:footnote w:id="140">
    <w:p w14:paraId="5A072DC8" w14:textId="77777777" w:rsidR="009852CB" w:rsidRPr="00066F1B" w:rsidRDefault="009852CB" w:rsidP="00933DEB">
      <w:pPr>
        <w:pStyle w:val="ae"/>
      </w:pPr>
      <w:r w:rsidRPr="00CA1E90">
        <w:rPr>
          <w:lang w:val="es-ES_tradnl"/>
        </w:rPr>
        <w:tab/>
      </w:r>
      <w:r w:rsidRPr="00933DEB">
        <w:rPr>
          <w:rStyle w:val="ab"/>
        </w:rPr>
        <w:footnoteRef/>
      </w:r>
      <w:r>
        <w:tab/>
      </w:r>
      <w:r>
        <w:rPr>
          <w:lang w:val="en-US"/>
        </w:rPr>
        <w:t>Ibid</w:t>
      </w:r>
      <w:r w:rsidRPr="00FA2A16">
        <w:t>.</w:t>
      </w:r>
    </w:p>
  </w:footnote>
  <w:footnote w:id="141">
    <w:p w14:paraId="60743370" w14:textId="77777777" w:rsidR="009852CB" w:rsidRPr="00066F1B" w:rsidRDefault="009852CB" w:rsidP="00933DEB">
      <w:pPr>
        <w:pStyle w:val="ae"/>
      </w:pPr>
      <w:r>
        <w:tab/>
      </w:r>
      <w:r w:rsidRPr="00933DEB">
        <w:rPr>
          <w:rStyle w:val="ab"/>
        </w:rPr>
        <w:footnoteRef/>
      </w:r>
      <w:r>
        <w:tab/>
      </w:r>
      <w:r>
        <w:rPr>
          <w:lang w:val="en-US"/>
        </w:rPr>
        <w:t>Ibid</w:t>
      </w:r>
      <w:r>
        <w:t>.</w:t>
      </w:r>
    </w:p>
  </w:footnote>
  <w:footnote w:id="142">
    <w:p w14:paraId="64E62B19" w14:textId="77777777" w:rsidR="009852CB" w:rsidRPr="00066F1B" w:rsidRDefault="009852CB" w:rsidP="00933DEB">
      <w:pPr>
        <w:pStyle w:val="ae"/>
      </w:pPr>
      <w:r>
        <w:tab/>
      </w:r>
      <w:r w:rsidRPr="00933DEB">
        <w:rPr>
          <w:rStyle w:val="ab"/>
        </w:rPr>
        <w:footnoteRef/>
      </w:r>
      <w:r>
        <w:tab/>
      </w:r>
      <w:r>
        <w:rPr>
          <w:lang w:val="en-US"/>
        </w:rPr>
        <w:t>Ibid</w:t>
      </w:r>
      <w:r>
        <w:t>.</w:t>
      </w:r>
    </w:p>
  </w:footnote>
  <w:footnote w:id="143">
    <w:p w14:paraId="6D104EFF" w14:textId="77777777" w:rsidR="009852CB" w:rsidRPr="00066F1B" w:rsidRDefault="009852CB" w:rsidP="00933DEB">
      <w:pPr>
        <w:pStyle w:val="ae"/>
      </w:pPr>
      <w:r>
        <w:tab/>
      </w:r>
      <w:r w:rsidRPr="00933DEB">
        <w:rPr>
          <w:rStyle w:val="ab"/>
        </w:rPr>
        <w:footnoteRef/>
      </w:r>
      <w:r>
        <w:tab/>
        <w:t xml:space="preserve">Министерство по делам женщин и уязвимых слоев населения. Высочайший указ </w:t>
      </w:r>
      <w:r>
        <w:br/>
        <w:t xml:space="preserve">№ 001-2012-MIMP,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20 апреля 2012 года.</w:t>
      </w:r>
    </w:p>
  </w:footnote>
  <w:footnote w:id="144">
    <w:p w14:paraId="25B38293" w14:textId="77777777" w:rsidR="009852CB" w:rsidRPr="00066F1B" w:rsidRDefault="009852CB" w:rsidP="00933DEB">
      <w:pPr>
        <w:pStyle w:val="ae"/>
      </w:pPr>
      <w:r>
        <w:tab/>
      </w:r>
      <w:r w:rsidRPr="00933DEB">
        <w:rPr>
          <w:rStyle w:val="ab"/>
        </w:rPr>
        <w:footnoteRef/>
      </w:r>
      <w:r>
        <w:tab/>
        <w:t xml:space="preserve">Министерство здравоохранения. Министерское постановление № 258-2014-MINSA, опубликованное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31 апреля 2014 года.</w:t>
      </w:r>
    </w:p>
  </w:footnote>
  <w:footnote w:id="145">
    <w:p w14:paraId="72A517A4" w14:textId="77777777" w:rsidR="009852CB" w:rsidRPr="00066F1B" w:rsidRDefault="009852CB" w:rsidP="00933DEB">
      <w:pPr>
        <w:pStyle w:val="ae"/>
      </w:pPr>
      <w:r>
        <w:tab/>
      </w:r>
      <w:r w:rsidRPr="00933DEB">
        <w:rPr>
          <w:rStyle w:val="ab"/>
        </w:rPr>
        <w:footnoteRef/>
      </w:r>
      <w:r>
        <w:tab/>
        <w:t xml:space="preserve">Там же. Высочайший указ № 012-2013-SA, опубликованный в </w:t>
      </w:r>
      <w:r>
        <w:rPr>
          <w:i/>
          <w:iCs/>
        </w:rPr>
        <w:t xml:space="preserve">Официальном вестнике </w:t>
      </w:r>
      <w:r w:rsidRPr="00933DEB">
        <w:rPr>
          <w:rStyle w:val="ab"/>
          <w:vertAlign w:val="baseline"/>
        </w:rPr>
        <w:t>«</w:t>
      </w:r>
      <w:r w:rsidRPr="00933DEB">
        <w:rPr>
          <w:i/>
          <w:iCs/>
        </w:rPr>
        <w:t>Перуано</w:t>
      </w:r>
      <w:r w:rsidRPr="00933DEB">
        <w:rPr>
          <w:rStyle w:val="ab"/>
          <w:vertAlign w:val="baseline"/>
        </w:rPr>
        <w:t>»</w:t>
      </w:r>
      <w:r>
        <w:t xml:space="preserve"> 7 ноября 2013 года.</w:t>
      </w:r>
    </w:p>
  </w:footnote>
  <w:footnote w:id="146">
    <w:p w14:paraId="4288F167" w14:textId="77777777" w:rsidR="009852CB" w:rsidRPr="00066F1B" w:rsidRDefault="009852CB" w:rsidP="00933DEB">
      <w:pPr>
        <w:pStyle w:val="ae"/>
      </w:pPr>
      <w:r>
        <w:tab/>
      </w:r>
      <w:r w:rsidRPr="00933DEB">
        <w:rPr>
          <w:rStyle w:val="ab"/>
        </w:rPr>
        <w:footnoteRef/>
      </w:r>
      <w:r>
        <w:tab/>
        <w:t xml:space="preserve">Аппарат Председателя Совета министров. Высочайший указ № 068-2018-PCM,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rPr>
          <w:i/>
          <w:iCs/>
        </w:rPr>
        <w:t xml:space="preserve"> </w:t>
      </w:r>
      <w:r>
        <w:t>3 июля 2018 года.</w:t>
      </w:r>
    </w:p>
  </w:footnote>
  <w:footnote w:id="147">
    <w:p w14:paraId="1AA1DBF4" w14:textId="77777777" w:rsidR="009852CB" w:rsidRPr="00066F1B" w:rsidRDefault="009852CB" w:rsidP="00933DEB">
      <w:pPr>
        <w:pStyle w:val="ae"/>
      </w:pPr>
      <w:r>
        <w:tab/>
      </w:r>
      <w:r w:rsidRPr="00933DEB">
        <w:rPr>
          <w:rStyle w:val="ab"/>
        </w:rPr>
        <w:footnoteRef/>
      </w:r>
      <w:r>
        <w:tab/>
        <w:t xml:space="preserve">Министерство труда и занятости. Высочайший указ № 015-2012-TR,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5 сентября 2012 года.</w:t>
      </w:r>
    </w:p>
  </w:footnote>
  <w:footnote w:id="148">
    <w:p w14:paraId="4E7FE9D2" w14:textId="77777777" w:rsidR="009852CB" w:rsidRPr="00066F1B" w:rsidRDefault="009852CB" w:rsidP="00933DEB">
      <w:pPr>
        <w:pStyle w:val="ae"/>
      </w:pPr>
      <w:r>
        <w:tab/>
      </w:r>
      <w:r w:rsidRPr="00933DEB">
        <w:rPr>
          <w:rStyle w:val="ab"/>
        </w:rPr>
        <w:footnoteRef/>
      </w:r>
      <w:r>
        <w:tab/>
        <w:t xml:space="preserve">Министерство образования. Высочайший указ № 012-2013-ED,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27 марта 2013 года.</w:t>
      </w:r>
    </w:p>
  </w:footnote>
  <w:footnote w:id="149">
    <w:p w14:paraId="1C39F063" w14:textId="77777777" w:rsidR="009852CB" w:rsidRPr="006025EB" w:rsidRDefault="009852CB" w:rsidP="00933DEB">
      <w:pPr>
        <w:pStyle w:val="ae"/>
      </w:pPr>
      <w:r>
        <w:tab/>
      </w:r>
      <w:r w:rsidRPr="00933DEB">
        <w:rPr>
          <w:rStyle w:val="ab"/>
        </w:rPr>
        <w:footnoteRef/>
      </w:r>
      <w:r>
        <w:tab/>
        <w:t xml:space="preserve">Министерство здравоохранения. Министерское постановление № 486-2014-MINSA, опубликованное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28 июня 2014 года.</w:t>
      </w:r>
    </w:p>
  </w:footnote>
  <w:footnote w:id="150">
    <w:p w14:paraId="75C7CA4C" w14:textId="77777777" w:rsidR="009852CB" w:rsidRPr="00066F1B" w:rsidRDefault="009852CB" w:rsidP="00933DEB">
      <w:pPr>
        <w:pStyle w:val="ae"/>
        <w:rPr>
          <w:szCs w:val="18"/>
        </w:rPr>
      </w:pPr>
      <w:r>
        <w:rPr>
          <w:szCs w:val="18"/>
        </w:rPr>
        <w:tab/>
      </w:r>
      <w:r w:rsidRPr="00933DEB">
        <w:rPr>
          <w:rStyle w:val="ab"/>
        </w:rPr>
        <w:footnoteRef/>
      </w:r>
      <w:r>
        <w:tab/>
        <w:t xml:space="preserve">Министерство юстиции и по правам человека. Высочайший указ № 014-2013-JUS,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1 декабря 2013 года.</w:t>
      </w:r>
    </w:p>
  </w:footnote>
  <w:footnote w:id="151">
    <w:p w14:paraId="0CA8B8A1" w14:textId="77777777" w:rsidR="009852CB" w:rsidRPr="00066F1B" w:rsidRDefault="009852CB" w:rsidP="00933DEB">
      <w:pPr>
        <w:pStyle w:val="ae"/>
        <w:rPr>
          <w:szCs w:val="18"/>
        </w:rPr>
      </w:pPr>
      <w:r>
        <w:rPr>
          <w:szCs w:val="18"/>
        </w:rPr>
        <w:tab/>
      </w:r>
      <w:r w:rsidRPr="00933DEB">
        <w:rPr>
          <w:rStyle w:val="ab"/>
        </w:rPr>
        <w:footnoteRef/>
      </w:r>
      <w:r>
        <w:tab/>
        <w:t>Министерство развития и социальной адаптации. Высочайший указ № 008-2013-MI</w:t>
      </w:r>
      <w:r>
        <w:rPr>
          <w:lang w:val="en-US"/>
        </w:rPr>
        <w:t>DIS</w:t>
      </w:r>
      <w:r>
        <w:t xml:space="preserve">, опубликованный в </w:t>
      </w:r>
      <w:r>
        <w:rPr>
          <w:i/>
          <w:iCs/>
        </w:rPr>
        <w:t xml:space="preserve">Официальном вестнике </w:t>
      </w:r>
      <w:r w:rsidRPr="00933DEB">
        <w:rPr>
          <w:rStyle w:val="ab"/>
          <w:vertAlign w:val="baseline"/>
        </w:rPr>
        <w:t>«</w:t>
      </w:r>
      <w:r w:rsidRPr="00933DEB">
        <w:rPr>
          <w:i/>
          <w:iCs/>
        </w:rPr>
        <w:t>Перуано</w:t>
      </w:r>
      <w:r w:rsidRPr="00933DEB">
        <w:rPr>
          <w:rStyle w:val="ab"/>
          <w:vertAlign w:val="baseline"/>
        </w:rPr>
        <w:t>»</w:t>
      </w:r>
      <w:r w:rsidRPr="00933DEB">
        <w:t xml:space="preserve"> </w:t>
      </w:r>
      <w:r>
        <w:t>26 апреля 2013 года.</w:t>
      </w:r>
    </w:p>
  </w:footnote>
  <w:footnote w:id="152">
    <w:p w14:paraId="3FBFA512" w14:textId="77777777" w:rsidR="009852CB" w:rsidRPr="00066F1B" w:rsidRDefault="009852CB" w:rsidP="00933DEB">
      <w:pPr>
        <w:pStyle w:val="ae"/>
        <w:rPr>
          <w:szCs w:val="18"/>
        </w:rPr>
      </w:pPr>
      <w:r>
        <w:rPr>
          <w:szCs w:val="18"/>
        </w:rPr>
        <w:tab/>
      </w:r>
      <w:r w:rsidRPr="00933DEB">
        <w:rPr>
          <w:rStyle w:val="ab"/>
          <w:rFonts w:eastAsia="SimSun"/>
        </w:rPr>
        <w:footnoteRef/>
      </w:r>
      <w:r>
        <w:tab/>
        <w:t xml:space="preserve">Конгресс Республики. Закон № 30403,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30 декабря 2015 года.</w:t>
      </w:r>
    </w:p>
  </w:footnote>
  <w:footnote w:id="153">
    <w:p w14:paraId="362C804D" w14:textId="77777777" w:rsidR="009852CB" w:rsidRPr="00066F1B" w:rsidRDefault="009852CB" w:rsidP="00933DEB">
      <w:pPr>
        <w:pStyle w:val="ae"/>
        <w:rPr>
          <w:szCs w:val="18"/>
        </w:rPr>
      </w:pPr>
      <w:r>
        <w:rPr>
          <w:szCs w:val="18"/>
        </w:rPr>
        <w:tab/>
      </w:r>
      <w:r w:rsidRPr="00933DEB">
        <w:rPr>
          <w:rStyle w:val="ab"/>
          <w:rFonts w:eastAsia="SimSun"/>
        </w:rPr>
        <w:footnoteRef/>
      </w:r>
      <w:r>
        <w:tab/>
        <w:t xml:space="preserve">Там же. Закон № 30466,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17 июня 2016 года.</w:t>
      </w:r>
    </w:p>
  </w:footnote>
  <w:footnote w:id="154">
    <w:p w14:paraId="6442DEDD" w14:textId="77777777" w:rsidR="009852CB" w:rsidRPr="00066F1B" w:rsidRDefault="009852CB" w:rsidP="00933DEB">
      <w:pPr>
        <w:pStyle w:val="ae"/>
        <w:rPr>
          <w:szCs w:val="18"/>
        </w:rPr>
      </w:pPr>
      <w:r>
        <w:rPr>
          <w:szCs w:val="18"/>
        </w:rPr>
        <w:tab/>
      </w:r>
      <w:r w:rsidRPr="00933DEB">
        <w:rPr>
          <w:rStyle w:val="ab"/>
        </w:rPr>
        <w:footnoteRef/>
      </w:r>
      <w:r>
        <w:tab/>
        <w:t xml:space="preserve">Исполнительная власть. Законодательный указ № 1348. Законодательный указ об утверждении Кодекса об уголовной ответственности подростков, опубликованный в </w:t>
      </w:r>
      <w:r>
        <w:rPr>
          <w:i/>
          <w:iCs/>
        </w:rPr>
        <w:t xml:space="preserve">Официальном вестнике </w:t>
      </w:r>
      <w:r w:rsidRPr="00933DEB">
        <w:rPr>
          <w:rStyle w:val="ab"/>
          <w:vertAlign w:val="baseline"/>
        </w:rPr>
        <w:t>«</w:t>
      </w:r>
      <w:r w:rsidRPr="00933DEB">
        <w:rPr>
          <w:i/>
          <w:iCs/>
        </w:rPr>
        <w:t>Перуано</w:t>
      </w:r>
      <w:r w:rsidRPr="00933DEB">
        <w:rPr>
          <w:rStyle w:val="ab"/>
          <w:vertAlign w:val="baseline"/>
        </w:rPr>
        <w:t>»</w:t>
      </w:r>
      <w:r w:rsidRPr="00933DEB">
        <w:t xml:space="preserve"> </w:t>
      </w:r>
      <w:r>
        <w:t>7 января 2017 года.</w:t>
      </w:r>
    </w:p>
  </w:footnote>
  <w:footnote w:id="155">
    <w:p w14:paraId="746CBCC4" w14:textId="77777777" w:rsidR="009852CB" w:rsidRPr="00CA1E90" w:rsidRDefault="009852CB" w:rsidP="00933DEB">
      <w:pPr>
        <w:pStyle w:val="ae"/>
        <w:rPr>
          <w:szCs w:val="18"/>
          <w:lang w:val="es-ES_tradnl"/>
        </w:rPr>
      </w:pPr>
      <w:r>
        <w:rPr>
          <w:szCs w:val="18"/>
        </w:rPr>
        <w:tab/>
      </w:r>
      <w:r w:rsidRPr="00933DEB">
        <w:rPr>
          <w:rStyle w:val="ab"/>
        </w:rPr>
        <w:footnoteRef/>
      </w:r>
      <w:r w:rsidRPr="00CA1E90">
        <w:rPr>
          <w:lang w:val="es-ES_tradnl"/>
        </w:rPr>
        <w:tab/>
      </w:r>
      <w:r w:rsidRPr="00CA1E90">
        <w:rPr>
          <w:szCs w:val="18"/>
          <w:lang w:val="es-ES_tradnl"/>
        </w:rPr>
        <w:t>INPE. Informe Estadístico 2019. Pág. 6</w:t>
      </w:r>
      <w:r w:rsidRPr="00CA1E90">
        <w:rPr>
          <w:lang w:val="es-ES_tradnl"/>
        </w:rPr>
        <w:t>.</w:t>
      </w:r>
    </w:p>
  </w:footnote>
  <w:footnote w:id="156">
    <w:p w14:paraId="0A92AE68" w14:textId="77777777" w:rsidR="009852CB" w:rsidRPr="00066F1B" w:rsidRDefault="009852CB" w:rsidP="00933DEB">
      <w:pPr>
        <w:pStyle w:val="ae"/>
      </w:pPr>
      <w:r w:rsidRPr="00CA1E90">
        <w:rPr>
          <w:lang w:val="es-ES_tradnl"/>
        </w:rPr>
        <w:tab/>
      </w:r>
      <w:r w:rsidRPr="00933DEB">
        <w:rPr>
          <w:rStyle w:val="ab"/>
        </w:rPr>
        <w:footnoteRef/>
      </w:r>
      <w:r w:rsidRPr="00CA1E90">
        <w:rPr>
          <w:lang w:val="es-ES_tradnl"/>
        </w:rPr>
        <w:tab/>
        <w:t xml:space="preserve">INPE. </w:t>
      </w:r>
      <w:r w:rsidRPr="00066F1B">
        <w:t>Oficio núm. 881-2019-INPE/01. Fecha: 06.08.2019.</w:t>
      </w:r>
      <w:bookmarkStart w:id="51" w:name="_Hlk16528098"/>
      <w:bookmarkEnd w:id="51"/>
    </w:p>
  </w:footnote>
  <w:footnote w:id="157">
    <w:p w14:paraId="3839815B" w14:textId="77777777" w:rsidR="009852CB" w:rsidRPr="00066F1B" w:rsidRDefault="009852CB" w:rsidP="00933DEB">
      <w:pPr>
        <w:pStyle w:val="ae"/>
      </w:pPr>
      <w:r>
        <w:tab/>
      </w:r>
      <w:r w:rsidRPr="00933DEB">
        <w:rPr>
          <w:rStyle w:val="ab"/>
        </w:rPr>
        <w:footnoteRef/>
      </w:r>
      <w:r>
        <w:tab/>
        <w:t xml:space="preserve">Министерство юстиции и по правам человека. Высочайший указ № 005-2016-JUS, опубликованный в </w:t>
      </w:r>
      <w:r>
        <w:rPr>
          <w:i/>
          <w:iCs/>
        </w:rPr>
        <w:t xml:space="preserve">Официальном </w:t>
      </w:r>
      <w:r w:rsidRPr="00933DEB">
        <w:rPr>
          <w:i/>
          <w:iCs/>
        </w:rPr>
        <w:t xml:space="preserve">вестнике </w:t>
      </w:r>
      <w:r w:rsidRPr="00933DEB">
        <w:rPr>
          <w:rStyle w:val="ab"/>
          <w:vertAlign w:val="baseline"/>
        </w:rPr>
        <w:t>«</w:t>
      </w:r>
      <w:r w:rsidRPr="00933DEB">
        <w:rPr>
          <w:i/>
          <w:iCs/>
        </w:rPr>
        <w:t>Перуано</w:t>
      </w:r>
      <w:r w:rsidRPr="00933DEB">
        <w:rPr>
          <w:rStyle w:val="ab"/>
          <w:vertAlign w:val="baseline"/>
        </w:rPr>
        <w:t>»</w:t>
      </w:r>
      <w:r>
        <w:t xml:space="preserve"> 15 мая 2016 года.</w:t>
      </w:r>
    </w:p>
  </w:footnote>
  <w:footnote w:id="158">
    <w:p w14:paraId="11245508" w14:textId="77777777" w:rsidR="009852CB" w:rsidRPr="00066F1B" w:rsidRDefault="009852CB" w:rsidP="00933DEB">
      <w:pPr>
        <w:pStyle w:val="ae"/>
      </w:pPr>
      <w:r>
        <w:tab/>
      </w:r>
      <w:r w:rsidRPr="00933DEB">
        <w:rPr>
          <w:rStyle w:val="ab"/>
          <w:rFonts w:eastAsia="SimSun"/>
        </w:rPr>
        <w:footnoteRef/>
      </w:r>
      <w:r>
        <w:tab/>
        <w:t>Там же. Министерское постановление № 0070-2016-JUS, принятое 28 марта 2016 года.</w:t>
      </w:r>
    </w:p>
  </w:footnote>
  <w:footnote w:id="159">
    <w:p w14:paraId="39DEC6A2" w14:textId="77777777" w:rsidR="009852CB" w:rsidRPr="00CA1E90" w:rsidRDefault="009852CB" w:rsidP="00933DEB">
      <w:pPr>
        <w:pStyle w:val="ae"/>
        <w:rPr>
          <w:lang w:val="es-ES_tradnl"/>
        </w:rPr>
      </w:pPr>
      <w:r>
        <w:tab/>
      </w:r>
      <w:r w:rsidRPr="00933DEB">
        <w:rPr>
          <w:rStyle w:val="ab"/>
        </w:rPr>
        <w:footnoteRef/>
      </w:r>
      <w:r w:rsidRPr="00CA1E90">
        <w:rPr>
          <w:lang w:val="es-ES_tradnl"/>
        </w:rPr>
        <w:tab/>
        <w:t>INPE.R.P. núm.119-2016/P. Aprobado: 22 de abril de 2016.</w:t>
      </w:r>
    </w:p>
  </w:footnote>
  <w:footnote w:id="160">
    <w:p w14:paraId="32770D91"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R.P. núm. 185-2018-INPE/P. Aprobado: 18 de agosto de 2018.</w:t>
      </w:r>
    </w:p>
  </w:footnote>
  <w:footnote w:id="161">
    <w:p w14:paraId="1C504FEA"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Oficio núm. 881-2019-INPE/01.Fecha: 6 de agosto de 2019.</w:t>
      </w:r>
      <w:bookmarkStart w:id="53" w:name="_Hlk16247067"/>
      <w:bookmarkEnd w:id="53"/>
    </w:p>
  </w:footnote>
  <w:footnote w:id="162">
    <w:p w14:paraId="50168E7C"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R.P. núm.251-2017-INPE/P.</w:t>
      </w:r>
    </w:p>
  </w:footnote>
  <w:footnote w:id="163">
    <w:p w14:paraId="0C651A05"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R.D. núm. 167-2017-INPE/12.</w:t>
      </w:r>
    </w:p>
  </w:footnote>
  <w:footnote w:id="164">
    <w:p w14:paraId="1DA3E5AB"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R.P. núm. 082-2016-INPE-DTP. Aprobado: 10 de marzo de 2016.</w:t>
      </w:r>
    </w:p>
  </w:footnote>
  <w:footnote w:id="165">
    <w:p w14:paraId="33AE9F46"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Oficio núm. 881-2019-INPE/01.Fecha: 6 de agosto de 2019.</w:t>
      </w:r>
    </w:p>
  </w:footnote>
  <w:footnote w:id="166">
    <w:p w14:paraId="4D210537" w14:textId="77777777" w:rsidR="009852CB" w:rsidRPr="006025EB" w:rsidRDefault="009852CB" w:rsidP="00933DEB">
      <w:pPr>
        <w:pStyle w:val="ae"/>
      </w:pPr>
      <w:r w:rsidRPr="00CA1E90">
        <w:rPr>
          <w:lang w:val="es-ES_tradnl"/>
        </w:rPr>
        <w:tab/>
      </w:r>
      <w:r w:rsidRPr="00933DEB">
        <w:rPr>
          <w:rStyle w:val="ab"/>
        </w:rPr>
        <w:footnoteRef/>
      </w:r>
      <w:r>
        <w:tab/>
        <w:t>Исполнительная власть. Законодательный указ № 1343, опубликованный 7 января 2017 года.</w:t>
      </w:r>
    </w:p>
  </w:footnote>
  <w:footnote w:id="167">
    <w:p w14:paraId="06D1DF15" w14:textId="77777777" w:rsidR="009852CB" w:rsidRPr="00CA1E90" w:rsidRDefault="009852CB" w:rsidP="00933DEB">
      <w:pPr>
        <w:pStyle w:val="ae"/>
        <w:rPr>
          <w:lang w:val="es-ES_tradnl"/>
        </w:rPr>
      </w:pPr>
      <w:r>
        <w:tab/>
      </w:r>
      <w:r w:rsidRPr="00933DEB">
        <w:rPr>
          <w:rStyle w:val="ab"/>
        </w:rPr>
        <w:footnoteRef/>
      </w:r>
      <w:r w:rsidRPr="00CA1E90">
        <w:rPr>
          <w:lang w:val="es-ES_tradnl"/>
        </w:rPr>
        <w:tab/>
        <w:t xml:space="preserve">INPE.D.S. núm. 025-2017-JUS. Publicado: </w:t>
      </w:r>
    </w:p>
  </w:footnote>
  <w:footnote w:id="168">
    <w:p w14:paraId="3C67E2C6"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Ibid. Oficio núm. 881-2019-INPE/01. Fecha: 6 de agosto de 2019.</w:t>
      </w:r>
    </w:p>
  </w:footnote>
  <w:footnote w:id="169">
    <w:p w14:paraId="78739DF8"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MINJUSDH. (2019). Informe Anual sobre los avances en el cumplimiento del PNDH, Año 2018. Informe en versión preliminar. Pág.39.</w:t>
      </w:r>
    </w:p>
  </w:footnote>
  <w:footnote w:id="170">
    <w:p w14:paraId="06801D59" w14:textId="77777777" w:rsidR="009852CB" w:rsidRPr="006025EB" w:rsidRDefault="009852CB" w:rsidP="00933DEB">
      <w:pPr>
        <w:pStyle w:val="ae"/>
      </w:pPr>
      <w:r w:rsidRPr="00CA1E90">
        <w:rPr>
          <w:lang w:val="es-ES_tradnl"/>
        </w:rPr>
        <w:tab/>
      </w:r>
      <w:r w:rsidRPr="00933DEB">
        <w:rPr>
          <w:rStyle w:val="ab"/>
        </w:rPr>
        <w:footnoteRef/>
      </w:r>
      <w:r w:rsidRPr="00CA1E90">
        <w:rPr>
          <w:lang w:val="es-ES_tradnl"/>
        </w:rPr>
        <w:tab/>
        <w:t xml:space="preserve">INEI. </w:t>
      </w:r>
      <w:r w:rsidRPr="00933DEB">
        <w:rPr>
          <w:i/>
          <w:iCs/>
          <w:lang w:val="es-ES_tradnl"/>
        </w:rPr>
        <w:t>Encuesta Nacional de Hogares sobre condiciones de vida y pobreza (ENAHO)</w:t>
      </w:r>
      <w:r w:rsidRPr="00CA1E90">
        <w:rPr>
          <w:lang w:val="es-ES_tradnl"/>
        </w:rPr>
        <w:t xml:space="preserve">, Lima, 2014. </w:t>
      </w:r>
      <w:r>
        <w:t xml:space="preserve">Другие источники указывают на то, что число людей, посвятивших себя этой работе, было бы гораздо больше, но неформальный и нестабильный характер работы затрудняет их учет. </w:t>
      </w:r>
      <w:r w:rsidRPr="00CA1E90">
        <w:rPr>
          <w:lang w:val="es-ES_tradnl"/>
        </w:rPr>
        <w:t>Cfr.</w:t>
      </w:r>
      <w:r w:rsidR="009D4CDB">
        <w:rPr>
          <w:lang w:val="es-ES_tradnl"/>
        </w:rPr>
        <w:t> </w:t>
      </w:r>
      <w:r w:rsidRPr="00CA1E90">
        <w:rPr>
          <w:lang w:val="es-ES_tradnl"/>
        </w:rPr>
        <w:t xml:space="preserve">Bastidas, María y Edgardo Balbín. </w:t>
      </w:r>
      <w:r w:rsidRPr="009D4CDB">
        <w:rPr>
          <w:i/>
          <w:iCs/>
          <w:lang w:val="es-ES_tradnl"/>
        </w:rPr>
        <w:t>Las mujeres y trabajo decente en el Perú</w:t>
      </w:r>
      <w:r w:rsidRPr="00CA1E90">
        <w:rPr>
          <w:lang w:val="es-ES_tradnl"/>
        </w:rPr>
        <w:t xml:space="preserve">. </w:t>
      </w:r>
      <w:r>
        <w:t>Lima, Asociación de Desarrollo Comunal, 2011, 123.</w:t>
      </w:r>
    </w:p>
  </w:footnote>
  <w:footnote w:id="171">
    <w:p w14:paraId="7BF28252" w14:textId="77777777" w:rsidR="009852CB" w:rsidRPr="006025EB" w:rsidRDefault="009852CB" w:rsidP="00933DEB">
      <w:pPr>
        <w:pStyle w:val="ae"/>
      </w:pPr>
      <w:r>
        <w:tab/>
      </w:r>
      <w:r w:rsidRPr="00933DEB">
        <w:rPr>
          <w:rStyle w:val="ab"/>
        </w:rPr>
        <w:footnoteRef/>
      </w:r>
      <w:r>
        <w:tab/>
        <w:t>Учитывая, что минимальный возраст для работы в качестве домашней прислуги составляет 14 лет и что в соответствии с Законом № 27802 о Национальном совете по делам молодежи молодыми людьми считаются лица в возрасте до 29 лет.</w:t>
      </w:r>
    </w:p>
  </w:footnote>
  <w:footnote w:id="172">
    <w:p w14:paraId="217E7D53" w14:textId="77777777" w:rsidR="009852CB" w:rsidRPr="00CA1E90" w:rsidRDefault="009852CB" w:rsidP="00933DEB">
      <w:pPr>
        <w:pStyle w:val="ae"/>
        <w:rPr>
          <w:lang w:val="es-ES_tradnl"/>
        </w:rPr>
      </w:pPr>
      <w:r>
        <w:tab/>
      </w:r>
      <w:r w:rsidRPr="00933DEB">
        <w:rPr>
          <w:rStyle w:val="ab"/>
        </w:rPr>
        <w:footnoteRef/>
      </w:r>
      <w:r w:rsidRPr="00CA1E90">
        <w:rPr>
          <w:lang w:val="es-ES_tradnl"/>
        </w:rPr>
        <w:tab/>
        <w:t xml:space="preserve">Defensoría del Pueblo. </w:t>
      </w:r>
      <w:r w:rsidRPr="00046C06">
        <w:rPr>
          <w:i/>
          <w:iCs/>
          <w:lang w:val="es-ES_tradnl"/>
        </w:rPr>
        <w:t>Las Trabajadoras del Hogar en el Perú. Balance sobre el cumplimiento de las recomendaciones defensoriales</w:t>
      </w:r>
      <w:r w:rsidRPr="00CA1E90">
        <w:rPr>
          <w:lang w:val="es-ES_tradnl"/>
        </w:rPr>
        <w:t>. Informe Nº 001-2016-DP/ADM, Lima, 2016, p. 12.</w:t>
      </w:r>
    </w:p>
  </w:footnote>
  <w:footnote w:id="173">
    <w:p w14:paraId="0C9AA49C"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 xml:space="preserve">GARAVITO, Cecilia. </w:t>
      </w:r>
      <w:r w:rsidRPr="00046C06">
        <w:rPr>
          <w:i/>
          <w:iCs/>
          <w:lang w:val="es-ES_tradnl"/>
        </w:rPr>
        <w:t>Evolución del mercado de trabajo doméstico remunerado en el Perú</w:t>
      </w:r>
      <w:r w:rsidRPr="00CA1E90">
        <w:rPr>
          <w:lang w:val="es-ES_tradnl"/>
        </w:rPr>
        <w:t xml:space="preserve"> </w:t>
      </w:r>
      <w:r w:rsidRPr="009D4CDB">
        <w:rPr>
          <w:i/>
          <w:iCs/>
          <w:lang w:val="es-ES_tradnl"/>
        </w:rPr>
        <w:t>(Documento de Trabajo Nº 407)</w:t>
      </w:r>
      <w:r w:rsidRPr="00CA1E90">
        <w:rPr>
          <w:lang w:val="es-ES_tradnl"/>
        </w:rPr>
        <w:t>. Lima, Departamento de Economía, PUCP, 2015, p. 3.</w:t>
      </w:r>
    </w:p>
  </w:footnote>
  <w:footnote w:id="174">
    <w:p w14:paraId="23A9A4C7" w14:textId="77777777" w:rsidR="009852CB" w:rsidRPr="00CA1E90" w:rsidRDefault="009852CB" w:rsidP="00933DEB">
      <w:pPr>
        <w:pStyle w:val="ae"/>
        <w:rPr>
          <w:lang w:val="es-ES_tradnl"/>
        </w:rPr>
      </w:pPr>
      <w:r w:rsidRPr="00CA1E90">
        <w:rPr>
          <w:lang w:val="es-ES_tradnl"/>
        </w:rPr>
        <w:tab/>
      </w:r>
      <w:r w:rsidRPr="00933DEB">
        <w:rPr>
          <w:rStyle w:val="ab"/>
        </w:rPr>
        <w:footnoteRef/>
      </w:r>
      <w:r w:rsidRPr="00CA1E90">
        <w:rPr>
          <w:lang w:val="es-ES_tradnl"/>
        </w:rPr>
        <w:tab/>
        <w:t xml:space="preserve">Ibid, p. 13. </w:t>
      </w:r>
      <w:r w:rsidR="004612CA">
        <w:rPr>
          <w:lang w:val="es-ES_tradnl"/>
        </w:rPr>
        <w:t xml:space="preserve"> </w:t>
      </w:r>
    </w:p>
  </w:footnote>
  <w:footnote w:id="175">
    <w:p w14:paraId="3E23314C" w14:textId="77777777" w:rsidR="009852CB" w:rsidRPr="006025EB" w:rsidRDefault="009852CB" w:rsidP="00933DEB">
      <w:pPr>
        <w:pStyle w:val="ae"/>
      </w:pPr>
      <w:r w:rsidRPr="00CA1E90">
        <w:rPr>
          <w:lang w:val="es-ES_tradnl"/>
        </w:rPr>
        <w:tab/>
      </w:r>
      <w:r w:rsidRPr="00933DEB">
        <w:rPr>
          <w:rStyle w:val="ab"/>
        </w:rPr>
        <w:footnoteRef/>
      </w:r>
      <w:r w:rsidRPr="00CA1E90">
        <w:rPr>
          <w:lang w:val="es-ES_tradnl"/>
        </w:rPr>
        <w:tab/>
      </w:r>
      <w:r>
        <w:t>Конгресс</w:t>
      </w:r>
      <w:r w:rsidRPr="00CA1E90">
        <w:rPr>
          <w:lang w:val="es-ES_tradnl"/>
        </w:rPr>
        <w:t xml:space="preserve"> </w:t>
      </w:r>
      <w:r>
        <w:t>Республики</w:t>
      </w:r>
      <w:r w:rsidRPr="00CA1E90">
        <w:rPr>
          <w:lang w:val="es-ES_tradnl"/>
        </w:rPr>
        <w:t xml:space="preserve">. </w:t>
      </w:r>
      <w:r>
        <w:t xml:space="preserve">Закон № 27986, опубликованный в </w:t>
      </w:r>
      <w:r>
        <w:rPr>
          <w:i/>
          <w:iCs/>
        </w:rPr>
        <w:t xml:space="preserve">Официальном вестнике </w:t>
      </w:r>
      <w:r w:rsidRPr="00933DEB">
        <w:rPr>
          <w:rStyle w:val="ab"/>
          <w:vertAlign w:val="baseline"/>
        </w:rPr>
        <w:t>«</w:t>
      </w:r>
      <w:r w:rsidRPr="00933DEB">
        <w:rPr>
          <w:i/>
          <w:iCs/>
        </w:rPr>
        <w:t>Перуано</w:t>
      </w:r>
      <w:r w:rsidRPr="00933DEB">
        <w:rPr>
          <w:rStyle w:val="ab"/>
          <w:vertAlign w:val="baseline"/>
        </w:rPr>
        <w:t>»</w:t>
      </w:r>
      <w:r>
        <w:t xml:space="preserve"> 3 июня 2003 года.</w:t>
      </w:r>
    </w:p>
  </w:footnote>
  <w:footnote w:id="176">
    <w:p w14:paraId="672703A1" w14:textId="77777777" w:rsidR="009852CB" w:rsidRPr="006025EB" w:rsidRDefault="009852CB" w:rsidP="00933DEB">
      <w:pPr>
        <w:pStyle w:val="ae"/>
      </w:pPr>
      <w:r>
        <w:tab/>
      </w:r>
      <w:r w:rsidRPr="00933DEB">
        <w:rPr>
          <w:rStyle w:val="ab"/>
        </w:rPr>
        <w:footnoteRef/>
      </w:r>
      <w:r>
        <w:tab/>
        <w:t>Министерство труда. Высочайший указ № 015-2012-TR, утвержденный 20 ноября 2003 года.</w:t>
      </w:r>
    </w:p>
  </w:footnote>
  <w:footnote w:id="177">
    <w:p w14:paraId="5EC31B37" w14:textId="77777777" w:rsidR="009852CB" w:rsidRPr="00066F1B" w:rsidRDefault="009852CB" w:rsidP="00933DEB">
      <w:pPr>
        <w:pStyle w:val="ae"/>
      </w:pPr>
      <w:r>
        <w:tab/>
      </w:r>
      <w:r w:rsidRPr="00933DEB">
        <w:rPr>
          <w:rStyle w:val="ab"/>
        </w:rPr>
        <w:footnoteRef/>
      </w:r>
      <w:r>
        <w:tab/>
        <w:t xml:space="preserve">Национальное налоговое управление. Постановление № 240-2014/SUNAT, опубликованное в </w:t>
      </w:r>
      <w:r w:rsidRPr="004612CA">
        <w:rPr>
          <w:i/>
          <w:iCs/>
        </w:rPr>
        <w:t xml:space="preserve">Официальном вестнике </w:t>
      </w:r>
      <w:r w:rsidRPr="004612CA">
        <w:rPr>
          <w:rStyle w:val="ab"/>
          <w:vertAlign w:val="baseline"/>
        </w:rPr>
        <w:t>«</w:t>
      </w:r>
      <w:r w:rsidRPr="004612CA">
        <w:rPr>
          <w:i/>
          <w:iCs/>
        </w:rPr>
        <w:t>Перуано</w:t>
      </w:r>
      <w:r w:rsidRPr="004612CA">
        <w:rPr>
          <w:rStyle w:val="ab"/>
          <w:vertAlign w:val="baseline"/>
        </w:rPr>
        <w:t>»</w:t>
      </w:r>
      <w:r>
        <w:t xml:space="preserve"> 30 июля 2014 года.</w:t>
      </w:r>
    </w:p>
  </w:footnote>
  <w:footnote w:id="178">
    <w:p w14:paraId="7DF8041D" w14:textId="77777777" w:rsidR="009852CB" w:rsidRPr="00CA1E90" w:rsidRDefault="009852CB" w:rsidP="00933DEB">
      <w:pPr>
        <w:pStyle w:val="ae"/>
        <w:rPr>
          <w:lang w:val="es-ES_tradnl"/>
        </w:rPr>
      </w:pPr>
      <w:r>
        <w:tab/>
      </w:r>
      <w:r w:rsidRPr="00933DEB">
        <w:rPr>
          <w:rStyle w:val="ab"/>
        </w:rPr>
        <w:footnoteRef/>
      </w:r>
      <w:r w:rsidRPr="00CA1E90">
        <w:rPr>
          <w:lang w:val="es-ES_tradnl"/>
        </w:rPr>
        <w:tab/>
        <w:t>MINJUSDH. (2019). Informe Anual sobre los avances en el cumplimiento del PNDH, Año 2018. Informe en versión preliminar. Pág.44.</w:t>
      </w:r>
    </w:p>
  </w:footnote>
  <w:footnote w:id="179">
    <w:p w14:paraId="2EC2C565" w14:textId="77777777" w:rsidR="009852CB" w:rsidRPr="00066F1B" w:rsidRDefault="009852CB" w:rsidP="00933DEB">
      <w:pPr>
        <w:pStyle w:val="ae"/>
      </w:pPr>
      <w:r w:rsidRPr="00CA1E90">
        <w:rPr>
          <w:lang w:val="es-ES_tradnl"/>
        </w:rPr>
        <w:tab/>
      </w:r>
      <w:r w:rsidRPr="00933DEB">
        <w:rPr>
          <w:rStyle w:val="ab"/>
        </w:rPr>
        <w:footnoteRef/>
      </w:r>
      <w:r w:rsidRPr="00CA1E90">
        <w:rPr>
          <w:lang w:val="es-ES_tradnl"/>
        </w:rPr>
        <w:tab/>
        <w:t xml:space="preserve">Instituto Nacional de Estadística e Informática. Primera encuesta virtual para personas LGTBI, 2017 Principales resultados. </w:t>
      </w:r>
      <w:r w:rsidRPr="007779E9">
        <w:rPr>
          <w:lang w:val="en-US"/>
        </w:rPr>
        <w:t xml:space="preserve">URL: </w:t>
      </w:r>
      <w:hyperlink r:id="rId16" w:history="1">
        <w:r w:rsidRPr="007779E9">
          <w:rPr>
            <w:rStyle w:val="af2"/>
            <w:szCs w:val="18"/>
            <w:lang w:val="en-US"/>
          </w:rPr>
          <w:t>https://www.inei.gob.pe/media/MenuRecursivo/boletines/lgbti.pdf</w:t>
        </w:r>
      </w:hyperlink>
      <w:r w:rsidRPr="007779E9">
        <w:rPr>
          <w:lang w:val="en-US"/>
        </w:rPr>
        <w:t xml:space="preserve">. </w:t>
      </w:r>
      <w:r>
        <w:t>(дата обращения: 13.08.2019).</w:t>
      </w:r>
    </w:p>
  </w:footnote>
  <w:footnote w:id="180">
    <w:p w14:paraId="011B8D16" w14:textId="77777777" w:rsidR="009852CB" w:rsidRPr="00066F1B" w:rsidRDefault="009852CB" w:rsidP="00933DEB">
      <w:pPr>
        <w:pStyle w:val="ae"/>
      </w:pPr>
      <w:r>
        <w:tab/>
      </w:r>
      <w:r w:rsidRPr="00933DEB">
        <w:rPr>
          <w:rStyle w:val="ab"/>
          <w:rFonts w:eastAsia="SimSun"/>
        </w:rPr>
        <w:footnoteRef/>
      </w:r>
      <w:r w:rsidRPr="00BA7B12">
        <w:tab/>
      </w:r>
      <w:r>
        <w:t>Министерство внутренних дел</w:t>
      </w:r>
      <w:r w:rsidRPr="00BA7B12">
        <w:t xml:space="preserve">. </w:t>
      </w:r>
      <w:r>
        <w:t>Постановление №</w:t>
      </w:r>
      <w:r w:rsidRPr="00BA7B12">
        <w:t xml:space="preserve"> 001577-2015/</w:t>
      </w:r>
      <w:r w:rsidRPr="00BC5892">
        <w:rPr>
          <w:lang w:val="en-US"/>
        </w:rPr>
        <w:t>IN</w:t>
      </w:r>
      <w:r w:rsidRPr="00BA7B12">
        <w:t>/</w:t>
      </w:r>
      <w:r w:rsidRPr="00BC5892">
        <w:rPr>
          <w:lang w:val="en-US"/>
        </w:rPr>
        <w:t>DGSD</w:t>
      </w:r>
      <w:r w:rsidRPr="00BA7B12">
        <w:t xml:space="preserve">. </w:t>
      </w:r>
      <w:r>
        <w:t>Стр.</w:t>
      </w:r>
      <w:r w:rsidRPr="00BA7B12">
        <w:t xml:space="preserve"> 5</w:t>
      </w:r>
      <w:r>
        <w:t xml:space="preserve"> испанского текста</w:t>
      </w:r>
      <w:r w:rsidRPr="00BA7B12">
        <w:t>.</w:t>
      </w:r>
    </w:p>
  </w:footnote>
  <w:footnote w:id="181">
    <w:p w14:paraId="19002CDB" w14:textId="77777777" w:rsidR="00862A2D" w:rsidRPr="00066F1B" w:rsidRDefault="00862A2D" w:rsidP="00862A2D">
      <w:pPr>
        <w:pStyle w:val="ae"/>
      </w:pPr>
      <w:r w:rsidRPr="00BA7B12">
        <w:tab/>
      </w:r>
      <w:r w:rsidRPr="00933DEB">
        <w:rPr>
          <w:rStyle w:val="ab"/>
        </w:rPr>
        <w:footnoteRef/>
      </w:r>
      <w:r>
        <w:tab/>
        <w:t>Исполнительная власть. Законодательный указ № 1268. Приложение</w:t>
      </w:r>
      <w:r w:rsidRPr="00A52392">
        <w:t xml:space="preserve"> </w:t>
      </w:r>
      <w:r w:rsidRPr="00BC5892">
        <w:rPr>
          <w:lang w:val="en-US"/>
        </w:rPr>
        <w:t>II</w:t>
      </w:r>
      <w:r w:rsidRPr="00A52392">
        <w:t xml:space="preserve">: </w:t>
      </w:r>
      <w:r>
        <w:t>Таблица серьезных дисциплинарных нарушений и санкций.</w:t>
      </w:r>
      <w:r w:rsidRPr="00A52392">
        <w:t xml:space="preserve"> </w:t>
      </w:r>
      <w:r w:rsidRPr="00BC5892">
        <w:rPr>
          <w:lang w:val="en-US"/>
        </w:rPr>
        <w:t>G</w:t>
      </w:r>
      <w:r w:rsidRPr="00BB227E">
        <w:t xml:space="preserve"> 33.</w:t>
      </w:r>
    </w:p>
  </w:footnote>
  <w:footnote w:id="182">
    <w:p w14:paraId="36C59950" w14:textId="77777777" w:rsidR="009852CB" w:rsidRPr="00066F1B" w:rsidRDefault="009852CB" w:rsidP="00933DEB">
      <w:pPr>
        <w:pStyle w:val="ae"/>
      </w:pPr>
      <w:r w:rsidRPr="00BB227E">
        <w:tab/>
      </w:r>
      <w:r w:rsidRPr="00933DEB">
        <w:rPr>
          <w:rStyle w:val="ab"/>
        </w:rPr>
        <w:footnoteRef/>
      </w:r>
      <w:r w:rsidRPr="00BA7B12">
        <w:tab/>
      </w:r>
      <w:r>
        <w:t>Министерство по делам женщин и уязвимых слоев населения</w:t>
      </w:r>
      <w:r w:rsidRPr="00BA7B12">
        <w:t>.</w:t>
      </w:r>
      <w:r>
        <w:t xml:space="preserve"> Постановление </w:t>
      </w:r>
      <w:r>
        <w:br/>
        <w:t>№</w:t>
      </w:r>
      <w:r w:rsidRPr="00BA7B12">
        <w:t xml:space="preserve"> 017-2016-</w:t>
      </w:r>
      <w:r w:rsidRPr="00BC5892">
        <w:rPr>
          <w:lang w:val="en-US"/>
        </w:rPr>
        <w:t>MIMP</w:t>
      </w:r>
      <w:r w:rsidRPr="00BA7B12">
        <w:t>/</w:t>
      </w:r>
      <w:r w:rsidRPr="00BC5892">
        <w:rPr>
          <w:lang w:val="en-US"/>
        </w:rPr>
        <w:t>PNCVFS</w:t>
      </w:r>
      <w:r w:rsidRPr="00BA7B12">
        <w:t>-</w:t>
      </w:r>
      <w:r w:rsidRPr="00BC5892">
        <w:rPr>
          <w:lang w:val="en-US"/>
        </w:rPr>
        <w:t>DE</w:t>
      </w:r>
      <w:r>
        <w:t xml:space="preserve">, принятое </w:t>
      </w:r>
      <w:r w:rsidRPr="00BA7B12">
        <w:t xml:space="preserve">7 </w:t>
      </w:r>
      <w:r>
        <w:t>апреля</w:t>
      </w:r>
      <w:r w:rsidRPr="00BA7B12">
        <w:t xml:space="preserve"> 2016</w:t>
      </w:r>
      <w:r>
        <w:t xml:space="preserve"> года</w:t>
      </w:r>
      <w:r w:rsidRPr="00BA7B12">
        <w:t>.</w:t>
      </w:r>
    </w:p>
  </w:footnote>
  <w:footnote w:id="183">
    <w:p w14:paraId="5597698A" w14:textId="77777777" w:rsidR="009852CB" w:rsidRPr="00066F1B" w:rsidRDefault="009852CB" w:rsidP="00933DEB">
      <w:pPr>
        <w:pStyle w:val="ae"/>
      </w:pPr>
      <w:r w:rsidRPr="00BA7B12">
        <w:tab/>
      </w:r>
      <w:r w:rsidRPr="00933DEB">
        <w:rPr>
          <w:rStyle w:val="ab"/>
          <w:rFonts w:eastAsia="SimSun"/>
        </w:rPr>
        <w:footnoteRef/>
      </w:r>
      <w:r>
        <w:tab/>
        <w:t>Там же, стр. 6 испанского текста.</w:t>
      </w:r>
    </w:p>
  </w:footnote>
  <w:footnote w:id="184">
    <w:p w14:paraId="2CB8C2A1" w14:textId="77777777" w:rsidR="009852CB" w:rsidRPr="00066F1B" w:rsidRDefault="009852CB" w:rsidP="00933DEB">
      <w:pPr>
        <w:pStyle w:val="ae"/>
      </w:pPr>
      <w:r>
        <w:tab/>
      </w:r>
      <w:r w:rsidRPr="00933DEB">
        <w:rPr>
          <w:rStyle w:val="ab"/>
        </w:rPr>
        <w:footnoteRef/>
      </w:r>
      <w:r>
        <w:tab/>
        <w:t xml:space="preserve">Там же. Министерское постановление № 294-2016-MIMP,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7 ноября 2016 года.</w:t>
      </w:r>
    </w:p>
  </w:footnote>
  <w:footnote w:id="185">
    <w:p w14:paraId="470F58C1" w14:textId="77777777" w:rsidR="009852CB" w:rsidRPr="00CA1E90" w:rsidRDefault="009852CB" w:rsidP="00933DEB">
      <w:pPr>
        <w:pStyle w:val="ae"/>
        <w:rPr>
          <w:lang w:val="es-ES_tradnl"/>
        </w:rPr>
      </w:pPr>
      <w:r>
        <w:tab/>
      </w:r>
      <w:r w:rsidRPr="00933DEB">
        <w:rPr>
          <w:rStyle w:val="ab"/>
        </w:rPr>
        <w:footnoteRef/>
      </w:r>
      <w:r>
        <w:tab/>
        <w:t xml:space="preserve">Там же. Министерское постановление № 99-2016-MIMP,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22 апреля 2016 года. Ст</w:t>
      </w:r>
      <w:r w:rsidR="00862A2D">
        <w:t>.</w:t>
      </w:r>
      <w:r w:rsidRPr="00CA1E90">
        <w:rPr>
          <w:lang w:val="es-ES_tradnl"/>
        </w:rPr>
        <w:t xml:space="preserve"> 1.</w:t>
      </w:r>
    </w:p>
  </w:footnote>
  <w:footnote w:id="186">
    <w:p w14:paraId="32CCBBC8" w14:textId="77777777" w:rsidR="009852CB" w:rsidRPr="00066F1B" w:rsidRDefault="009852CB" w:rsidP="00933DEB">
      <w:pPr>
        <w:pStyle w:val="ae"/>
      </w:pPr>
      <w:r w:rsidRPr="00CA1E90">
        <w:rPr>
          <w:lang w:val="es-ES_tradnl"/>
        </w:rPr>
        <w:tab/>
      </w:r>
      <w:r w:rsidRPr="00933DEB">
        <w:rPr>
          <w:rStyle w:val="ab"/>
        </w:rPr>
        <w:footnoteRef/>
      </w:r>
      <w:r w:rsidRPr="00CA1E90">
        <w:rPr>
          <w:lang w:val="es-ES_tradnl"/>
        </w:rPr>
        <w:tab/>
        <w:t xml:space="preserve">MINJUSDH. (2019). Informe Anual sobre los avances en el cumplimiento del PNDH, Año 2018. </w:t>
      </w:r>
      <w:r w:rsidRPr="00066F1B">
        <w:t>Informe en versión preliminar. Pág.70</w:t>
      </w:r>
      <w:r>
        <w:t>.</w:t>
      </w:r>
    </w:p>
  </w:footnote>
  <w:footnote w:id="187">
    <w:p w14:paraId="734CAF0F" w14:textId="77777777" w:rsidR="009852CB" w:rsidRPr="00CA1E90" w:rsidRDefault="009852CB" w:rsidP="00933DEB">
      <w:pPr>
        <w:pStyle w:val="ae"/>
        <w:rPr>
          <w:lang w:val="es-ES_tradnl"/>
        </w:rPr>
      </w:pPr>
      <w:r>
        <w:tab/>
      </w:r>
      <w:r w:rsidRPr="00933DEB">
        <w:rPr>
          <w:rStyle w:val="ab"/>
        </w:rPr>
        <w:footnoteRef/>
      </w:r>
      <w:r>
        <w:tab/>
        <w:t xml:space="preserve">Министерство здравоохранения. Текущая ситуация с ВИЧ/СПИДом в Перу, 2018 год. </w:t>
      </w:r>
      <w:r w:rsidRPr="009D0D86">
        <w:rPr>
          <w:lang w:val="en-US"/>
        </w:rPr>
        <w:t>URL</w:t>
      </w:r>
      <w:r w:rsidRPr="00D15FAC">
        <w:rPr>
          <w:lang w:val="en-US"/>
        </w:rPr>
        <w:t xml:space="preserve">: </w:t>
      </w:r>
      <w:hyperlink r:id="rId17" w:history="1">
        <w:r w:rsidRPr="009D0D86">
          <w:rPr>
            <w:rStyle w:val="af2"/>
            <w:szCs w:val="18"/>
            <w:lang w:val="en-US"/>
          </w:rPr>
          <w:t>http</w:t>
        </w:r>
        <w:r w:rsidRPr="00D15FAC">
          <w:rPr>
            <w:rStyle w:val="af2"/>
            <w:szCs w:val="18"/>
            <w:lang w:val="en-US"/>
          </w:rPr>
          <w:t>://</w:t>
        </w:r>
        <w:r w:rsidRPr="009D0D86">
          <w:rPr>
            <w:rStyle w:val="af2"/>
            <w:szCs w:val="18"/>
            <w:lang w:val="en-US"/>
          </w:rPr>
          <w:t>www</w:t>
        </w:r>
        <w:r w:rsidRPr="00D15FAC">
          <w:rPr>
            <w:rStyle w:val="af2"/>
            <w:szCs w:val="18"/>
            <w:lang w:val="en-US"/>
          </w:rPr>
          <w:t>.</w:t>
        </w:r>
        <w:r w:rsidRPr="009D0D86">
          <w:rPr>
            <w:rStyle w:val="af2"/>
            <w:szCs w:val="18"/>
            <w:lang w:val="en-US"/>
          </w:rPr>
          <w:t>digemid</w:t>
        </w:r>
        <w:r w:rsidRPr="00D15FAC">
          <w:rPr>
            <w:rStyle w:val="af2"/>
            <w:szCs w:val="18"/>
            <w:lang w:val="en-US"/>
          </w:rPr>
          <w:t>.</w:t>
        </w:r>
        <w:r w:rsidRPr="009D0D86">
          <w:rPr>
            <w:rStyle w:val="af2"/>
            <w:szCs w:val="18"/>
            <w:lang w:val="en-US"/>
          </w:rPr>
          <w:t>minsa</w:t>
        </w:r>
        <w:r w:rsidRPr="00D15FAC">
          <w:rPr>
            <w:rStyle w:val="af2"/>
            <w:szCs w:val="18"/>
            <w:lang w:val="en-US"/>
          </w:rPr>
          <w:t>.</w:t>
        </w:r>
        <w:r w:rsidRPr="009D0D86">
          <w:rPr>
            <w:rStyle w:val="af2"/>
            <w:szCs w:val="18"/>
            <w:lang w:val="en-US"/>
          </w:rPr>
          <w:t>gob</w:t>
        </w:r>
        <w:r w:rsidRPr="00D15FAC">
          <w:rPr>
            <w:rStyle w:val="af2"/>
            <w:szCs w:val="18"/>
            <w:lang w:val="en-US"/>
          </w:rPr>
          <w:t>.</w:t>
        </w:r>
        <w:r w:rsidRPr="009D0D86">
          <w:rPr>
            <w:rStyle w:val="af2"/>
            <w:szCs w:val="18"/>
            <w:lang w:val="en-US"/>
          </w:rPr>
          <w:t>pe</w:t>
        </w:r>
        <w:r w:rsidRPr="00D15FAC">
          <w:rPr>
            <w:rStyle w:val="af2"/>
            <w:szCs w:val="18"/>
            <w:lang w:val="en-US"/>
          </w:rPr>
          <w:t>/</w:t>
        </w:r>
        <w:r w:rsidRPr="009D0D86">
          <w:rPr>
            <w:rStyle w:val="af2"/>
            <w:szCs w:val="18"/>
            <w:lang w:val="en-US"/>
          </w:rPr>
          <w:t>UpLoad</w:t>
        </w:r>
        <w:r w:rsidRPr="00D15FAC">
          <w:rPr>
            <w:rStyle w:val="af2"/>
            <w:szCs w:val="18"/>
            <w:lang w:val="en-US"/>
          </w:rPr>
          <w:t>/</w:t>
        </w:r>
        <w:r w:rsidRPr="009D0D86">
          <w:rPr>
            <w:rStyle w:val="af2"/>
            <w:szCs w:val="18"/>
            <w:lang w:val="en-US"/>
          </w:rPr>
          <w:t>UpLoaded</w:t>
        </w:r>
        <w:r w:rsidRPr="00D15FAC">
          <w:rPr>
            <w:rStyle w:val="af2"/>
            <w:szCs w:val="18"/>
            <w:lang w:val="en-US"/>
          </w:rPr>
          <w:t>/</w:t>
        </w:r>
        <w:r w:rsidRPr="009D0D86">
          <w:rPr>
            <w:rStyle w:val="af2"/>
            <w:szCs w:val="18"/>
            <w:lang w:val="en-US"/>
          </w:rPr>
          <w:t>PDF</w:t>
        </w:r>
        <w:r w:rsidRPr="00D15FAC">
          <w:rPr>
            <w:rStyle w:val="af2"/>
            <w:szCs w:val="18"/>
            <w:lang w:val="en-US"/>
          </w:rPr>
          <w:t>/</w:t>
        </w:r>
        <w:r w:rsidRPr="009D0D86">
          <w:rPr>
            <w:rStyle w:val="af2"/>
            <w:szCs w:val="18"/>
            <w:lang w:val="en-US"/>
          </w:rPr>
          <w:t>EAccMed</w:t>
        </w:r>
        <w:r w:rsidRPr="00D15FAC">
          <w:rPr>
            <w:rStyle w:val="af2"/>
            <w:szCs w:val="18"/>
            <w:lang w:val="en-US"/>
          </w:rPr>
          <w:t>/</w:t>
        </w:r>
        <w:r w:rsidRPr="009D0D86">
          <w:rPr>
            <w:rStyle w:val="af2"/>
            <w:szCs w:val="18"/>
            <w:lang w:val="en-US"/>
          </w:rPr>
          <w:t>ReunionesTecnicas</w:t>
        </w:r>
        <w:r w:rsidRPr="00D15FAC">
          <w:rPr>
            <w:rStyle w:val="af2"/>
            <w:szCs w:val="18"/>
            <w:lang w:val="en-US"/>
          </w:rPr>
          <w:t>/</w:t>
        </w:r>
        <w:r w:rsidRPr="009D0D86">
          <w:rPr>
            <w:rStyle w:val="af2"/>
            <w:szCs w:val="18"/>
            <w:lang w:val="en-US"/>
          </w:rPr>
          <w:t>PONENCIAS</w:t>
        </w:r>
        <w:r w:rsidRPr="00D15FAC">
          <w:rPr>
            <w:rStyle w:val="af2"/>
            <w:szCs w:val="18"/>
            <w:lang w:val="en-US"/>
          </w:rPr>
          <w:t>/2018/</w:t>
        </w:r>
        <w:r w:rsidRPr="009D0D86">
          <w:rPr>
            <w:rStyle w:val="af2"/>
            <w:szCs w:val="18"/>
            <w:lang w:val="en-US"/>
          </w:rPr>
          <w:t>DIA</w:t>
        </w:r>
        <w:r w:rsidRPr="00D15FAC">
          <w:rPr>
            <w:rStyle w:val="af2"/>
            <w:szCs w:val="18"/>
            <w:lang w:val="en-US"/>
          </w:rPr>
          <w:t>3/</w:t>
        </w:r>
        <w:r w:rsidRPr="009D0D86">
          <w:rPr>
            <w:rStyle w:val="af2"/>
            <w:szCs w:val="18"/>
            <w:lang w:val="en-US"/>
          </w:rPr>
          <w:t>SituacionActualVIH</w:t>
        </w:r>
        <w:r w:rsidRPr="00D15FAC">
          <w:rPr>
            <w:rStyle w:val="af2"/>
            <w:szCs w:val="18"/>
            <w:lang w:val="en-US"/>
          </w:rPr>
          <w:t>-</w:t>
        </w:r>
        <w:r w:rsidRPr="009D0D86">
          <w:rPr>
            <w:rStyle w:val="af2"/>
            <w:szCs w:val="18"/>
            <w:lang w:val="en-US"/>
          </w:rPr>
          <w:t>SIDA</w:t>
        </w:r>
        <w:r w:rsidRPr="00D15FAC">
          <w:rPr>
            <w:rStyle w:val="af2"/>
            <w:szCs w:val="18"/>
            <w:lang w:val="en-US"/>
          </w:rPr>
          <w:t>.</w:t>
        </w:r>
        <w:r w:rsidRPr="009D0D86">
          <w:rPr>
            <w:rStyle w:val="af2"/>
            <w:szCs w:val="18"/>
            <w:lang w:val="en-US"/>
          </w:rPr>
          <w:t>pdf</w:t>
        </w:r>
      </w:hyperlink>
      <w:r w:rsidRPr="00D15FAC">
        <w:rPr>
          <w:lang w:val="en-US"/>
        </w:rPr>
        <w:t xml:space="preserve">. </w:t>
      </w:r>
      <w:r w:rsidRPr="00CA1E90">
        <w:rPr>
          <w:lang w:val="es-ES_tradnl"/>
        </w:rPr>
        <w:t>(</w:t>
      </w:r>
      <w:r>
        <w:t>дата</w:t>
      </w:r>
      <w:r w:rsidRPr="00CA1E90">
        <w:rPr>
          <w:lang w:val="es-ES_tradnl"/>
        </w:rPr>
        <w:t xml:space="preserve"> </w:t>
      </w:r>
      <w:r>
        <w:t>обращения</w:t>
      </w:r>
      <w:r w:rsidRPr="00CA1E90">
        <w:rPr>
          <w:lang w:val="es-ES_tradnl"/>
        </w:rPr>
        <w:t>: 13.08.2019).</w:t>
      </w:r>
    </w:p>
  </w:footnote>
  <w:footnote w:id="188">
    <w:p w14:paraId="5FE4D69F" w14:textId="77777777" w:rsidR="009852CB" w:rsidRPr="00066F1B" w:rsidRDefault="009852CB" w:rsidP="00933DEB">
      <w:pPr>
        <w:pStyle w:val="ae"/>
      </w:pPr>
      <w:r w:rsidRPr="00CA1E90">
        <w:rPr>
          <w:lang w:val="es-ES_tradnl"/>
        </w:rPr>
        <w:tab/>
      </w:r>
      <w:r w:rsidRPr="00933DEB">
        <w:rPr>
          <w:rStyle w:val="ab"/>
        </w:rPr>
        <w:footnoteRef/>
      </w:r>
      <w:r>
        <w:tab/>
        <w:t xml:space="preserve">Там же. Ситуация с туберкулезом — Перу. URL: </w:t>
      </w:r>
      <w:hyperlink r:id="rId18" w:history="1">
        <w:r w:rsidRPr="009760F1">
          <w:rPr>
            <w:rStyle w:val="af2"/>
            <w:szCs w:val="18"/>
          </w:rPr>
          <w:t>http://www.tuberculosis.minsa.gob.pe/</w:t>
        </w:r>
        <w:r w:rsidRPr="00CF2122">
          <w:rPr>
            <w:rStyle w:val="af2"/>
            <w:szCs w:val="18"/>
          </w:rPr>
          <w:t xml:space="preserve"> </w:t>
        </w:r>
        <w:proofErr w:type="spellStart"/>
        <w:r w:rsidRPr="009760F1">
          <w:rPr>
            <w:rStyle w:val="af2"/>
            <w:szCs w:val="18"/>
          </w:rPr>
          <w:t>DashboardDPCTB</w:t>
        </w:r>
        <w:proofErr w:type="spellEnd"/>
        <w:r w:rsidRPr="009760F1">
          <w:rPr>
            <w:rStyle w:val="af2"/>
            <w:szCs w:val="18"/>
          </w:rPr>
          <w:t>/PerfilTB.aspx</w:t>
        </w:r>
      </w:hyperlink>
      <w:r>
        <w:t xml:space="preserve"> (дата обращения: 13.08.2019).</w:t>
      </w:r>
    </w:p>
  </w:footnote>
  <w:footnote w:id="189">
    <w:p w14:paraId="690A7B7C" w14:textId="77777777" w:rsidR="009852CB" w:rsidRPr="00CA1E90" w:rsidRDefault="009852CB" w:rsidP="00933DEB">
      <w:pPr>
        <w:pStyle w:val="ae"/>
        <w:rPr>
          <w:lang w:val="es-ES_tradnl"/>
        </w:rPr>
      </w:pPr>
      <w:r>
        <w:tab/>
      </w:r>
      <w:r w:rsidRPr="00933DEB">
        <w:rPr>
          <w:rStyle w:val="ab"/>
        </w:rPr>
        <w:footnoteRef/>
      </w:r>
      <w:r w:rsidRPr="00CA1E90">
        <w:rPr>
          <w:lang w:val="es-ES_tradnl"/>
        </w:rPr>
        <w:tab/>
        <w:t>INPE. Oficio núm. 881-2019-INPE/01. Fecha: 6 de agosto de 2019.</w:t>
      </w:r>
    </w:p>
  </w:footnote>
  <w:footnote w:id="190">
    <w:p w14:paraId="52302933" w14:textId="77777777" w:rsidR="009852CB" w:rsidRPr="00066F1B" w:rsidRDefault="009852CB" w:rsidP="00933DEB">
      <w:pPr>
        <w:pStyle w:val="ae"/>
      </w:pPr>
      <w:r w:rsidRPr="00CA1E90">
        <w:rPr>
          <w:lang w:val="es-ES_tradnl"/>
        </w:rPr>
        <w:tab/>
      </w:r>
      <w:r w:rsidRPr="00933DEB">
        <w:rPr>
          <w:rStyle w:val="ab"/>
        </w:rPr>
        <w:footnoteRef/>
      </w:r>
      <w:r>
        <w:tab/>
        <w:t>Министерство здравоохранения. Высочайший указ № 01</w:t>
      </w:r>
      <w:r w:rsidRPr="004702F8">
        <w:t>0</w:t>
      </w:r>
      <w:r>
        <w:t>-2010-SA, утвержденный 6 июня 2010 года.</w:t>
      </w:r>
    </w:p>
  </w:footnote>
  <w:footnote w:id="191">
    <w:p w14:paraId="1CA96B9C" w14:textId="77777777" w:rsidR="009852CB" w:rsidRPr="00066F1B" w:rsidRDefault="009852CB" w:rsidP="00933DEB">
      <w:pPr>
        <w:pStyle w:val="ae"/>
      </w:pPr>
      <w:r>
        <w:tab/>
      </w:r>
      <w:r w:rsidRPr="00933DEB">
        <w:rPr>
          <w:rStyle w:val="ab"/>
        </w:rPr>
        <w:footnoteRef/>
      </w:r>
      <w:r>
        <w:tab/>
        <w:t>Министерство здравоохранения. Министерское постановление № 715-2013-MINSA, принятое 8 ноября 2013 года.</w:t>
      </w:r>
    </w:p>
  </w:footnote>
  <w:footnote w:id="192">
    <w:p w14:paraId="2A921099" w14:textId="77777777" w:rsidR="009852CB" w:rsidRPr="00066F1B" w:rsidRDefault="009852CB" w:rsidP="00933DEB">
      <w:pPr>
        <w:pStyle w:val="ae"/>
      </w:pPr>
      <w:r>
        <w:tab/>
      </w:r>
      <w:r w:rsidRPr="00933DEB">
        <w:rPr>
          <w:rStyle w:val="ab"/>
        </w:rPr>
        <w:footnoteRef/>
      </w:r>
      <w:r>
        <w:tab/>
        <w:t>Там же. Министерское постановление № 567-2013-MINSA, принятое 6 сентября 2013 года.</w:t>
      </w:r>
    </w:p>
  </w:footnote>
  <w:footnote w:id="193">
    <w:p w14:paraId="409377A7" w14:textId="77777777" w:rsidR="009852CB" w:rsidRPr="00066F1B" w:rsidRDefault="009852CB" w:rsidP="00933DEB">
      <w:pPr>
        <w:pStyle w:val="ae"/>
      </w:pPr>
      <w:r>
        <w:tab/>
      </w:r>
      <w:r w:rsidRPr="00933DEB">
        <w:rPr>
          <w:rStyle w:val="ab"/>
        </w:rPr>
        <w:footnoteRef/>
      </w:r>
      <w:r>
        <w:tab/>
        <w:t>Там же. Министерское постановление № 619-2014-MINSA, принятое 18 августа 2014 года.</w:t>
      </w:r>
    </w:p>
  </w:footnote>
  <w:footnote w:id="194">
    <w:p w14:paraId="746212BD" w14:textId="77777777" w:rsidR="009852CB" w:rsidRPr="00066F1B" w:rsidRDefault="009852CB" w:rsidP="00933DEB">
      <w:pPr>
        <w:pStyle w:val="ae"/>
      </w:pPr>
      <w:r>
        <w:tab/>
      </w:r>
      <w:r w:rsidRPr="00933DEB">
        <w:rPr>
          <w:rStyle w:val="ab"/>
        </w:rPr>
        <w:footnoteRef/>
      </w:r>
      <w:r>
        <w:tab/>
        <w:t xml:space="preserve">Конгресс Республики. Закон № 30287,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14 декабря 2014 года.</w:t>
      </w:r>
    </w:p>
  </w:footnote>
  <w:footnote w:id="195">
    <w:p w14:paraId="7175CB07" w14:textId="77777777" w:rsidR="009852CB" w:rsidRPr="006025EB" w:rsidRDefault="009852CB" w:rsidP="00933DEB">
      <w:pPr>
        <w:pStyle w:val="ae"/>
      </w:pPr>
      <w:r>
        <w:tab/>
      </w:r>
      <w:r w:rsidRPr="00933DEB">
        <w:rPr>
          <w:rStyle w:val="ab"/>
        </w:rPr>
        <w:footnoteRef/>
      </w:r>
      <w:r>
        <w:tab/>
        <w:t xml:space="preserve">Министерство здравоохранения. Высочайший указ № 35-2015-SA,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22 октября 2015 года.</w:t>
      </w:r>
    </w:p>
  </w:footnote>
  <w:footnote w:id="196">
    <w:p w14:paraId="4EFABAD0" w14:textId="77777777" w:rsidR="009852CB" w:rsidRPr="00066F1B" w:rsidRDefault="009852CB" w:rsidP="00933DEB">
      <w:pPr>
        <w:pStyle w:val="ae"/>
      </w:pPr>
      <w:r>
        <w:tab/>
      </w:r>
      <w:r w:rsidRPr="00933DEB">
        <w:rPr>
          <w:rStyle w:val="ab"/>
        </w:rPr>
        <w:footnoteRef/>
      </w:r>
      <w:r>
        <w:tab/>
        <w:t>Там же. Министерское постановление № 215-2018-MINSA, принятое 13 марта 2018 года.</w:t>
      </w:r>
    </w:p>
  </w:footnote>
  <w:footnote w:id="197">
    <w:p w14:paraId="03DD8D5D" w14:textId="77777777" w:rsidR="009852CB" w:rsidRPr="00BB227E" w:rsidRDefault="009852CB" w:rsidP="00933DEB">
      <w:pPr>
        <w:pStyle w:val="ae"/>
      </w:pPr>
      <w:r>
        <w:tab/>
      </w:r>
      <w:r w:rsidRPr="00933DEB">
        <w:rPr>
          <w:rStyle w:val="ab"/>
        </w:rPr>
        <w:footnoteRef/>
      </w:r>
      <w:r w:rsidRPr="00CA1E90">
        <w:rPr>
          <w:lang w:val="es-ES_tradnl"/>
        </w:rPr>
        <w:tab/>
        <w:t xml:space="preserve">MINJUSDH. (2019). Informe Anual sobre los avances en el cumplimiento del PNDH, Año 2018. </w:t>
      </w:r>
      <w:r w:rsidRPr="00066F1B">
        <w:t>Informe en versión preliminar. Pág. 5.</w:t>
      </w:r>
    </w:p>
  </w:footnote>
  <w:footnote w:id="198">
    <w:p w14:paraId="6584ED6B" w14:textId="77777777" w:rsidR="009852CB" w:rsidRPr="00066F1B" w:rsidRDefault="009852CB" w:rsidP="00933DEB">
      <w:pPr>
        <w:pStyle w:val="ae"/>
      </w:pPr>
      <w:r>
        <w:tab/>
      </w:r>
      <w:r w:rsidRPr="00933DEB">
        <w:rPr>
          <w:rStyle w:val="ab"/>
        </w:rPr>
        <w:footnoteRef/>
      </w:r>
      <w:r>
        <w:tab/>
        <w:t xml:space="preserve">Министерство юстиции и по правам человека. Министерское постановление № 0159-2019-JUS, опубликованное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rPr>
          <w:i/>
          <w:iCs/>
        </w:rPr>
        <w:t xml:space="preserve"> </w:t>
      </w:r>
      <w:r>
        <w:t>27 апреля 2019 года.</w:t>
      </w:r>
    </w:p>
  </w:footnote>
  <w:footnote w:id="199">
    <w:p w14:paraId="37950A66" w14:textId="77777777" w:rsidR="009852CB" w:rsidRPr="00CA1E90" w:rsidRDefault="009852CB" w:rsidP="00933DEB">
      <w:pPr>
        <w:pStyle w:val="ae"/>
        <w:rPr>
          <w:lang w:val="es-ES_tradnl"/>
        </w:rPr>
      </w:pPr>
      <w:r>
        <w:tab/>
      </w:r>
      <w:r w:rsidRPr="00933DEB">
        <w:rPr>
          <w:rStyle w:val="ab"/>
        </w:rPr>
        <w:footnoteRef/>
      </w:r>
      <w:r w:rsidRPr="00CA1E90">
        <w:rPr>
          <w:lang w:val="es-ES_tradnl"/>
        </w:rPr>
        <w:tab/>
        <w:t>INEI. Oficio núm. 335-2019-INEI/DTDIS. Fecha: 31 de julio de 2019.</w:t>
      </w:r>
    </w:p>
  </w:footnote>
  <w:footnote w:id="200">
    <w:p w14:paraId="6BBCAD70" w14:textId="77777777" w:rsidR="009852CB" w:rsidRPr="009760F1" w:rsidRDefault="009852CB" w:rsidP="00933DEB">
      <w:pPr>
        <w:pStyle w:val="ae"/>
        <w:rPr>
          <w:szCs w:val="18"/>
        </w:rPr>
      </w:pPr>
      <w:r w:rsidRPr="00CA1E90">
        <w:rPr>
          <w:lang w:val="es-ES_tradnl"/>
        </w:rPr>
        <w:tab/>
      </w:r>
      <w:r w:rsidRPr="00933DEB">
        <w:rPr>
          <w:rStyle w:val="ab"/>
        </w:rPr>
        <w:footnoteRef/>
      </w:r>
      <w:r w:rsidRPr="00CA1E90">
        <w:rPr>
          <w:lang w:val="es-ES_tradnl"/>
        </w:rPr>
        <w:tab/>
        <w:t xml:space="preserve">Ministerio de Cultura. (2019). Base de datos de Pueblos Indígenas u Originarios. </w:t>
      </w:r>
      <w:r>
        <w:t>URL:</w:t>
      </w:r>
      <w:r>
        <w:rPr>
          <w:lang w:val="en-US"/>
        </w:rPr>
        <w:t> </w:t>
      </w:r>
      <w:hyperlink r:id="rId19" w:history="1">
        <w:r w:rsidRPr="009760F1">
          <w:rPr>
            <w:rStyle w:val="af2"/>
            <w:szCs w:val="18"/>
          </w:rPr>
          <w:t>https://bdpi.cultura.gob.pe/pueblos-indigenas</w:t>
        </w:r>
      </w:hyperlink>
      <w:r>
        <w:t xml:space="preserve"> (дата обращения: 07.08.2019).</w:t>
      </w:r>
    </w:p>
  </w:footnote>
  <w:footnote w:id="201">
    <w:p w14:paraId="40569F58" w14:textId="77777777" w:rsidR="009852CB" w:rsidRPr="00066F1B" w:rsidRDefault="009852CB" w:rsidP="00933DEB">
      <w:pPr>
        <w:pStyle w:val="ae"/>
      </w:pPr>
      <w:r>
        <w:tab/>
      </w:r>
      <w:r w:rsidRPr="00933DEB">
        <w:rPr>
          <w:rStyle w:val="ab"/>
        </w:rPr>
        <w:footnoteRef/>
      </w:r>
      <w:r>
        <w:tab/>
        <w:t xml:space="preserve">Конгресс Республики. Закон № 29785,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7</w:t>
      </w:r>
      <w:r>
        <w:rPr>
          <w:lang w:val="en-US"/>
        </w:rPr>
        <w:t> </w:t>
      </w:r>
      <w:r>
        <w:t>сентября 2011 года.</w:t>
      </w:r>
    </w:p>
  </w:footnote>
  <w:footnote w:id="202">
    <w:p w14:paraId="562BBDF9" w14:textId="77777777" w:rsidR="009852CB" w:rsidRPr="00066F1B" w:rsidRDefault="009852CB" w:rsidP="00933DEB">
      <w:pPr>
        <w:pStyle w:val="ae"/>
      </w:pPr>
      <w:r>
        <w:tab/>
      </w:r>
      <w:r w:rsidRPr="00933DEB">
        <w:rPr>
          <w:rStyle w:val="ab"/>
        </w:rPr>
        <w:footnoteRef/>
      </w:r>
      <w:r>
        <w:tab/>
        <w:t xml:space="preserve">Министерство культуры. Высочайший указ № 001-2012-MC,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3 апреля 2012 года.</w:t>
      </w:r>
    </w:p>
  </w:footnote>
  <w:footnote w:id="203">
    <w:p w14:paraId="6723CC7A" w14:textId="77777777" w:rsidR="009852CB" w:rsidRPr="00066F1B" w:rsidRDefault="009852CB" w:rsidP="00933DEB">
      <w:pPr>
        <w:pStyle w:val="ae"/>
      </w:pPr>
      <w:r>
        <w:tab/>
      </w:r>
      <w:r w:rsidRPr="00933DEB">
        <w:rPr>
          <w:rStyle w:val="ab"/>
        </w:rPr>
        <w:footnoteRef/>
      </w:r>
      <w:r>
        <w:tab/>
        <w:t xml:space="preserve">Национальное управление государственных реестров. Постановление </w:t>
      </w:r>
      <w:r>
        <w:br/>
        <w:t xml:space="preserve">№ 122-2013-SUNARP/SN, опубликовано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rPr>
          <w:i/>
          <w:iCs/>
        </w:rPr>
        <w:t xml:space="preserve"> </w:t>
      </w:r>
      <w:r>
        <w:t>31 мая 2013</w:t>
      </w:r>
      <w:r>
        <w:rPr>
          <w:lang w:val="en-US"/>
        </w:rPr>
        <w:t> </w:t>
      </w:r>
      <w:r>
        <w:t>года.</w:t>
      </w:r>
    </w:p>
  </w:footnote>
  <w:footnote w:id="204">
    <w:p w14:paraId="6368480C" w14:textId="77777777" w:rsidR="009852CB" w:rsidRPr="006025EB" w:rsidRDefault="009852CB" w:rsidP="00933DEB">
      <w:pPr>
        <w:pStyle w:val="ae"/>
      </w:pPr>
      <w:r>
        <w:tab/>
      </w:r>
      <w:r w:rsidRPr="00933DEB">
        <w:rPr>
          <w:rStyle w:val="ab"/>
        </w:rPr>
        <w:footnoteRef/>
      </w:r>
      <w:r>
        <w:tab/>
        <w:t xml:space="preserve">Министерство культуры. Постановление заместителя министра № 010-2013-VMI-MC,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12 декабря 2013 года.</w:t>
      </w:r>
    </w:p>
  </w:footnote>
  <w:footnote w:id="205">
    <w:p w14:paraId="32A0EB7F" w14:textId="77777777" w:rsidR="009852CB" w:rsidRPr="00066F1B" w:rsidRDefault="009852CB" w:rsidP="00933DEB">
      <w:pPr>
        <w:pStyle w:val="ae"/>
        <w:rPr>
          <w:i/>
        </w:rPr>
      </w:pPr>
      <w:r>
        <w:tab/>
      </w:r>
      <w:r w:rsidRPr="00933DEB">
        <w:rPr>
          <w:rStyle w:val="ab"/>
        </w:rPr>
        <w:footnoteRef/>
      </w:r>
      <w:r>
        <w:tab/>
        <w:t xml:space="preserve">Там же. Министерское постановление № 403-2014-MС, опубликованное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7 ноября 2014 года.</w:t>
      </w:r>
    </w:p>
  </w:footnote>
  <w:footnote w:id="206">
    <w:p w14:paraId="627739A2" w14:textId="77777777" w:rsidR="009852CB" w:rsidRPr="009760F1" w:rsidRDefault="009852CB" w:rsidP="00933DEB">
      <w:pPr>
        <w:pStyle w:val="ae"/>
      </w:pPr>
      <w:r>
        <w:tab/>
      </w:r>
      <w:r w:rsidRPr="00933DEB">
        <w:rPr>
          <w:rStyle w:val="ab"/>
        </w:rPr>
        <w:footnoteRef/>
      </w:r>
      <w:r>
        <w:tab/>
        <w:t xml:space="preserve">Там же. Высочайший указ № 006-2016-MC,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23 июля 2016 года.</w:t>
      </w:r>
    </w:p>
  </w:footnote>
  <w:footnote w:id="207">
    <w:p w14:paraId="12EAD52B" w14:textId="77777777" w:rsidR="009852CB" w:rsidRPr="00066F1B" w:rsidRDefault="009852CB" w:rsidP="00933DEB">
      <w:pPr>
        <w:pStyle w:val="ae"/>
        <w:rPr>
          <w:i/>
        </w:rPr>
      </w:pPr>
      <w:r>
        <w:tab/>
      </w:r>
      <w:r w:rsidRPr="00933DEB">
        <w:rPr>
          <w:rStyle w:val="ab"/>
        </w:rPr>
        <w:footnoteRef/>
      </w:r>
      <w:r>
        <w:tab/>
        <w:t xml:space="preserve">Перуанская система правовой информации: Модель межкультурного двуязычного образования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rsidRPr="009D0D86">
        <w:t xml:space="preserve"> </w:t>
      </w:r>
      <w:r>
        <w:t>не публиковалась.</w:t>
      </w:r>
    </w:p>
  </w:footnote>
  <w:footnote w:id="208">
    <w:p w14:paraId="560099E0" w14:textId="77777777" w:rsidR="009852CB" w:rsidRPr="00066F1B" w:rsidRDefault="009852CB" w:rsidP="00933DEB">
      <w:pPr>
        <w:pStyle w:val="ae"/>
      </w:pPr>
      <w:r>
        <w:tab/>
      </w:r>
      <w:r w:rsidRPr="00933DEB">
        <w:rPr>
          <w:rStyle w:val="ab"/>
        </w:rPr>
        <w:footnoteRef/>
      </w:r>
      <w:r>
        <w:tab/>
        <w:t xml:space="preserve">Министерство культуры. Высочайший указ № 009-2019-MC,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9 августа 2019 года.</w:t>
      </w:r>
    </w:p>
  </w:footnote>
  <w:footnote w:id="209">
    <w:p w14:paraId="701C1C9C" w14:textId="77777777" w:rsidR="009852CB" w:rsidRPr="00066F1B" w:rsidRDefault="009852CB" w:rsidP="00933DEB">
      <w:pPr>
        <w:pStyle w:val="ae"/>
      </w:pPr>
      <w:r>
        <w:tab/>
      </w:r>
      <w:r w:rsidRPr="00933DEB">
        <w:rPr>
          <w:rStyle w:val="ab"/>
        </w:rPr>
        <w:footnoteRef/>
      </w:r>
      <w:r>
        <w:tab/>
        <w:t xml:space="preserve">Там же. Высочайший указ № 005-2013-MC,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20 июня 2013 года.</w:t>
      </w:r>
    </w:p>
  </w:footnote>
  <w:footnote w:id="210">
    <w:p w14:paraId="01827EA4" w14:textId="77777777" w:rsidR="009852CB" w:rsidRPr="00066F1B" w:rsidRDefault="009852CB" w:rsidP="00933DEB">
      <w:pPr>
        <w:pStyle w:val="ae"/>
      </w:pPr>
      <w:r>
        <w:tab/>
      </w:r>
      <w:r w:rsidRPr="00933DEB">
        <w:rPr>
          <w:rStyle w:val="ab"/>
        </w:rPr>
        <w:footnoteRef/>
      </w:r>
      <w:r>
        <w:tab/>
        <w:t xml:space="preserve">Конгресс Республики. Закон № 28736,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rPr>
          <w:i/>
          <w:iCs/>
        </w:rPr>
        <w:t xml:space="preserve"> </w:t>
      </w:r>
      <w:r>
        <w:t>18</w:t>
      </w:r>
      <w:r>
        <w:rPr>
          <w:lang w:val="en-US"/>
        </w:rPr>
        <w:t> </w:t>
      </w:r>
      <w:r>
        <w:t>мая 2006 года.</w:t>
      </w:r>
    </w:p>
  </w:footnote>
  <w:footnote w:id="211">
    <w:p w14:paraId="064117B3" w14:textId="77777777" w:rsidR="009852CB" w:rsidRPr="00066F1B" w:rsidRDefault="009852CB" w:rsidP="00933DEB">
      <w:pPr>
        <w:pStyle w:val="ae"/>
      </w:pPr>
      <w:r>
        <w:tab/>
      </w:r>
      <w:r w:rsidRPr="00933DEB">
        <w:rPr>
          <w:rStyle w:val="ab"/>
        </w:rPr>
        <w:footnoteRef/>
      </w:r>
      <w:r>
        <w:tab/>
        <w:t xml:space="preserve">Министерство культуры. Высочайший указ № 008-2007-MIMDES, утвержденный 4 октября 2007 года. Изменения внесены Высочайшим указом № 008-2016-MC, опубликованным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24 июля 2016 года.</w:t>
      </w:r>
    </w:p>
  </w:footnote>
  <w:footnote w:id="212">
    <w:p w14:paraId="0A36D166" w14:textId="77777777" w:rsidR="009852CB" w:rsidRPr="009852CB" w:rsidRDefault="009852CB" w:rsidP="00933DEB">
      <w:pPr>
        <w:pStyle w:val="ae"/>
        <w:rPr>
          <w:lang w:val="en-US"/>
        </w:rPr>
      </w:pPr>
      <w:r>
        <w:tab/>
      </w:r>
      <w:r w:rsidRPr="00933DEB">
        <w:rPr>
          <w:rStyle w:val="ab"/>
        </w:rPr>
        <w:footnoteRef/>
      </w:r>
      <w:r w:rsidRPr="00CA1E90">
        <w:rPr>
          <w:lang w:val="es-ES_tradnl"/>
        </w:rPr>
        <w:tab/>
        <w:t xml:space="preserve">Instituto Nacional de Estadística e Informática. Perú: Estadísticas de la Emigración Internacional </w:t>
      </w:r>
      <w:r>
        <w:rPr>
          <w:lang w:val="es-ES_tradnl"/>
        </w:rPr>
        <w:br/>
      </w:r>
      <w:r w:rsidRPr="00CA1E90">
        <w:rPr>
          <w:lang w:val="es-ES_tradnl"/>
        </w:rPr>
        <w:t xml:space="preserve">de </w:t>
      </w:r>
      <w:proofErr w:type="gramStart"/>
      <w:r w:rsidRPr="00CA1E90">
        <w:rPr>
          <w:lang w:val="es-ES_tradnl"/>
        </w:rPr>
        <w:t>Peruanos</w:t>
      </w:r>
      <w:proofErr w:type="gramEnd"/>
      <w:r w:rsidRPr="00CA1E90">
        <w:rPr>
          <w:lang w:val="es-ES_tradnl"/>
        </w:rPr>
        <w:t xml:space="preserve"> e Inmigración de Extranjeros, 1990-2017. Lima. 2018. Pág. 23. </w:t>
      </w:r>
      <w:r w:rsidRPr="009852CB">
        <w:rPr>
          <w:lang w:val="en-US"/>
        </w:rPr>
        <w:t xml:space="preserve">URL: </w:t>
      </w:r>
      <w:hyperlink r:id="rId20" w:history="1">
        <w:r w:rsidRPr="009852CB">
          <w:rPr>
            <w:rStyle w:val="af2"/>
            <w:szCs w:val="18"/>
            <w:lang w:val="en-US"/>
          </w:rPr>
          <w:t>https://www.inei.gob.pe/media/MenuRecursivo/publicaciones_digitales/Est/Lib1549/libro.pdf</w:t>
        </w:r>
      </w:hyperlink>
      <w:r w:rsidRPr="009852CB">
        <w:rPr>
          <w:lang w:val="en-US"/>
        </w:rPr>
        <w:t>.</w:t>
      </w:r>
    </w:p>
  </w:footnote>
  <w:footnote w:id="213">
    <w:p w14:paraId="740BEAD6" w14:textId="77777777" w:rsidR="009852CB" w:rsidRPr="00FB668D" w:rsidRDefault="009852CB" w:rsidP="00933DEB">
      <w:pPr>
        <w:pStyle w:val="ae"/>
        <w:rPr>
          <w:szCs w:val="18"/>
          <w:lang w:val="en-US"/>
        </w:rPr>
      </w:pPr>
      <w:r w:rsidRPr="009852CB">
        <w:rPr>
          <w:lang w:val="en-US"/>
        </w:rPr>
        <w:tab/>
      </w:r>
      <w:r w:rsidRPr="00933DEB">
        <w:rPr>
          <w:rStyle w:val="ab"/>
        </w:rPr>
        <w:footnoteRef/>
      </w:r>
      <w:r w:rsidRPr="00CA1E90">
        <w:rPr>
          <w:lang w:val="es-ES_tradnl"/>
        </w:rPr>
        <w:tab/>
        <w:t xml:space="preserve">Superintendencia Nacional de Migraciones. Estudio preliminar realizado desde una </w:t>
      </w:r>
      <w:r>
        <w:rPr>
          <w:lang w:val="es-ES_tradnl"/>
        </w:rPr>
        <w:br/>
      </w:r>
      <w:r w:rsidRPr="00CA1E90">
        <w:rPr>
          <w:lang w:val="es-ES_tradnl"/>
        </w:rPr>
        <w:t xml:space="preserve">perspectiva de género “Presencia de inmigrantes en situación de vulnerabilidad </w:t>
      </w:r>
      <w:r>
        <w:rPr>
          <w:lang w:val="es-ES_tradnl"/>
        </w:rPr>
        <w:br/>
      </w:r>
      <w:r w:rsidRPr="00CA1E90">
        <w:rPr>
          <w:lang w:val="es-ES_tradnl"/>
        </w:rPr>
        <w:t xml:space="preserve">en el Perú”. Lima, 2018. Pág. 18. </w:t>
      </w:r>
      <w:r w:rsidRPr="00FB668D">
        <w:rPr>
          <w:lang w:val="en-US"/>
        </w:rPr>
        <w:t xml:space="preserve">URL: </w:t>
      </w:r>
      <w:hyperlink r:id="rId21" w:history="1">
        <w:r w:rsidRPr="00FB668D">
          <w:rPr>
            <w:rStyle w:val="af2"/>
            <w:rFonts w:eastAsiaTheme="minorHAnsi"/>
            <w:lang w:val="en-US"/>
          </w:rPr>
          <w:t>https://www.migraciones.gob.pe/wp-content/uploads/2018/04/Presencia_inmigrantes_situacion_vulnerabilidad_Peru.pdf</w:t>
        </w:r>
      </w:hyperlink>
      <w:r w:rsidRPr="00FB668D">
        <w:rPr>
          <w:lang w:val="en-US"/>
        </w:rPr>
        <w:t>.</w:t>
      </w:r>
    </w:p>
  </w:footnote>
  <w:footnote w:id="214">
    <w:p w14:paraId="083CF7D5" w14:textId="77777777" w:rsidR="009852CB" w:rsidRPr="009760F1" w:rsidRDefault="009852CB" w:rsidP="00933DEB">
      <w:pPr>
        <w:pStyle w:val="ae"/>
        <w:rPr>
          <w:szCs w:val="18"/>
        </w:rPr>
      </w:pPr>
      <w:r w:rsidRPr="00FB668D">
        <w:rPr>
          <w:lang w:val="en-US"/>
        </w:rPr>
        <w:tab/>
      </w:r>
      <w:r w:rsidRPr="00933DEB">
        <w:rPr>
          <w:rStyle w:val="ab"/>
        </w:rPr>
        <w:footnoteRef/>
      </w:r>
      <w:bookmarkStart w:id="60" w:name="_Hlk16075396"/>
      <w:r w:rsidRPr="00CA1E90">
        <w:rPr>
          <w:lang w:val="es-ES_tradnl"/>
        </w:rPr>
        <w:tab/>
        <w:t xml:space="preserve">Banco Central de Reserva del Perú. </w:t>
      </w:r>
      <w:r>
        <w:t xml:space="preserve">(2018). Memoria 2018. Pág. 38. </w:t>
      </w:r>
      <w:r w:rsidRPr="009D0D86">
        <w:rPr>
          <w:lang w:val="en-US"/>
        </w:rPr>
        <w:t>URL</w:t>
      </w:r>
      <w:r w:rsidRPr="009D0D86">
        <w:t xml:space="preserve">: </w:t>
      </w:r>
      <w:hyperlink r:id="rId22" w:history="1">
        <w:r>
          <w:rPr>
            <w:rStyle w:val="af2"/>
            <w:rFonts w:eastAsiaTheme="minorHAnsi"/>
          </w:rPr>
          <w:t>https://www.bcrp.gob.pe/docs/Publicaciones/Memoria/2018/memoria-bcrp-2018.pdf</w:t>
        </w:r>
      </w:hyperlink>
      <w:r>
        <w:t xml:space="preserve"> (дата</w:t>
      </w:r>
      <w:r>
        <w:rPr>
          <w:lang w:val="en-US"/>
        </w:rPr>
        <w:t> </w:t>
      </w:r>
      <w:r>
        <w:t>обращения: 07.08.2019).</w:t>
      </w:r>
      <w:bookmarkEnd w:id="60"/>
    </w:p>
  </w:footnote>
  <w:footnote w:id="215">
    <w:p w14:paraId="25FC5536" w14:textId="77777777" w:rsidR="009852CB" w:rsidRPr="009760F1" w:rsidRDefault="009852CB" w:rsidP="00933DEB">
      <w:pPr>
        <w:pStyle w:val="ae"/>
      </w:pPr>
      <w:r>
        <w:tab/>
      </w:r>
      <w:r w:rsidRPr="00933DEB">
        <w:rPr>
          <w:rStyle w:val="ab"/>
        </w:rPr>
        <w:footnoteRef/>
      </w:r>
      <w:r>
        <w:tab/>
        <w:t xml:space="preserve">Исполнительная власть. Законодательный указ № 1350,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7 января 2017 года.</w:t>
      </w:r>
    </w:p>
  </w:footnote>
  <w:footnote w:id="216">
    <w:p w14:paraId="5C5DC03F" w14:textId="77777777" w:rsidR="009852CB" w:rsidRPr="009760F1" w:rsidRDefault="009852CB" w:rsidP="00933DEB">
      <w:pPr>
        <w:pStyle w:val="ae"/>
      </w:pPr>
      <w:r>
        <w:tab/>
      </w:r>
      <w:r w:rsidRPr="00933DEB">
        <w:rPr>
          <w:rStyle w:val="ab"/>
        </w:rPr>
        <w:footnoteRef/>
      </w:r>
      <w:r>
        <w:tab/>
        <w:t xml:space="preserve">Министерство внутренних дел. Высочайший указ № 007-2017-IN, опубликованный в </w:t>
      </w:r>
      <w:r>
        <w:rPr>
          <w:i/>
          <w:iCs/>
        </w:rPr>
        <w:t>Официальном вестник</w:t>
      </w:r>
      <w:r w:rsidRPr="009D0D86">
        <w:rPr>
          <w:i/>
          <w:iCs/>
        </w:rPr>
        <w:t xml:space="preserve">е </w:t>
      </w:r>
      <w:r w:rsidRPr="009D0D86">
        <w:rPr>
          <w:rStyle w:val="ab"/>
          <w:vertAlign w:val="baseline"/>
        </w:rPr>
        <w:t>«</w:t>
      </w:r>
      <w:r w:rsidRPr="009D0D86">
        <w:rPr>
          <w:i/>
          <w:iCs/>
        </w:rPr>
        <w:t>Перуано</w:t>
      </w:r>
      <w:r w:rsidRPr="009D0D86">
        <w:rPr>
          <w:rStyle w:val="ab"/>
          <w:vertAlign w:val="baseline"/>
        </w:rPr>
        <w:t>»</w:t>
      </w:r>
      <w:r>
        <w:t xml:space="preserve"> 27 марта 2017 года.</w:t>
      </w:r>
    </w:p>
  </w:footnote>
  <w:footnote w:id="217">
    <w:p w14:paraId="13A5239B" w14:textId="77777777" w:rsidR="009852CB" w:rsidRPr="009760F1" w:rsidRDefault="009852CB" w:rsidP="00933DEB">
      <w:pPr>
        <w:pStyle w:val="ae"/>
      </w:pPr>
      <w:r>
        <w:tab/>
      </w:r>
      <w:r w:rsidRPr="00933DEB">
        <w:rPr>
          <w:rStyle w:val="ab"/>
        </w:rPr>
        <w:footnoteRef/>
      </w:r>
      <w:r>
        <w:tab/>
        <w:t xml:space="preserve">Министерство иностранных дел. Высочайший указ № 015-2017-RE,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27 апреля 2017 года.</w:t>
      </w:r>
    </w:p>
  </w:footnote>
  <w:footnote w:id="218">
    <w:p w14:paraId="4153A84E" w14:textId="77777777" w:rsidR="009852CB" w:rsidRPr="009760F1" w:rsidRDefault="009852CB" w:rsidP="00933DEB">
      <w:pPr>
        <w:pStyle w:val="ae"/>
      </w:pPr>
      <w:r>
        <w:tab/>
      </w:r>
      <w:r w:rsidRPr="00933DEB">
        <w:rPr>
          <w:rStyle w:val="ab"/>
        </w:rPr>
        <w:footnoteRef/>
      </w:r>
      <w:r>
        <w:tab/>
        <w:t xml:space="preserve">Министерство внутренних дел. Высочайший указ № 008-2018-IN,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rsidRPr="009D0D86">
        <w:rPr>
          <w:i/>
          <w:iCs/>
        </w:rPr>
        <w:t xml:space="preserve"> </w:t>
      </w:r>
      <w:r>
        <w:t>7 сентября 2018 года.</w:t>
      </w:r>
    </w:p>
  </w:footnote>
  <w:footnote w:id="219">
    <w:p w14:paraId="416C9E9D" w14:textId="77777777" w:rsidR="009852CB" w:rsidRPr="009760F1" w:rsidRDefault="009852CB" w:rsidP="00933DEB">
      <w:pPr>
        <w:pStyle w:val="ae"/>
      </w:pPr>
      <w:r>
        <w:tab/>
      </w:r>
      <w:r w:rsidRPr="00933DEB">
        <w:rPr>
          <w:rStyle w:val="ab"/>
        </w:rPr>
        <w:footnoteRef/>
      </w:r>
      <w:r>
        <w:tab/>
        <w:t xml:space="preserve">Конгресс Республики. Закон №,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22</w:t>
      </w:r>
      <w:r>
        <w:rPr>
          <w:lang w:val="en-US"/>
        </w:rPr>
        <w:t> </w:t>
      </w:r>
      <w:r>
        <w:t>декабря 2002 года.</w:t>
      </w:r>
    </w:p>
  </w:footnote>
  <w:footnote w:id="220">
    <w:p w14:paraId="7F0DC48C" w14:textId="77777777" w:rsidR="009852CB" w:rsidRPr="009760F1" w:rsidRDefault="009852CB" w:rsidP="00933DEB">
      <w:pPr>
        <w:pStyle w:val="ae"/>
      </w:pPr>
      <w:r>
        <w:tab/>
      </w:r>
      <w:r w:rsidRPr="00933DEB">
        <w:rPr>
          <w:rStyle w:val="ab"/>
        </w:rPr>
        <w:footnoteRef/>
      </w:r>
      <w:r>
        <w:tab/>
        <w:t xml:space="preserve">Министерство иностранных дел. Высочайший указ № 119-2003-RE,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14 октября 2003 года.</w:t>
      </w:r>
    </w:p>
  </w:footnote>
  <w:footnote w:id="221">
    <w:p w14:paraId="4E3A350E" w14:textId="77777777" w:rsidR="009852CB" w:rsidRPr="006025EB" w:rsidRDefault="009852CB" w:rsidP="00933DEB">
      <w:pPr>
        <w:pStyle w:val="ae"/>
      </w:pPr>
      <w:r>
        <w:tab/>
      </w:r>
      <w:r w:rsidRPr="00933DEB">
        <w:rPr>
          <w:rStyle w:val="ab"/>
        </w:rPr>
        <w:footnoteRef/>
      </w:r>
      <w:r>
        <w:tab/>
        <w:t xml:space="preserve">Конгресс Республики. Закон № 28592,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28</w:t>
      </w:r>
      <w:r>
        <w:rPr>
          <w:lang w:val="en-US"/>
        </w:rPr>
        <w:t> </w:t>
      </w:r>
      <w:r>
        <w:t>июля 2005 года.</w:t>
      </w:r>
    </w:p>
  </w:footnote>
  <w:footnote w:id="222">
    <w:p w14:paraId="2A124037" w14:textId="7AC49040" w:rsidR="009852CB" w:rsidRPr="00651450" w:rsidRDefault="009852CB" w:rsidP="00933DEB">
      <w:pPr>
        <w:pStyle w:val="ae"/>
      </w:pPr>
      <w:r>
        <w:tab/>
      </w:r>
      <w:r w:rsidRPr="00933DEB">
        <w:rPr>
          <w:rStyle w:val="ab"/>
        </w:rPr>
        <w:footnoteRef/>
      </w:r>
      <w:r>
        <w:tab/>
        <w:t xml:space="preserve">Министерство юстиции и по правам человека. Высочайший указ № 015-2006-JUS,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6 июля 2006 года</w:t>
      </w:r>
      <w:r w:rsidR="00651450" w:rsidRPr="00651450">
        <w:t>.</w:t>
      </w:r>
    </w:p>
  </w:footnote>
  <w:footnote w:id="223">
    <w:p w14:paraId="19364790" w14:textId="77777777" w:rsidR="009852CB" w:rsidRPr="006025EB" w:rsidRDefault="009852CB" w:rsidP="00933DEB">
      <w:pPr>
        <w:pStyle w:val="ae"/>
      </w:pPr>
      <w:r>
        <w:tab/>
      </w:r>
      <w:r w:rsidRPr="00933DEB">
        <w:rPr>
          <w:rStyle w:val="ab"/>
        </w:rPr>
        <w:footnoteRef/>
      </w:r>
      <w:r>
        <w:tab/>
        <w:t xml:space="preserve">Конгресс Республики. Закон № 30470,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22</w:t>
      </w:r>
      <w:r>
        <w:rPr>
          <w:lang w:val="en-US"/>
        </w:rPr>
        <w:t> </w:t>
      </w:r>
      <w:r>
        <w:t>июня 2016 года.</w:t>
      </w:r>
    </w:p>
  </w:footnote>
  <w:footnote w:id="224">
    <w:p w14:paraId="52642106" w14:textId="77777777" w:rsidR="009852CB" w:rsidRPr="006025EB" w:rsidRDefault="009852CB" w:rsidP="00933DEB">
      <w:pPr>
        <w:pStyle w:val="ae"/>
      </w:pPr>
      <w:r>
        <w:tab/>
      </w:r>
      <w:r w:rsidRPr="00933DEB">
        <w:rPr>
          <w:rStyle w:val="ab"/>
        </w:rPr>
        <w:footnoteRef/>
      </w:r>
      <w:r>
        <w:tab/>
        <w:t xml:space="preserve">Министерство юстиции и по правам человека. Министерское постановление № 0363-2016-JUS,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25 декабря 2016 года</w:t>
      </w:r>
    </w:p>
  </w:footnote>
  <w:footnote w:id="225">
    <w:p w14:paraId="6653C87B" w14:textId="77777777" w:rsidR="009852CB" w:rsidRPr="006025EB" w:rsidRDefault="009852CB" w:rsidP="00933DEB">
      <w:pPr>
        <w:pStyle w:val="ae"/>
      </w:pPr>
      <w:r>
        <w:tab/>
      </w:r>
      <w:r w:rsidRPr="00933DEB">
        <w:rPr>
          <w:rStyle w:val="ab"/>
        </w:rPr>
        <w:footnoteRef/>
      </w:r>
      <w:r>
        <w:tab/>
        <w:t xml:space="preserve">Там же. Высочайший указ № 013-2017-JUS,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22 июня 2017 года.</w:t>
      </w:r>
    </w:p>
  </w:footnote>
  <w:footnote w:id="226">
    <w:p w14:paraId="373F06B4" w14:textId="77777777" w:rsidR="009852CB" w:rsidRPr="006025EB" w:rsidRDefault="009852CB" w:rsidP="00933DEB">
      <w:pPr>
        <w:pStyle w:val="ae"/>
      </w:pPr>
      <w:r>
        <w:tab/>
      </w:r>
      <w:r w:rsidRPr="00933DEB">
        <w:rPr>
          <w:rStyle w:val="ab"/>
        </w:rPr>
        <w:footnoteRef/>
      </w:r>
      <w:r>
        <w:tab/>
        <w:t>Там же. Постановление № 001-2017-JUS/DG</w:t>
      </w:r>
      <w:r>
        <w:rPr>
          <w:lang w:val="en-US"/>
        </w:rPr>
        <w:t>B</w:t>
      </w:r>
      <w:r>
        <w:t>PD от 27 октября 2017 года.</w:t>
      </w:r>
    </w:p>
  </w:footnote>
  <w:footnote w:id="227">
    <w:p w14:paraId="07F0F013" w14:textId="77777777" w:rsidR="009852CB" w:rsidRPr="006025EB" w:rsidRDefault="009852CB" w:rsidP="00933DEB">
      <w:pPr>
        <w:pStyle w:val="ae"/>
      </w:pPr>
      <w:r>
        <w:tab/>
      </w:r>
      <w:r w:rsidRPr="00933DEB">
        <w:rPr>
          <w:rStyle w:val="ab"/>
        </w:rPr>
        <w:footnoteRef/>
      </w:r>
      <w:r>
        <w:tab/>
        <w:t xml:space="preserve">Исполнительная власть. Законодательный указ № 1398,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8 сентября 2018 года.</w:t>
      </w:r>
    </w:p>
  </w:footnote>
  <w:footnote w:id="228">
    <w:p w14:paraId="4136C3B9" w14:textId="77777777" w:rsidR="009852CB" w:rsidRPr="006025EB" w:rsidRDefault="009852CB" w:rsidP="00933DEB">
      <w:pPr>
        <w:pStyle w:val="ae"/>
      </w:pPr>
      <w:r>
        <w:tab/>
      </w:r>
      <w:r w:rsidRPr="00933DEB">
        <w:rPr>
          <w:rStyle w:val="ab"/>
        </w:rPr>
        <w:footnoteRef/>
      </w:r>
      <w:r>
        <w:tab/>
        <w:t>Министерство юстиции и по правам человека. Постановление № 455-2019-JUS/DGBPD от 17</w:t>
      </w:r>
      <w:r>
        <w:rPr>
          <w:lang w:val="en-US"/>
        </w:rPr>
        <w:t> </w:t>
      </w:r>
      <w:r>
        <w:t>июля 2019 года.</w:t>
      </w:r>
    </w:p>
  </w:footnote>
  <w:footnote w:id="229">
    <w:p w14:paraId="6CFF5A3C" w14:textId="77777777" w:rsidR="009852CB" w:rsidRPr="006025EB" w:rsidRDefault="009852CB" w:rsidP="00933DEB">
      <w:pPr>
        <w:pStyle w:val="ae"/>
      </w:pPr>
      <w:r>
        <w:tab/>
      </w:r>
      <w:r w:rsidRPr="00933DEB">
        <w:rPr>
          <w:rStyle w:val="ab"/>
        </w:rPr>
        <w:footnoteRef/>
      </w:r>
      <w:r>
        <w:tab/>
        <w:t xml:space="preserve">Там же. Высочайший указ № 15-2019-JUS, опубликованный в </w:t>
      </w:r>
      <w:r w:rsidRPr="009D0D86">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21 августа 2019 года.</w:t>
      </w:r>
    </w:p>
  </w:footnote>
  <w:footnote w:id="230">
    <w:p w14:paraId="1B359B52" w14:textId="77777777" w:rsidR="009852CB" w:rsidRPr="006025EB" w:rsidRDefault="009852CB" w:rsidP="00933DEB">
      <w:pPr>
        <w:pStyle w:val="ae"/>
      </w:pPr>
      <w:r>
        <w:tab/>
      </w:r>
      <w:r w:rsidRPr="00933DEB">
        <w:rPr>
          <w:rStyle w:val="ab"/>
        </w:rPr>
        <w:footnoteRef/>
      </w:r>
      <w:r>
        <w:tab/>
        <w:t>Демократический учредительный конгресс. Политическая конституция Перу (1993 год). Статья</w:t>
      </w:r>
      <w:r w:rsidRPr="00BB227E">
        <w:t xml:space="preserve"> 2.24 </w:t>
      </w:r>
      <w:r w:rsidRPr="00BC5892">
        <w:rPr>
          <w:lang w:val="en-US"/>
        </w:rPr>
        <w:t>h</w:t>
      </w:r>
      <w:r w:rsidRPr="00BB227E">
        <w:t>).</w:t>
      </w:r>
    </w:p>
  </w:footnote>
  <w:footnote w:id="231">
    <w:p w14:paraId="72946570" w14:textId="77777777" w:rsidR="009852CB" w:rsidRPr="006025EB" w:rsidRDefault="009852CB" w:rsidP="00933DEB">
      <w:pPr>
        <w:pStyle w:val="ae"/>
      </w:pPr>
      <w:r w:rsidRPr="00BB227E">
        <w:tab/>
      </w:r>
      <w:r w:rsidRPr="00933DEB">
        <w:rPr>
          <w:rStyle w:val="ab"/>
          <w:rFonts w:eastAsia="SimSun"/>
        </w:rPr>
        <w:footnoteRef/>
      </w:r>
      <w:r w:rsidRPr="002E0569">
        <w:tab/>
      </w:r>
      <w:r>
        <w:t>Государственная</w:t>
      </w:r>
      <w:r w:rsidRPr="002E0569">
        <w:t xml:space="preserve"> </w:t>
      </w:r>
      <w:r>
        <w:t>прокуратура</w:t>
      </w:r>
      <w:r w:rsidRPr="002E0569">
        <w:t>.</w:t>
      </w:r>
      <w:r>
        <w:t xml:space="preserve"> Институт судебной медицины и криминалистики</w:t>
      </w:r>
      <w:r w:rsidRPr="002E0569">
        <w:t xml:space="preserve"> (</w:t>
      </w:r>
      <w:r>
        <w:t>ИСМК</w:t>
      </w:r>
      <w:r w:rsidRPr="002E0569">
        <w:t xml:space="preserve">). </w:t>
      </w:r>
      <w:r>
        <w:t>Постановление №</w:t>
      </w:r>
      <w:r w:rsidRPr="00A52392">
        <w:t xml:space="preserve"> 3055</w:t>
      </w:r>
      <w:r w:rsidRPr="00A52392">
        <w:noBreakHyphen/>
        <w:t>2016-</w:t>
      </w:r>
      <w:r w:rsidRPr="00BC5892">
        <w:rPr>
          <w:lang w:val="en-US"/>
        </w:rPr>
        <w:t>MP</w:t>
      </w:r>
      <w:r w:rsidRPr="00A52392">
        <w:t>-</w:t>
      </w:r>
      <w:r w:rsidRPr="00BC5892">
        <w:rPr>
          <w:lang w:val="en-US"/>
        </w:rPr>
        <w:t>FN</w:t>
      </w:r>
      <w:r w:rsidRPr="00A52392">
        <w:t>-</w:t>
      </w:r>
      <w:r w:rsidRPr="00BC5892">
        <w:rPr>
          <w:lang w:val="en-US"/>
        </w:rPr>
        <w:t>IML</w:t>
      </w:r>
      <w:r w:rsidRPr="00A52392">
        <w:t>-</w:t>
      </w:r>
      <w:r w:rsidRPr="00BC5892">
        <w:rPr>
          <w:lang w:val="en-US"/>
        </w:rPr>
        <w:t>JN</w:t>
      </w:r>
      <w:r>
        <w:t xml:space="preserve"> от </w:t>
      </w:r>
      <w:r w:rsidRPr="00A52392">
        <w:t>22</w:t>
      </w:r>
      <w:r>
        <w:t xml:space="preserve"> сентября </w:t>
      </w:r>
      <w:r w:rsidRPr="00A52392">
        <w:t>2016</w:t>
      </w:r>
      <w:r>
        <w:t xml:space="preserve"> года</w:t>
      </w:r>
      <w:r w:rsidRPr="00A52392">
        <w:t xml:space="preserve">. </w:t>
      </w:r>
      <w:r>
        <w:t>Стр.</w:t>
      </w:r>
      <w:r w:rsidRPr="00A52392">
        <w:t xml:space="preserve"> 2</w:t>
      </w:r>
      <w:r>
        <w:t xml:space="preserve"> испанского текста</w:t>
      </w:r>
      <w:r w:rsidRPr="00A52392">
        <w:t>.</w:t>
      </w:r>
    </w:p>
  </w:footnote>
  <w:footnote w:id="232">
    <w:p w14:paraId="420472EC" w14:textId="77777777" w:rsidR="009852CB" w:rsidRPr="006025EB" w:rsidRDefault="009852CB" w:rsidP="00933DEB">
      <w:pPr>
        <w:pStyle w:val="ae"/>
      </w:pPr>
      <w:r w:rsidRPr="00A52392">
        <w:tab/>
      </w:r>
      <w:r w:rsidRPr="00933DEB">
        <w:rPr>
          <w:rStyle w:val="ab"/>
        </w:rPr>
        <w:footnoteRef/>
      </w:r>
      <w:r w:rsidRPr="002E0569">
        <w:tab/>
      </w:r>
      <w:r>
        <w:t>Там же</w:t>
      </w:r>
      <w:r w:rsidRPr="002E0569">
        <w:t xml:space="preserve">. </w:t>
      </w:r>
      <w:r>
        <w:t>Меморандум №</w:t>
      </w:r>
      <w:r w:rsidRPr="002E0569">
        <w:t xml:space="preserve"> 271-2010-</w:t>
      </w:r>
      <w:r w:rsidRPr="00BC5892">
        <w:rPr>
          <w:lang w:val="en-US"/>
        </w:rPr>
        <w:t>MP</w:t>
      </w:r>
      <w:r w:rsidRPr="002E0569">
        <w:t>-</w:t>
      </w:r>
      <w:r w:rsidRPr="00BC5892">
        <w:rPr>
          <w:lang w:val="en-US"/>
        </w:rPr>
        <w:t>FN</w:t>
      </w:r>
      <w:r w:rsidRPr="002E0569">
        <w:t>-</w:t>
      </w:r>
      <w:r w:rsidRPr="00BC5892">
        <w:rPr>
          <w:lang w:val="en-US"/>
        </w:rPr>
        <w:t>IML</w:t>
      </w:r>
      <w:r w:rsidRPr="002E0569">
        <w:t>/</w:t>
      </w:r>
      <w:r w:rsidRPr="00BC5892">
        <w:rPr>
          <w:lang w:val="en-US"/>
        </w:rPr>
        <w:t>JN</w:t>
      </w:r>
      <w:r>
        <w:t>, принятый 6 апреля 2010 года.</w:t>
      </w:r>
    </w:p>
  </w:footnote>
  <w:footnote w:id="233">
    <w:p w14:paraId="3FB99DAD" w14:textId="77777777" w:rsidR="009852CB" w:rsidRPr="006025EB" w:rsidRDefault="009852CB" w:rsidP="00933DEB">
      <w:pPr>
        <w:pStyle w:val="ae"/>
      </w:pPr>
      <w:r>
        <w:tab/>
      </w:r>
      <w:r w:rsidRPr="00933DEB">
        <w:rPr>
          <w:rStyle w:val="ab"/>
        </w:rPr>
        <w:footnoteRef/>
      </w:r>
      <w:r>
        <w:tab/>
        <w:t xml:space="preserve">Там же. Постановление Прокуратуры № 3963-2016-MP-FN,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11 сентября 2016 года.</w:t>
      </w:r>
    </w:p>
  </w:footnote>
  <w:footnote w:id="234">
    <w:p w14:paraId="4EE2DCCC" w14:textId="77777777" w:rsidR="009852CB" w:rsidRPr="006025EB" w:rsidRDefault="009852CB" w:rsidP="00933DEB">
      <w:pPr>
        <w:pStyle w:val="ae"/>
      </w:pPr>
      <w:r>
        <w:tab/>
      </w:r>
      <w:r w:rsidRPr="00933DEB">
        <w:rPr>
          <w:rStyle w:val="ab"/>
        </w:rPr>
        <w:footnoteRef/>
      </w:r>
      <w:r>
        <w:tab/>
        <w:t>Министерство юстиции и по правам человека. Высочайший указ № 001-2015-JUS, опубликованный в</w:t>
      </w:r>
      <w:r>
        <w:rPr>
          <w:i/>
          <w:iCs/>
        </w:rPr>
        <w:t xml:space="preserve"> 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24 января 2015 года.</w:t>
      </w:r>
    </w:p>
  </w:footnote>
  <w:footnote w:id="235">
    <w:p w14:paraId="703D6DFA" w14:textId="77777777" w:rsidR="009852CB" w:rsidRPr="006025EB" w:rsidRDefault="009852CB" w:rsidP="00933DEB">
      <w:pPr>
        <w:pStyle w:val="ae"/>
      </w:pPr>
      <w:r>
        <w:tab/>
      </w:r>
      <w:r w:rsidRPr="00933DEB">
        <w:rPr>
          <w:rStyle w:val="ab"/>
        </w:rPr>
        <w:footnoteRef/>
      </w:r>
      <w:r>
        <w:tab/>
        <w:t xml:space="preserve">Министерство внутренних дел. Высочайший указ № 001-2016-IN,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9 февраля 2016 года.</w:t>
      </w:r>
    </w:p>
  </w:footnote>
  <w:footnote w:id="236">
    <w:p w14:paraId="7FB0F0EC" w14:textId="77777777" w:rsidR="009852CB" w:rsidRPr="006025EB" w:rsidRDefault="009852CB" w:rsidP="00933DEB">
      <w:pPr>
        <w:pStyle w:val="ae"/>
      </w:pPr>
      <w:r>
        <w:tab/>
      </w:r>
      <w:r w:rsidRPr="00933DEB">
        <w:rPr>
          <w:rStyle w:val="ab"/>
        </w:rPr>
        <w:footnoteRef/>
      </w:r>
      <w:r>
        <w:tab/>
        <w:t xml:space="preserve">Там же. Высочайший указ № 005-2016-IN,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11 мая 2016 года.</w:t>
      </w:r>
    </w:p>
  </w:footnote>
  <w:footnote w:id="237">
    <w:p w14:paraId="42179D86" w14:textId="77777777" w:rsidR="009852CB" w:rsidRPr="006025EB" w:rsidRDefault="009852CB" w:rsidP="00933DEB">
      <w:pPr>
        <w:pStyle w:val="ae"/>
      </w:pPr>
      <w:r>
        <w:tab/>
      </w:r>
      <w:r w:rsidRPr="00933DEB">
        <w:rPr>
          <w:rStyle w:val="ab"/>
        </w:rPr>
        <w:footnoteRef/>
      </w:r>
      <w:r>
        <w:tab/>
        <w:t xml:space="preserve">Там же. Высочайший указ № 017-2017-IN,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7 июня 2017 года.</w:t>
      </w:r>
    </w:p>
  </w:footnote>
  <w:footnote w:id="238">
    <w:p w14:paraId="1F02E709" w14:textId="77777777" w:rsidR="009852CB" w:rsidRPr="006025EB" w:rsidRDefault="009852CB" w:rsidP="00933DEB">
      <w:pPr>
        <w:pStyle w:val="ae"/>
      </w:pPr>
      <w:r>
        <w:tab/>
      </w:r>
      <w:r w:rsidRPr="00933DEB">
        <w:rPr>
          <w:rStyle w:val="ab"/>
        </w:rPr>
        <w:footnoteRef/>
      </w:r>
      <w:r>
        <w:tab/>
        <w:t xml:space="preserve">Конгресс Республики. Закон № 30802,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rPr>
          <w:i/>
          <w:iCs/>
        </w:rPr>
        <w:t xml:space="preserve"> </w:t>
      </w:r>
      <w:r>
        <w:t>27</w:t>
      </w:r>
      <w:r>
        <w:rPr>
          <w:lang w:val="en-US"/>
        </w:rPr>
        <w:t> </w:t>
      </w:r>
      <w:r>
        <w:t>июня 2018 года.</w:t>
      </w:r>
    </w:p>
  </w:footnote>
  <w:footnote w:id="239">
    <w:p w14:paraId="4D661770" w14:textId="77777777" w:rsidR="009852CB" w:rsidRPr="006025EB" w:rsidRDefault="009852CB" w:rsidP="00933DEB">
      <w:pPr>
        <w:pStyle w:val="ae"/>
      </w:pPr>
      <w:r>
        <w:tab/>
      </w:r>
      <w:r w:rsidRPr="00933DEB">
        <w:rPr>
          <w:rStyle w:val="ab"/>
        </w:rPr>
        <w:footnoteRef/>
      </w:r>
      <w:r>
        <w:tab/>
        <w:t>Министерство внешней торговли и туризма Постановление № 234-2019-MINCETUR/VMT от 25 июля 2019 года.</w:t>
      </w:r>
    </w:p>
  </w:footnote>
  <w:footnote w:id="240">
    <w:p w14:paraId="609E155A" w14:textId="77777777" w:rsidR="009852CB" w:rsidRPr="006025EB" w:rsidRDefault="009852CB" w:rsidP="00933DEB">
      <w:pPr>
        <w:pStyle w:val="ae"/>
      </w:pPr>
      <w:r>
        <w:tab/>
      </w:r>
      <w:r w:rsidRPr="00933DEB">
        <w:rPr>
          <w:rStyle w:val="ab"/>
        </w:rPr>
        <w:footnoteRef/>
      </w:r>
      <w:r>
        <w:tab/>
        <w:t xml:space="preserve">Там же. Министерское постановление № 430-2018-MINCETUR,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31 октября 2018 года.</w:t>
      </w:r>
    </w:p>
  </w:footnote>
  <w:footnote w:id="241">
    <w:p w14:paraId="2BA60C97" w14:textId="77777777" w:rsidR="009852CB" w:rsidRPr="006025EB" w:rsidRDefault="009852CB" w:rsidP="00933DEB">
      <w:pPr>
        <w:pStyle w:val="ae"/>
      </w:pPr>
      <w:r>
        <w:tab/>
      </w:r>
      <w:r w:rsidRPr="00933DEB">
        <w:rPr>
          <w:rStyle w:val="ab"/>
        </w:rPr>
        <w:footnoteRef/>
      </w:r>
      <w:r>
        <w:tab/>
        <w:t>Там же. Постановление № 234-2019-MINCETUR/VMT от 25 июля 2019 года.</w:t>
      </w:r>
    </w:p>
  </w:footnote>
  <w:footnote w:id="242">
    <w:p w14:paraId="1C3DD01A" w14:textId="77777777" w:rsidR="009852CB" w:rsidRPr="006025EB" w:rsidRDefault="009852CB" w:rsidP="00933DEB">
      <w:pPr>
        <w:pStyle w:val="ae"/>
      </w:pPr>
      <w:r>
        <w:tab/>
      </w:r>
      <w:r w:rsidRPr="00933DEB">
        <w:rPr>
          <w:rStyle w:val="ab"/>
        </w:rPr>
        <w:footnoteRef/>
      </w:r>
      <w:r>
        <w:tab/>
        <w:t>Министерство обороны. Распоряжение № 036-CCFFAA/CDIHFFAA от 19 февраля 2003 года.</w:t>
      </w:r>
    </w:p>
  </w:footnote>
  <w:footnote w:id="243">
    <w:p w14:paraId="0A6547B8" w14:textId="77777777" w:rsidR="009852CB" w:rsidRPr="006025EB" w:rsidRDefault="009852CB" w:rsidP="00933DEB">
      <w:pPr>
        <w:pStyle w:val="ae"/>
      </w:pPr>
      <w:r>
        <w:tab/>
      </w:r>
      <w:r w:rsidRPr="00933DEB">
        <w:rPr>
          <w:rStyle w:val="ab"/>
        </w:rPr>
        <w:footnoteRef/>
      </w:r>
      <w:r>
        <w:tab/>
        <w:t>Там же. Постановление № 05582-2019-MINDEF/SG от 22 июля 2019 года.</w:t>
      </w:r>
    </w:p>
  </w:footnote>
  <w:footnote w:id="244">
    <w:p w14:paraId="6A7D2240" w14:textId="77777777" w:rsidR="009852CB" w:rsidRPr="006025EB" w:rsidRDefault="009852CB" w:rsidP="00933DEB">
      <w:pPr>
        <w:pStyle w:val="ae"/>
      </w:pPr>
      <w:r>
        <w:tab/>
      </w:r>
      <w:r w:rsidRPr="00933DEB">
        <w:rPr>
          <w:rStyle w:val="ab"/>
        </w:rPr>
        <w:footnoteRef/>
      </w:r>
      <w:r>
        <w:tab/>
        <w:t>Исполнительная власть. Законодательный указ № 1186, утвержденный 16 августа 2015 года.</w:t>
      </w:r>
    </w:p>
  </w:footnote>
  <w:footnote w:id="245">
    <w:p w14:paraId="5D97EB3B" w14:textId="77777777" w:rsidR="009852CB" w:rsidRPr="006025EB" w:rsidRDefault="009852CB" w:rsidP="00933DEB">
      <w:pPr>
        <w:pStyle w:val="ae"/>
      </w:pPr>
      <w:r>
        <w:tab/>
      </w:r>
      <w:r w:rsidRPr="00933DEB">
        <w:rPr>
          <w:rStyle w:val="ab"/>
        </w:rPr>
        <w:footnoteRef/>
      </w:r>
      <w:r>
        <w:tab/>
        <w:t xml:space="preserve">Министерство внутренних дел. Высочайший указ № 012-2016-IN,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27 июля 2016 года.</w:t>
      </w:r>
    </w:p>
  </w:footnote>
  <w:footnote w:id="246">
    <w:p w14:paraId="28282B8C" w14:textId="77777777" w:rsidR="009852CB" w:rsidRPr="006025EB" w:rsidRDefault="009852CB" w:rsidP="00933DEB">
      <w:pPr>
        <w:pStyle w:val="ae"/>
      </w:pPr>
      <w:r>
        <w:tab/>
      </w:r>
      <w:r w:rsidRPr="00933DEB">
        <w:rPr>
          <w:rStyle w:val="ab"/>
        </w:rPr>
        <w:footnoteRef/>
      </w:r>
      <w:r>
        <w:tab/>
        <w:t xml:space="preserve">Министерство обороны. Министерское постановление № 0165-2018-DE-SG,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7 февраля 2018 года.</w:t>
      </w:r>
    </w:p>
  </w:footnote>
  <w:footnote w:id="247">
    <w:p w14:paraId="281B7007" w14:textId="77777777" w:rsidR="009852CB" w:rsidRPr="006025EB" w:rsidRDefault="009852CB" w:rsidP="00933DEB">
      <w:pPr>
        <w:pStyle w:val="ae"/>
      </w:pPr>
      <w:r>
        <w:tab/>
      </w:r>
      <w:r w:rsidRPr="00933DEB">
        <w:rPr>
          <w:rStyle w:val="ab"/>
        </w:rPr>
        <w:footnoteRef/>
      </w:r>
      <w:r>
        <w:tab/>
        <w:t xml:space="preserve">Министерство внутренних дел. Министерское постановление № 952-2018-IN, опубликованное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13 августа 2018 года.</w:t>
      </w:r>
    </w:p>
  </w:footnote>
  <w:footnote w:id="248">
    <w:p w14:paraId="3FA59209" w14:textId="77777777" w:rsidR="009852CB" w:rsidRDefault="009852CB" w:rsidP="00933DEB">
      <w:pPr>
        <w:pStyle w:val="ae"/>
      </w:pPr>
      <w:r>
        <w:tab/>
      </w:r>
      <w:r w:rsidRPr="00933DEB">
        <w:rPr>
          <w:rStyle w:val="ab"/>
        </w:rPr>
        <w:footnoteRef/>
      </w:r>
      <w:r>
        <w:tab/>
        <w:t xml:space="preserve">Аппарат Председателя Совета министров. Высочайший указ № 016-2010-PCM,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28 января 2010 года.</w:t>
      </w:r>
    </w:p>
    <w:p w14:paraId="4DE046C6" w14:textId="77777777" w:rsidR="009852CB" w:rsidRPr="00066F1B" w:rsidRDefault="009852CB" w:rsidP="00933DEB">
      <w:pPr>
        <w:pStyle w:val="ae"/>
      </w:pPr>
      <w:r>
        <w:tab/>
      </w:r>
      <w:r>
        <w:tab/>
        <w:t xml:space="preserve">Конгресс Республики. Закон № 29976,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4</w:t>
      </w:r>
      <w:r>
        <w:rPr>
          <w:lang w:val="en-US"/>
        </w:rPr>
        <w:t> </w:t>
      </w:r>
      <w:r>
        <w:t>января 2013 года.</w:t>
      </w:r>
    </w:p>
  </w:footnote>
  <w:footnote w:id="249">
    <w:p w14:paraId="3007FC29" w14:textId="77777777" w:rsidR="009852CB" w:rsidRPr="00066F1B" w:rsidRDefault="009852CB" w:rsidP="00933DEB">
      <w:pPr>
        <w:pStyle w:val="ae"/>
      </w:pPr>
      <w:r>
        <w:tab/>
      </w:r>
      <w:r w:rsidRPr="00933DEB">
        <w:rPr>
          <w:rStyle w:val="ab"/>
        </w:rPr>
        <w:footnoteRef/>
      </w:r>
      <w:r>
        <w:tab/>
        <w:t xml:space="preserve">Там же. Высочайший указ № 046-2013-PCM,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23 апреля 2013 года.</w:t>
      </w:r>
    </w:p>
  </w:footnote>
  <w:footnote w:id="250">
    <w:p w14:paraId="3D618FC1" w14:textId="77777777" w:rsidR="009852CB" w:rsidRPr="00066F1B" w:rsidRDefault="009852CB" w:rsidP="00933DEB">
      <w:pPr>
        <w:pStyle w:val="ae"/>
      </w:pPr>
      <w:r>
        <w:tab/>
      </w:r>
      <w:r w:rsidRPr="00933DEB">
        <w:rPr>
          <w:rStyle w:val="ab"/>
        </w:rPr>
        <w:footnoteRef/>
      </w:r>
      <w:r>
        <w:tab/>
        <w:t xml:space="preserve">Там же. Высочайший указ № 092-2017-PCM, опубликованный в </w:t>
      </w:r>
      <w:r>
        <w:rPr>
          <w:i/>
          <w:iCs/>
        </w:rPr>
        <w:t xml:space="preserve">Официальном вестнике </w:t>
      </w:r>
      <w:r w:rsidRPr="009D0D86">
        <w:rPr>
          <w:rStyle w:val="ab"/>
          <w:vertAlign w:val="baseline"/>
        </w:rPr>
        <w:t>«</w:t>
      </w:r>
      <w:r w:rsidRPr="009D0D86">
        <w:rPr>
          <w:i/>
          <w:iCs/>
        </w:rPr>
        <w:t>Перуано</w:t>
      </w:r>
      <w:r w:rsidRPr="009D0D86">
        <w:rPr>
          <w:rStyle w:val="ab"/>
          <w:vertAlign w:val="baseline"/>
        </w:rPr>
        <w:t>»</w:t>
      </w:r>
      <w:r>
        <w:t xml:space="preserve"> 17 сентября 2017 года.</w:t>
      </w:r>
    </w:p>
  </w:footnote>
  <w:footnote w:id="251">
    <w:p w14:paraId="62D4B74D" w14:textId="77777777" w:rsidR="009852CB" w:rsidRPr="00066F1B" w:rsidRDefault="009852CB" w:rsidP="00933DEB">
      <w:pPr>
        <w:pStyle w:val="ae"/>
      </w:pPr>
      <w:r>
        <w:tab/>
      </w:r>
      <w:r w:rsidRPr="00933DEB">
        <w:rPr>
          <w:rStyle w:val="ab"/>
        </w:rPr>
        <w:footnoteRef/>
      </w:r>
      <w:r>
        <w:tab/>
        <w:t xml:space="preserve">Там же. Высочайший указ № 044-2018-PCM, опубликованный в </w:t>
      </w:r>
      <w:r>
        <w:rPr>
          <w:i/>
          <w:iCs/>
        </w:rPr>
        <w:t xml:space="preserve">Официальной вестнике </w:t>
      </w:r>
      <w:r w:rsidRPr="009D0D86">
        <w:rPr>
          <w:rStyle w:val="ab"/>
          <w:vertAlign w:val="baseline"/>
        </w:rPr>
        <w:t>«</w:t>
      </w:r>
      <w:r w:rsidRPr="009D0D86">
        <w:rPr>
          <w:i/>
          <w:iCs/>
        </w:rPr>
        <w:t>Перуано</w:t>
      </w:r>
      <w:r w:rsidRPr="009D0D86">
        <w:rPr>
          <w:rStyle w:val="ab"/>
          <w:vertAlign w:val="baseline"/>
        </w:rPr>
        <w:t>»</w:t>
      </w:r>
      <w:r>
        <w:t xml:space="preserve"> 26 апреля 2018 года.</w:t>
      </w:r>
    </w:p>
  </w:footnote>
  <w:footnote w:id="252">
    <w:p w14:paraId="1588FD29" w14:textId="77777777" w:rsidR="009852CB" w:rsidRPr="009760F1" w:rsidRDefault="009852CB" w:rsidP="00933DEB">
      <w:pPr>
        <w:pStyle w:val="ae"/>
        <w:rPr>
          <w:szCs w:val="18"/>
        </w:rPr>
      </w:pPr>
      <w:r>
        <w:tab/>
      </w:r>
      <w:r w:rsidRPr="00933DEB">
        <w:rPr>
          <w:rStyle w:val="ab"/>
        </w:rPr>
        <w:footnoteRef/>
      </w:r>
      <w:r w:rsidRPr="00CA1E90">
        <w:rPr>
          <w:lang w:val="es-ES_tradnl"/>
        </w:rPr>
        <w:tab/>
        <w:t xml:space="preserve">Instituto Nacional de Estadística e Informática. Informe Técnico núm. 02: Perú: </w:t>
      </w:r>
      <w:r w:rsidRPr="00D94AC5">
        <w:rPr>
          <w:i/>
          <w:iCs/>
          <w:lang w:val="es-ES_tradnl"/>
        </w:rPr>
        <w:t xml:space="preserve">Percepción ciudadana sobre gobernabilidad, democracia y confianza en las instituciones Setiembre 2017 — </w:t>
      </w:r>
      <w:proofErr w:type="gramStart"/>
      <w:r w:rsidRPr="00D94AC5">
        <w:rPr>
          <w:i/>
          <w:iCs/>
          <w:lang w:val="es-ES_tradnl"/>
        </w:rPr>
        <w:t>Febrero</w:t>
      </w:r>
      <w:proofErr w:type="gramEnd"/>
      <w:r w:rsidRPr="00D94AC5">
        <w:rPr>
          <w:i/>
          <w:iCs/>
          <w:lang w:val="es-ES_tradnl"/>
        </w:rPr>
        <w:t xml:space="preserve"> 2018</w:t>
      </w:r>
      <w:r w:rsidRPr="00CA1E90">
        <w:rPr>
          <w:lang w:val="es-ES_tradnl"/>
        </w:rPr>
        <w:t xml:space="preserve">. </w:t>
      </w:r>
      <w:r>
        <w:t xml:space="preserve">Pág. 5–9. URL: </w:t>
      </w:r>
      <w:hyperlink r:id="rId23" w:history="1">
        <w:r w:rsidRPr="009760F1">
          <w:rPr>
            <w:rStyle w:val="af2"/>
            <w:szCs w:val="18"/>
          </w:rPr>
          <w:t>https://www.inei.gob.pe/media/MenuRecursivo/boletines/boletin-percepcion-gobernabilidad-abril-2018.pdf</w:t>
        </w:r>
      </w:hyperlink>
      <w:r>
        <w:t xml:space="preserve"> (дата обращения: 08.08.2019).</w:t>
      </w:r>
    </w:p>
  </w:footnote>
  <w:footnote w:id="253">
    <w:p w14:paraId="4364CEDC" w14:textId="77777777" w:rsidR="009852CB" w:rsidRPr="00066F1B" w:rsidRDefault="009852CB" w:rsidP="00933DEB">
      <w:pPr>
        <w:pStyle w:val="ae"/>
      </w:pPr>
      <w:r>
        <w:tab/>
      </w:r>
      <w:r w:rsidRPr="00933DEB">
        <w:rPr>
          <w:rStyle w:val="ab"/>
        </w:rPr>
        <w:footnoteRef/>
      </w:r>
      <w:r>
        <w:tab/>
        <w:t xml:space="preserve">Конгресс Республики. Закон № 30754, опубликованный в </w:t>
      </w:r>
      <w:r>
        <w:rPr>
          <w:i/>
          <w:iCs/>
        </w:rPr>
        <w:t xml:space="preserve">Официальном </w:t>
      </w:r>
      <w:r w:rsidRPr="009D0D86">
        <w:rPr>
          <w:i/>
          <w:iCs/>
        </w:rPr>
        <w:t xml:space="preserve">вестнике </w:t>
      </w:r>
      <w:r w:rsidRPr="009D0D86">
        <w:rPr>
          <w:rStyle w:val="ab"/>
          <w:vertAlign w:val="baseline"/>
        </w:rPr>
        <w:t>«</w:t>
      </w:r>
      <w:r w:rsidRPr="009D0D86">
        <w:rPr>
          <w:i/>
          <w:iCs/>
        </w:rPr>
        <w:t>Перуано</w:t>
      </w:r>
      <w:r w:rsidRPr="009D0D86">
        <w:rPr>
          <w:rStyle w:val="ab"/>
          <w:vertAlign w:val="baseline"/>
        </w:rPr>
        <w:t>»</w:t>
      </w:r>
      <w:r>
        <w:t xml:space="preserve"> 18 апреля 2018 года.</w:t>
      </w:r>
    </w:p>
  </w:footnote>
  <w:footnote w:id="254">
    <w:p w14:paraId="0D6093E9" w14:textId="77777777" w:rsidR="009852CB" w:rsidRDefault="009852CB" w:rsidP="00933DEB">
      <w:pPr>
        <w:pStyle w:val="ae"/>
      </w:pPr>
      <w:r>
        <w:tab/>
      </w:r>
      <w:r w:rsidRPr="00933DEB">
        <w:rPr>
          <w:rStyle w:val="ab"/>
        </w:rPr>
        <w:footnoteRef/>
      </w:r>
      <w:r>
        <w:tab/>
        <w:t xml:space="preserve">Министерство энергетики и горнорудной промышленности. Высочайший указ </w:t>
      </w:r>
      <w:r>
        <w:br/>
        <w:t xml:space="preserve">№ 014-2019-EM, опубликованный в </w:t>
      </w:r>
      <w:r>
        <w:rPr>
          <w:i/>
          <w:iCs/>
        </w:rPr>
        <w:t xml:space="preserve">Официальном </w:t>
      </w:r>
      <w:r w:rsidRPr="00E436C8">
        <w:rPr>
          <w:i/>
          <w:iCs/>
        </w:rPr>
        <w:t xml:space="preserve">вестнике </w:t>
      </w:r>
      <w:r w:rsidRPr="00E436C8">
        <w:rPr>
          <w:rStyle w:val="ab"/>
          <w:vertAlign w:val="baseline"/>
        </w:rPr>
        <w:t>«</w:t>
      </w:r>
      <w:r w:rsidRPr="00E436C8">
        <w:rPr>
          <w:i/>
          <w:iCs/>
        </w:rPr>
        <w:t>Перуано</w:t>
      </w:r>
      <w:r w:rsidRPr="00E436C8">
        <w:rPr>
          <w:rStyle w:val="ab"/>
          <w:vertAlign w:val="baseline"/>
        </w:rPr>
        <w:t>»</w:t>
      </w:r>
      <w:r>
        <w:t xml:space="preserve"> 7 июля 2019 года.</w:t>
      </w:r>
    </w:p>
  </w:footnote>
  <w:footnote w:id="255">
    <w:p w14:paraId="4D16F7C8" w14:textId="77777777" w:rsidR="009852CB" w:rsidRPr="006025EB" w:rsidRDefault="009852CB" w:rsidP="00933DEB">
      <w:pPr>
        <w:pStyle w:val="ae"/>
      </w:pPr>
      <w:r>
        <w:tab/>
      </w:r>
      <w:r w:rsidRPr="00933DEB">
        <w:rPr>
          <w:rStyle w:val="ab"/>
        </w:rPr>
        <w:footnoteRef/>
      </w:r>
      <w:r>
        <w:tab/>
        <w:t>Аппарат Председателя Совета министров. Сообщение по электронной почте от 6 сентября 2019 года.</w:t>
      </w:r>
    </w:p>
  </w:footnote>
  <w:footnote w:id="256">
    <w:p w14:paraId="052C9EF5" w14:textId="77777777" w:rsidR="009852CB" w:rsidRPr="006025EB" w:rsidRDefault="009852CB" w:rsidP="00933DEB">
      <w:pPr>
        <w:pStyle w:val="ae"/>
      </w:pPr>
      <w:r>
        <w:tab/>
      </w:r>
      <w:r w:rsidRPr="00933DEB">
        <w:rPr>
          <w:rStyle w:val="ab"/>
        </w:rPr>
        <w:footnoteRef/>
      </w:r>
      <w:r>
        <w:tab/>
        <w:t xml:space="preserve">Конгресс Республики. Закон № 30787, опубликованный в </w:t>
      </w:r>
      <w:r>
        <w:rPr>
          <w:i/>
          <w:iCs/>
        </w:rPr>
        <w:t xml:space="preserve">Официальном вестнике </w:t>
      </w:r>
      <w:r w:rsidRPr="00E436C8">
        <w:rPr>
          <w:rStyle w:val="ab"/>
          <w:vertAlign w:val="baseline"/>
        </w:rPr>
        <w:t>«</w:t>
      </w:r>
      <w:r w:rsidRPr="00E436C8">
        <w:rPr>
          <w:i/>
          <w:iCs/>
        </w:rPr>
        <w:t>Перуано</w:t>
      </w:r>
      <w:r w:rsidRPr="00E436C8">
        <w:rPr>
          <w:rStyle w:val="ab"/>
          <w:vertAlign w:val="baseline"/>
        </w:rPr>
        <w:t>»</w:t>
      </w:r>
      <w:r w:rsidRPr="00E436C8">
        <w:t xml:space="preserve"> </w:t>
      </w:r>
      <w:r>
        <w:t>9</w:t>
      </w:r>
      <w:r>
        <w:rPr>
          <w:lang w:val="en-US"/>
        </w:rPr>
        <w:t> </w:t>
      </w:r>
      <w:r>
        <w:t>июня 2018 года.</w:t>
      </w:r>
    </w:p>
  </w:footnote>
  <w:footnote w:id="257">
    <w:p w14:paraId="1BDAD4AE" w14:textId="77777777" w:rsidR="009852CB" w:rsidRPr="006025EB" w:rsidRDefault="009852CB" w:rsidP="00933DEB">
      <w:pPr>
        <w:pStyle w:val="ae"/>
      </w:pPr>
      <w:r>
        <w:tab/>
      </w:r>
      <w:r w:rsidRPr="00933DEB">
        <w:rPr>
          <w:rStyle w:val="ab"/>
        </w:rPr>
        <w:footnoteRef/>
      </w:r>
      <w:r>
        <w:tab/>
        <w:t xml:space="preserve">Аппарат Председателя Совета министров. Министерское постановление № 171-2018-PCM, опубликованное в </w:t>
      </w:r>
      <w:r>
        <w:rPr>
          <w:i/>
          <w:iCs/>
        </w:rPr>
        <w:t xml:space="preserve">Официальном </w:t>
      </w:r>
      <w:r w:rsidRPr="00E436C8">
        <w:rPr>
          <w:i/>
          <w:iCs/>
        </w:rPr>
        <w:t xml:space="preserve">вестнике </w:t>
      </w:r>
      <w:r w:rsidRPr="00E436C8">
        <w:rPr>
          <w:rStyle w:val="ab"/>
          <w:vertAlign w:val="baseline"/>
        </w:rPr>
        <w:t>«</w:t>
      </w:r>
      <w:r w:rsidRPr="00E436C8">
        <w:rPr>
          <w:i/>
          <w:iCs/>
        </w:rPr>
        <w:t>Перуано</w:t>
      </w:r>
      <w:r w:rsidRPr="00E436C8">
        <w:rPr>
          <w:rStyle w:val="ab"/>
          <w:vertAlign w:val="baseline"/>
        </w:rPr>
        <w:t>»</w:t>
      </w:r>
      <w:r>
        <w:t xml:space="preserve"> 12 июля 2018 года.</w:t>
      </w:r>
    </w:p>
  </w:footnote>
  <w:footnote w:id="258">
    <w:p w14:paraId="351DC91D" w14:textId="77777777" w:rsidR="009852CB" w:rsidRPr="006025EB" w:rsidRDefault="009852CB" w:rsidP="00933DEB">
      <w:pPr>
        <w:pStyle w:val="ae"/>
      </w:pPr>
      <w:r>
        <w:tab/>
      </w:r>
      <w:r w:rsidRPr="00933DEB">
        <w:rPr>
          <w:rStyle w:val="ab"/>
        </w:rPr>
        <w:footnoteRef/>
      </w:r>
      <w:r>
        <w:tab/>
        <w:t xml:space="preserve">Министерство юстиции и по правам человека. Министерское постановление № 0167-2012-JUS, опубликованное в </w:t>
      </w:r>
      <w:r>
        <w:rPr>
          <w:i/>
          <w:iCs/>
        </w:rPr>
        <w:t xml:space="preserve">Официальном </w:t>
      </w:r>
      <w:r w:rsidRPr="00E436C8">
        <w:rPr>
          <w:i/>
          <w:iCs/>
        </w:rPr>
        <w:t xml:space="preserve">вестнике </w:t>
      </w:r>
      <w:r w:rsidRPr="00E436C8">
        <w:rPr>
          <w:rStyle w:val="ab"/>
          <w:vertAlign w:val="baseline"/>
        </w:rPr>
        <w:t>«</w:t>
      </w:r>
      <w:r w:rsidRPr="00E436C8">
        <w:rPr>
          <w:i/>
          <w:iCs/>
        </w:rPr>
        <w:t>Перуано</w:t>
      </w:r>
      <w:r w:rsidRPr="00E436C8">
        <w:rPr>
          <w:rStyle w:val="ab"/>
          <w:vertAlign w:val="baseline"/>
        </w:rPr>
        <w:t>»</w:t>
      </w:r>
      <w:r>
        <w:t xml:space="preserve"> 3 июля 2012 года. Статья 4 е).</w:t>
      </w:r>
    </w:p>
  </w:footnote>
  <w:footnote w:id="259">
    <w:p w14:paraId="52B93653" w14:textId="77777777" w:rsidR="009852CB" w:rsidRPr="006025EB" w:rsidRDefault="009852CB" w:rsidP="00933DEB">
      <w:pPr>
        <w:pStyle w:val="ae"/>
      </w:pPr>
      <w:r>
        <w:tab/>
      </w:r>
      <w:r w:rsidRPr="00933DEB">
        <w:rPr>
          <w:rStyle w:val="ab"/>
        </w:rPr>
        <w:footnoteRef/>
      </w:r>
      <w:r>
        <w:tab/>
        <w:t xml:space="preserve">Министерство иностранных дел. Высочайший указ № 135-2010-RE, опубликованный в </w:t>
      </w:r>
      <w:r>
        <w:rPr>
          <w:i/>
          <w:iCs/>
        </w:rPr>
        <w:t xml:space="preserve">Официальном </w:t>
      </w:r>
      <w:r w:rsidRPr="00E436C8">
        <w:rPr>
          <w:i/>
          <w:iCs/>
        </w:rPr>
        <w:t xml:space="preserve">вестнике </w:t>
      </w:r>
      <w:r w:rsidRPr="00E436C8">
        <w:rPr>
          <w:rStyle w:val="ab"/>
          <w:vertAlign w:val="baseline"/>
        </w:rPr>
        <w:t>«</w:t>
      </w:r>
      <w:r w:rsidRPr="00E436C8">
        <w:rPr>
          <w:i/>
          <w:iCs/>
        </w:rPr>
        <w:t>Перуано</w:t>
      </w:r>
      <w:r w:rsidRPr="00E436C8">
        <w:rPr>
          <w:rStyle w:val="ab"/>
          <w:vertAlign w:val="baseline"/>
        </w:rPr>
        <w:t>»</w:t>
      </w:r>
      <w:r>
        <w:t xml:space="preserve"> 18 декабря 2010 года. Статья 99 е).</w:t>
      </w:r>
    </w:p>
  </w:footnote>
  <w:footnote w:id="260">
    <w:p w14:paraId="2665F15C" w14:textId="77777777" w:rsidR="009852CB" w:rsidRPr="006025EB" w:rsidRDefault="009852CB" w:rsidP="00933DEB">
      <w:pPr>
        <w:pStyle w:val="ae"/>
        <w:rPr>
          <w:i/>
        </w:rPr>
      </w:pPr>
      <w:r>
        <w:tab/>
      </w:r>
      <w:r w:rsidRPr="00933DEB">
        <w:rPr>
          <w:rStyle w:val="ab"/>
        </w:rPr>
        <w:footnoteRef/>
      </w:r>
      <w:r>
        <w:tab/>
        <w:t xml:space="preserve">Министерство юстиции и по правам человека. Высочайший указ № 002-2018-JUS, опубликованный в </w:t>
      </w:r>
      <w:r w:rsidRPr="008E646D">
        <w:rPr>
          <w:i/>
        </w:rPr>
        <w:t xml:space="preserve">Официальном </w:t>
      </w:r>
      <w:r w:rsidRPr="00E436C8">
        <w:rPr>
          <w:i/>
        </w:rPr>
        <w:t xml:space="preserve">вестнике </w:t>
      </w:r>
      <w:r w:rsidRPr="00E436C8">
        <w:rPr>
          <w:rStyle w:val="ab"/>
          <w:vertAlign w:val="baseline"/>
        </w:rPr>
        <w:t>«</w:t>
      </w:r>
      <w:r w:rsidRPr="00E436C8">
        <w:rPr>
          <w:i/>
        </w:rPr>
        <w:t>Перуано</w:t>
      </w:r>
      <w:r w:rsidRPr="00E436C8">
        <w:rPr>
          <w:rStyle w:val="ab"/>
          <w:vertAlign w:val="baseline"/>
        </w:rPr>
        <w:t>»</w:t>
      </w:r>
      <w:r>
        <w:t xml:space="preserve"> 1 февраля 2018 года.</w:t>
      </w:r>
    </w:p>
  </w:footnote>
  <w:footnote w:id="261">
    <w:p w14:paraId="2FE91CC8" w14:textId="77777777" w:rsidR="009852CB" w:rsidRPr="006025EB" w:rsidRDefault="009852CB" w:rsidP="00933DEB">
      <w:pPr>
        <w:pStyle w:val="ae"/>
      </w:pPr>
      <w:r>
        <w:tab/>
      </w:r>
      <w:r w:rsidRPr="00933DEB">
        <w:rPr>
          <w:rStyle w:val="ab"/>
        </w:rPr>
        <w:footnoteRef/>
      </w:r>
      <w:r>
        <w:tab/>
        <w:t>Конституционный суд. Решение по делу № 0033-2010-PI/TC от 10 апреля 2012 года, мотивировочная часть № 12.</w:t>
      </w:r>
    </w:p>
  </w:footnote>
  <w:footnote w:id="262">
    <w:p w14:paraId="1D01EDA4" w14:textId="77777777" w:rsidR="009852CB" w:rsidRPr="009852CB" w:rsidRDefault="009852CB" w:rsidP="00933DEB">
      <w:pPr>
        <w:pStyle w:val="ae"/>
        <w:rPr>
          <w:szCs w:val="18"/>
        </w:rPr>
      </w:pPr>
      <w:r>
        <w:tab/>
      </w:r>
      <w:r w:rsidRPr="00933DEB">
        <w:rPr>
          <w:rStyle w:val="ab"/>
        </w:rPr>
        <w:footnoteRef/>
      </w:r>
      <w:r>
        <w:tab/>
        <w:t xml:space="preserve">Исполнительная власть. Законодательный указ № 1323, опубликованный в </w:t>
      </w:r>
      <w:r>
        <w:rPr>
          <w:i/>
          <w:iCs/>
        </w:rPr>
        <w:t xml:space="preserve">Официальном </w:t>
      </w:r>
      <w:r w:rsidRPr="00E24F35">
        <w:rPr>
          <w:i/>
          <w:iCs/>
        </w:rPr>
        <w:t xml:space="preserve">вестнике </w:t>
      </w:r>
      <w:r w:rsidRPr="00E24F35">
        <w:rPr>
          <w:rStyle w:val="ab"/>
          <w:vertAlign w:val="baseline"/>
        </w:rPr>
        <w:t>«</w:t>
      </w:r>
      <w:r w:rsidRPr="00E24F35">
        <w:rPr>
          <w:i/>
          <w:iCs/>
        </w:rPr>
        <w:t>Перуано</w:t>
      </w:r>
      <w:r w:rsidRPr="00E24F35">
        <w:rPr>
          <w:rStyle w:val="ab"/>
          <w:vertAlign w:val="baseline"/>
        </w:rPr>
        <w:t>»</w:t>
      </w:r>
      <w:r>
        <w:t xml:space="preserve"> 6 января 2017 года. Ст</w:t>
      </w:r>
      <w:r w:rsidR="00043F45">
        <w:t>.</w:t>
      </w:r>
      <w:r>
        <w:t xml:space="preserve"> 1. Конгресс Республики направил</w:t>
      </w:r>
      <w:r>
        <w:br/>
        <w:t xml:space="preserve">12 мая 2017 года в органы исполнительной власти подлинный текст Законодательного </w:t>
      </w:r>
      <w:r>
        <w:br/>
        <w:t xml:space="preserve">указа № 1323, который частично отменил статью 1 и восстановил действие </w:t>
      </w:r>
      <w:r>
        <w:br/>
        <w:t xml:space="preserve">пункта 2 d) статьи 46 и статьи 323. </w:t>
      </w:r>
      <w:r w:rsidRPr="005E6D65">
        <w:rPr>
          <w:lang w:val="fr-CH"/>
        </w:rPr>
        <w:t>URL</w:t>
      </w:r>
      <w:r w:rsidRPr="009852CB">
        <w:t xml:space="preserve">: </w:t>
      </w:r>
      <w:hyperlink r:id="rId24" w:history="1">
        <w:r w:rsidRPr="005E6D65">
          <w:rPr>
            <w:rStyle w:val="af2"/>
            <w:szCs w:val="18"/>
            <w:lang w:val="fr-CH"/>
          </w:rPr>
          <w:t>http</w:t>
        </w:r>
        <w:r w:rsidRPr="009852CB">
          <w:rPr>
            <w:rStyle w:val="af2"/>
            <w:szCs w:val="18"/>
          </w:rPr>
          <w:t>://</w:t>
        </w:r>
        <w:r w:rsidRPr="005E6D65">
          <w:rPr>
            <w:rStyle w:val="af2"/>
            <w:szCs w:val="18"/>
            <w:lang w:val="fr-CH"/>
          </w:rPr>
          <w:t>www</w:t>
        </w:r>
        <w:r w:rsidRPr="009852CB">
          <w:rPr>
            <w:rStyle w:val="af2"/>
            <w:szCs w:val="18"/>
          </w:rPr>
          <w:t>2.</w:t>
        </w:r>
        <w:proofErr w:type="spellStart"/>
        <w:r w:rsidRPr="005E6D65">
          <w:rPr>
            <w:rStyle w:val="af2"/>
            <w:szCs w:val="18"/>
            <w:lang w:val="fr-CH"/>
          </w:rPr>
          <w:t>congreso</w:t>
        </w:r>
        <w:proofErr w:type="spellEnd"/>
        <w:r w:rsidRPr="009852CB">
          <w:rPr>
            <w:rStyle w:val="af2"/>
            <w:szCs w:val="18"/>
          </w:rPr>
          <w:t>.</w:t>
        </w:r>
        <w:proofErr w:type="spellStart"/>
        <w:r w:rsidRPr="005E6D65">
          <w:rPr>
            <w:rStyle w:val="af2"/>
            <w:szCs w:val="18"/>
            <w:lang w:val="fr-CH"/>
          </w:rPr>
          <w:t>gob</w:t>
        </w:r>
        <w:proofErr w:type="spellEnd"/>
        <w:r w:rsidRPr="009852CB">
          <w:rPr>
            <w:rStyle w:val="af2"/>
            <w:szCs w:val="18"/>
          </w:rPr>
          <w:t>.</w:t>
        </w:r>
        <w:proofErr w:type="spellStart"/>
        <w:r w:rsidRPr="005E6D65">
          <w:rPr>
            <w:rStyle w:val="af2"/>
            <w:szCs w:val="18"/>
            <w:lang w:val="fr-CH"/>
          </w:rPr>
          <w:t>pe</w:t>
        </w:r>
        <w:proofErr w:type="spellEnd"/>
        <w:r w:rsidRPr="009852CB">
          <w:rPr>
            <w:rStyle w:val="af2"/>
            <w:szCs w:val="18"/>
          </w:rPr>
          <w:t>/</w:t>
        </w:r>
        <w:proofErr w:type="spellStart"/>
        <w:r w:rsidRPr="005E6D65">
          <w:rPr>
            <w:rStyle w:val="af2"/>
            <w:szCs w:val="18"/>
            <w:lang w:val="fr-CH"/>
          </w:rPr>
          <w:t>Sicr</w:t>
        </w:r>
        <w:proofErr w:type="spellEnd"/>
        <w:r w:rsidRPr="009852CB">
          <w:rPr>
            <w:rStyle w:val="af2"/>
            <w:szCs w:val="18"/>
          </w:rPr>
          <w:t>/</w:t>
        </w:r>
        <w:proofErr w:type="spellStart"/>
        <w:r w:rsidRPr="005E6D65">
          <w:rPr>
            <w:rStyle w:val="af2"/>
            <w:szCs w:val="18"/>
            <w:lang w:val="fr-CH"/>
          </w:rPr>
          <w:t>RelatAgenda</w:t>
        </w:r>
        <w:proofErr w:type="spellEnd"/>
        <w:r w:rsidRPr="009852CB">
          <w:rPr>
            <w:rStyle w:val="af2"/>
            <w:szCs w:val="18"/>
          </w:rPr>
          <w:t>/</w:t>
        </w:r>
        <w:r>
          <w:rPr>
            <w:rStyle w:val="af2"/>
            <w:szCs w:val="18"/>
          </w:rPr>
          <w:t xml:space="preserve"> </w:t>
        </w:r>
        <w:proofErr w:type="spellStart"/>
        <w:r w:rsidRPr="005E6D65">
          <w:rPr>
            <w:rStyle w:val="af2"/>
            <w:szCs w:val="18"/>
            <w:lang w:val="fr-CH"/>
          </w:rPr>
          <w:t>proapro</w:t>
        </w:r>
        <w:proofErr w:type="spellEnd"/>
        <w:r w:rsidRPr="009852CB">
          <w:rPr>
            <w:rStyle w:val="af2"/>
            <w:szCs w:val="18"/>
          </w:rPr>
          <w:t>20112016.</w:t>
        </w:r>
        <w:proofErr w:type="spellStart"/>
        <w:r w:rsidRPr="005E6D65">
          <w:rPr>
            <w:rStyle w:val="af2"/>
            <w:szCs w:val="18"/>
            <w:lang w:val="fr-CH"/>
          </w:rPr>
          <w:t>nsf</w:t>
        </w:r>
        <w:proofErr w:type="spellEnd"/>
        <w:r w:rsidRPr="009852CB">
          <w:rPr>
            <w:rStyle w:val="af2"/>
            <w:szCs w:val="18"/>
          </w:rPr>
          <w:t>/</w:t>
        </w:r>
        <w:proofErr w:type="spellStart"/>
        <w:r w:rsidRPr="005E6D65">
          <w:rPr>
            <w:rStyle w:val="af2"/>
            <w:szCs w:val="18"/>
            <w:lang w:val="fr-CH"/>
          </w:rPr>
          <w:t>ProyectosAprobadosPortal</w:t>
        </w:r>
        <w:proofErr w:type="spellEnd"/>
        <w:r w:rsidRPr="009852CB">
          <w:rPr>
            <w:rStyle w:val="af2"/>
            <w:szCs w:val="18"/>
          </w:rPr>
          <w:t>/737054</w:t>
        </w:r>
        <w:r w:rsidRPr="005E6D65">
          <w:rPr>
            <w:rStyle w:val="af2"/>
            <w:szCs w:val="18"/>
            <w:lang w:val="fr-CH"/>
          </w:rPr>
          <w:t>A</w:t>
        </w:r>
        <w:r w:rsidRPr="009852CB">
          <w:rPr>
            <w:rStyle w:val="af2"/>
            <w:szCs w:val="18"/>
          </w:rPr>
          <w:t>2</w:t>
        </w:r>
        <w:r w:rsidRPr="005E6D65">
          <w:rPr>
            <w:rStyle w:val="af2"/>
            <w:szCs w:val="18"/>
            <w:lang w:val="fr-CH"/>
          </w:rPr>
          <w:t>FA</w:t>
        </w:r>
        <w:r w:rsidRPr="009852CB">
          <w:rPr>
            <w:rStyle w:val="af2"/>
            <w:szCs w:val="18"/>
          </w:rPr>
          <w:t>9</w:t>
        </w:r>
        <w:r w:rsidRPr="005E6D65">
          <w:rPr>
            <w:rStyle w:val="af2"/>
            <w:szCs w:val="18"/>
            <w:lang w:val="fr-CH"/>
          </w:rPr>
          <w:t>D</w:t>
        </w:r>
        <w:r w:rsidRPr="009852CB">
          <w:rPr>
            <w:rStyle w:val="af2"/>
            <w:szCs w:val="18"/>
          </w:rPr>
          <w:t>2</w:t>
        </w:r>
        <w:r w:rsidRPr="005E6D65">
          <w:rPr>
            <w:rStyle w:val="af2"/>
            <w:szCs w:val="18"/>
            <w:lang w:val="fr-CH"/>
          </w:rPr>
          <w:t>CB</w:t>
        </w:r>
        <w:r w:rsidRPr="009852CB">
          <w:rPr>
            <w:rStyle w:val="af2"/>
            <w:szCs w:val="18"/>
          </w:rPr>
          <w:t>80525811</w:t>
        </w:r>
        <w:r w:rsidRPr="005E6D65">
          <w:rPr>
            <w:rStyle w:val="af2"/>
            <w:szCs w:val="18"/>
            <w:lang w:val="fr-CH"/>
          </w:rPr>
          <w:t>E</w:t>
        </w:r>
        <w:r w:rsidRPr="009852CB">
          <w:rPr>
            <w:rStyle w:val="af2"/>
            <w:szCs w:val="18"/>
          </w:rPr>
          <w:t>008056</w:t>
        </w:r>
        <w:r w:rsidRPr="005E6D65">
          <w:rPr>
            <w:rStyle w:val="af2"/>
            <w:szCs w:val="18"/>
            <w:lang w:val="fr-CH"/>
          </w:rPr>
          <w:t>E</w:t>
        </w:r>
        <w:r w:rsidRPr="009852CB">
          <w:rPr>
            <w:rStyle w:val="af2"/>
            <w:szCs w:val="18"/>
          </w:rPr>
          <w:t>6/$</w:t>
        </w:r>
        <w:r w:rsidRPr="005E6D65">
          <w:rPr>
            <w:rStyle w:val="af2"/>
            <w:szCs w:val="18"/>
            <w:lang w:val="fr-CH"/>
          </w:rPr>
          <w:t>FILE</w:t>
        </w:r>
        <w:r w:rsidRPr="009852CB">
          <w:rPr>
            <w:rStyle w:val="af2"/>
            <w:szCs w:val="18"/>
          </w:rPr>
          <w:t>/</w:t>
        </w:r>
        <w:r w:rsidRPr="005E6D65">
          <w:rPr>
            <w:rStyle w:val="af2"/>
            <w:szCs w:val="18"/>
            <w:lang w:val="fr-CH"/>
          </w:rPr>
          <w:t>AU</w:t>
        </w:r>
        <w:r w:rsidRPr="009852CB">
          <w:rPr>
            <w:rStyle w:val="af2"/>
            <w:szCs w:val="18"/>
          </w:rPr>
          <w:t>0131920170512.</w:t>
        </w:r>
        <w:proofErr w:type="spellStart"/>
        <w:r w:rsidRPr="005E6D65">
          <w:rPr>
            <w:rStyle w:val="af2"/>
            <w:szCs w:val="18"/>
            <w:lang w:val="fr-CH"/>
          </w:rPr>
          <w:t>pdf</w:t>
        </w:r>
        <w:proofErr w:type="spellEnd"/>
      </w:hyperlink>
      <w:r w:rsidRPr="009852CB">
        <w:t>.</w:t>
      </w:r>
    </w:p>
    <w:p w14:paraId="6E065CE8" w14:textId="77777777" w:rsidR="009852CB" w:rsidRPr="00CA1E90" w:rsidRDefault="009852CB" w:rsidP="00933DEB">
      <w:pPr>
        <w:pStyle w:val="ae"/>
        <w:rPr>
          <w:lang w:val="en-US"/>
        </w:rPr>
      </w:pPr>
      <w:r w:rsidRPr="009852CB">
        <w:tab/>
      </w:r>
      <w:r w:rsidRPr="009852CB">
        <w:tab/>
      </w:r>
      <w:r>
        <w:t xml:space="preserve">Этот указ был приведен в исполнение органами исполнительной власти 2 июня 2017 года. </w:t>
      </w:r>
      <w:r w:rsidRPr="00BC5892">
        <w:rPr>
          <w:lang w:val="en-US"/>
        </w:rPr>
        <w:t xml:space="preserve">URL: </w:t>
      </w:r>
      <w:hyperlink r:id="rId25" w:history="1">
        <w:r w:rsidRPr="005E6D65">
          <w:rPr>
            <w:rStyle w:val="af2"/>
            <w:rFonts w:eastAsiaTheme="minorHAnsi"/>
            <w:lang w:val="en-US"/>
          </w:rPr>
          <w:t>http://www.leyes.congreso.gob.pe/Documentos/2016_2021/Observacion_a_la_Autografa/ OBAU0131920170602.pdf</w:t>
        </w:r>
      </w:hyperlink>
      <w:r w:rsidRPr="00BC5892">
        <w:rPr>
          <w:lang w:val="en-US"/>
        </w:rPr>
        <w:t>.</w:t>
      </w:r>
    </w:p>
  </w:footnote>
  <w:footnote w:id="263">
    <w:p w14:paraId="05271032" w14:textId="77777777" w:rsidR="009852CB" w:rsidRPr="006025EB" w:rsidRDefault="009852CB" w:rsidP="00933DEB">
      <w:pPr>
        <w:pStyle w:val="ae"/>
      </w:pPr>
      <w:r w:rsidRPr="00BC5892">
        <w:rPr>
          <w:lang w:val="en-US"/>
        </w:rPr>
        <w:tab/>
      </w:r>
      <w:r w:rsidRPr="00933DEB">
        <w:rPr>
          <w:rStyle w:val="ab"/>
          <w:rFonts w:eastAsia="SimSun"/>
        </w:rPr>
        <w:footnoteRef/>
      </w:r>
      <w:r>
        <w:tab/>
        <w:t xml:space="preserve">Министерство юстиции и по правам человека. Высочайший указ № 015-2013-JUS, опубликованный в </w:t>
      </w:r>
      <w:r>
        <w:rPr>
          <w:i/>
          <w:iCs/>
        </w:rPr>
        <w:t xml:space="preserve">Официальном </w:t>
      </w:r>
      <w:r w:rsidRPr="005E6D65">
        <w:rPr>
          <w:i/>
          <w:iCs/>
        </w:rPr>
        <w:t xml:space="preserve">вестнике </w:t>
      </w:r>
      <w:r w:rsidRPr="005E6D65">
        <w:rPr>
          <w:rStyle w:val="ab"/>
          <w:vertAlign w:val="baseline"/>
        </w:rPr>
        <w:t>«</w:t>
      </w:r>
      <w:r w:rsidRPr="005E6D65">
        <w:rPr>
          <w:i/>
          <w:iCs/>
        </w:rPr>
        <w:t>Перуано</w:t>
      </w:r>
      <w:r w:rsidRPr="005E6D65">
        <w:rPr>
          <w:rStyle w:val="ab"/>
          <w:vertAlign w:val="baseline"/>
        </w:rPr>
        <w:t>»</w:t>
      </w:r>
      <w:r>
        <w:t xml:space="preserve"> 6 декабря 2013 года. Ст.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573D" w14:textId="49899C0C" w:rsidR="009852CB" w:rsidRPr="00CA1E90" w:rsidRDefault="009852CB">
    <w:pPr>
      <w:pStyle w:val="a6"/>
    </w:pPr>
    <w:fldSimple w:instr=" TITLE  \* MERGEFORMAT ">
      <w:r w:rsidR="00DD424E">
        <w:t>HRI/CORE/PER/2019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9142" w14:textId="55E338F5" w:rsidR="009852CB" w:rsidRPr="00CA1E90" w:rsidRDefault="009852CB" w:rsidP="00CA1E90">
    <w:pPr>
      <w:pStyle w:val="a6"/>
      <w:jc w:val="right"/>
    </w:pPr>
    <w:fldSimple w:instr=" TITLE  \* MERGEFORMAT ">
      <w:r w:rsidR="00DD424E">
        <w:t>HRI/CORE/PER/2019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2097"/>
    <w:multiLevelType w:val="hybridMultilevel"/>
    <w:tmpl w:val="1004E624"/>
    <w:lvl w:ilvl="0" w:tplc="280A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0F0561"/>
    <w:multiLevelType w:val="multilevel"/>
    <w:tmpl w:val="06AAFD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0C84D69"/>
    <w:multiLevelType w:val="hybridMultilevel"/>
    <w:tmpl w:val="E9B0A792"/>
    <w:lvl w:ilvl="0" w:tplc="280A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DC31F0"/>
    <w:multiLevelType w:val="multilevel"/>
    <w:tmpl w:val="1CF89DC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C74DD3"/>
    <w:multiLevelType w:val="multilevel"/>
    <w:tmpl w:val="D688C0B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D1283E"/>
    <w:multiLevelType w:val="hybridMultilevel"/>
    <w:tmpl w:val="749E3BA0"/>
    <w:lvl w:ilvl="0" w:tplc="8BFA847C">
      <w:start w:val="1"/>
      <w:numFmt w:val="decimal"/>
      <w:lvlText w:val="%1."/>
      <w:lvlJc w:val="left"/>
      <w:pPr>
        <w:ind w:left="644" w:hanging="360"/>
      </w:pPr>
      <w:rPr>
        <w:rFonts w:ascii="Times New Roman" w:hAnsi="Times New Roman" w:cs="Times New Roman" w:hint="default"/>
        <w:b w:val="0"/>
        <w:i w:val="0"/>
        <w:sz w:val="24"/>
        <w:szCs w:val="24"/>
      </w:rPr>
    </w:lvl>
    <w:lvl w:ilvl="1" w:tplc="A406FD8E">
      <w:start w:val="1"/>
      <w:numFmt w:val="lowerLetter"/>
      <w:lvlText w:val="%2)"/>
      <w:lvlJc w:val="left"/>
      <w:pPr>
        <w:ind w:left="1440" w:hanging="360"/>
      </w:pPr>
      <w:rPr>
        <w:rFonts w:hint="default"/>
        <w:i/>
        <w:u w:val="single"/>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82BE6"/>
    <w:multiLevelType w:val="hybridMultilevel"/>
    <w:tmpl w:val="3EBACAF6"/>
    <w:lvl w:ilvl="0" w:tplc="DC3CADEC">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DB92F04"/>
    <w:multiLevelType w:val="hybridMultilevel"/>
    <w:tmpl w:val="B740B03C"/>
    <w:lvl w:ilvl="0" w:tplc="280A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B127E"/>
    <w:multiLevelType w:val="hybridMultilevel"/>
    <w:tmpl w:val="3DB249CC"/>
    <w:lvl w:ilvl="0" w:tplc="280A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AB344D5"/>
    <w:multiLevelType w:val="hybridMultilevel"/>
    <w:tmpl w:val="B9408390"/>
    <w:lvl w:ilvl="0" w:tplc="280A001B">
      <w:start w:val="1"/>
      <w:numFmt w:val="lowerRoman"/>
      <w:lvlText w:val="%1."/>
      <w:lvlJc w:val="righ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4279A"/>
    <w:multiLevelType w:val="hybridMultilevel"/>
    <w:tmpl w:val="DD4E7654"/>
    <w:lvl w:ilvl="0" w:tplc="C7709E80">
      <w:numFmt w:val="bullet"/>
      <w:lvlText w:val="-"/>
      <w:lvlJc w:val="left"/>
      <w:pPr>
        <w:ind w:left="1571" w:hanging="360"/>
      </w:pPr>
      <w:rPr>
        <w:rFonts w:ascii="Arial" w:eastAsia="Times New Roman" w:hAnsi="Arial" w:cs="Aria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0" w15:restartNumberingAfterBreak="0">
    <w:nsid w:val="69576BDE"/>
    <w:multiLevelType w:val="hybridMultilevel"/>
    <w:tmpl w:val="DBD074C2"/>
    <w:lvl w:ilvl="0" w:tplc="C7709E80">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A7C96"/>
    <w:multiLevelType w:val="hybridMultilevel"/>
    <w:tmpl w:val="AD3C542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C1B60C1"/>
    <w:multiLevelType w:val="hybridMultilevel"/>
    <w:tmpl w:val="FA74FE44"/>
    <w:lvl w:ilvl="0" w:tplc="FF1ED110">
      <w:start w:val="12"/>
      <w:numFmt w:val="bullet"/>
      <w:lvlText w:val="-"/>
      <w:lvlJc w:val="left"/>
      <w:pPr>
        <w:ind w:left="786" w:hanging="360"/>
      </w:pPr>
      <w:rPr>
        <w:rFonts w:ascii="Times New Roman" w:eastAsia="Calibri" w:hAnsi="Times New Roman" w:cs="Times New Roman" w:hint="default"/>
        <w:sz w:val="24"/>
        <w:szCs w:val="24"/>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num w:numId="1">
    <w:abstractNumId w:val="31"/>
  </w:num>
  <w:num w:numId="2">
    <w:abstractNumId w:val="20"/>
  </w:num>
  <w:num w:numId="3">
    <w:abstractNumId w:val="14"/>
  </w:num>
  <w:num w:numId="4">
    <w:abstractNumId w:val="18"/>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3"/>
  </w:num>
  <w:num w:numId="18">
    <w:abstractNumId w:val="26"/>
  </w:num>
  <w:num w:numId="19">
    <w:abstractNumId w:val="28"/>
  </w:num>
  <w:num w:numId="20">
    <w:abstractNumId w:val="23"/>
  </w:num>
  <w:num w:numId="21">
    <w:abstractNumId w:val="26"/>
  </w:num>
  <w:num w:numId="22">
    <w:abstractNumId w:val="34"/>
  </w:num>
  <w:num w:numId="23">
    <w:abstractNumId w:val="33"/>
  </w:num>
  <w:num w:numId="24">
    <w:abstractNumId w:val="27"/>
  </w:num>
  <w:num w:numId="25">
    <w:abstractNumId w:val="12"/>
  </w:num>
  <w:num w:numId="26">
    <w:abstractNumId w:val="19"/>
  </w:num>
  <w:num w:numId="27">
    <w:abstractNumId w:val="35"/>
  </w:num>
  <w:num w:numId="28">
    <w:abstractNumId w:val="13"/>
  </w:num>
  <w:num w:numId="29">
    <w:abstractNumId w:val="17"/>
  </w:num>
  <w:num w:numId="30">
    <w:abstractNumId w:val="16"/>
  </w:num>
  <w:num w:numId="31">
    <w:abstractNumId w:val="30"/>
  </w:num>
  <w:num w:numId="32">
    <w:abstractNumId w:val="25"/>
  </w:num>
  <w:num w:numId="33">
    <w:abstractNumId w:val="29"/>
  </w:num>
  <w:num w:numId="34">
    <w:abstractNumId w:val="22"/>
  </w:num>
  <w:num w:numId="35">
    <w:abstractNumId w:val="24"/>
  </w:num>
  <w:num w:numId="36">
    <w:abstractNumId w:val="10"/>
  </w:num>
  <w:num w:numId="37">
    <w:abstractNumId w:val="15"/>
  </w:num>
  <w:num w:numId="38">
    <w:abstractNumId w:val="32"/>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F3"/>
    <w:rsid w:val="00033EE1"/>
    <w:rsid w:val="00042B72"/>
    <w:rsid w:val="00043F45"/>
    <w:rsid w:val="00046C06"/>
    <w:rsid w:val="0005105F"/>
    <w:rsid w:val="000558BD"/>
    <w:rsid w:val="00081D9E"/>
    <w:rsid w:val="000B57E7"/>
    <w:rsid w:val="000B6373"/>
    <w:rsid w:val="000F09DF"/>
    <w:rsid w:val="000F61B2"/>
    <w:rsid w:val="001075E9"/>
    <w:rsid w:val="0012622F"/>
    <w:rsid w:val="00157CDC"/>
    <w:rsid w:val="00180183"/>
    <w:rsid w:val="0018024D"/>
    <w:rsid w:val="00181061"/>
    <w:rsid w:val="001852CD"/>
    <w:rsid w:val="0018649F"/>
    <w:rsid w:val="00196389"/>
    <w:rsid w:val="001B3EF6"/>
    <w:rsid w:val="001B719F"/>
    <w:rsid w:val="001C713E"/>
    <w:rsid w:val="001C7A89"/>
    <w:rsid w:val="0020092A"/>
    <w:rsid w:val="00205D9D"/>
    <w:rsid w:val="002115B8"/>
    <w:rsid w:val="00231B15"/>
    <w:rsid w:val="00250335"/>
    <w:rsid w:val="00291476"/>
    <w:rsid w:val="002A2EFC"/>
    <w:rsid w:val="002B1258"/>
    <w:rsid w:val="002C0E18"/>
    <w:rsid w:val="002C6A31"/>
    <w:rsid w:val="002D1B8E"/>
    <w:rsid w:val="002D5AAC"/>
    <w:rsid w:val="002E5067"/>
    <w:rsid w:val="002F405F"/>
    <w:rsid w:val="002F7EEC"/>
    <w:rsid w:val="00301299"/>
    <w:rsid w:val="00307FB6"/>
    <w:rsid w:val="00317339"/>
    <w:rsid w:val="00322004"/>
    <w:rsid w:val="003402C2"/>
    <w:rsid w:val="00373BCE"/>
    <w:rsid w:val="00381C24"/>
    <w:rsid w:val="003958D0"/>
    <w:rsid w:val="003A3D90"/>
    <w:rsid w:val="003B00E5"/>
    <w:rsid w:val="003E6FDB"/>
    <w:rsid w:val="00407B78"/>
    <w:rsid w:val="00424203"/>
    <w:rsid w:val="00452493"/>
    <w:rsid w:val="00454E07"/>
    <w:rsid w:val="004612CA"/>
    <w:rsid w:val="00471B10"/>
    <w:rsid w:val="00472C5C"/>
    <w:rsid w:val="004D541E"/>
    <w:rsid w:val="0050108D"/>
    <w:rsid w:val="00513081"/>
    <w:rsid w:val="005158B5"/>
    <w:rsid w:val="00517901"/>
    <w:rsid w:val="00526683"/>
    <w:rsid w:val="00540490"/>
    <w:rsid w:val="00565172"/>
    <w:rsid w:val="005709E0"/>
    <w:rsid w:val="00572E19"/>
    <w:rsid w:val="005961C8"/>
    <w:rsid w:val="005D7914"/>
    <w:rsid w:val="005E2B41"/>
    <w:rsid w:val="005E6D65"/>
    <w:rsid w:val="005F0B42"/>
    <w:rsid w:val="00647E5B"/>
    <w:rsid w:val="00651450"/>
    <w:rsid w:val="00681A10"/>
    <w:rsid w:val="006A1ED8"/>
    <w:rsid w:val="006B4F27"/>
    <w:rsid w:val="006C2031"/>
    <w:rsid w:val="006D461A"/>
    <w:rsid w:val="006F35EE"/>
    <w:rsid w:val="007021FF"/>
    <w:rsid w:val="00712895"/>
    <w:rsid w:val="00757357"/>
    <w:rsid w:val="007779E9"/>
    <w:rsid w:val="00780375"/>
    <w:rsid w:val="007829F3"/>
    <w:rsid w:val="007B5263"/>
    <w:rsid w:val="007E055A"/>
    <w:rsid w:val="007F6380"/>
    <w:rsid w:val="0082316A"/>
    <w:rsid w:val="00825F8D"/>
    <w:rsid w:val="00830E31"/>
    <w:rsid w:val="00834B71"/>
    <w:rsid w:val="00862A2D"/>
    <w:rsid w:val="0086445C"/>
    <w:rsid w:val="00894693"/>
    <w:rsid w:val="008A08D7"/>
    <w:rsid w:val="008B6909"/>
    <w:rsid w:val="00906890"/>
    <w:rsid w:val="00911BE4"/>
    <w:rsid w:val="00922286"/>
    <w:rsid w:val="009227CF"/>
    <w:rsid w:val="00933DEB"/>
    <w:rsid w:val="009418D1"/>
    <w:rsid w:val="00943923"/>
    <w:rsid w:val="00946182"/>
    <w:rsid w:val="00951972"/>
    <w:rsid w:val="009608F3"/>
    <w:rsid w:val="009729BC"/>
    <w:rsid w:val="009852CB"/>
    <w:rsid w:val="009A24AC"/>
    <w:rsid w:val="009D0D86"/>
    <w:rsid w:val="009D4CDB"/>
    <w:rsid w:val="009D6336"/>
    <w:rsid w:val="00A16FB8"/>
    <w:rsid w:val="00A312BC"/>
    <w:rsid w:val="00A658A6"/>
    <w:rsid w:val="00A84021"/>
    <w:rsid w:val="00A84D35"/>
    <w:rsid w:val="00A90C2A"/>
    <w:rsid w:val="00A917B3"/>
    <w:rsid w:val="00AB4B51"/>
    <w:rsid w:val="00AD5305"/>
    <w:rsid w:val="00B10CC7"/>
    <w:rsid w:val="00B539E7"/>
    <w:rsid w:val="00B62458"/>
    <w:rsid w:val="00BA4AB6"/>
    <w:rsid w:val="00BC18B2"/>
    <w:rsid w:val="00BD33EE"/>
    <w:rsid w:val="00C106D6"/>
    <w:rsid w:val="00C3699E"/>
    <w:rsid w:val="00C5089C"/>
    <w:rsid w:val="00C6046B"/>
    <w:rsid w:val="00C60F0C"/>
    <w:rsid w:val="00C75B85"/>
    <w:rsid w:val="00C77D3E"/>
    <w:rsid w:val="00C805C9"/>
    <w:rsid w:val="00C92939"/>
    <w:rsid w:val="00CA1679"/>
    <w:rsid w:val="00CA1E90"/>
    <w:rsid w:val="00CA35D8"/>
    <w:rsid w:val="00CB151C"/>
    <w:rsid w:val="00CB2E2D"/>
    <w:rsid w:val="00CE1F8E"/>
    <w:rsid w:val="00CE5A1A"/>
    <w:rsid w:val="00CE6069"/>
    <w:rsid w:val="00CF2122"/>
    <w:rsid w:val="00CF55F6"/>
    <w:rsid w:val="00D05E4E"/>
    <w:rsid w:val="00D15FAC"/>
    <w:rsid w:val="00D265AC"/>
    <w:rsid w:val="00D33D63"/>
    <w:rsid w:val="00D37898"/>
    <w:rsid w:val="00D90028"/>
    <w:rsid w:val="00D90138"/>
    <w:rsid w:val="00D94AC5"/>
    <w:rsid w:val="00D96861"/>
    <w:rsid w:val="00DC7155"/>
    <w:rsid w:val="00DD424E"/>
    <w:rsid w:val="00DE4271"/>
    <w:rsid w:val="00DF71B9"/>
    <w:rsid w:val="00E24F35"/>
    <w:rsid w:val="00E436C8"/>
    <w:rsid w:val="00E73F76"/>
    <w:rsid w:val="00EA2C9F"/>
    <w:rsid w:val="00EC35D6"/>
    <w:rsid w:val="00ED0BDA"/>
    <w:rsid w:val="00ED0D70"/>
    <w:rsid w:val="00ED4505"/>
    <w:rsid w:val="00EF1360"/>
    <w:rsid w:val="00EF3220"/>
    <w:rsid w:val="00F81780"/>
    <w:rsid w:val="00F931CB"/>
    <w:rsid w:val="00F94155"/>
    <w:rsid w:val="00F9783F"/>
    <w:rsid w:val="00FA0DC4"/>
    <w:rsid w:val="00FB668D"/>
    <w:rsid w:val="00FD2EF7"/>
    <w:rsid w:val="00FE447E"/>
    <w:rsid w:val="00FF10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80531"/>
  <w15:docId w15:val="{8E9C853B-537D-448A-9C32-8680E2FB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9"/>
    <w:qFormat/>
    <w:rsid w:val="00946182"/>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semiHidden/>
    <w:rsid w:val="00CE6069"/>
    <w:pPr>
      <w:keepNext/>
      <w:numPr>
        <w:ilvl w:val="1"/>
        <w:numId w:val="24"/>
      </w:numPr>
      <w:outlineLvl w:val="1"/>
    </w:pPr>
    <w:rPr>
      <w:rFonts w:cs="Arial"/>
      <w:bCs/>
      <w:iCs/>
      <w:szCs w:val="28"/>
    </w:rPr>
  </w:style>
  <w:style w:type="paragraph" w:styleId="3">
    <w:name w:val="heading 3"/>
    <w:basedOn w:val="a0"/>
    <w:next w:val="a0"/>
    <w:semiHidden/>
    <w:rsid w:val="00CE6069"/>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rsid w:val="00CE6069"/>
    <w:pPr>
      <w:keepNext/>
      <w:numPr>
        <w:ilvl w:val="3"/>
        <w:numId w:val="24"/>
      </w:numPr>
      <w:spacing w:before="240" w:after="60"/>
      <w:outlineLvl w:val="3"/>
    </w:pPr>
    <w:rPr>
      <w:b/>
      <w:bCs/>
      <w:sz w:val="28"/>
      <w:szCs w:val="28"/>
    </w:rPr>
  </w:style>
  <w:style w:type="paragraph" w:styleId="5">
    <w:name w:val="heading 5"/>
    <w:basedOn w:val="a0"/>
    <w:next w:val="a0"/>
    <w:semiHidden/>
    <w:rsid w:val="00CE6069"/>
    <w:pPr>
      <w:numPr>
        <w:ilvl w:val="4"/>
        <w:numId w:val="24"/>
      </w:numPr>
      <w:spacing w:before="240" w:after="60"/>
      <w:outlineLvl w:val="4"/>
    </w:pPr>
    <w:rPr>
      <w:b/>
      <w:bCs/>
      <w:i/>
      <w:iCs/>
      <w:sz w:val="26"/>
      <w:szCs w:val="26"/>
    </w:rPr>
  </w:style>
  <w:style w:type="paragraph" w:styleId="6">
    <w:name w:val="heading 6"/>
    <w:basedOn w:val="a0"/>
    <w:next w:val="a0"/>
    <w:semiHidden/>
    <w:rsid w:val="00CE6069"/>
    <w:pPr>
      <w:numPr>
        <w:ilvl w:val="5"/>
        <w:numId w:val="24"/>
      </w:numPr>
      <w:spacing w:before="240" w:after="60"/>
      <w:outlineLvl w:val="5"/>
    </w:pPr>
    <w:rPr>
      <w:b/>
      <w:bCs/>
      <w:sz w:val="22"/>
    </w:rPr>
  </w:style>
  <w:style w:type="paragraph" w:styleId="7">
    <w:name w:val="heading 7"/>
    <w:basedOn w:val="a0"/>
    <w:next w:val="a0"/>
    <w:semiHidden/>
    <w:rsid w:val="00CE6069"/>
    <w:pPr>
      <w:numPr>
        <w:ilvl w:val="6"/>
        <w:numId w:val="24"/>
      </w:numPr>
      <w:spacing w:before="240" w:after="60"/>
      <w:outlineLvl w:val="6"/>
    </w:pPr>
    <w:rPr>
      <w:sz w:val="24"/>
      <w:szCs w:val="24"/>
    </w:rPr>
  </w:style>
  <w:style w:type="paragraph" w:styleId="8">
    <w:name w:val="heading 8"/>
    <w:basedOn w:val="a0"/>
    <w:next w:val="a0"/>
    <w:semiHidden/>
    <w:rsid w:val="00CE6069"/>
    <w:pPr>
      <w:numPr>
        <w:ilvl w:val="7"/>
        <w:numId w:val="24"/>
      </w:numPr>
      <w:spacing w:before="240" w:after="60"/>
      <w:outlineLvl w:val="7"/>
    </w:pPr>
    <w:rPr>
      <w:i/>
      <w:iCs/>
      <w:sz w:val="24"/>
      <w:szCs w:val="24"/>
    </w:rPr>
  </w:style>
  <w:style w:type="paragraph" w:styleId="9">
    <w:name w:val="heading 9"/>
    <w:basedOn w:val="a0"/>
    <w:next w:val="a0"/>
    <w:semiHidden/>
    <w:rsid w:val="00CE6069"/>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2B1258"/>
    <w:pPr>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uiPriority w:val="99"/>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946182"/>
    <w:rPr>
      <w:sz w:val="16"/>
      <w:lang w:val="en-GB" w:eastAsia="ru-RU"/>
    </w:rPr>
  </w:style>
  <w:style w:type="character" w:styleId="ab">
    <w:name w:val="footnote reference"/>
    <w:aliases w:val="4_G,Texto de nota al pie,Footnotes refss,Appel note de bas de page,Footnote number,referencia nota al pie,BVI fnr,f,CVR Ref. de nota al pie,Footnote Reference.SES,16 Point,Superscript 6 Point,ftref,Ref,de nota al pie,Ref Car"/>
    <w:basedOn w:val="a1"/>
    <w:link w:val="BVIfnrCar1CarCarCarCarCarCarCarCar"/>
    <w:qFormat/>
    <w:rsid w:val="00946182"/>
    <w:rPr>
      <w:rFonts w:ascii="Times New Roman" w:hAnsi="Times New Roman"/>
      <w:dstrike w:val="0"/>
      <w:sz w:val="18"/>
      <w:vertAlign w:val="superscript"/>
    </w:rPr>
  </w:style>
  <w:style w:type="character" w:styleId="ac">
    <w:name w:val="endnote reference"/>
    <w:aliases w:val="1_G"/>
    <w:basedOn w:val="ab"/>
    <w:uiPriority w:val="99"/>
    <w:qFormat/>
    <w:rsid w:val="00946182"/>
    <w:rPr>
      <w:rFonts w:ascii="Times New Roman" w:hAnsi="Times New Roman"/>
      <w:dstrike w:val="0"/>
      <w:sz w:val="18"/>
      <w:vertAlign w:val="superscript"/>
    </w:rPr>
  </w:style>
  <w:style w:type="table" w:styleId="ad">
    <w:name w:val="Table Grid"/>
    <w:basedOn w:val="a2"/>
    <w:uiPriority w:val="3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Footnote Text Char Char Char Char Char,Footnote Text Char Char Char Char,Footnote reference,FA Fu,Footnote Text Char Char Char,Texto,nota,pie,Ref.,al,Footnote Text Char,Geneva 9,Font: Geneva 9,Boston 10,Fußnotentextr,ft"/>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Footnote Text Char Char Char Char Char Знак,Footnote Text Char Char Char Char Знак,Footnote reference Знак,FA Fu Знак,Footnote Text Char Char Char Знак,Texto Знак,nota Знак,pie Знак,Ref. Знак,al Знак,Footnote Text Char Знак"/>
    <w:basedOn w:val="a1"/>
    <w:link w:val="ae"/>
    <w:rsid w:val="00946182"/>
    <w:rPr>
      <w:sz w:val="18"/>
      <w:lang w:val="ru-RU" w:eastAsia="ru-RU"/>
    </w:rPr>
  </w:style>
  <w:style w:type="paragraph" w:styleId="af0">
    <w:name w:val="endnote text"/>
    <w:aliases w:val="2_G"/>
    <w:basedOn w:val="ae"/>
    <w:link w:val="af1"/>
    <w:qFormat/>
    <w:rsid w:val="00946182"/>
  </w:style>
  <w:style w:type="character" w:customStyle="1" w:styleId="af1">
    <w:name w:val="Текст концевой сноски Знак"/>
    <w:aliases w:val="2_G Знак"/>
    <w:basedOn w:val="a1"/>
    <w:link w:val="af0"/>
    <w:rsid w:val="00946182"/>
    <w:rPr>
      <w:sz w:val="18"/>
      <w:lang w:val="ru-RU" w:eastAsia="ru-RU"/>
    </w:rPr>
  </w:style>
  <w:style w:type="character" w:customStyle="1" w:styleId="10">
    <w:name w:val="Заголовок 1 Знак"/>
    <w:aliases w:val="Table_G Знак"/>
    <w:basedOn w:val="a1"/>
    <w:link w:val="1"/>
    <w:uiPriority w:val="9"/>
    <w:rsid w:val="00946182"/>
    <w:rPr>
      <w:rFonts w:cs="Arial"/>
      <w:b/>
      <w:bCs/>
      <w:szCs w:val="32"/>
      <w:lang w:val="ru-RU" w:eastAsia="ru-RU"/>
    </w:rPr>
  </w:style>
  <w:style w:type="character" w:styleId="af2">
    <w:name w:val="Hyperlink"/>
    <w:basedOn w:val="a1"/>
    <w:uiPriority w:val="99"/>
    <w:rsid w:val="00946182"/>
    <w:rPr>
      <w:color w:val="0000FF" w:themeColor="hyperlink"/>
      <w:u w:val="none"/>
    </w:rPr>
  </w:style>
  <w:style w:type="character" w:styleId="af3">
    <w:name w:val="FollowedHyperlink"/>
    <w:basedOn w:val="a1"/>
    <w:uiPriority w:val="99"/>
    <w:rsid w:val="00946182"/>
    <w:rPr>
      <w:color w:val="800080" w:themeColor="followedHyperlink"/>
      <w:u w:val="none"/>
    </w:rPr>
  </w:style>
  <w:style w:type="numbering" w:styleId="111111">
    <w:name w:val="Outline List 2"/>
    <w:basedOn w:val="a3"/>
    <w:semiHidden/>
    <w:rsid w:val="00CA1E90"/>
    <w:pPr>
      <w:numPr>
        <w:numId w:val="22"/>
      </w:numPr>
    </w:pPr>
  </w:style>
  <w:style w:type="numbering" w:styleId="1ai">
    <w:name w:val="Outline List 1"/>
    <w:basedOn w:val="a3"/>
    <w:semiHidden/>
    <w:rsid w:val="00CA1E90"/>
    <w:pPr>
      <w:numPr>
        <w:numId w:val="23"/>
      </w:numPr>
    </w:pPr>
  </w:style>
  <w:style w:type="character" w:styleId="HTML">
    <w:name w:val="HTML Acronym"/>
    <w:basedOn w:val="a1"/>
    <w:semiHidden/>
    <w:rsid w:val="00CA1E90"/>
  </w:style>
  <w:style w:type="numbering" w:styleId="a">
    <w:name w:val="Outline List 3"/>
    <w:basedOn w:val="a3"/>
    <w:semiHidden/>
    <w:rsid w:val="00CA1E90"/>
    <w:pPr>
      <w:numPr>
        <w:numId w:val="24"/>
      </w:numPr>
    </w:pPr>
  </w:style>
  <w:style w:type="paragraph" w:styleId="af4">
    <w:name w:val="Closing"/>
    <w:basedOn w:val="a0"/>
    <w:link w:val="af5"/>
    <w:semiHidden/>
    <w:rsid w:val="00CA1E90"/>
    <w:pPr>
      <w:suppressAutoHyphens w:val="0"/>
      <w:ind w:left="4252"/>
    </w:pPr>
    <w:rPr>
      <w:rFonts w:eastAsia="Times New Roman" w:cs="Times New Roman"/>
      <w:szCs w:val="20"/>
      <w:lang w:val="es-ES" w:eastAsia="es-ES"/>
    </w:rPr>
  </w:style>
  <w:style w:type="character" w:customStyle="1" w:styleId="af5">
    <w:name w:val="Прощание Знак"/>
    <w:basedOn w:val="a1"/>
    <w:link w:val="af4"/>
    <w:semiHidden/>
    <w:rsid w:val="00CA1E90"/>
  </w:style>
  <w:style w:type="character" w:styleId="HTML0">
    <w:name w:val="HTML Cite"/>
    <w:semiHidden/>
    <w:rsid w:val="00CA1E90"/>
    <w:rPr>
      <w:i/>
      <w:iCs/>
    </w:rPr>
  </w:style>
  <w:style w:type="character" w:styleId="HTML1">
    <w:name w:val="HTML Code"/>
    <w:semiHidden/>
    <w:rsid w:val="00CA1E90"/>
    <w:rPr>
      <w:rFonts w:ascii="Courier New" w:hAnsi="Courier New" w:cs="Courier New"/>
      <w:sz w:val="20"/>
      <w:szCs w:val="20"/>
    </w:rPr>
  </w:style>
  <w:style w:type="paragraph" w:styleId="af6">
    <w:name w:val="List Continue"/>
    <w:basedOn w:val="a0"/>
    <w:semiHidden/>
    <w:rsid w:val="00CA1E90"/>
    <w:pPr>
      <w:suppressAutoHyphens w:val="0"/>
      <w:spacing w:after="120"/>
      <w:ind w:left="283"/>
    </w:pPr>
    <w:rPr>
      <w:rFonts w:eastAsia="Times New Roman" w:cs="Times New Roman"/>
      <w:szCs w:val="20"/>
      <w:lang w:val="es-ES" w:eastAsia="es-ES"/>
    </w:rPr>
  </w:style>
  <w:style w:type="paragraph" w:styleId="20">
    <w:name w:val="List Continue 2"/>
    <w:basedOn w:val="a0"/>
    <w:semiHidden/>
    <w:rsid w:val="00CA1E90"/>
    <w:pPr>
      <w:suppressAutoHyphens w:val="0"/>
      <w:spacing w:after="120"/>
      <w:ind w:left="566"/>
    </w:pPr>
    <w:rPr>
      <w:rFonts w:eastAsia="Times New Roman" w:cs="Times New Roman"/>
      <w:szCs w:val="20"/>
      <w:lang w:val="es-ES" w:eastAsia="es-ES"/>
    </w:rPr>
  </w:style>
  <w:style w:type="paragraph" w:styleId="30">
    <w:name w:val="List Continue 3"/>
    <w:basedOn w:val="a0"/>
    <w:semiHidden/>
    <w:rsid w:val="00CA1E90"/>
    <w:pPr>
      <w:suppressAutoHyphens w:val="0"/>
      <w:spacing w:after="120"/>
      <w:ind w:left="849"/>
    </w:pPr>
    <w:rPr>
      <w:rFonts w:eastAsia="Times New Roman" w:cs="Times New Roman"/>
      <w:szCs w:val="20"/>
      <w:lang w:val="es-ES" w:eastAsia="es-ES"/>
    </w:rPr>
  </w:style>
  <w:style w:type="paragraph" w:styleId="40">
    <w:name w:val="List Continue 4"/>
    <w:basedOn w:val="a0"/>
    <w:semiHidden/>
    <w:rsid w:val="00CA1E90"/>
    <w:pPr>
      <w:suppressAutoHyphens w:val="0"/>
      <w:spacing w:after="120"/>
      <w:ind w:left="1132"/>
    </w:pPr>
    <w:rPr>
      <w:rFonts w:eastAsia="Times New Roman" w:cs="Times New Roman"/>
      <w:szCs w:val="20"/>
      <w:lang w:val="es-ES" w:eastAsia="es-ES"/>
    </w:rPr>
  </w:style>
  <w:style w:type="paragraph" w:styleId="50">
    <w:name w:val="List Continue 5"/>
    <w:basedOn w:val="a0"/>
    <w:semiHidden/>
    <w:rsid w:val="00CA1E90"/>
    <w:pPr>
      <w:suppressAutoHyphens w:val="0"/>
      <w:spacing w:after="120"/>
      <w:ind w:left="1415"/>
    </w:pPr>
    <w:rPr>
      <w:rFonts w:eastAsia="Times New Roman" w:cs="Times New Roman"/>
      <w:szCs w:val="20"/>
      <w:lang w:val="es-ES" w:eastAsia="es-ES"/>
    </w:rPr>
  </w:style>
  <w:style w:type="character" w:styleId="HTML2">
    <w:name w:val="HTML Definition"/>
    <w:semiHidden/>
    <w:rsid w:val="00CA1E90"/>
    <w:rPr>
      <w:i/>
      <w:iCs/>
    </w:rPr>
  </w:style>
  <w:style w:type="paragraph" w:styleId="HTML3">
    <w:name w:val="HTML Address"/>
    <w:basedOn w:val="a0"/>
    <w:link w:val="HTML4"/>
    <w:semiHidden/>
    <w:rsid w:val="00CA1E90"/>
    <w:pPr>
      <w:suppressAutoHyphens w:val="0"/>
    </w:pPr>
    <w:rPr>
      <w:rFonts w:eastAsia="Times New Roman" w:cs="Times New Roman"/>
      <w:i/>
      <w:iCs/>
      <w:szCs w:val="20"/>
      <w:lang w:val="es-ES" w:eastAsia="es-ES"/>
    </w:rPr>
  </w:style>
  <w:style w:type="character" w:customStyle="1" w:styleId="HTML4">
    <w:name w:val="Адрес HTML Знак"/>
    <w:basedOn w:val="a1"/>
    <w:link w:val="HTML3"/>
    <w:semiHidden/>
    <w:rsid w:val="00CA1E90"/>
    <w:rPr>
      <w:i/>
      <w:iCs/>
    </w:rPr>
  </w:style>
  <w:style w:type="paragraph" w:styleId="af7">
    <w:name w:val="envelope address"/>
    <w:basedOn w:val="a0"/>
    <w:semiHidden/>
    <w:rsid w:val="00CA1E90"/>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5">
    <w:name w:val="HTML Sample"/>
    <w:semiHidden/>
    <w:rsid w:val="00CA1E90"/>
    <w:rPr>
      <w:rFonts w:ascii="Courier New" w:hAnsi="Courier New" w:cs="Courier New"/>
    </w:rPr>
  </w:style>
  <w:style w:type="paragraph" w:styleId="af8">
    <w:name w:val="Message Header"/>
    <w:basedOn w:val="a0"/>
    <w:link w:val="af9"/>
    <w:semiHidden/>
    <w:rsid w:val="00CA1E90"/>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CA1E90"/>
    <w:rPr>
      <w:rFonts w:ascii="Arial" w:hAnsi="Arial" w:cs="Arial"/>
      <w:sz w:val="24"/>
      <w:szCs w:val="24"/>
      <w:shd w:val="pct20" w:color="auto" w:fill="auto"/>
    </w:rPr>
  </w:style>
  <w:style w:type="paragraph" w:styleId="afa">
    <w:name w:val="Note Heading"/>
    <w:basedOn w:val="a0"/>
    <w:next w:val="a0"/>
    <w:link w:val="afb"/>
    <w:semiHidden/>
    <w:rsid w:val="00CA1E90"/>
    <w:pPr>
      <w:suppressAutoHyphens w:val="0"/>
    </w:pPr>
    <w:rPr>
      <w:rFonts w:eastAsia="Times New Roman" w:cs="Times New Roman"/>
      <w:szCs w:val="20"/>
      <w:lang w:val="es-ES" w:eastAsia="es-ES"/>
    </w:rPr>
  </w:style>
  <w:style w:type="character" w:customStyle="1" w:styleId="afb">
    <w:name w:val="Заголовок записки Знак"/>
    <w:basedOn w:val="a1"/>
    <w:link w:val="afa"/>
    <w:semiHidden/>
    <w:rsid w:val="00CA1E90"/>
  </w:style>
  <w:style w:type="character" w:styleId="afc">
    <w:name w:val="Emphasis"/>
    <w:semiHidden/>
    <w:rsid w:val="00CA1E90"/>
    <w:rPr>
      <w:i/>
      <w:iCs/>
    </w:rPr>
  </w:style>
  <w:style w:type="paragraph" w:styleId="afd">
    <w:name w:val="Date"/>
    <w:basedOn w:val="a0"/>
    <w:next w:val="a0"/>
    <w:link w:val="afe"/>
    <w:semiHidden/>
    <w:rsid w:val="00CA1E90"/>
    <w:pPr>
      <w:suppressAutoHyphens w:val="0"/>
    </w:pPr>
    <w:rPr>
      <w:rFonts w:eastAsia="Times New Roman" w:cs="Times New Roman"/>
      <w:szCs w:val="20"/>
      <w:lang w:val="es-ES" w:eastAsia="es-ES"/>
    </w:rPr>
  </w:style>
  <w:style w:type="character" w:customStyle="1" w:styleId="afe">
    <w:name w:val="Дата Знак"/>
    <w:basedOn w:val="a1"/>
    <w:link w:val="afd"/>
    <w:semiHidden/>
    <w:rsid w:val="00CA1E90"/>
  </w:style>
  <w:style w:type="paragraph" w:styleId="aff">
    <w:name w:val="Signature"/>
    <w:basedOn w:val="a0"/>
    <w:link w:val="aff0"/>
    <w:semiHidden/>
    <w:rsid w:val="00CA1E90"/>
    <w:pPr>
      <w:suppressAutoHyphens w:val="0"/>
      <w:ind w:left="4252"/>
    </w:pPr>
    <w:rPr>
      <w:rFonts w:eastAsia="Times New Roman" w:cs="Times New Roman"/>
      <w:szCs w:val="20"/>
      <w:lang w:val="es-ES" w:eastAsia="es-ES"/>
    </w:rPr>
  </w:style>
  <w:style w:type="character" w:customStyle="1" w:styleId="aff0">
    <w:name w:val="Подпись Знак"/>
    <w:basedOn w:val="a1"/>
    <w:link w:val="aff"/>
    <w:semiHidden/>
    <w:rsid w:val="00CA1E90"/>
  </w:style>
  <w:style w:type="paragraph" w:styleId="aff1">
    <w:name w:val="E-mail Signature"/>
    <w:basedOn w:val="a0"/>
    <w:link w:val="aff2"/>
    <w:semiHidden/>
    <w:rsid w:val="00CA1E90"/>
    <w:pPr>
      <w:suppressAutoHyphens w:val="0"/>
    </w:pPr>
    <w:rPr>
      <w:rFonts w:eastAsia="Times New Roman" w:cs="Times New Roman"/>
      <w:szCs w:val="20"/>
      <w:lang w:val="es-ES" w:eastAsia="es-ES"/>
    </w:rPr>
  </w:style>
  <w:style w:type="character" w:customStyle="1" w:styleId="aff2">
    <w:name w:val="Электронная подпись Знак"/>
    <w:basedOn w:val="a1"/>
    <w:link w:val="aff1"/>
    <w:semiHidden/>
    <w:rsid w:val="00CA1E90"/>
  </w:style>
  <w:style w:type="paragraph" w:styleId="HTML6">
    <w:name w:val="HTML Preformatted"/>
    <w:basedOn w:val="a0"/>
    <w:link w:val="HTML7"/>
    <w:semiHidden/>
    <w:rsid w:val="00CA1E90"/>
    <w:pPr>
      <w:suppressAutoHyphens w:val="0"/>
    </w:pPr>
    <w:rPr>
      <w:rFonts w:ascii="Courier New" w:eastAsia="Times New Roman" w:hAnsi="Courier New" w:cs="Courier New"/>
      <w:szCs w:val="20"/>
      <w:lang w:val="es-ES" w:eastAsia="es-ES"/>
    </w:rPr>
  </w:style>
  <w:style w:type="character" w:customStyle="1" w:styleId="HTML7">
    <w:name w:val="Стандартный HTML Знак"/>
    <w:basedOn w:val="a1"/>
    <w:link w:val="HTML6"/>
    <w:semiHidden/>
    <w:rsid w:val="00CA1E90"/>
    <w:rPr>
      <w:rFonts w:ascii="Courier New" w:hAnsi="Courier New" w:cs="Courier New"/>
    </w:rPr>
  </w:style>
  <w:style w:type="paragraph" w:styleId="aff3">
    <w:name w:val="List"/>
    <w:basedOn w:val="a0"/>
    <w:semiHidden/>
    <w:rsid w:val="00CA1E90"/>
    <w:pPr>
      <w:suppressAutoHyphens w:val="0"/>
      <w:ind w:left="283" w:hanging="283"/>
    </w:pPr>
    <w:rPr>
      <w:rFonts w:eastAsia="Times New Roman" w:cs="Times New Roman"/>
      <w:szCs w:val="20"/>
      <w:lang w:val="es-ES" w:eastAsia="es-ES"/>
    </w:rPr>
  </w:style>
  <w:style w:type="paragraph" w:styleId="21">
    <w:name w:val="List 2"/>
    <w:basedOn w:val="a0"/>
    <w:semiHidden/>
    <w:rsid w:val="00CA1E90"/>
    <w:pPr>
      <w:suppressAutoHyphens w:val="0"/>
      <w:ind w:left="566" w:hanging="283"/>
    </w:pPr>
    <w:rPr>
      <w:rFonts w:eastAsia="Times New Roman" w:cs="Times New Roman"/>
      <w:szCs w:val="20"/>
      <w:lang w:val="es-ES" w:eastAsia="es-ES"/>
    </w:rPr>
  </w:style>
  <w:style w:type="paragraph" w:styleId="31">
    <w:name w:val="List 3"/>
    <w:basedOn w:val="a0"/>
    <w:semiHidden/>
    <w:rsid w:val="00CA1E90"/>
    <w:pPr>
      <w:suppressAutoHyphens w:val="0"/>
      <w:ind w:left="849" w:hanging="283"/>
    </w:pPr>
    <w:rPr>
      <w:rFonts w:eastAsia="Times New Roman" w:cs="Times New Roman"/>
      <w:szCs w:val="20"/>
      <w:lang w:val="es-ES" w:eastAsia="es-ES"/>
    </w:rPr>
  </w:style>
  <w:style w:type="paragraph" w:styleId="41">
    <w:name w:val="List 4"/>
    <w:basedOn w:val="a0"/>
    <w:semiHidden/>
    <w:rsid w:val="00CA1E90"/>
    <w:pPr>
      <w:suppressAutoHyphens w:val="0"/>
      <w:ind w:left="1132" w:hanging="283"/>
    </w:pPr>
    <w:rPr>
      <w:rFonts w:eastAsia="Times New Roman" w:cs="Times New Roman"/>
      <w:szCs w:val="20"/>
      <w:lang w:val="es-ES" w:eastAsia="es-ES"/>
    </w:rPr>
  </w:style>
  <w:style w:type="paragraph" w:styleId="51">
    <w:name w:val="List 5"/>
    <w:basedOn w:val="a0"/>
    <w:semiHidden/>
    <w:rsid w:val="00CA1E90"/>
    <w:pPr>
      <w:suppressAutoHyphens w:val="0"/>
      <w:ind w:left="1415" w:hanging="283"/>
    </w:pPr>
    <w:rPr>
      <w:rFonts w:eastAsia="Times New Roman" w:cs="Times New Roman"/>
      <w:szCs w:val="20"/>
      <w:lang w:val="es-ES" w:eastAsia="es-ES"/>
    </w:rPr>
  </w:style>
  <w:style w:type="paragraph" w:styleId="aff4">
    <w:name w:val="List Number"/>
    <w:basedOn w:val="a0"/>
    <w:semiHidden/>
    <w:rsid w:val="00CA1E90"/>
    <w:pPr>
      <w:tabs>
        <w:tab w:val="num" w:pos="360"/>
      </w:tabs>
      <w:suppressAutoHyphens w:val="0"/>
      <w:ind w:left="360" w:hanging="360"/>
    </w:pPr>
    <w:rPr>
      <w:rFonts w:eastAsia="Times New Roman" w:cs="Times New Roman"/>
      <w:szCs w:val="20"/>
      <w:lang w:val="es-ES" w:eastAsia="es-ES"/>
    </w:rPr>
  </w:style>
  <w:style w:type="paragraph" w:styleId="22">
    <w:name w:val="List Number 2"/>
    <w:basedOn w:val="a0"/>
    <w:semiHidden/>
    <w:rsid w:val="00CA1E90"/>
    <w:pPr>
      <w:tabs>
        <w:tab w:val="num" w:pos="643"/>
      </w:tabs>
      <w:suppressAutoHyphens w:val="0"/>
      <w:ind w:left="643" w:hanging="360"/>
    </w:pPr>
    <w:rPr>
      <w:rFonts w:eastAsia="Times New Roman" w:cs="Times New Roman"/>
      <w:szCs w:val="20"/>
      <w:lang w:val="es-ES" w:eastAsia="es-ES"/>
    </w:rPr>
  </w:style>
  <w:style w:type="paragraph" w:styleId="32">
    <w:name w:val="List Number 3"/>
    <w:basedOn w:val="a0"/>
    <w:semiHidden/>
    <w:rsid w:val="00CA1E90"/>
    <w:pPr>
      <w:tabs>
        <w:tab w:val="num" w:pos="926"/>
      </w:tabs>
      <w:suppressAutoHyphens w:val="0"/>
      <w:ind w:left="926" w:hanging="360"/>
    </w:pPr>
    <w:rPr>
      <w:rFonts w:eastAsia="Times New Roman" w:cs="Times New Roman"/>
      <w:szCs w:val="20"/>
      <w:lang w:val="es-ES" w:eastAsia="es-ES"/>
    </w:rPr>
  </w:style>
  <w:style w:type="paragraph" w:styleId="42">
    <w:name w:val="List Number 4"/>
    <w:basedOn w:val="a0"/>
    <w:semiHidden/>
    <w:rsid w:val="00CA1E90"/>
    <w:pPr>
      <w:tabs>
        <w:tab w:val="num" w:pos="1209"/>
      </w:tabs>
      <w:suppressAutoHyphens w:val="0"/>
      <w:ind w:left="1209" w:hanging="360"/>
    </w:pPr>
    <w:rPr>
      <w:rFonts w:eastAsia="Times New Roman" w:cs="Times New Roman"/>
      <w:szCs w:val="20"/>
      <w:lang w:val="es-ES" w:eastAsia="es-ES"/>
    </w:rPr>
  </w:style>
  <w:style w:type="paragraph" w:styleId="52">
    <w:name w:val="List Number 5"/>
    <w:basedOn w:val="a0"/>
    <w:semiHidden/>
    <w:rsid w:val="00CA1E90"/>
    <w:pPr>
      <w:tabs>
        <w:tab w:val="num" w:pos="1492"/>
      </w:tabs>
      <w:suppressAutoHyphens w:val="0"/>
      <w:ind w:left="1492" w:hanging="360"/>
    </w:pPr>
    <w:rPr>
      <w:rFonts w:eastAsia="Times New Roman" w:cs="Times New Roman"/>
      <w:szCs w:val="20"/>
      <w:lang w:val="es-ES" w:eastAsia="es-ES"/>
    </w:rPr>
  </w:style>
  <w:style w:type="paragraph" w:styleId="aff5">
    <w:name w:val="List Bullet"/>
    <w:basedOn w:val="a0"/>
    <w:semiHidden/>
    <w:rsid w:val="00CA1E90"/>
    <w:pPr>
      <w:tabs>
        <w:tab w:val="num" w:pos="360"/>
      </w:tabs>
      <w:suppressAutoHyphens w:val="0"/>
      <w:ind w:left="360" w:hanging="360"/>
    </w:pPr>
    <w:rPr>
      <w:rFonts w:eastAsia="Times New Roman" w:cs="Times New Roman"/>
      <w:szCs w:val="20"/>
      <w:lang w:val="es-ES" w:eastAsia="es-ES"/>
    </w:rPr>
  </w:style>
  <w:style w:type="paragraph" w:styleId="23">
    <w:name w:val="List Bullet 2"/>
    <w:basedOn w:val="a0"/>
    <w:semiHidden/>
    <w:rsid w:val="00CA1E90"/>
    <w:pPr>
      <w:tabs>
        <w:tab w:val="num" w:pos="643"/>
      </w:tabs>
      <w:suppressAutoHyphens w:val="0"/>
      <w:ind w:left="643" w:hanging="360"/>
    </w:pPr>
    <w:rPr>
      <w:rFonts w:eastAsia="Times New Roman" w:cs="Times New Roman"/>
      <w:szCs w:val="20"/>
      <w:lang w:val="es-ES" w:eastAsia="es-ES"/>
    </w:rPr>
  </w:style>
  <w:style w:type="paragraph" w:styleId="33">
    <w:name w:val="List Bullet 3"/>
    <w:basedOn w:val="a0"/>
    <w:semiHidden/>
    <w:rsid w:val="00CA1E90"/>
    <w:pPr>
      <w:tabs>
        <w:tab w:val="num" w:pos="926"/>
      </w:tabs>
      <w:suppressAutoHyphens w:val="0"/>
      <w:ind w:left="926" w:hanging="360"/>
    </w:pPr>
    <w:rPr>
      <w:rFonts w:eastAsia="Times New Roman" w:cs="Times New Roman"/>
      <w:szCs w:val="20"/>
      <w:lang w:val="es-ES" w:eastAsia="es-ES"/>
    </w:rPr>
  </w:style>
  <w:style w:type="paragraph" w:styleId="43">
    <w:name w:val="List Bullet 4"/>
    <w:basedOn w:val="a0"/>
    <w:semiHidden/>
    <w:rsid w:val="00CA1E90"/>
    <w:pPr>
      <w:tabs>
        <w:tab w:val="num" w:pos="1209"/>
      </w:tabs>
      <w:suppressAutoHyphens w:val="0"/>
      <w:ind w:left="1209" w:hanging="360"/>
    </w:pPr>
    <w:rPr>
      <w:rFonts w:eastAsia="Times New Roman" w:cs="Times New Roman"/>
      <w:szCs w:val="20"/>
      <w:lang w:val="es-ES" w:eastAsia="es-ES"/>
    </w:rPr>
  </w:style>
  <w:style w:type="paragraph" w:styleId="53">
    <w:name w:val="List Bullet 5"/>
    <w:basedOn w:val="a0"/>
    <w:semiHidden/>
    <w:rsid w:val="00CA1E90"/>
    <w:pPr>
      <w:tabs>
        <w:tab w:val="num" w:pos="1492"/>
      </w:tabs>
      <w:suppressAutoHyphens w:val="0"/>
      <w:ind w:left="1492" w:hanging="360"/>
    </w:pPr>
    <w:rPr>
      <w:rFonts w:eastAsia="Times New Roman" w:cs="Times New Roman"/>
      <w:szCs w:val="20"/>
      <w:lang w:val="es-ES" w:eastAsia="es-ES"/>
    </w:rPr>
  </w:style>
  <w:style w:type="character" w:styleId="HTML8">
    <w:name w:val="HTML Typewriter"/>
    <w:semiHidden/>
    <w:rsid w:val="00CA1E90"/>
    <w:rPr>
      <w:rFonts w:ascii="Courier New" w:hAnsi="Courier New" w:cs="Courier New"/>
      <w:sz w:val="20"/>
      <w:szCs w:val="20"/>
    </w:rPr>
  </w:style>
  <w:style w:type="paragraph" w:styleId="aff6">
    <w:name w:val="Normal (Web)"/>
    <w:basedOn w:val="a0"/>
    <w:semiHidden/>
    <w:rsid w:val="00CA1E90"/>
    <w:pPr>
      <w:suppressAutoHyphens w:val="0"/>
    </w:pPr>
    <w:rPr>
      <w:rFonts w:eastAsia="Times New Roman" w:cs="Times New Roman"/>
      <w:sz w:val="24"/>
      <w:szCs w:val="24"/>
      <w:lang w:val="es-ES" w:eastAsia="es-ES"/>
    </w:rPr>
  </w:style>
  <w:style w:type="character" w:styleId="aff7">
    <w:name w:val="line number"/>
    <w:basedOn w:val="a1"/>
    <w:semiHidden/>
    <w:rsid w:val="00CA1E90"/>
  </w:style>
  <w:style w:type="paragraph" w:styleId="24">
    <w:name w:val="envelope return"/>
    <w:basedOn w:val="a0"/>
    <w:semiHidden/>
    <w:rsid w:val="00CA1E90"/>
    <w:pPr>
      <w:suppressAutoHyphens w:val="0"/>
    </w:pPr>
    <w:rPr>
      <w:rFonts w:ascii="Arial" w:eastAsia="Times New Roman" w:hAnsi="Arial" w:cs="Arial"/>
      <w:szCs w:val="20"/>
      <w:lang w:val="es-ES" w:eastAsia="es-ES"/>
    </w:rPr>
  </w:style>
  <w:style w:type="paragraph" w:styleId="aff8">
    <w:name w:val="Salutation"/>
    <w:basedOn w:val="a0"/>
    <w:next w:val="a0"/>
    <w:link w:val="aff9"/>
    <w:semiHidden/>
    <w:rsid w:val="00CA1E90"/>
    <w:pPr>
      <w:suppressAutoHyphens w:val="0"/>
    </w:pPr>
    <w:rPr>
      <w:rFonts w:eastAsia="Times New Roman" w:cs="Times New Roman"/>
      <w:szCs w:val="20"/>
      <w:lang w:val="es-ES" w:eastAsia="es-ES"/>
    </w:rPr>
  </w:style>
  <w:style w:type="character" w:customStyle="1" w:styleId="aff9">
    <w:name w:val="Приветствие Знак"/>
    <w:basedOn w:val="a1"/>
    <w:link w:val="aff8"/>
    <w:semiHidden/>
    <w:rsid w:val="00CA1E90"/>
  </w:style>
  <w:style w:type="paragraph" w:styleId="25">
    <w:name w:val="Body Text Indent 2"/>
    <w:basedOn w:val="a0"/>
    <w:link w:val="26"/>
    <w:semiHidden/>
    <w:rsid w:val="00CA1E90"/>
    <w:pPr>
      <w:suppressAutoHyphens w:val="0"/>
      <w:spacing w:after="120" w:line="480" w:lineRule="auto"/>
      <w:ind w:left="283"/>
    </w:pPr>
    <w:rPr>
      <w:rFonts w:eastAsia="Times New Roman" w:cs="Times New Roman"/>
      <w:szCs w:val="20"/>
      <w:lang w:val="es-ES" w:eastAsia="es-ES"/>
    </w:rPr>
  </w:style>
  <w:style w:type="character" w:customStyle="1" w:styleId="26">
    <w:name w:val="Основной текст с отступом 2 Знак"/>
    <w:basedOn w:val="a1"/>
    <w:link w:val="25"/>
    <w:semiHidden/>
    <w:rsid w:val="00CA1E90"/>
  </w:style>
  <w:style w:type="paragraph" w:styleId="34">
    <w:name w:val="Body Text Indent 3"/>
    <w:basedOn w:val="a0"/>
    <w:link w:val="35"/>
    <w:semiHidden/>
    <w:rsid w:val="00CA1E90"/>
    <w:pPr>
      <w:suppressAutoHyphens w:val="0"/>
      <w:spacing w:after="120"/>
      <w:ind w:left="283"/>
    </w:pPr>
    <w:rPr>
      <w:rFonts w:eastAsia="Times New Roman" w:cs="Times New Roman"/>
      <w:sz w:val="16"/>
      <w:szCs w:val="16"/>
      <w:lang w:val="es-ES" w:eastAsia="es-ES"/>
    </w:rPr>
  </w:style>
  <w:style w:type="character" w:customStyle="1" w:styleId="35">
    <w:name w:val="Основной текст с отступом 3 Знак"/>
    <w:basedOn w:val="a1"/>
    <w:link w:val="34"/>
    <w:semiHidden/>
    <w:rsid w:val="00CA1E90"/>
    <w:rPr>
      <w:sz w:val="16"/>
      <w:szCs w:val="16"/>
    </w:rPr>
  </w:style>
  <w:style w:type="paragraph" w:styleId="affa">
    <w:name w:val="Body Text Indent"/>
    <w:basedOn w:val="a0"/>
    <w:link w:val="affb"/>
    <w:semiHidden/>
    <w:rsid w:val="00CA1E90"/>
    <w:pPr>
      <w:suppressAutoHyphens w:val="0"/>
      <w:spacing w:after="120"/>
      <w:ind w:left="283"/>
    </w:pPr>
    <w:rPr>
      <w:rFonts w:eastAsia="Times New Roman" w:cs="Times New Roman"/>
      <w:szCs w:val="20"/>
      <w:lang w:val="es-ES" w:eastAsia="es-ES"/>
    </w:rPr>
  </w:style>
  <w:style w:type="character" w:customStyle="1" w:styleId="affb">
    <w:name w:val="Основной текст с отступом Знак"/>
    <w:basedOn w:val="a1"/>
    <w:link w:val="affa"/>
    <w:semiHidden/>
    <w:rsid w:val="00CA1E90"/>
  </w:style>
  <w:style w:type="paragraph" w:styleId="affc">
    <w:name w:val="Normal Indent"/>
    <w:basedOn w:val="a0"/>
    <w:semiHidden/>
    <w:rsid w:val="00CA1E90"/>
    <w:pPr>
      <w:suppressAutoHyphens w:val="0"/>
      <w:ind w:left="567"/>
    </w:pPr>
    <w:rPr>
      <w:rFonts w:eastAsia="Times New Roman" w:cs="Times New Roman"/>
      <w:szCs w:val="20"/>
      <w:lang w:val="es-ES" w:eastAsia="es-ES"/>
    </w:rPr>
  </w:style>
  <w:style w:type="paragraph" w:styleId="affd">
    <w:name w:val="Subtitle"/>
    <w:basedOn w:val="a0"/>
    <w:link w:val="affe"/>
    <w:semiHidden/>
    <w:rsid w:val="00CA1E90"/>
    <w:pPr>
      <w:suppressAutoHyphens w:val="0"/>
      <w:spacing w:after="60"/>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semiHidden/>
    <w:rsid w:val="00CA1E90"/>
    <w:rPr>
      <w:rFonts w:ascii="Arial" w:hAnsi="Arial" w:cs="Arial"/>
      <w:sz w:val="24"/>
      <w:szCs w:val="24"/>
    </w:rPr>
  </w:style>
  <w:style w:type="table" w:styleId="11">
    <w:name w:val="Table Simple 1"/>
    <w:basedOn w:val="a2"/>
    <w:semiHidden/>
    <w:rsid w:val="00CA1E90"/>
    <w:pPr>
      <w:spacing w:line="240" w:lineRule="atLeast"/>
    </w:pPr>
    <w:rPr>
      <w:lang w:val="fr-CH"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CA1E90"/>
    <w:pPr>
      <w:spacing w:line="240" w:lineRule="atLeast"/>
    </w:pPr>
    <w:rPr>
      <w:lang w:val="fr-CH"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CA1E90"/>
    <w:pPr>
      <w:spacing w:line="240" w:lineRule="atLeast"/>
    </w:pPr>
    <w:rPr>
      <w:lang w:val="fr-CH"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CA1E90"/>
    <w:pPr>
      <w:spacing w:line="240" w:lineRule="atLeast"/>
    </w:pPr>
    <w:rPr>
      <w:lang w:val="fr-CH"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CA1E90"/>
    <w:pPr>
      <w:spacing w:line="240" w:lineRule="atLeast"/>
    </w:pPr>
    <w:rPr>
      <w:lang w:val="fr-CH"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CA1E90"/>
    <w:pPr>
      <w:spacing w:line="240" w:lineRule="atLeast"/>
    </w:pPr>
    <w:rPr>
      <w:color w:val="000080"/>
      <w:lang w:val="fr-CH"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CA1E90"/>
    <w:pPr>
      <w:spacing w:line="240" w:lineRule="atLeast"/>
    </w:pPr>
    <w:rPr>
      <w:lang w:val="fr-CH"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CA1E90"/>
    <w:pPr>
      <w:spacing w:line="240" w:lineRule="atLeast"/>
    </w:pPr>
    <w:rPr>
      <w:b/>
      <w:bCs/>
      <w:lang w:val="fr-CH"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CA1E90"/>
    <w:pPr>
      <w:spacing w:line="240" w:lineRule="atLeast"/>
    </w:pPr>
    <w:rPr>
      <w:b/>
      <w:bCs/>
      <w:lang w:val="fr-CH"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CA1E90"/>
    <w:pPr>
      <w:spacing w:line="240" w:lineRule="atLeast"/>
    </w:pPr>
    <w:rPr>
      <w:b/>
      <w:bCs/>
      <w:lang w:val="fr-CH"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CA1E90"/>
    <w:pPr>
      <w:spacing w:line="240" w:lineRule="atLeast"/>
    </w:pPr>
    <w:rPr>
      <w:lang w:val="fr-CH"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CA1E90"/>
    <w:pPr>
      <w:spacing w:line="240" w:lineRule="atLeast"/>
    </w:pPr>
    <w:rPr>
      <w:lang w:val="fr-CH"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CA1E90"/>
    <w:pPr>
      <w:spacing w:line="240" w:lineRule="atLeast"/>
    </w:pPr>
    <w:rPr>
      <w:lang w:val="fr-CH"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CA1E90"/>
    <w:pPr>
      <w:spacing w:line="240" w:lineRule="atLeast"/>
    </w:pPr>
    <w:rPr>
      <w:lang w:val="fr-CH"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CA1E90"/>
    <w:pPr>
      <w:spacing w:line="240" w:lineRule="atLeast"/>
    </w:pPr>
    <w:rPr>
      <w:lang w:val="fr-CH"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CA1E90"/>
    <w:pPr>
      <w:spacing w:line="240" w:lineRule="atLeast"/>
    </w:pPr>
    <w:rPr>
      <w:lang w:val="fr-CH"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CA1E90"/>
    <w:pPr>
      <w:spacing w:line="240" w:lineRule="atLeast"/>
    </w:pPr>
    <w:rPr>
      <w:lang w:val="fr-CH"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CA1E90"/>
    <w:pPr>
      <w:spacing w:line="240" w:lineRule="atLeast"/>
    </w:pPr>
    <w:rPr>
      <w:lang w:val="fr-CH"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CA1E90"/>
    <w:pPr>
      <w:spacing w:line="240" w:lineRule="atLeast"/>
    </w:pPr>
    <w:rPr>
      <w:b/>
      <w:bCs/>
      <w:lang w:val="fr-CH"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CA1E90"/>
    <w:pPr>
      <w:spacing w:line="240" w:lineRule="atLeast"/>
    </w:pPr>
    <w:rPr>
      <w:lang w:val="fr-CH"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CA1E90"/>
    <w:pPr>
      <w:spacing w:line="240" w:lineRule="atLeast"/>
    </w:pPr>
    <w:rPr>
      <w:lang w:val="fr-CH"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CA1E90"/>
    <w:pPr>
      <w:spacing w:line="240" w:lineRule="atLeast"/>
    </w:pPr>
    <w:rPr>
      <w:lang w:val="fr-CH"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CA1E90"/>
    <w:pPr>
      <w:spacing w:line="240" w:lineRule="atLeast"/>
    </w:pPr>
    <w:rPr>
      <w:lang w:val="fr-CH"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CA1E90"/>
    <w:pPr>
      <w:spacing w:line="240" w:lineRule="atLeast"/>
    </w:pPr>
    <w:rPr>
      <w:lang w:val="fr-CH"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CA1E90"/>
    <w:pPr>
      <w:spacing w:line="240" w:lineRule="atLeast"/>
    </w:pPr>
    <w:rPr>
      <w:lang w:val="fr-CH"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CA1E90"/>
    <w:pPr>
      <w:spacing w:line="240" w:lineRule="atLeast"/>
    </w:pPr>
    <w:rPr>
      <w:lang w:val="fr-CH"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CA1E90"/>
    <w:pPr>
      <w:spacing w:line="240" w:lineRule="atLeast"/>
    </w:pPr>
    <w:rPr>
      <w:lang w:val="fr-CH"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A1E90"/>
    <w:pPr>
      <w:spacing w:line="240" w:lineRule="atLeast"/>
    </w:pPr>
    <w:rPr>
      <w:lang w:val="fr-CH"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A1E90"/>
    <w:pPr>
      <w:spacing w:line="240" w:lineRule="atLeast"/>
    </w:pPr>
    <w:rPr>
      <w:lang w:val="fr-CH"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A1E90"/>
    <w:pPr>
      <w:spacing w:line="240" w:lineRule="atLeast"/>
    </w:pPr>
    <w:rPr>
      <w:lang w:val="fr-CH"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A1E90"/>
    <w:pPr>
      <w:spacing w:line="240" w:lineRule="atLeast"/>
    </w:pPr>
    <w:rPr>
      <w:lang w:val="fr-CH"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CA1E90"/>
    <w:pPr>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CA1E90"/>
    <w:pPr>
      <w:spacing w:line="240" w:lineRule="atLeast"/>
    </w:pPr>
    <w:rPr>
      <w:lang w:val="fr-CH"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CA1E90"/>
    <w:pPr>
      <w:spacing w:line="240" w:lineRule="atLeast"/>
    </w:pPr>
    <w:rPr>
      <w:lang w:val="fr-CH"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CA1E90"/>
    <w:pPr>
      <w:spacing w:line="240" w:lineRule="atLeast"/>
    </w:pPr>
    <w:rPr>
      <w:lang w:val="fr-CH"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CA1E90"/>
    <w:pPr>
      <w:spacing w:line="240" w:lineRule="atLeast"/>
    </w:pPr>
    <w:rPr>
      <w:lang w:val="fr-CH"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rsid w:val="00CA1E90"/>
    <w:pPr>
      <w:spacing w:line="240" w:lineRule="atLeast"/>
    </w:pPr>
    <w:rPr>
      <w:lang w:val="fr-CH"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CA1E90"/>
    <w:pPr>
      <w:spacing w:line="240" w:lineRule="atLeast"/>
    </w:pPr>
    <w:rPr>
      <w:color w:val="FFFFFF"/>
      <w:lang w:val="fr-CH"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CA1E90"/>
    <w:pPr>
      <w:spacing w:line="240" w:lineRule="atLeast"/>
    </w:pPr>
    <w:rPr>
      <w:lang w:val="fr-CH"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CA1E90"/>
    <w:pPr>
      <w:spacing w:line="240" w:lineRule="atLeast"/>
    </w:pPr>
    <w:rPr>
      <w:lang w:val="fr-CH"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CA1E90"/>
    <w:pPr>
      <w:spacing w:line="240" w:lineRule="atLeast"/>
    </w:pPr>
    <w:rPr>
      <w:lang w:val="fr-CH"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A1E90"/>
    <w:pPr>
      <w:spacing w:line="240" w:lineRule="atLeast"/>
    </w:pPr>
    <w:rPr>
      <w:lang w:val="fr-CH"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CA1E90"/>
    <w:pPr>
      <w:spacing w:line="240" w:lineRule="atLeast"/>
    </w:pPr>
    <w:rPr>
      <w:lang w:val="fr-CH"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CA1E90"/>
    <w:rPr>
      <w:rFonts w:ascii="Courier New" w:hAnsi="Courier New" w:cs="Courier New"/>
      <w:sz w:val="20"/>
      <w:szCs w:val="20"/>
    </w:rPr>
  </w:style>
  <w:style w:type="paragraph" w:styleId="afff3">
    <w:name w:val="Block Text"/>
    <w:basedOn w:val="a0"/>
    <w:semiHidden/>
    <w:rsid w:val="00CA1E90"/>
    <w:pPr>
      <w:suppressAutoHyphens w:val="0"/>
      <w:spacing w:after="120"/>
      <w:ind w:left="1440" w:right="1440"/>
    </w:pPr>
    <w:rPr>
      <w:rFonts w:eastAsia="Times New Roman" w:cs="Times New Roman"/>
      <w:szCs w:val="20"/>
      <w:lang w:val="es-ES" w:eastAsia="es-ES"/>
    </w:rPr>
  </w:style>
  <w:style w:type="character" w:styleId="afff4">
    <w:name w:val="Strong"/>
    <w:semiHidden/>
    <w:rsid w:val="00CA1E90"/>
    <w:rPr>
      <w:b/>
      <w:bCs/>
    </w:rPr>
  </w:style>
  <w:style w:type="paragraph" w:styleId="afff5">
    <w:name w:val="Body Text"/>
    <w:basedOn w:val="a0"/>
    <w:link w:val="afff6"/>
    <w:semiHidden/>
    <w:rsid w:val="00CA1E90"/>
    <w:pPr>
      <w:suppressAutoHyphens w:val="0"/>
      <w:spacing w:after="120"/>
    </w:pPr>
    <w:rPr>
      <w:rFonts w:eastAsia="Times New Roman" w:cs="Times New Roman"/>
      <w:szCs w:val="20"/>
      <w:lang w:val="es-ES" w:eastAsia="es-ES"/>
    </w:rPr>
  </w:style>
  <w:style w:type="character" w:customStyle="1" w:styleId="afff6">
    <w:name w:val="Основной текст Знак"/>
    <w:basedOn w:val="a1"/>
    <w:link w:val="afff5"/>
    <w:semiHidden/>
    <w:rsid w:val="00CA1E90"/>
  </w:style>
  <w:style w:type="paragraph" w:styleId="2e">
    <w:name w:val="Body Text 2"/>
    <w:basedOn w:val="a0"/>
    <w:link w:val="2f"/>
    <w:semiHidden/>
    <w:rsid w:val="00CA1E90"/>
    <w:pPr>
      <w:suppressAutoHyphens w:val="0"/>
      <w:spacing w:after="120" w:line="480" w:lineRule="auto"/>
    </w:pPr>
    <w:rPr>
      <w:rFonts w:eastAsia="Times New Roman" w:cs="Times New Roman"/>
      <w:szCs w:val="20"/>
      <w:lang w:val="es-ES" w:eastAsia="es-ES"/>
    </w:rPr>
  </w:style>
  <w:style w:type="character" w:customStyle="1" w:styleId="2f">
    <w:name w:val="Основной текст 2 Знак"/>
    <w:basedOn w:val="a1"/>
    <w:link w:val="2e"/>
    <w:semiHidden/>
    <w:rsid w:val="00CA1E90"/>
  </w:style>
  <w:style w:type="paragraph" w:styleId="3c">
    <w:name w:val="Body Text 3"/>
    <w:basedOn w:val="a0"/>
    <w:link w:val="3d"/>
    <w:semiHidden/>
    <w:rsid w:val="00CA1E90"/>
    <w:pPr>
      <w:suppressAutoHyphens w:val="0"/>
      <w:spacing w:after="120"/>
    </w:pPr>
    <w:rPr>
      <w:rFonts w:eastAsia="Times New Roman" w:cs="Times New Roman"/>
      <w:sz w:val="16"/>
      <w:szCs w:val="16"/>
      <w:lang w:val="es-ES" w:eastAsia="es-ES"/>
    </w:rPr>
  </w:style>
  <w:style w:type="character" w:customStyle="1" w:styleId="3d">
    <w:name w:val="Основной текст 3 Знак"/>
    <w:basedOn w:val="a1"/>
    <w:link w:val="3c"/>
    <w:semiHidden/>
    <w:rsid w:val="00CA1E90"/>
    <w:rPr>
      <w:sz w:val="16"/>
      <w:szCs w:val="16"/>
    </w:rPr>
  </w:style>
  <w:style w:type="paragraph" w:styleId="afff7">
    <w:name w:val="Body Text First Indent"/>
    <w:basedOn w:val="afff5"/>
    <w:link w:val="afff8"/>
    <w:semiHidden/>
    <w:rsid w:val="00CA1E90"/>
    <w:pPr>
      <w:ind w:firstLine="210"/>
    </w:pPr>
  </w:style>
  <w:style w:type="character" w:customStyle="1" w:styleId="afff8">
    <w:name w:val="Красная строка Знак"/>
    <w:basedOn w:val="afff6"/>
    <w:link w:val="afff7"/>
    <w:semiHidden/>
    <w:rsid w:val="00CA1E90"/>
  </w:style>
  <w:style w:type="paragraph" w:styleId="2f0">
    <w:name w:val="Body Text First Indent 2"/>
    <w:basedOn w:val="affa"/>
    <w:link w:val="2f1"/>
    <w:semiHidden/>
    <w:rsid w:val="00CA1E90"/>
    <w:pPr>
      <w:ind w:firstLine="210"/>
    </w:pPr>
  </w:style>
  <w:style w:type="character" w:customStyle="1" w:styleId="2f1">
    <w:name w:val="Красная строка 2 Знак"/>
    <w:basedOn w:val="affb"/>
    <w:link w:val="2f0"/>
    <w:semiHidden/>
    <w:rsid w:val="00CA1E90"/>
  </w:style>
  <w:style w:type="paragraph" w:styleId="afff9">
    <w:name w:val="Plain Text"/>
    <w:basedOn w:val="a0"/>
    <w:link w:val="afffa"/>
    <w:semiHidden/>
    <w:rsid w:val="00CA1E90"/>
    <w:pPr>
      <w:suppressAutoHyphens w:val="0"/>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CA1E90"/>
    <w:rPr>
      <w:rFonts w:ascii="Courier New" w:hAnsi="Courier New" w:cs="Courier New"/>
    </w:rPr>
  </w:style>
  <w:style w:type="paragraph" w:styleId="afffb">
    <w:name w:val="Title"/>
    <w:basedOn w:val="a0"/>
    <w:link w:val="afffc"/>
    <w:semiHidden/>
    <w:rsid w:val="00CA1E90"/>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semiHidden/>
    <w:rsid w:val="00CA1E90"/>
    <w:rPr>
      <w:rFonts w:ascii="Arial" w:hAnsi="Arial" w:cs="Arial"/>
      <w:b/>
      <w:bCs/>
      <w:kern w:val="28"/>
      <w:sz w:val="32"/>
      <w:szCs w:val="32"/>
    </w:rPr>
  </w:style>
  <w:style w:type="character" w:styleId="HTMLa">
    <w:name w:val="HTML Variable"/>
    <w:semiHidden/>
    <w:rsid w:val="00CA1E90"/>
    <w:rPr>
      <w:i/>
      <w:iCs/>
    </w:rPr>
  </w:style>
  <w:style w:type="paragraph" w:customStyle="1" w:styleId="ParNoG">
    <w:name w:val="_ParNo_G"/>
    <w:basedOn w:val="SingleTxtG"/>
    <w:qFormat/>
    <w:rsid w:val="00CA1E90"/>
    <w:pPr>
      <w:numPr>
        <w:numId w:val="25"/>
      </w:numPr>
      <w:suppressAutoHyphens w:val="0"/>
      <w:spacing w:line="240" w:lineRule="auto"/>
    </w:pPr>
    <w:rPr>
      <w:lang w:val="es-ES"/>
    </w:rPr>
  </w:style>
  <w:style w:type="character" w:customStyle="1" w:styleId="SingleTxtGChar">
    <w:name w:val="_ Single Txt_G Char"/>
    <w:link w:val="SingleTxtG"/>
    <w:locked/>
    <w:rsid w:val="00CA1E90"/>
    <w:rPr>
      <w:lang w:val="ru-RU" w:eastAsia="en-US"/>
    </w:rPr>
  </w:style>
  <w:style w:type="paragraph" w:styleId="18">
    <w:name w:val="toc 1"/>
    <w:basedOn w:val="a0"/>
    <w:next w:val="a0"/>
    <w:autoRedefine/>
    <w:uiPriority w:val="39"/>
    <w:unhideWhenUsed/>
    <w:rsid w:val="00CA1E90"/>
    <w:pPr>
      <w:tabs>
        <w:tab w:val="left" w:pos="426"/>
        <w:tab w:val="right" w:leader="dot" w:pos="8494"/>
      </w:tabs>
      <w:suppressAutoHyphens w:val="0"/>
      <w:spacing w:after="100" w:line="259" w:lineRule="auto"/>
    </w:pPr>
    <w:rPr>
      <w:rFonts w:eastAsia="Calibri" w:cs="Times New Roman"/>
      <w:b/>
      <w:bCs/>
      <w:noProof/>
      <w:sz w:val="22"/>
      <w:lang w:val="es-PE"/>
    </w:rPr>
  </w:style>
  <w:style w:type="paragraph" w:styleId="afffd">
    <w:name w:val="List Paragraph"/>
    <w:aliases w:val="Fundamentacion,Footnote,List Paragraph1,NUMBERED PARAGRAPH,List Paragraph 1,References,ReferencesCxSpLast,lp1,NIVEL ONE,Lista 123,Cuadro 2-1,Párrafo de lista2"/>
    <w:basedOn w:val="a0"/>
    <w:link w:val="afffe"/>
    <w:uiPriority w:val="34"/>
    <w:qFormat/>
    <w:rsid w:val="00CA1E90"/>
    <w:pPr>
      <w:suppressAutoHyphens w:val="0"/>
      <w:spacing w:after="160" w:line="259" w:lineRule="auto"/>
      <w:ind w:left="720"/>
      <w:contextualSpacing/>
    </w:pPr>
    <w:rPr>
      <w:rFonts w:ascii="Calibri" w:eastAsia="Calibri" w:hAnsi="Calibri" w:cs="Arial"/>
      <w:sz w:val="22"/>
      <w:lang w:val="es-PE"/>
    </w:rPr>
  </w:style>
  <w:style w:type="paragraph" w:styleId="affff">
    <w:name w:val="TOC Heading"/>
    <w:basedOn w:val="1"/>
    <w:next w:val="a0"/>
    <w:uiPriority w:val="39"/>
    <w:unhideWhenUsed/>
    <w:qFormat/>
    <w:rsid w:val="00CA1E90"/>
    <w:pPr>
      <w:keepLines/>
      <w:numPr>
        <w:numId w:val="0"/>
      </w:numPr>
      <w:tabs>
        <w:tab w:val="clear" w:pos="567"/>
      </w:tabs>
      <w:suppressAutoHyphens w:val="0"/>
      <w:spacing w:before="240" w:line="259" w:lineRule="auto"/>
      <w:jc w:val="left"/>
      <w:outlineLvl w:val="9"/>
    </w:pPr>
    <w:rPr>
      <w:rFonts w:ascii="Cambria" w:eastAsia="SimSun" w:hAnsi="Cambria" w:cs="Times New Roman"/>
      <w:b w:val="0"/>
      <w:bCs w:val="0"/>
      <w:color w:val="365F91"/>
      <w:sz w:val="32"/>
      <w:lang w:val="es-PE" w:eastAsia="es-PE"/>
    </w:rPr>
  </w:style>
  <w:style w:type="paragraph" w:styleId="2f2">
    <w:name w:val="toc 2"/>
    <w:basedOn w:val="a0"/>
    <w:next w:val="a0"/>
    <w:autoRedefine/>
    <w:uiPriority w:val="39"/>
    <w:unhideWhenUsed/>
    <w:rsid w:val="00CA1E90"/>
    <w:pPr>
      <w:tabs>
        <w:tab w:val="left" w:pos="880"/>
        <w:tab w:val="left" w:pos="1320"/>
        <w:tab w:val="left" w:pos="1560"/>
        <w:tab w:val="right" w:leader="dot" w:pos="8494"/>
      </w:tabs>
      <w:suppressAutoHyphens w:val="0"/>
      <w:spacing w:line="240" w:lineRule="auto"/>
      <w:ind w:left="993"/>
    </w:pPr>
    <w:rPr>
      <w:rFonts w:ascii="Calibri" w:eastAsia="Calibri" w:hAnsi="Calibri" w:cs="Arial"/>
      <w:sz w:val="22"/>
      <w:lang w:val="es-PE"/>
    </w:rPr>
  </w:style>
  <w:style w:type="character" w:styleId="affff0">
    <w:name w:val="annotation reference"/>
    <w:rsid w:val="00CA1E90"/>
    <w:rPr>
      <w:sz w:val="16"/>
      <w:szCs w:val="16"/>
    </w:rPr>
  </w:style>
  <w:style w:type="paragraph" w:styleId="affff1">
    <w:name w:val="annotation text"/>
    <w:basedOn w:val="a0"/>
    <w:link w:val="affff2"/>
    <w:rsid w:val="00CA1E90"/>
    <w:pPr>
      <w:suppressAutoHyphens w:val="0"/>
    </w:pPr>
    <w:rPr>
      <w:rFonts w:eastAsia="Times New Roman" w:cs="Times New Roman"/>
      <w:szCs w:val="20"/>
      <w:lang w:val="es-ES" w:eastAsia="es-ES"/>
    </w:rPr>
  </w:style>
  <w:style w:type="character" w:customStyle="1" w:styleId="affff2">
    <w:name w:val="Текст примечания Знак"/>
    <w:basedOn w:val="a1"/>
    <w:link w:val="affff1"/>
    <w:rsid w:val="00CA1E90"/>
  </w:style>
  <w:style w:type="paragraph" w:styleId="3e">
    <w:name w:val="toc 3"/>
    <w:basedOn w:val="a0"/>
    <w:next w:val="a0"/>
    <w:autoRedefine/>
    <w:uiPriority w:val="39"/>
    <w:unhideWhenUsed/>
    <w:rsid w:val="00CA1E90"/>
    <w:pPr>
      <w:tabs>
        <w:tab w:val="left" w:pos="1560"/>
        <w:tab w:val="right" w:leader="dot" w:pos="8494"/>
      </w:tabs>
      <w:suppressAutoHyphens w:val="0"/>
      <w:spacing w:after="100" w:line="259" w:lineRule="auto"/>
      <w:ind w:left="993"/>
    </w:pPr>
    <w:rPr>
      <w:rFonts w:eastAsia="Calibri" w:cs="Times New Roman"/>
      <w:bCs/>
      <w:noProof/>
      <w:sz w:val="22"/>
      <w:lang w:val="es-PE"/>
    </w:rPr>
  </w:style>
  <w:style w:type="paragraph" w:customStyle="1" w:styleId="BVIfnrCar1CarCarCarCarCarCarCarCar">
    <w:name w:val="BVI fnr Car1 Car Car Car Car Car Car Car Car"/>
    <w:aliases w:val="ftref Car Car Car Car Car Car Car Car Car Car Car Car Car Car, BVI fnr"/>
    <w:basedOn w:val="a0"/>
    <w:link w:val="ab"/>
    <w:rsid w:val="00CA1E90"/>
    <w:pPr>
      <w:suppressAutoHyphens w:val="0"/>
      <w:spacing w:before="200" w:after="160" w:line="240" w:lineRule="exact"/>
    </w:pPr>
    <w:rPr>
      <w:rFonts w:eastAsia="Times New Roman" w:cs="Times New Roman"/>
      <w:sz w:val="18"/>
      <w:szCs w:val="20"/>
      <w:vertAlign w:val="superscript"/>
      <w:lang w:val="es-ES" w:eastAsia="es-ES"/>
    </w:rPr>
  </w:style>
  <w:style w:type="character" w:customStyle="1" w:styleId="afffe">
    <w:name w:val="Абзац списка Знак"/>
    <w:aliases w:val="Fundamentacion Знак,Footnote Знак,List Paragraph1 Знак,NUMBERED PARAGRAPH Знак,List Paragraph 1 Знак,References Знак,ReferencesCxSpLast Знак,lp1 Знак,NIVEL ONE Знак,Lista 123 Знак,Cuadro 2-1 Знак,Párrafo de lista2 Знак"/>
    <w:link w:val="afffd"/>
    <w:uiPriority w:val="34"/>
    <w:locked/>
    <w:rsid w:val="00CA1E90"/>
    <w:rPr>
      <w:rFonts w:ascii="Calibri" w:eastAsia="Calibri" w:hAnsi="Calibri" w:cs="Arial"/>
      <w:sz w:val="22"/>
      <w:szCs w:val="22"/>
      <w:lang w:val="es-PE"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a0"/>
    <w:uiPriority w:val="99"/>
    <w:rsid w:val="00CA1E90"/>
    <w:pPr>
      <w:suppressAutoHyphens w:val="0"/>
      <w:spacing w:before="200" w:after="160" w:line="240" w:lineRule="exact"/>
    </w:pPr>
    <w:rPr>
      <w:rFonts w:ascii="Calibri" w:eastAsia="Calibri" w:hAnsi="Calibri" w:cs="Times New Roman"/>
      <w:sz w:val="22"/>
      <w:vertAlign w:val="superscript"/>
      <w:lang w:val="es-PE"/>
    </w:rPr>
  </w:style>
  <w:style w:type="paragraph" w:styleId="affff3">
    <w:name w:val="annotation subject"/>
    <w:basedOn w:val="affff1"/>
    <w:next w:val="affff1"/>
    <w:link w:val="affff4"/>
    <w:uiPriority w:val="99"/>
    <w:semiHidden/>
    <w:unhideWhenUsed/>
    <w:rsid w:val="00CA1E90"/>
    <w:pPr>
      <w:spacing w:after="160" w:line="240" w:lineRule="auto"/>
    </w:pPr>
    <w:rPr>
      <w:rFonts w:ascii="Calibri" w:eastAsia="Calibri" w:hAnsi="Calibri" w:cs="Arial"/>
      <w:b/>
      <w:bCs/>
      <w:lang w:val="es-PE" w:eastAsia="en-US"/>
    </w:rPr>
  </w:style>
  <w:style w:type="character" w:customStyle="1" w:styleId="affff4">
    <w:name w:val="Тема примечания Знак"/>
    <w:basedOn w:val="affff2"/>
    <w:link w:val="affff3"/>
    <w:uiPriority w:val="99"/>
    <w:semiHidden/>
    <w:rsid w:val="00CA1E90"/>
    <w:rPr>
      <w:rFonts w:ascii="Calibri" w:eastAsia="Calibri" w:hAnsi="Calibri" w:cs="Arial"/>
      <w:b/>
      <w:bCs/>
      <w:lang w:val="es-PE" w:eastAsia="en-US"/>
    </w:rPr>
  </w:style>
  <w:style w:type="character" w:customStyle="1" w:styleId="UnresolvedMention1">
    <w:name w:val="Unresolved Mention1"/>
    <w:uiPriority w:val="99"/>
    <w:semiHidden/>
    <w:unhideWhenUsed/>
    <w:rsid w:val="00CA1E90"/>
    <w:rPr>
      <w:color w:val="605E5C"/>
      <w:shd w:val="clear" w:color="auto" w:fill="E1DFDD"/>
    </w:rPr>
  </w:style>
  <w:style w:type="paragraph" w:styleId="affff5">
    <w:name w:val="Revision"/>
    <w:hidden/>
    <w:uiPriority w:val="99"/>
    <w:semiHidden/>
    <w:rsid w:val="00CA1E90"/>
    <w:rPr>
      <w:rFonts w:ascii="Calibri" w:eastAsia="Calibri" w:hAnsi="Calibri" w:cs="Arial"/>
      <w:sz w:val="22"/>
      <w:szCs w:val="22"/>
      <w:lang w:val="es-PE" w:eastAsia="en-US"/>
    </w:rPr>
  </w:style>
  <w:style w:type="character" w:customStyle="1" w:styleId="Mentionnonrsolue1">
    <w:name w:val="Mention non résolue1"/>
    <w:uiPriority w:val="99"/>
    <w:semiHidden/>
    <w:unhideWhenUsed/>
    <w:rsid w:val="00CA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ij.minjus.gob.pe/Graficos/Peru/2019/Abril/03/RD-007-2019-DP.pdf" TargetMode="External"/><Relationship Id="rId13" Type="http://schemas.openxmlformats.org/officeDocument/2006/relationships/hyperlink" Target="https://estadisticas.bcrp.gob.pe/estadisticas/series/mensuales/resultados/PN01208PM/html/2017-09/2019-09/" TargetMode="External"/><Relationship Id="rId18" Type="http://schemas.openxmlformats.org/officeDocument/2006/relationships/hyperlink" Target="http://www.tuberculosis.minsa.gob.pe/DashboardDPCTB/PerfilTB.aspx" TargetMode="External"/><Relationship Id="rId3" Type="http://schemas.openxmlformats.org/officeDocument/2006/relationships/hyperlink" Target="https://www.ceplan.gob.pe/wp-content/uploads/2018/11/El-Per%C3%BA-en-el-que-vivimos-CEPLAN.pdf" TargetMode="External"/><Relationship Id="rId21" Type="http://schemas.openxmlformats.org/officeDocument/2006/relationships/hyperlink" Target="https://www.migraciones.gob.pe/wp-content/uploads/2018/04/Presencia_inmigrantes_situacion_vulnerabilidad_Peru.pdf" TargetMode="External"/><Relationship Id="rId7" Type="http://schemas.openxmlformats.org/officeDocument/2006/relationships/hyperlink" Target="https://busquedas.elperuano.pe/normaslegales/aprueban-documento-denominado-plan-nacional-de-acceso-a-la-resolucion-administrativa-no-090-2016-ce-pj-1366551-6/" TargetMode="External"/><Relationship Id="rId12" Type="http://schemas.openxmlformats.org/officeDocument/2006/relationships/hyperlink" Target="https://estadisticas.bcrp.gob.pe/estadisticas/series/mensuales/resultados/PN01208PM/html/2017-09/2019-09/" TargetMode="External"/><Relationship Id="rId17" Type="http://schemas.openxmlformats.org/officeDocument/2006/relationships/hyperlink" Target="http://www.digemid.minsa.gob.pe/UpLoad/UpLoaded/PDF/EAccMed/ReunionesTecnicas/PONENCIAS/2018/DIA3/SituacionActualVIH-SIDA.pdf" TargetMode="External"/><Relationship Id="rId25" Type="http://schemas.openxmlformats.org/officeDocument/2006/relationships/hyperlink" Target="http://www.leyes.congreso.gob.pe/Documentos/2016_2021/Observacion_a_la_Autografa/OBAU0131920170602.pdf" TargetMode="External"/><Relationship Id="rId2" Type="http://schemas.openxmlformats.org/officeDocument/2006/relationships/hyperlink" Target="https://www.inei.gob.pe/" TargetMode="External"/><Relationship Id="rId16" Type="http://schemas.openxmlformats.org/officeDocument/2006/relationships/hyperlink" Target="https://www.inei.gob.pe/media/MenuRecursivo/boletines/lgbti.pdf" TargetMode="External"/><Relationship Id="rId20" Type="http://schemas.openxmlformats.org/officeDocument/2006/relationships/hyperlink" Target="https://www.inei.gob.pe/media/MenuRecursivo/publicaciones_digitales/Est/Lib1549/libro.pdf" TargetMode="External"/><Relationship Id="rId1" Type="http://schemas.openxmlformats.org/officeDocument/2006/relationships/hyperlink" Target="http://www4.congreso.gob.pe/ntley/Imagenes/Constitu/Cons1993.pdf" TargetMode="External"/><Relationship Id="rId6" Type="http://schemas.openxmlformats.org/officeDocument/2006/relationships/hyperlink" Target="https://www.pj.gob.pe/wps/wcm/connect/CorteSuprema/s_cortes_suprema_home/as_comisiones_y_programas/" TargetMode="External"/><Relationship Id="rId11" Type="http://schemas.openxmlformats.org/officeDocument/2006/relationships/hyperlink" Target="https://acuerdonacional.pe/politicas-de-estado-del-acuerdo-nacional/objetivos-del-acuerdo-nacional/" TargetMode="External"/><Relationship Id="rId24" Type="http://schemas.openxmlformats.org/officeDocument/2006/relationships/hyperlink" Target="http://www2.congreso.gob.pe/Sicr/RelatAgenda/proapro20112016.nsf/ProyectosAprobadosPortal/737054A2FA9D2CB80525811E008056E6/$FILE/AU0131920170512.pdf" TargetMode="External"/><Relationship Id="rId5" Type="http://schemas.openxmlformats.org/officeDocument/2006/relationships/hyperlink" Target="https://www.gob.pe/estado/poder-ejecutivo" TargetMode="External"/><Relationship Id="rId15" Type="http://schemas.openxmlformats.org/officeDocument/2006/relationships/hyperlink" Target="http://poblacionafroperuana.cultura.pe/direccion-de-politicas-para-poblacion-afroperuana" TargetMode="External"/><Relationship Id="rId23" Type="http://schemas.openxmlformats.org/officeDocument/2006/relationships/hyperlink" Target="https://www.inei.gob.pe/media/MenuRecursivo/boletines/boletin-percepcion-gobernabilidad-abril-2018.pdf" TargetMode="External"/><Relationship Id="rId10" Type="http://schemas.openxmlformats.org/officeDocument/2006/relationships/hyperlink" Target="http://www.leyes.congreso.gob.pe/Documentos/Leyes/30394.pdf" TargetMode="External"/><Relationship Id="rId19" Type="http://schemas.openxmlformats.org/officeDocument/2006/relationships/hyperlink" Target="https://bdpi.cultura.gob.pe/pueblos-indigenas" TargetMode="External"/><Relationship Id="rId4" Type="http://schemas.openxmlformats.org/officeDocument/2006/relationships/hyperlink" Target="https://www1.inei.gob.pe/" TargetMode="External"/><Relationship Id="rId9" Type="http://schemas.openxmlformats.org/officeDocument/2006/relationships/hyperlink" Target="http://www.leyes.congreso.gob.pe/Documentos/Leyes/30394.pdf" TargetMode="External"/><Relationship Id="rId14" Type="http://schemas.openxmlformats.org/officeDocument/2006/relationships/hyperlink" Target="https://www.inei.gob.pe/media/MenuRecursivo/publicaciones_digitales/Est/Lib1642/" TargetMode="External"/><Relationship Id="rId22" Type="http://schemas.openxmlformats.org/officeDocument/2006/relationships/hyperlink" Target="https://www.bcrp.gob.pe/docs/Publicaciones/Memoria/2018/memoria-bcrp-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652D-6D84-4194-BF60-D2B0B09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43</Pages>
  <Words>16359</Words>
  <Characters>93249</Characters>
  <Application>Microsoft Office Word</Application>
  <DocSecurity>0</DocSecurity>
  <Lines>777</Lines>
  <Paragraphs>218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HRI/CORE/PER/2019</vt:lpstr>
      <vt:lpstr>A/</vt:lpstr>
      <vt:lpstr>A/</vt:lpstr>
    </vt:vector>
  </TitlesOfParts>
  <Company>DCM</Company>
  <LinksUpToDate>false</LinksUpToDate>
  <CharactersWithSpaces>109390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HRI/CORE/PER/2019</dc:title>
  <dc:subject/>
  <dc:creator>Elena IZOTOVA</dc:creator>
  <cp:keywords/>
  <cp:lastModifiedBy>Elena IZOTOVA</cp:lastModifiedBy>
  <cp:revision>3</cp:revision>
  <cp:lastPrinted>2020-09-11T08:19:00Z</cp:lastPrinted>
  <dcterms:created xsi:type="dcterms:W3CDTF">2020-09-11T08:19:00Z</dcterms:created>
  <dcterms:modified xsi:type="dcterms:W3CDTF">2020-09-11T08:20:00Z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