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2DC99B34" w14:textId="77777777" w:rsidTr="00BC3DBA">
        <w:trPr>
          <w:trHeight w:hRule="exact" w:val="851"/>
        </w:trPr>
        <w:tc>
          <w:tcPr>
            <w:tcW w:w="1274" w:type="dxa"/>
            <w:tcBorders>
              <w:bottom w:val="single" w:sz="4" w:space="0" w:color="auto"/>
            </w:tcBorders>
            <w:shd w:val="clear" w:color="auto" w:fill="auto"/>
          </w:tcPr>
          <w:p w14:paraId="6F013D75" w14:textId="77777777" w:rsidR="00E40CC2" w:rsidRPr="00BE5849" w:rsidRDefault="00E40CC2" w:rsidP="000D43A8">
            <w:pPr>
              <w:kinsoku w:val="0"/>
              <w:overflowPunct w:val="0"/>
              <w:autoSpaceDE w:val="0"/>
              <w:autoSpaceDN w:val="0"/>
              <w:adjustRightInd w:val="0"/>
              <w:snapToGrid w:val="0"/>
              <w:spacing w:after="80" w:line="480" w:lineRule="exact"/>
              <w:rPr>
                <w:rFonts w:hint="cs"/>
                <w:sz w:val="40"/>
                <w:szCs w:val="40"/>
                <w:lang w:eastAsia="zh-TW"/>
              </w:rPr>
            </w:pPr>
          </w:p>
        </w:tc>
        <w:tc>
          <w:tcPr>
            <w:tcW w:w="4963" w:type="dxa"/>
            <w:tcBorders>
              <w:bottom w:val="single" w:sz="4" w:space="0" w:color="auto"/>
            </w:tcBorders>
            <w:shd w:val="clear" w:color="auto" w:fill="auto"/>
            <w:vAlign w:val="bottom"/>
          </w:tcPr>
          <w:p w14:paraId="1D9F9B74"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0F1B84FD" w14:textId="151969C0" w:rsidR="00E40CC2" w:rsidRPr="0021576B" w:rsidRDefault="0021576B" w:rsidP="0021576B">
            <w:pPr>
              <w:bidi w:val="0"/>
              <w:rPr>
                <w:szCs w:val="20"/>
                <w:lang w:eastAsia="zh-TW"/>
              </w:rPr>
            </w:pPr>
            <w:r w:rsidRPr="0021576B">
              <w:rPr>
                <w:sz w:val="40"/>
                <w:szCs w:val="20"/>
                <w:lang w:eastAsia="zh-TW"/>
              </w:rPr>
              <w:t>HRI</w:t>
            </w:r>
            <w:r>
              <w:rPr>
                <w:szCs w:val="20"/>
                <w:lang w:eastAsia="zh-TW"/>
              </w:rPr>
              <w:t>/CORE/BEL/</w:t>
            </w:r>
            <w:r w:rsidRPr="00350F98">
              <w:rPr>
                <w:szCs w:val="20"/>
                <w:lang w:eastAsia="zh-TW"/>
              </w:rPr>
              <w:t>2020</w:t>
            </w:r>
          </w:p>
        </w:tc>
      </w:tr>
      <w:tr w:rsidR="00E40CC2" w:rsidRPr="00207677" w14:paraId="25910AF0" w14:textId="77777777" w:rsidTr="00BC3DBA">
        <w:trPr>
          <w:trHeight w:hRule="exact" w:val="2835"/>
        </w:trPr>
        <w:tc>
          <w:tcPr>
            <w:tcW w:w="1274" w:type="dxa"/>
            <w:tcBorders>
              <w:top w:val="single" w:sz="4" w:space="0" w:color="auto"/>
              <w:bottom w:val="single" w:sz="12" w:space="0" w:color="auto"/>
            </w:tcBorders>
            <w:shd w:val="clear" w:color="auto" w:fill="auto"/>
          </w:tcPr>
          <w:p w14:paraId="2A53E3B2" w14:textId="77777777" w:rsidR="00E40CC2" w:rsidRPr="00D00159" w:rsidRDefault="00E40CC2" w:rsidP="00BC3DBA">
            <w:pPr>
              <w:jc w:val="center"/>
              <w:rPr>
                <w:sz w:val="56"/>
                <w:szCs w:val="56"/>
                <w:lang w:val="es-ES_tradnl"/>
              </w:rPr>
            </w:pPr>
            <w:r w:rsidRPr="00AC03B4">
              <w:rPr>
                <w:noProof/>
                <w:sz w:val="56"/>
                <w:szCs w:val="56"/>
              </w:rPr>
              <w:drawing>
                <wp:inline distT="0" distB="0" distL="0" distR="0" wp14:anchorId="40F6690A" wp14:editId="482874A8">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F52FA47" w14:textId="77777777" w:rsidR="00E40CC2" w:rsidRPr="00350F98" w:rsidRDefault="00E40CC2" w:rsidP="00B452DB">
            <w:pPr>
              <w:spacing w:before="120" w:after="40" w:line="640" w:lineRule="exact"/>
              <w:ind w:left="57"/>
              <w:rPr>
                <w:rFonts w:ascii="Times New Roman Bold" w:hAnsi="Times New Roman Bold" w:hint="eastAsia"/>
                <w:b/>
                <w:bCs/>
                <w:sz w:val="46"/>
                <w:szCs w:val="46"/>
              </w:rPr>
            </w:pPr>
            <w:r w:rsidRPr="00350F98">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7CCF0E51" w14:textId="77777777" w:rsidR="00F92BBC" w:rsidRPr="008E6DC1" w:rsidRDefault="00F92BBC" w:rsidP="00F92BBC">
            <w:pPr>
              <w:bidi w:val="0"/>
              <w:spacing w:before="240"/>
              <w:jc w:val="left"/>
              <w:rPr>
                <w:rFonts w:eastAsia="Times New Roman" w:cs="Traditional Arabic"/>
                <w:szCs w:val="30"/>
              </w:rPr>
            </w:pPr>
            <w:r w:rsidRPr="008E6DC1">
              <w:rPr>
                <w:rFonts w:eastAsia="Times New Roman" w:cs="Traditional Arabic"/>
                <w:szCs w:val="30"/>
              </w:rPr>
              <w:t>Distr.: General</w:t>
            </w:r>
          </w:p>
          <w:p w14:paraId="2E6527DF" w14:textId="77777777" w:rsidR="00F92BBC" w:rsidRPr="008E6DC1" w:rsidRDefault="00F92BBC" w:rsidP="00F92BBC">
            <w:pPr>
              <w:bidi w:val="0"/>
              <w:jc w:val="left"/>
              <w:rPr>
                <w:rFonts w:eastAsia="Times New Roman" w:cs="Traditional Arabic"/>
                <w:szCs w:val="30"/>
              </w:rPr>
            </w:pPr>
            <w:r w:rsidRPr="00350F98">
              <w:rPr>
                <w:rFonts w:eastAsia="Times New Roman" w:cs="Traditional Arabic"/>
                <w:szCs w:val="30"/>
              </w:rPr>
              <w:t>15</w:t>
            </w:r>
            <w:r w:rsidRPr="008E6DC1">
              <w:rPr>
                <w:rFonts w:eastAsia="Times New Roman" w:cs="Traditional Arabic"/>
                <w:szCs w:val="30"/>
              </w:rPr>
              <w:t xml:space="preserve"> February </w:t>
            </w:r>
            <w:r w:rsidRPr="00350F98">
              <w:rPr>
                <w:rFonts w:eastAsia="Times New Roman" w:cs="Traditional Arabic"/>
                <w:szCs w:val="30"/>
              </w:rPr>
              <w:t>2021</w:t>
            </w:r>
          </w:p>
          <w:p w14:paraId="79B765F5" w14:textId="77777777" w:rsidR="00F92BBC" w:rsidRPr="008E6DC1" w:rsidRDefault="00F92BBC" w:rsidP="00F92BBC">
            <w:pPr>
              <w:bidi w:val="0"/>
              <w:jc w:val="left"/>
              <w:rPr>
                <w:rFonts w:eastAsia="Times New Roman" w:cs="Traditional Arabic"/>
                <w:szCs w:val="30"/>
              </w:rPr>
            </w:pPr>
            <w:r w:rsidRPr="008E6DC1">
              <w:rPr>
                <w:rFonts w:eastAsia="Times New Roman" w:cs="Traditional Arabic"/>
                <w:szCs w:val="30"/>
              </w:rPr>
              <w:t>Arabic</w:t>
            </w:r>
          </w:p>
          <w:p w14:paraId="5D587518" w14:textId="0BCF60F1" w:rsidR="0021576B" w:rsidRPr="0021576B" w:rsidRDefault="00F92BBC" w:rsidP="00F92BBC">
            <w:pPr>
              <w:bidi w:val="0"/>
              <w:spacing w:line="240" w:lineRule="exact"/>
              <w:jc w:val="left"/>
              <w:rPr>
                <w:szCs w:val="20"/>
              </w:rPr>
            </w:pPr>
            <w:r w:rsidRPr="008E6DC1">
              <w:rPr>
                <w:rFonts w:eastAsia="Times New Roman" w:cs="Traditional Arabic"/>
                <w:szCs w:val="30"/>
              </w:rPr>
              <w:t>Original: French</w:t>
            </w:r>
          </w:p>
        </w:tc>
      </w:tr>
    </w:tbl>
    <w:p w14:paraId="2FFAEFC4" w14:textId="77777777" w:rsidR="00D424DC" w:rsidRPr="00350F98" w:rsidRDefault="00D424DC" w:rsidP="00D424DC">
      <w:pPr>
        <w:pStyle w:val="HMGA"/>
        <w:spacing w:before="600"/>
        <w:rPr>
          <w:rtl/>
          <w:lang w:bidi="ar-EG"/>
        </w:rPr>
      </w:pPr>
      <w:bookmarkStart w:id="0" w:name="_Hlk66265102"/>
      <w:bookmarkStart w:id="1" w:name="_Hlk71717649"/>
      <w:r w:rsidRPr="00350F98">
        <w:rPr>
          <w:rtl/>
          <w:lang w:bidi="ar-EG"/>
        </w:rPr>
        <w:tab/>
      </w:r>
      <w:r w:rsidRPr="00350F98">
        <w:rPr>
          <w:rtl/>
          <w:lang w:bidi="ar-EG"/>
        </w:rPr>
        <w:tab/>
      </w:r>
      <w:bookmarkStart w:id="2" w:name="_Toc73715636"/>
      <w:r w:rsidRPr="00350F98">
        <w:rPr>
          <w:rtl/>
          <w:lang w:bidi="ar-EG"/>
        </w:rPr>
        <w:t>وثيقة أساسية موحدة تشكل جزءاً من التقارير المقدمة من الدول الأطراف</w:t>
      </w:r>
      <w:bookmarkEnd w:id="2"/>
    </w:p>
    <w:p w14:paraId="48CD1209" w14:textId="77777777" w:rsidR="00D424DC" w:rsidRPr="00350F98" w:rsidRDefault="00D424DC" w:rsidP="00D424DC">
      <w:pPr>
        <w:pStyle w:val="HMGA"/>
        <w:rPr>
          <w:rtl/>
          <w:lang w:bidi="ar-EG"/>
        </w:rPr>
      </w:pPr>
      <w:r w:rsidRPr="00350F98">
        <w:rPr>
          <w:rtl/>
          <w:lang w:bidi="ar-EG"/>
        </w:rPr>
        <w:tab/>
      </w:r>
      <w:r w:rsidRPr="00350F98">
        <w:rPr>
          <w:rtl/>
          <w:lang w:bidi="ar-EG"/>
        </w:rPr>
        <w:tab/>
      </w:r>
      <w:bookmarkStart w:id="3" w:name="_Toc73715637"/>
      <w:r w:rsidRPr="00350F98">
        <w:rPr>
          <w:rtl/>
          <w:lang w:bidi="ar-EG"/>
        </w:rPr>
        <w:t>بلجيكا</w:t>
      </w:r>
      <w:r w:rsidRPr="00350F98">
        <w:rPr>
          <w:rStyle w:val="FootnoteReference"/>
          <w:sz w:val="32"/>
          <w:szCs w:val="32"/>
          <w:vertAlign w:val="baseline"/>
          <w:rtl/>
          <w:lang w:bidi="ar-EG"/>
        </w:rPr>
        <w:footnoteReference w:customMarkFollows="1" w:id="1"/>
        <w:t>*</w:t>
      </w:r>
      <w:bookmarkEnd w:id="3"/>
    </w:p>
    <w:p w14:paraId="7E39C952" w14:textId="77777777" w:rsidR="00D424DC" w:rsidRDefault="00D424DC" w:rsidP="00C273C5">
      <w:pPr>
        <w:pStyle w:val="SingleTxtGA"/>
        <w:jc w:val="right"/>
        <w:rPr>
          <w:rtl/>
        </w:rPr>
      </w:pPr>
      <w:r>
        <w:rPr>
          <w:rtl/>
          <w:lang w:bidi="ar-EG"/>
        </w:rPr>
        <w:t xml:space="preserve">[تاريخ الاستلام: </w:t>
      </w:r>
      <w:r w:rsidRPr="00350F98">
        <w:rPr>
          <w:rtl/>
          <w:lang w:bidi="ar-EG"/>
        </w:rPr>
        <w:t>18</w:t>
      </w:r>
      <w:r>
        <w:rPr>
          <w:rtl/>
          <w:lang w:bidi="ar-EG"/>
        </w:rPr>
        <w:t xml:space="preserve"> تشرين الثاني/نوفمبر</w:t>
      </w:r>
      <w:r w:rsidRPr="00350F98">
        <w:rPr>
          <w:rtl/>
          <w:lang w:bidi="ar-EG"/>
        </w:rPr>
        <w:t>2020</w:t>
      </w:r>
      <w:r>
        <w:rPr>
          <w:rtl/>
          <w:lang w:bidi="ar-EG"/>
        </w:rPr>
        <w:t>]</w:t>
      </w:r>
    </w:p>
    <w:p w14:paraId="09ED37C4" w14:textId="77777777" w:rsidR="00D424DC" w:rsidRDefault="00D424DC" w:rsidP="00D424DC">
      <w:pPr>
        <w:bidi w:val="0"/>
        <w:spacing w:after="200" w:line="276" w:lineRule="auto"/>
        <w:jc w:val="left"/>
        <w:rPr>
          <w:sz w:val="22"/>
          <w:rtl/>
          <w:lang w:val="en-GB" w:bidi="ar-EG"/>
        </w:rPr>
      </w:pPr>
      <w:r>
        <w:rPr>
          <w:rtl/>
          <w:lang w:bidi="ar-EG"/>
        </w:rPr>
        <w:br w:type="page"/>
      </w:r>
    </w:p>
    <w:p w14:paraId="0C084547" w14:textId="77777777" w:rsidR="00547B80" w:rsidRPr="001930C2" w:rsidRDefault="00547B80" w:rsidP="0036633E">
      <w:pPr>
        <w:keepNext/>
        <w:spacing w:line="360" w:lineRule="exact"/>
        <w:rPr>
          <w:sz w:val="26"/>
          <w:szCs w:val="26"/>
          <w:rtl/>
        </w:rPr>
      </w:pPr>
      <w:r w:rsidRPr="001930C2">
        <w:rPr>
          <w:rFonts w:hint="cs"/>
          <w:sz w:val="26"/>
          <w:szCs w:val="26"/>
          <w:rtl/>
        </w:rPr>
        <w:lastRenderedPageBreak/>
        <w:t>المحتويات</w:t>
      </w:r>
    </w:p>
    <w:p w14:paraId="345662E0" w14:textId="77777777" w:rsidR="00547B80" w:rsidRPr="001930C2" w:rsidRDefault="00547B80" w:rsidP="0036633E">
      <w:pPr>
        <w:keepNext/>
        <w:tabs>
          <w:tab w:val="left" w:pos="7917"/>
          <w:tab w:val="right" w:pos="9638"/>
        </w:tabs>
        <w:spacing w:before="120" w:after="120" w:line="240" w:lineRule="exact"/>
        <w:ind w:left="284"/>
        <w:rPr>
          <w:iCs/>
          <w:rtl/>
        </w:rPr>
      </w:pPr>
      <w:r w:rsidRPr="001930C2">
        <w:rPr>
          <w:i/>
          <w:rtl/>
        </w:rPr>
        <w:tab/>
      </w:r>
      <w:r w:rsidRPr="001930C2">
        <w:rPr>
          <w:i/>
          <w:rtl/>
        </w:rPr>
        <w:tab/>
      </w:r>
      <w:r w:rsidRPr="001930C2">
        <w:rPr>
          <w:rFonts w:hint="cs"/>
          <w:iCs/>
          <w:rtl/>
        </w:rPr>
        <w:t>الصفحة</w:t>
      </w:r>
    </w:p>
    <w:p w14:paraId="34A344C5" w14:textId="3733928C" w:rsidR="00547B80" w:rsidRPr="001930C2" w:rsidRDefault="00547B80" w:rsidP="00547B80">
      <w:pPr>
        <w:pStyle w:val="TOC4"/>
        <w:rPr>
          <w:rStyle w:val="Hyperlink"/>
          <w:color w:val="auto"/>
          <w:rtl/>
          <w:lang w:bidi="ar-EG"/>
        </w:rPr>
      </w:pPr>
      <w:r w:rsidRPr="001930C2">
        <w:fldChar w:fldCharType="begin"/>
      </w:r>
      <w:r w:rsidRPr="001930C2">
        <w:instrText xml:space="preserve"> TOC \o "1-3" \h \z \t "_ H _Ch_GA;4;_ H_1_GA;5" </w:instrText>
      </w:r>
      <w:r w:rsidRPr="001930C2">
        <w:fldChar w:fldCharType="separate"/>
      </w:r>
      <w:hyperlink w:anchor="_Toc73715638" w:history="1">
        <w:r w:rsidRPr="001930C2">
          <w:rPr>
            <w:rStyle w:val="Hyperlink"/>
            <w:color w:val="auto"/>
            <w:rtl/>
            <w:lang w:bidi="ar-EG"/>
          </w:rPr>
          <w:tab/>
          <w:t>أولاً</w:t>
        </w:r>
        <w:r w:rsidRPr="001930C2">
          <w:rPr>
            <w:rStyle w:val="Hyperlink"/>
            <w:color w:val="auto"/>
            <w:rtl/>
            <w:lang w:bidi="ar-EG"/>
          </w:rPr>
          <w:tab/>
          <w:t>-</w:t>
        </w:r>
        <w:r w:rsidRPr="001930C2">
          <w:rPr>
            <w:rStyle w:val="Hyperlink"/>
            <w:color w:val="auto"/>
            <w:rtl/>
            <w:lang w:bidi="ar-EG"/>
          </w:rPr>
          <w:tab/>
          <w:t>معلومات عامة عن الدولة المقدمة للتقرير</w:t>
        </w:r>
        <w:r w:rsidRPr="001930C2">
          <w:rPr>
            <w:rStyle w:val="Hyperlink"/>
            <w:webHidden/>
            <w:color w:val="auto"/>
            <w:rtl/>
            <w:lang w:bidi="ar-EG"/>
          </w:rPr>
          <w:tab/>
        </w:r>
        <w:r w:rsidRPr="001930C2">
          <w:rPr>
            <w:rStyle w:val="Hyperlink"/>
            <w:color w:val="auto"/>
            <w:rtl/>
            <w:lang w:bidi="ar-EG"/>
          </w:rPr>
          <w:tab/>
        </w:r>
        <w:r w:rsidRPr="001930C2">
          <w:rPr>
            <w:rStyle w:val="Hyperlink"/>
            <w:color w:val="auto"/>
            <w:lang w:bidi="ar-EG"/>
          </w:rPr>
          <w:fldChar w:fldCharType="begin"/>
        </w:r>
        <w:r w:rsidRPr="001930C2">
          <w:rPr>
            <w:rStyle w:val="Hyperlink"/>
            <w:webHidden/>
            <w:color w:val="auto"/>
            <w:rtl/>
            <w:lang w:bidi="ar-EG"/>
          </w:rPr>
          <w:instrText xml:space="preserve"> </w:instrText>
        </w:r>
        <w:r w:rsidRPr="001930C2">
          <w:rPr>
            <w:rStyle w:val="Hyperlink"/>
            <w:webHidden/>
            <w:color w:val="auto"/>
            <w:lang w:bidi="ar-EG"/>
          </w:rPr>
          <w:instrText>PAGEREF</w:instrText>
        </w:r>
        <w:r w:rsidRPr="001930C2">
          <w:rPr>
            <w:rStyle w:val="Hyperlink"/>
            <w:webHidden/>
            <w:color w:val="auto"/>
            <w:rtl/>
            <w:lang w:bidi="ar-EG"/>
          </w:rPr>
          <w:instrText xml:space="preserve"> _</w:instrText>
        </w:r>
        <w:r w:rsidRPr="001930C2">
          <w:rPr>
            <w:rStyle w:val="Hyperlink"/>
            <w:webHidden/>
            <w:color w:val="auto"/>
            <w:lang w:bidi="ar-EG"/>
          </w:rPr>
          <w:instrText>Toc73715638 \h</w:instrText>
        </w:r>
        <w:r w:rsidRPr="001930C2">
          <w:rPr>
            <w:rStyle w:val="Hyperlink"/>
            <w:webHidden/>
            <w:color w:val="auto"/>
            <w:rtl/>
            <w:lang w:bidi="ar-EG"/>
          </w:rPr>
          <w:instrText xml:space="preserve"> </w:instrText>
        </w:r>
        <w:r w:rsidRPr="001930C2">
          <w:rPr>
            <w:rStyle w:val="Hyperlink"/>
            <w:color w:val="auto"/>
            <w:lang w:bidi="ar-EG"/>
          </w:rPr>
        </w:r>
        <w:r w:rsidRPr="001930C2">
          <w:rPr>
            <w:rStyle w:val="Hyperlink"/>
            <w:color w:val="auto"/>
            <w:lang w:bidi="ar-EG"/>
          </w:rPr>
          <w:fldChar w:fldCharType="separate"/>
        </w:r>
        <w:r w:rsidR="00AF498B">
          <w:rPr>
            <w:rStyle w:val="Hyperlink"/>
            <w:webHidden/>
            <w:color w:val="auto"/>
            <w:rtl/>
            <w:lang w:bidi="ar-EG"/>
          </w:rPr>
          <w:t>3</w:t>
        </w:r>
        <w:r w:rsidRPr="001930C2">
          <w:rPr>
            <w:rStyle w:val="Hyperlink"/>
            <w:color w:val="auto"/>
            <w:lang w:bidi="ar-EG"/>
          </w:rPr>
          <w:fldChar w:fldCharType="end"/>
        </w:r>
      </w:hyperlink>
    </w:p>
    <w:p w14:paraId="7691FF40" w14:textId="50032EEF" w:rsidR="00547B80" w:rsidRPr="001930C2" w:rsidRDefault="00297A84">
      <w:pPr>
        <w:pStyle w:val="TOC5"/>
        <w:rPr>
          <w:rFonts w:asciiTheme="minorHAnsi" w:hAnsiTheme="minorHAnsi" w:cstheme="minorBidi"/>
          <w:sz w:val="22"/>
          <w:szCs w:val="22"/>
          <w:rtl/>
          <w:lang w:val="en-US" w:eastAsia="zh-CN"/>
        </w:rPr>
      </w:pPr>
      <w:hyperlink w:anchor="_Toc73715639" w:history="1">
        <w:r w:rsidR="00547B80" w:rsidRPr="001930C2">
          <w:rPr>
            <w:rStyle w:val="Hyperlink"/>
            <w:color w:val="auto"/>
            <w:rtl/>
            <w:lang w:bidi="ar-EG"/>
          </w:rPr>
          <w:t>ألف</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الخصائص الديمغرافية والاقتصادية والاجتماعية والثقافية للدولة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Toc73715639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w:t>
        </w:r>
        <w:r w:rsidR="00547B80" w:rsidRPr="001930C2">
          <w:rPr>
            <w:rStyle w:val="Hyperlink"/>
            <w:color w:val="auto"/>
          </w:rPr>
          <w:fldChar w:fldCharType="end"/>
        </w:r>
      </w:hyperlink>
    </w:p>
    <w:p w14:paraId="59FA283E" w14:textId="35AFC6F6" w:rsidR="00547B80" w:rsidRPr="001930C2" w:rsidRDefault="00297A84">
      <w:pPr>
        <w:pStyle w:val="TOC5"/>
        <w:rPr>
          <w:rFonts w:asciiTheme="minorHAnsi" w:hAnsiTheme="minorHAnsi" w:cstheme="minorBidi"/>
          <w:sz w:val="22"/>
          <w:szCs w:val="22"/>
          <w:rtl/>
          <w:lang w:val="en-US" w:eastAsia="zh-CN"/>
        </w:rPr>
      </w:pPr>
      <w:hyperlink w:anchor="_Toc73715640" w:history="1">
        <w:r w:rsidR="00547B80" w:rsidRPr="001930C2">
          <w:rPr>
            <w:rStyle w:val="Hyperlink"/>
            <w:color w:val="auto"/>
            <w:rtl/>
            <w:lang w:bidi="ar-EG"/>
          </w:rPr>
          <w:t>باء</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الهيكل الدستوري والسياسي والقانوني للدولة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Toc73715640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5</w:t>
        </w:r>
        <w:r w:rsidR="00547B80" w:rsidRPr="001930C2">
          <w:rPr>
            <w:rStyle w:val="Hyperlink"/>
            <w:color w:val="auto"/>
          </w:rPr>
          <w:fldChar w:fldCharType="end"/>
        </w:r>
      </w:hyperlink>
    </w:p>
    <w:p w14:paraId="6CE6C53C" w14:textId="01BE481B" w:rsidR="00547B80" w:rsidRPr="001930C2" w:rsidRDefault="00297A84">
      <w:pPr>
        <w:pStyle w:val="TOC4"/>
        <w:rPr>
          <w:rFonts w:asciiTheme="minorHAnsi" w:hAnsiTheme="minorHAnsi" w:cstheme="minorBidi"/>
          <w:sz w:val="22"/>
          <w:szCs w:val="22"/>
          <w:rtl/>
          <w:lang w:val="en-US" w:eastAsia="zh-CN"/>
        </w:rPr>
      </w:pPr>
      <w:hyperlink w:anchor="_Toc73715641" w:history="1">
        <w:r w:rsidR="00547B80" w:rsidRPr="001930C2">
          <w:rPr>
            <w:rStyle w:val="Hyperlink"/>
            <w:color w:val="auto"/>
            <w:rtl/>
            <w:lang w:bidi="ar-EG"/>
          </w:rPr>
          <w:tab/>
          <w:t>ثانياً</w:t>
        </w:r>
        <w:r w:rsidR="00547B80" w:rsidRPr="001930C2">
          <w:rPr>
            <w:rStyle w:val="Hyperlink"/>
            <w:color w:val="auto"/>
            <w:rtl/>
            <w:lang w:bidi="ar-EG"/>
          </w:rPr>
          <w:tab/>
          <w:t>-</w:t>
        </w:r>
        <w:r w:rsidR="00547B80" w:rsidRPr="001930C2">
          <w:rPr>
            <w:rStyle w:val="Hyperlink"/>
            <w:color w:val="auto"/>
            <w:rtl/>
            <w:lang w:bidi="ar-EG"/>
          </w:rPr>
          <w:tab/>
          <w:t>الإطار العام لحماية حقوق الإنسان وتعزيزها</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Toc73715641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17</w:t>
        </w:r>
        <w:r w:rsidR="00547B80" w:rsidRPr="001930C2">
          <w:rPr>
            <w:rStyle w:val="Hyperlink"/>
            <w:color w:val="auto"/>
          </w:rPr>
          <w:fldChar w:fldCharType="end"/>
        </w:r>
      </w:hyperlink>
    </w:p>
    <w:p w14:paraId="6C299285" w14:textId="7C9FFE01" w:rsidR="00547B80" w:rsidRPr="001930C2" w:rsidRDefault="00297A84">
      <w:pPr>
        <w:pStyle w:val="TOC5"/>
        <w:rPr>
          <w:rFonts w:asciiTheme="minorHAnsi" w:hAnsiTheme="minorHAnsi" w:cstheme="minorBidi"/>
          <w:sz w:val="22"/>
          <w:szCs w:val="22"/>
          <w:rtl/>
          <w:lang w:val="en-US" w:eastAsia="zh-CN"/>
        </w:rPr>
      </w:pPr>
      <w:hyperlink w:anchor="_Toc73715642" w:history="1">
        <w:r w:rsidR="00547B80" w:rsidRPr="001930C2">
          <w:rPr>
            <w:rStyle w:val="Hyperlink"/>
            <w:color w:val="auto"/>
            <w:rtl/>
            <w:lang w:bidi="ar-EG"/>
          </w:rPr>
          <w:t>ألف</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قبول القواعد الدولية المتعلقة بحقوق الإنسان</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Toc73715642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17</w:t>
        </w:r>
        <w:r w:rsidR="00547B80" w:rsidRPr="001930C2">
          <w:rPr>
            <w:rStyle w:val="Hyperlink"/>
            <w:color w:val="auto"/>
          </w:rPr>
          <w:fldChar w:fldCharType="end"/>
        </w:r>
      </w:hyperlink>
    </w:p>
    <w:p w14:paraId="11E6DEBF" w14:textId="5A2265E8" w:rsidR="00547B80" w:rsidRPr="001930C2" w:rsidRDefault="00297A84">
      <w:pPr>
        <w:pStyle w:val="TOC5"/>
        <w:rPr>
          <w:rFonts w:asciiTheme="minorHAnsi" w:hAnsiTheme="minorHAnsi" w:cstheme="minorBidi"/>
          <w:sz w:val="22"/>
          <w:szCs w:val="22"/>
          <w:rtl/>
          <w:lang w:val="en-US" w:eastAsia="zh-CN"/>
        </w:rPr>
      </w:pPr>
      <w:hyperlink w:anchor="_Toc73715643" w:history="1">
        <w:r w:rsidR="00547B80" w:rsidRPr="001930C2">
          <w:rPr>
            <w:rStyle w:val="Hyperlink"/>
            <w:color w:val="auto"/>
            <w:rtl/>
            <w:lang w:bidi="ar-EG"/>
          </w:rPr>
          <w:t>باء</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الإطار القانوني لحماية حقوق الإنسان على الصعيد الوطني</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Toc73715643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20</w:t>
        </w:r>
        <w:r w:rsidR="00547B80" w:rsidRPr="001930C2">
          <w:rPr>
            <w:rStyle w:val="Hyperlink"/>
            <w:color w:val="auto"/>
          </w:rPr>
          <w:fldChar w:fldCharType="end"/>
        </w:r>
      </w:hyperlink>
    </w:p>
    <w:p w14:paraId="60FC048D" w14:textId="15329E18" w:rsidR="00547B80" w:rsidRPr="001930C2" w:rsidRDefault="00297A84">
      <w:pPr>
        <w:pStyle w:val="TOC5"/>
        <w:rPr>
          <w:rFonts w:asciiTheme="minorHAnsi" w:hAnsiTheme="minorHAnsi" w:cstheme="minorBidi"/>
          <w:sz w:val="22"/>
          <w:szCs w:val="22"/>
          <w:rtl/>
          <w:lang w:val="en-US" w:eastAsia="zh-CN"/>
        </w:rPr>
      </w:pPr>
      <w:hyperlink w:anchor="_Toc73715644" w:history="1">
        <w:r w:rsidR="00547B80" w:rsidRPr="001930C2">
          <w:rPr>
            <w:rStyle w:val="Hyperlink"/>
            <w:color w:val="auto"/>
            <w:rtl/>
            <w:lang w:bidi="ar-EG"/>
          </w:rPr>
          <w:t>جيم</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إطار تعزيز حقوق الإنسان على الصعيد الوطني</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Toc73715644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26</w:t>
        </w:r>
        <w:r w:rsidR="00547B80" w:rsidRPr="001930C2">
          <w:rPr>
            <w:rStyle w:val="Hyperlink"/>
            <w:color w:val="auto"/>
          </w:rPr>
          <w:fldChar w:fldCharType="end"/>
        </w:r>
      </w:hyperlink>
    </w:p>
    <w:p w14:paraId="3F4773C8" w14:textId="43F913D0" w:rsidR="00547B80" w:rsidRPr="001930C2" w:rsidRDefault="00297A84">
      <w:pPr>
        <w:pStyle w:val="TOC5"/>
        <w:rPr>
          <w:rFonts w:asciiTheme="minorHAnsi" w:hAnsiTheme="minorHAnsi" w:cstheme="minorBidi"/>
          <w:sz w:val="22"/>
          <w:szCs w:val="22"/>
          <w:rtl/>
          <w:lang w:val="en-US" w:eastAsia="zh-CN"/>
        </w:rPr>
      </w:pPr>
      <w:hyperlink w:anchor="_Toc73715645" w:history="1">
        <w:r w:rsidR="00547B80" w:rsidRPr="001930C2">
          <w:rPr>
            <w:rStyle w:val="Hyperlink"/>
            <w:color w:val="auto"/>
            <w:rtl/>
            <w:lang w:bidi="ar-EG"/>
          </w:rPr>
          <w:t>دال</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عملية إعداد التقارير على الصعيد الوطني</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Toc73715645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31</w:t>
        </w:r>
        <w:r w:rsidR="00547B80" w:rsidRPr="001930C2">
          <w:rPr>
            <w:rStyle w:val="Hyperlink"/>
            <w:color w:val="auto"/>
          </w:rPr>
          <w:fldChar w:fldCharType="end"/>
        </w:r>
      </w:hyperlink>
    </w:p>
    <w:p w14:paraId="3331A257" w14:textId="73C4E230" w:rsidR="00547B80" w:rsidRPr="001930C2" w:rsidRDefault="00297A84">
      <w:pPr>
        <w:pStyle w:val="TOC5"/>
        <w:rPr>
          <w:rFonts w:asciiTheme="minorHAnsi" w:hAnsiTheme="minorHAnsi" w:cstheme="minorBidi"/>
          <w:sz w:val="22"/>
          <w:szCs w:val="22"/>
          <w:rtl/>
          <w:lang w:val="en-US" w:eastAsia="zh-CN"/>
        </w:rPr>
      </w:pPr>
      <w:hyperlink w:anchor="_Toc73715646" w:history="1">
        <w:r w:rsidR="00547B80" w:rsidRPr="001930C2">
          <w:rPr>
            <w:rStyle w:val="Hyperlink"/>
            <w:color w:val="auto"/>
            <w:rtl/>
            <w:lang w:bidi="ar-EG"/>
          </w:rPr>
          <w:t>هاء</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معلومات أخرى تتعلق بحقوق الإنسان</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Toc73715646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32</w:t>
        </w:r>
        <w:r w:rsidR="00547B80" w:rsidRPr="001930C2">
          <w:rPr>
            <w:rStyle w:val="Hyperlink"/>
            <w:color w:val="auto"/>
          </w:rPr>
          <w:fldChar w:fldCharType="end"/>
        </w:r>
      </w:hyperlink>
    </w:p>
    <w:p w14:paraId="122D9F8D" w14:textId="4D257BDD" w:rsidR="00547B80" w:rsidRPr="001930C2" w:rsidRDefault="00297A84">
      <w:pPr>
        <w:pStyle w:val="TOC4"/>
        <w:rPr>
          <w:rFonts w:asciiTheme="minorHAnsi" w:hAnsiTheme="minorHAnsi" w:cstheme="minorBidi"/>
          <w:sz w:val="22"/>
          <w:szCs w:val="22"/>
          <w:rtl/>
          <w:lang w:val="en-US" w:eastAsia="zh-CN"/>
        </w:rPr>
      </w:pPr>
      <w:hyperlink w:anchor="_Toc73715647" w:history="1">
        <w:r w:rsidR="00547B80" w:rsidRPr="001930C2">
          <w:rPr>
            <w:rStyle w:val="Hyperlink"/>
            <w:color w:val="auto"/>
            <w:rtl/>
            <w:lang w:bidi="ar-EG"/>
          </w:rPr>
          <w:tab/>
          <w:t>ثالثاً</w:t>
        </w:r>
        <w:r w:rsidR="00547B80" w:rsidRPr="001930C2">
          <w:rPr>
            <w:rStyle w:val="Hyperlink"/>
            <w:color w:val="auto"/>
            <w:rtl/>
            <w:lang w:bidi="ar-EG"/>
          </w:rPr>
          <w:tab/>
          <w:t>-</w:t>
        </w:r>
        <w:r w:rsidR="00547B80" w:rsidRPr="001930C2">
          <w:rPr>
            <w:rStyle w:val="Hyperlink"/>
            <w:color w:val="auto"/>
            <w:rtl/>
            <w:lang w:bidi="ar-EG"/>
          </w:rPr>
          <w:tab/>
          <w:t>معلومات عن عدم التمييز والمساواة وسبل الانتصاف الفعالة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Toc73715647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33</w:t>
        </w:r>
        <w:r w:rsidR="00547B80" w:rsidRPr="001930C2">
          <w:rPr>
            <w:rStyle w:val="Hyperlink"/>
            <w:color w:val="auto"/>
          </w:rPr>
          <w:fldChar w:fldCharType="end"/>
        </w:r>
      </w:hyperlink>
    </w:p>
    <w:p w14:paraId="7B4EA3AF" w14:textId="4F363ACA" w:rsidR="00547B80" w:rsidRPr="001930C2" w:rsidRDefault="00297A84">
      <w:pPr>
        <w:pStyle w:val="TOC5"/>
        <w:rPr>
          <w:rFonts w:asciiTheme="minorHAnsi" w:hAnsiTheme="minorHAnsi" w:cstheme="minorBidi"/>
          <w:sz w:val="22"/>
          <w:szCs w:val="22"/>
          <w:rtl/>
          <w:lang w:val="en-US" w:eastAsia="zh-CN"/>
        </w:rPr>
      </w:pPr>
      <w:hyperlink w:anchor="_Toc73715648" w:history="1">
        <w:r w:rsidR="00547B80" w:rsidRPr="001930C2">
          <w:rPr>
            <w:rStyle w:val="Hyperlink"/>
            <w:color w:val="auto"/>
            <w:rtl/>
            <w:lang w:bidi="ar-EG"/>
          </w:rPr>
          <w:t>ألف</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عدم التمييز والمساواة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Toc73715648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33</w:t>
        </w:r>
        <w:r w:rsidR="00547B80" w:rsidRPr="001930C2">
          <w:rPr>
            <w:rStyle w:val="Hyperlink"/>
            <w:color w:val="auto"/>
          </w:rPr>
          <w:fldChar w:fldCharType="end"/>
        </w:r>
      </w:hyperlink>
    </w:p>
    <w:p w14:paraId="12EA6B03" w14:textId="62C1B23A" w:rsidR="00547B80" w:rsidRPr="001930C2" w:rsidRDefault="00297A84">
      <w:pPr>
        <w:pStyle w:val="TOC5"/>
        <w:rPr>
          <w:rFonts w:asciiTheme="minorHAnsi" w:hAnsiTheme="minorHAnsi" w:cstheme="minorBidi"/>
          <w:sz w:val="22"/>
          <w:szCs w:val="22"/>
          <w:rtl/>
          <w:lang w:val="en-US" w:eastAsia="zh-CN"/>
        </w:rPr>
      </w:pPr>
      <w:hyperlink w:anchor="_Toc73715649" w:history="1">
        <w:r w:rsidR="00547B80" w:rsidRPr="001930C2">
          <w:rPr>
            <w:rStyle w:val="Hyperlink"/>
            <w:color w:val="auto"/>
            <w:rtl/>
            <w:lang w:bidi="ar-EG"/>
          </w:rPr>
          <w:t>باء</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مكافحة العنصرية والتطرف وكراهية الأجانب ومعاداة السامية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Toc73715649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36</w:t>
        </w:r>
        <w:r w:rsidR="00547B80" w:rsidRPr="001930C2">
          <w:rPr>
            <w:rStyle w:val="Hyperlink"/>
            <w:color w:val="auto"/>
          </w:rPr>
          <w:fldChar w:fldCharType="end"/>
        </w:r>
      </w:hyperlink>
    </w:p>
    <w:p w14:paraId="4617FE13" w14:textId="015EADE2" w:rsidR="00547B80" w:rsidRPr="001930C2" w:rsidRDefault="00297A84">
      <w:pPr>
        <w:pStyle w:val="TOC5"/>
        <w:rPr>
          <w:rFonts w:asciiTheme="minorHAnsi" w:hAnsiTheme="minorHAnsi" w:cstheme="minorBidi"/>
          <w:sz w:val="22"/>
          <w:szCs w:val="22"/>
          <w:rtl/>
          <w:lang w:val="en-US" w:eastAsia="zh-CN"/>
        </w:rPr>
      </w:pPr>
      <w:hyperlink w:anchor="_Toc73715650" w:history="1">
        <w:r w:rsidR="00547B80" w:rsidRPr="001930C2">
          <w:rPr>
            <w:rStyle w:val="Hyperlink"/>
            <w:color w:val="auto"/>
            <w:rtl/>
            <w:lang w:bidi="ar-EG"/>
          </w:rPr>
          <w:t>جيم</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حقوق المثليات والمثليين ومزدوجي الميل الجنسي ومغايري الهوية الجنسانية في بلجيكا</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Toc73715650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37</w:t>
        </w:r>
        <w:r w:rsidR="00547B80" w:rsidRPr="001930C2">
          <w:rPr>
            <w:rStyle w:val="Hyperlink"/>
            <w:color w:val="auto"/>
          </w:rPr>
          <w:fldChar w:fldCharType="end"/>
        </w:r>
      </w:hyperlink>
    </w:p>
    <w:p w14:paraId="217AEA48" w14:textId="712C7B3A" w:rsidR="00547B80" w:rsidRPr="001930C2" w:rsidRDefault="00297A84">
      <w:pPr>
        <w:pStyle w:val="TOC5"/>
        <w:rPr>
          <w:rFonts w:asciiTheme="minorHAnsi" w:hAnsiTheme="minorHAnsi" w:cstheme="minorBidi"/>
          <w:sz w:val="22"/>
          <w:szCs w:val="22"/>
          <w:rtl/>
          <w:lang w:val="en-US" w:eastAsia="zh-CN"/>
        </w:rPr>
      </w:pPr>
      <w:hyperlink w:anchor="_Toc73715651" w:history="1">
        <w:r w:rsidR="00547B80" w:rsidRPr="001930C2">
          <w:rPr>
            <w:rStyle w:val="Hyperlink"/>
            <w:color w:val="auto"/>
            <w:rtl/>
            <w:lang w:bidi="ar-EG"/>
          </w:rPr>
          <w:t>دال</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المساواة بين المرأة والرجل ومكافحة التمييز القائم على أساس الجنس</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Toc73715651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39</w:t>
        </w:r>
        <w:r w:rsidR="00547B80" w:rsidRPr="001930C2">
          <w:rPr>
            <w:rStyle w:val="Hyperlink"/>
            <w:color w:val="auto"/>
          </w:rPr>
          <w:fldChar w:fldCharType="end"/>
        </w:r>
      </w:hyperlink>
    </w:p>
    <w:p w14:paraId="037A9BA9" w14:textId="22BC367D" w:rsidR="00547B80" w:rsidRPr="001930C2" w:rsidRDefault="00297A84">
      <w:pPr>
        <w:pStyle w:val="TOC5"/>
        <w:rPr>
          <w:rFonts w:asciiTheme="minorHAnsi" w:hAnsiTheme="minorHAnsi" w:cstheme="minorBidi"/>
          <w:sz w:val="22"/>
          <w:szCs w:val="22"/>
          <w:rtl/>
          <w:lang w:val="en-US" w:eastAsia="zh-CN"/>
        </w:rPr>
      </w:pPr>
      <w:hyperlink w:anchor="_Toc73715652" w:history="1">
        <w:r w:rsidR="00547B80" w:rsidRPr="001930C2">
          <w:rPr>
            <w:rStyle w:val="Hyperlink"/>
            <w:color w:val="auto"/>
            <w:rtl/>
            <w:lang w:bidi="ar-EG"/>
          </w:rPr>
          <w:t>هاء</w:t>
        </w:r>
        <w:r w:rsidR="00547B80" w:rsidRPr="001930C2">
          <w:rPr>
            <w:rStyle w:val="Hyperlink"/>
            <w:color w:val="auto"/>
            <w:rtl/>
            <w:lang w:bidi="ar-EG"/>
          </w:rPr>
          <w:tab/>
          <w:t>-</w:t>
        </w:r>
        <w:r w:rsidR="00547B80" w:rsidRPr="001930C2">
          <w:rPr>
            <w:rFonts w:asciiTheme="minorHAnsi" w:hAnsiTheme="minorHAnsi"/>
            <w:sz w:val="22"/>
            <w:szCs w:val="22"/>
            <w:rtl/>
            <w:lang w:val="en-US" w:eastAsia="zh-CN" w:bidi="ar-EG"/>
          </w:rPr>
          <w:tab/>
        </w:r>
        <w:r w:rsidR="00547B80" w:rsidRPr="001930C2">
          <w:rPr>
            <w:rStyle w:val="Hyperlink"/>
            <w:color w:val="auto"/>
            <w:rtl/>
            <w:lang w:bidi="ar-EG"/>
          </w:rPr>
          <w:t>حقوق الأشخاص ذوي الإعاقة</w:t>
        </w:r>
        <w:r w:rsidR="00547B80" w:rsidRPr="001930C2">
          <w:rPr>
            <w:webHidden/>
            <w:rtl/>
            <w:lang w:bidi="ar-EG"/>
          </w:rPr>
          <w:tab/>
        </w:r>
        <w:r w:rsidR="00547B80" w:rsidRPr="001930C2">
          <w:rPr>
            <w:rStyle w:val="Hyperlink"/>
            <w:color w:val="auto"/>
            <w:rtl/>
            <w:lang w:bidi="ar-EG"/>
          </w:rPr>
          <w:tab/>
        </w:r>
        <w:r w:rsidR="00547B80" w:rsidRPr="001930C2">
          <w:rPr>
            <w:rStyle w:val="Hyperlink"/>
            <w:color w:val="auto"/>
          </w:rPr>
          <w:fldChar w:fldCharType="begin"/>
        </w:r>
        <w:r w:rsidR="00547B80" w:rsidRPr="001930C2">
          <w:rPr>
            <w:webHidden/>
            <w:rtl/>
          </w:rPr>
          <w:instrText xml:space="preserve"> </w:instrText>
        </w:r>
        <w:r w:rsidR="00547B80" w:rsidRPr="001930C2">
          <w:rPr>
            <w:webHidden/>
          </w:rPr>
          <w:instrText>PAGEREF</w:instrText>
        </w:r>
        <w:r w:rsidR="00547B80" w:rsidRPr="001930C2">
          <w:rPr>
            <w:webHidden/>
            <w:rtl/>
          </w:rPr>
          <w:instrText xml:space="preserve"> _</w:instrText>
        </w:r>
        <w:r w:rsidR="00547B80" w:rsidRPr="001930C2">
          <w:rPr>
            <w:webHidden/>
          </w:rPr>
          <w:instrText>Toc73715652 \h</w:instrText>
        </w:r>
        <w:r w:rsidR="00547B80" w:rsidRPr="001930C2">
          <w:rPr>
            <w:webHidden/>
            <w:rtl/>
          </w:rPr>
          <w:instrText xml:space="preserve"> </w:instrText>
        </w:r>
        <w:r w:rsidR="00547B80" w:rsidRPr="001930C2">
          <w:rPr>
            <w:rStyle w:val="Hyperlink"/>
            <w:color w:val="auto"/>
          </w:rPr>
        </w:r>
        <w:r w:rsidR="00547B80" w:rsidRPr="001930C2">
          <w:rPr>
            <w:rStyle w:val="Hyperlink"/>
            <w:color w:val="auto"/>
          </w:rPr>
          <w:fldChar w:fldCharType="separate"/>
        </w:r>
        <w:r w:rsidR="00AF498B">
          <w:rPr>
            <w:webHidden/>
            <w:rtl/>
          </w:rPr>
          <w:t>42</w:t>
        </w:r>
        <w:r w:rsidR="00547B80" w:rsidRPr="001930C2">
          <w:rPr>
            <w:rStyle w:val="Hyperlink"/>
            <w:color w:val="auto"/>
          </w:rPr>
          <w:fldChar w:fldCharType="end"/>
        </w:r>
      </w:hyperlink>
    </w:p>
    <w:p w14:paraId="5D807086" w14:textId="57C6ECC9" w:rsidR="00D424DC" w:rsidRPr="00350F98" w:rsidRDefault="00547B80" w:rsidP="004D55E4">
      <w:pPr>
        <w:pStyle w:val="TOC4"/>
        <w:rPr>
          <w:b/>
          <w:bCs/>
          <w:sz w:val="30"/>
          <w:szCs w:val="30"/>
          <w:rtl/>
          <w:lang w:bidi="ar-EG"/>
        </w:rPr>
      </w:pPr>
      <w:r w:rsidRPr="001930C2">
        <w:fldChar w:fldCharType="end"/>
      </w:r>
      <w:r w:rsidR="00D424DC">
        <w:rPr>
          <w:rtl/>
          <w:lang w:bidi="ar-EG"/>
        </w:rPr>
        <w:br w:type="page"/>
      </w:r>
    </w:p>
    <w:p w14:paraId="2369B214" w14:textId="77777777" w:rsidR="00D424DC" w:rsidRPr="00350F98" w:rsidRDefault="00D424DC" w:rsidP="00D424DC">
      <w:pPr>
        <w:pStyle w:val="HChGA"/>
        <w:rPr>
          <w:rtl/>
          <w:lang w:bidi="ar-EG"/>
        </w:rPr>
      </w:pPr>
      <w:r w:rsidRPr="00350F98">
        <w:rPr>
          <w:rtl/>
          <w:lang w:bidi="ar-EG"/>
        </w:rPr>
        <w:lastRenderedPageBreak/>
        <w:tab/>
      </w:r>
      <w:bookmarkStart w:id="4" w:name="_Toc73715638"/>
      <w:r w:rsidRPr="00350F98">
        <w:rPr>
          <w:rtl/>
          <w:lang w:bidi="ar-EG"/>
        </w:rPr>
        <w:t>أولاً-</w:t>
      </w:r>
      <w:r w:rsidRPr="00350F98">
        <w:rPr>
          <w:rtl/>
          <w:lang w:bidi="ar-EG"/>
        </w:rPr>
        <w:tab/>
        <w:t>معلومات عامة عن الدولة المقدمة للتقرير</w:t>
      </w:r>
      <w:bookmarkEnd w:id="4"/>
    </w:p>
    <w:p w14:paraId="28E1643C" w14:textId="77777777" w:rsidR="00D424DC" w:rsidRPr="00350F98" w:rsidRDefault="00D424DC" w:rsidP="00D424DC">
      <w:pPr>
        <w:pStyle w:val="H1GA"/>
        <w:rPr>
          <w:rtl/>
          <w:lang w:bidi="ar-EG"/>
        </w:rPr>
      </w:pPr>
      <w:r w:rsidRPr="00350F98">
        <w:rPr>
          <w:rtl/>
          <w:lang w:bidi="ar-EG"/>
        </w:rPr>
        <w:tab/>
      </w:r>
      <w:bookmarkStart w:id="5" w:name="_Toc73715639"/>
      <w:r w:rsidRPr="00350F98">
        <w:rPr>
          <w:rtl/>
          <w:lang w:bidi="ar-EG"/>
        </w:rPr>
        <w:t>ألف-</w:t>
      </w:r>
      <w:r w:rsidRPr="00350F98">
        <w:rPr>
          <w:rtl/>
          <w:lang w:bidi="ar-EG"/>
        </w:rPr>
        <w:tab/>
        <w:t>الخصائص الديمغرافية والاقتصادية والاجتماعية والثقافية للدولة</w:t>
      </w:r>
      <w:bookmarkEnd w:id="5"/>
    </w:p>
    <w:p w14:paraId="69CF29C3" w14:textId="77777777" w:rsidR="00D424DC" w:rsidRPr="00350F98" w:rsidRDefault="00D424DC" w:rsidP="00D424DC">
      <w:pPr>
        <w:pStyle w:val="H23GA"/>
        <w:rPr>
          <w:rtl/>
          <w:lang w:bidi="ar-EG"/>
        </w:rPr>
      </w:pPr>
      <w:r w:rsidRPr="00350F98">
        <w:rPr>
          <w:rtl/>
          <w:lang w:bidi="ar-EG"/>
        </w:rPr>
        <w:tab/>
        <w:t>1-</w:t>
      </w:r>
      <w:r w:rsidRPr="00350F98">
        <w:rPr>
          <w:rtl/>
          <w:lang w:bidi="ar-EG"/>
        </w:rPr>
        <w:tab/>
        <w:t>الإطار العام</w:t>
      </w:r>
    </w:p>
    <w:p w14:paraId="4B82011F" w14:textId="77777777" w:rsidR="00D424DC" w:rsidRDefault="00D424DC" w:rsidP="00D424DC">
      <w:pPr>
        <w:pStyle w:val="SingleTxtGA"/>
        <w:rPr>
          <w:rtl/>
          <w:lang w:bidi="ar-EG"/>
        </w:rPr>
      </w:pPr>
      <w:r w:rsidRPr="00350F98">
        <w:rPr>
          <w:rtl/>
          <w:lang w:bidi="ar-EG"/>
        </w:rPr>
        <w:t>1</w:t>
      </w:r>
      <w:r>
        <w:rPr>
          <w:rtl/>
          <w:lang w:bidi="ar-EG"/>
        </w:rPr>
        <w:t>-</w:t>
      </w:r>
      <w:r>
        <w:rPr>
          <w:rtl/>
          <w:lang w:bidi="ar-EG"/>
        </w:rPr>
        <w:tab/>
        <w:t xml:space="preserve">تحُدّ أراضي بلجيكا، التي تبلغ مساحتها </w:t>
      </w:r>
      <w:r w:rsidRPr="00350F98">
        <w:rPr>
          <w:rtl/>
          <w:lang w:bidi="ar-EG"/>
        </w:rPr>
        <w:t>519</w:t>
      </w:r>
      <w:r>
        <w:rPr>
          <w:rtl/>
          <w:lang w:bidi="ar-EG"/>
        </w:rPr>
        <w:t xml:space="preserve"> </w:t>
      </w:r>
      <w:r w:rsidRPr="00350F98">
        <w:rPr>
          <w:rtl/>
          <w:lang w:bidi="ar-EG"/>
        </w:rPr>
        <w:t>30</w:t>
      </w:r>
      <w:r>
        <w:rPr>
          <w:rtl/>
          <w:lang w:bidi="ar-EG"/>
        </w:rPr>
        <w:t xml:space="preserve"> كيلومتراً مربعاً، هولندا شمالاً، وألمانيا ودوقية لكسمبرغ الكبرى شرقاً، وفرنسا جنوباً.</w:t>
      </w:r>
    </w:p>
    <w:p w14:paraId="5571CF96" w14:textId="77777777" w:rsidR="00D424DC" w:rsidRDefault="00D424DC" w:rsidP="00D424DC">
      <w:pPr>
        <w:pStyle w:val="SingleTxtGA"/>
        <w:rPr>
          <w:rtl/>
          <w:lang w:bidi="ar-EG"/>
        </w:rPr>
      </w:pPr>
      <w:r w:rsidRPr="00350F98">
        <w:rPr>
          <w:rtl/>
          <w:lang w:bidi="ar-EG"/>
        </w:rPr>
        <w:t>2</w:t>
      </w:r>
      <w:r>
        <w:rPr>
          <w:rtl/>
          <w:lang w:bidi="ar-EG"/>
        </w:rPr>
        <w:t>-</w:t>
      </w:r>
      <w:r>
        <w:rPr>
          <w:rtl/>
          <w:lang w:bidi="ar-EG"/>
        </w:rPr>
        <w:tab/>
        <w:t xml:space="preserve">وتقع بلجيكا في واحدة من أشد مناطق العالم كثافةً سكانية وأروجها تجارةً، علاوة على أنها تقع في وسط محور حضري واقتصادي رئيسي. وتضم هذه المنطقة، التي يغلب عليها الطابع الحضري والتي </w:t>
      </w:r>
      <w:r w:rsidRPr="00885FF5">
        <w:rPr>
          <w:spacing w:val="-4"/>
          <w:rtl/>
          <w:lang w:bidi="ar-EG"/>
        </w:rPr>
        <w:t xml:space="preserve">تمتد من لندن إلى ميلانو، نصف المدن الأوروبية الكبرى، أي أكثر من </w:t>
      </w:r>
      <w:r w:rsidRPr="00350F98">
        <w:rPr>
          <w:spacing w:val="-4"/>
          <w:rtl/>
          <w:lang w:bidi="ar-EG"/>
        </w:rPr>
        <w:t>80</w:t>
      </w:r>
      <w:r w:rsidRPr="00885FF5">
        <w:rPr>
          <w:spacing w:val="-4"/>
          <w:rtl/>
          <w:lang w:bidi="ar-EG"/>
        </w:rPr>
        <w:t xml:space="preserve"> تجمعاً حضرياً يتجاوز عدد السكان</w:t>
      </w:r>
      <w:r>
        <w:rPr>
          <w:rtl/>
          <w:lang w:bidi="ar-EG"/>
        </w:rPr>
        <w:t xml:space="preserve"> في كل منها </w:t>
      </w:r>
      <w:r w:rsidRPr="00350F98">
        <w:rPr>
          <w:rtl/>
          <w:lang w:bidi="ar-EG"/>
        </w:rPr>
        <w:t>000</w:t>
      </w:r>
      <w:r>
        <w:rPr>
          <w:rtl/>
          <w:lang w:bidi="ar-EG"/>
        </w:rPr>
        <w:t xml:space="preserve"> </w:t>
      </w:r>
      <w:r w:rsidRPr="00350F98">
        <w:rPr>
          <w:rtl/>
          <w:lang w:bidi="ar-EG"/>
        </w:rPr>
        <w:t>200</w:t>
      </w:r>
      <w:r>
        <w:rPr>
          <w:rtl/>
          <w:lang w:bidi="ar-EG"/>
        </w:rPr>
        <w:t xml:space="preserve"> نسمة. وهي أيضاً المحور الرئيسي للاتصالات والتبادلات في أوروبا.</w:t>
      </w:r>
    </w:p>
    <w:p w14:paraId="0A3598B8" w14:textId="77777777" w:rsidR="00D424DC" w:rsidRDefault="00D424DC" w:rsidP="00D424DC">
      <w:pPr>
        <w:pStyle w:val="SingleTxtGA"/>
        <w:rPr>
          <w:rtl/>
          <w:lang w:bidi="ar-EG"/>
        </w:rPr>
      </w:pPr>
      <w:r w:rsidRPr="00350F98">
        <w:rPr>
          <w:rtl/>
          <w:lang w:bidi="ar-EG"/>
        </w:rPr>
        <w:t>3</w:t>
      </w:r>
      <w:r>
        <w:rPr>
          <w:rtl/>
          <w:lang w:bidi="ar-EG"/>
        </w:rPr>
        <w:t>-</w:t>
      </w:r>
      <w:r>
        <w:rPr>
          <w:rtl/>
          <w:lang w:bidi="ar-EG"/>
        </w:rPr>
        <w:tab/>
      </w:r>
      <w:r w:rsidRPr="00885FF5">
        <w:rPr>
          <w:spacing w:val="-4"/>
          <w:rtl/>
          <w:lang w:bidi="ar-EG"/>
        </w:rPr>
        <w:t>وتقع بلجيكا في ملتقى طرق بين العمود الفقري الاقتصادي والحضري في أوروبا والواجهة البحرية الهامة التي تمتد على طول بحر الشمال، من ميناء لوهافر إلى ميناء هامبورغ. وتوجد على الأراضي البلجيكية</w:t>
      </w:r>
      <w:r>
        <w:rPr>
          <w:rtl/>
          <w:lang w:bidi="ar-EG"/>
        </w:rPr>
        <w:t xml:space="preserve"> شبكات مواصلات كاملة ومتنوعة تغطي مجموع البلد وتتصل بالبلدان المجاورة له، ممّا ييسّر حركة النقل في الداخل والروابط الدولية.</w:t>
      </w:r>
    </w:p>
    <w:p w14:paraId="45307B8C" w14:textId="77777777" w:rsidR="00D424DC" w:rsidRDefault="00D424DC" w:rsidP="00D424DC">
      <w:pPr>
        <w:pStyle w:val="SingleTxtGA"/>
        <w:rPr>
          <w:rtl/>
          <w:lang w:bidi="ar-EG"/>
        </w:rPr>
      </w:pPr>
      <w:r w:rsidRPr="00350F98">
        <w:rPr>
          <w:rtl/>
          <w:lang w:bidi="ar-EG"/>
        </w:rPr>
        <w:t>4</w:t>
      </w:r>
      <w:r>
        <w:rPr>
          <w:rtl/>
          <w:lang w:bidi="ar-EG"/>
        </w:rPr>
        <w:t>-</w:t>
      </w:r>
      <w:r>
        <w:rPr>
          <w:rtl/>
          <w:lang w:bidi="ar-EG"/>
        </w:rPr>
        <w:tab/>
      </w:r>
      <w:r w:rsidRPr="00885FF5">
        <w:rPr>
          <w:spacing w:val="-4"/>
          <w:rtl/>
          <w:lang w:bidi="ar-EG"/>
        </w:rPr>
        <w:t>وبفضل هذا الموقع الجغرافي، كانت بلجيكا على الدوام، وطوال تاريخها، مكانَ التقاء ومرور وحاضنةً</w:t>
      </w:r>
      <w:r>
        <w:rPr>
          <w:rtl/>
          <w:lang w:bidi="ar-EG"/>
        </w:rPr>
        <w:t xml:space="preserve"> أيضاً للناس والأفكار والمشاريع الاقتصادية.</w:t>
      </w:r>
    </w:p>
    <w:p w14:paraId="7000863E" w14:textId="77777777" w:rsidR="00D424DC" w:rsidRDefault="00D424DC" w:rsidP="00D424DC">
      <w:pPr>
        <w:pStyle w:val="SingleTxtGA"/>
        <w:rPr>
          <w:rtl/>
          <w:lang w:bidi="ar-EG"/>
        </w:rPr>
      </w:pPr>
      <w:r w:rsidRPr="00350F98">
        <w:rPr>
          <w:rtl/>
          <w:lang w:bidi="ar-EG"/>
        </w:rPr>
        <w:t>5</w:t>
      </w:r>
      <w:r>
        <w:rPr>
          <w:rtl/>
          <w:lang w:bidi="ar-EG"/>
        </w:rPr>
        <w:t>-</w:t>
      </w:r>
      <w:r>
        <w:rPr>
          <w:rtl/>
          <w:lang w:bidi="ar-EG"/>
        </w:rPr>
        <w:tab/>
        <w:t xml:space="preserve">وقد انفتحت بلجيكا منذ وقت مبكر جداً على التعاون الدولي. ففي عام </w:t>
      </w:r>
      <w:r w:rsidRPr="00350F98">
        <w:rPr>
          <w:rtl/>
          <w:lang w:bidi="ar-EG"/>
        </w:rPr>
        <w:t>1921</w:t>
      </w:r>
      <w:r>
        <w:rPr>
          <w:rtl/>
          <w:lang w:bidi="ar-EG"/>
        </w:rPr>
        <w:t xml:space="preserve">، وقَّعت مع دوقية لكسمبرغ الكبرى اتفاقاً بهدف إلغاء القيود المفروضة على المبادلات ووضع تعريفة جمركية موحدة واتباع سياسة مالية وتجارية واحدة، فمهدت الطريق بذلك لما أصبح فيما بعد البناء الأوروبي. وفي عام </w:t>
      </w:r>
      <w:r w:rsidRPr="00350F98">
        <w:rPr>
          <w:rtl/>
          <w:lang w:bidi="ar-EG"/>
        </w:rPr>
        <w:t>1951</w:t>
      </w:r>
      <w:r>
        <w:rPr>
          <w:rtl/>
          <w:lang w:bidi="ar-EG"/>
        </w:rPr>
        <w:t xml:space="preserve">، </w:t>
      </w:r>
      <w:r w:rsidRPr="00885FF5">
        <w:rPr>
          <w:spacing w:val="-4"/>
          <w:rtl/>
          <w:lang w:bidi="ar-EG"/>
        </w:rPr>
        <w:t>كانت بلجيكا من بين الدول المؤسِّسة للجماعة الأوروبية للفحم والصلب التي كانت تهدف إلى التداول الحر</w:t>
      </w:r>
      <w:r>
        <w:rPr>
          <w:rtl/>
          <w:lang w:bidi="ar-EG"/>
        </w:rPr>
        <w:t xml:space="preserve"> لهذين المنتجين بين بلدان الجماعة الستة. وتقع في بروكسل مقار مؤسسات أوروبية عديدة إلى جانب مقر منظمة حلف شمال الأطلسي ومقار نحو </w:t>
      </w:r>
      <w:r w:rsidRPr="00350F98">
        <w:rPr>
          <w:rtl/>
          <w:lang w:bidi="ar-EG"/>
        </w:rPr>
        <w:t>850</w:t>
      </w:r>
      <w:r>
        <w:rPr>
          <w:rtl/>
          <w:lang w:bidi="ar-EG"/>
        </w:rPr>
        <w:t xml:space="preserve"> منظمة دولية غير حكومية.</w:t>
      </w:r>
    </w:p>
    <w:p w14:paraId="5F2AF74D" w14:textId="40B8C8CD" w:rsidR="00D424DC" w:rsidRDefault="00D424DC" w:rsidP="00D424DC">
      <w:pPr>
        <w:pStyle w:val="SingleTxtGA"/>
        <w:rPr>
          <w:rtl/>
          <w:lang w:bidi="ar-EG"/>
        </w:rPr>
      </w:pPr>
      <w:r w:rsidRPr="00350F98">
        <w:rPr>
          <w:rtl/>
          <w:lang w:bidi="ar-EG"/>
        </w:rPr>
        <w:t>6</w:t>
      </w:r>
      <w:r>
        <w:rPr>
          <w:rtl/>
          <w:lang w:bidi="ar-EG"/>
        </w:rPr>
        <w:t>-</w:t>
      </w:r>
      <w:r>
        <w:rPr>
          <w:rtl/>
          <w:lang w:bidi="ar-EG"/>
        </w:rPr>
        <w:tab/>
        <w:t xml:space="preserve">وتُسجل بلجيكا، في إطار الاتحاد الاقتصادي بين بلجيكا ولكسمبرغ، أكبر حجم صادرات في </w:t>
      </w:r>
      <w:r w:rsidRPr="00885FF5">
        <w:rPr>
          <w:spacing w:val="-4"/>
          <w:rtl/>
          <w:lang w:bidi="ar-EG"/>
        </w:rPr>
        <w:t xml:space="preserve">العالم من حيث نصيب الفرد. ويمثل هذا الاتحاد وحده </w:t>
      </w:r>
      <w:r w:rsidR="00885FF5" w:rsidRPr="00350F98">
        <w:rPr>
          <w:rFonts w:hint="cs"/>
          <w:spacing w:val="-4"/>
          <w:rtl/>
          <w:lang w:bidi="ar-EG"/>
        </w:rPr>
        <w:t>58</w:t>
      </w:r>
      <w:r w:rsidR="00885FF5">
        <w:rPr>
          <w:rFonts w:hint="cs"/>
          <w:sz w:val="24"/>
          <w:szCs w:val="24"/>
          <w:rtl/>
        </w:rPr>
        <w:t>,</w:t>
      </w:r>
      <w:r w:rsidR="00885FF5" w:rsidRPr="00350F98">
        <w:rPr>
          <w:rFonts w:hint="cs"/>
          <w:rtl/>
        </w:rPr>
        <w:t>2</w:t>
      </w:r>
      <w:r w:rsidRPr="00885FF5">
        <w:rPr>
          <w:spacing w:val="-4"/>
          <w:rtl/>
          <w:lang w:bidi="ar-EG"/>
        </w:rPr>
        <w:t xml:space="preserve"> في المائة من مجموع حجم الصادرات العالمية،</w:t>
      </w:r>
      <w:r>
        <w:rPr>
          <w:rtl/>
          <w:lang w:bidi="ar-EG"/>
        </w:rPr>
        <w:t xml:space="preserve"> وهو ما يضع بلجيكا في المرتبة الحادية عشرة بين القوى الاقتصادية العالمية. وتُوجَّه نسبة </w:t>
      </w:r>
      <w:r w:rsidRPr="00350F98">
        <w:rPr>
          <w:rtl/>
          <w:lang w:bidi="ar-EG"/>
        </w:rPr>
        <w:t>87</w:t>
      </w:r>
      <w:r>
        <w:rPr>
          <w:rtl/>
          <w:lang w:bidi="ar-EG"/>
        </w:rPr>
        <w:t xml:space="preserve"> في المائة من صادرات الاتحاد، التي يمثل رقم أعمالها قرابة ثلثي الناتج القومي الإجمالي، إلى البلدان الصناعية الأخرى، و</w:t>
      </w:r>
      <w:r w:rsidR="00885FF5" w:rsidRPr="00350F98">
        <w:rPr>
          <w:rFonts w:hint="cs"/>
          <w:rtl/>
          <w:lang w:bidi="ar-EG"/>
        </w:rPr>
        <w:t>3</w:t>
      </w:r>
      <w:r w:rsidR="00885FF5">
        <w:rPr>
          <w:rFonts w:hint="cs"/>
          <w:sz w:val="24"/>
          <w:szCs w:val="24"/>
          <w:rtl/>
        </w:rPr>
        <w:t>,</w:t>
      </w:r>
      <w:r w:rsidR="00885FF5" w:rsidRPr="00350F98">
        <w:rPr>
          <w:rFonts w:hint="cs"/>
          <w:rtl/>
        </w:rPr>
        <w:t>72</w:t>
      </w:r>
      <w:r w:rsidR="00885FF5">
        <w:rPr>
          <w:rFonts w:hint="cs"/>
          <w:sz w:val="24"/>
          <w:szCs w:val="24"/>
          <w:rtl/>
        </w:rPr>
        <w:t xml:space="preserve"> </w:t>
      </w:r>
      <w:r>
        <w:rPr>
          <w:rtl/>
          <w:lang w:bidi="ar-EG"/>
        </w:rPr>
        <w:t>في المائة من هذه النسبة إلى الدول الأعضاء في الاتحاد الأوروبي. وتتميز المنتجات المصدَّرة بتنوعها: فهي تشتمل على معدات نقل ومعادن غير نفيسة وآلات وأجهزة كهربائية ومنتجات كيميائية وصيدلية ولدائن ومنسوجات وأحجار كريمة، وغيرها.</w:t>
      </w:r>
    </w:p>
    <w:p w14:paraId="0E5E2BB4" w14:textId="578742B8" w:rsidR="00D424DC" w:rsidRPr="00350F98" w:rsidRDefault="00D424DC" w:rsidP="00D424DC">
      <w:pPr>
        <w:pStyle w:val="H23GA"/>
        <w:rPr>
          <w:rtl/>
          <w:lang w:bidi="ar-EG"/>
        </w:rPr>
      </w:pPr>
      <w:r w:rsidRPr="00350F98">
        <w:rPr>
          <w:rtl/>
          <w:lang w:bidi="ar-EG"/>
        </w:rPr>
        <w:tab/>
      </w:r>
      <w:r w:rsidR="007501E7" w:rsidRPr="00350F98">
        <w:rPr>
          <w:rtl/>
          <w:lang w:bidi="ar-EG"/>
        </w:rPr>
        <w:t>2</w:t>
      </w:r>
      <w:r w:rsidRPr="00350F98">
        <w:rPr>
          <w:rtl/>
          <w:lang w:bidi="ar-EG"/>
        </w:rPr>
        <w:t>-</w:t>
      </w:r>
      <w:r w:rsidRPr="00350F98">
        <w:rPr>
          <w:rtl/>
          <w:lang w:bidi="ar-EG"/>
        </w:rPr>
        <w:tab/>
        <w:t>السكان</w:t>
      </w:r>
    </w:p>
    <w:p w14:paraId="4DBF4CFD" w14:textId="5906221B" w:rsidR="00D424DC" w:rsidRDefault="00D424DC" w:rsidP="00D424DC">
      <w:pPr>
        <w:pStyle w:val="SingleTxtGA"/>
        <w:rPr>
          <w:rtl/>
          <w:lang w:bidi="ar-EG"/>
        </w:rPr>
      </w:pPr>
      <w:r w:rsidRPr="00350F98">
        <w:rPr>
          <w:rtl/>
          <w:lang w:bidi="ar-EG"/>
        </w:rPr>
        <w:t>7</w:t>
      </w:r>
      <w:r>
        <w:rPr>
          <w:rtl/>
          <w:lang w:bidi="ar-EG"/>
        </w:rPr>
        <w:t>-</w:t>
      </w:r>
      <w:r>
        <w:rPr>
          <w:rtl/>
          <w:lang w:bidi="ar-EG"/>
        </w:rPr>
        <w:tab/>
        <w:t xml:space="preserve">تجاوز عدد سكان بلجيكا، في عام </w:t>
      </w:r>
      <w:r w:rsidRPr="00350F98">
        <w:rPr>
          <w:rtl/>
          <w:lang w:bidi="ar-EG"/>
        </w:rPr>
        <w:t>2005</w:t>
      </w:r>
      <w:r>
        <w:rPr>
          <w:rtl/>
          <w:lang w:bidi="ar-EG"/>
        </w:rPr>
        <w:t xml:space="preserve">، حدّ </w:t>
      </w:r>
      <w:r w:rsidR="00885FF5" w:rsidRPr="00350F98">
        <w:rPr>
          <w:rFonts w:hint="cs"/>
          <w:rtl/>
          <w:lang w:bidi="ar-EG"/>
        </w:rPr>
        <w:t>5</w:t>
      </w:r>
      <w:r w:rsidR="00885FF5">
        <w:rPr>
          <w:rFonts w:hint="cs"/>
          <w:sz w:val="24"/>
          <w:szCs w:val="24"/>
          <w:rtl/>
        </w:rPr>
        <w:t>,</w:t>
      </w:r>
      <w:r w:rsidR="00885FF5" w:rsidRPr="00350F98">
        <w:rPr>
          <w:rFonts w:hint="cs"/>
          <w:rtl/>
        </w:rPr>
        <w:t>10</w:t>
      </w:r>
      <w:r>
        <w:rPr>
          <w:rtl/>
          <w:lang w:bidi="ar-EG"/>
        </w:rPr>
        <w:t xml:space="preserve"> ملايين نسمة. وقبل قرن من الآن، كان عدد سكان البلد يبلغ بالكاد ستة ملايين نسمة وكان ينمو بانتظام بمعدل </w:t>
      </w:r>
      <w:r w:rsidRPr="00350F98">
        <w:rPr>
          <w:rtl/>
          <w:lang w:bidi="ar-EG"/>
        </w:rPr>
        <w:t>1</w:t>
      </w:r>
      <w:r>
        <w:rPr>
          <w:rtl/>
          <w:lang w:bidi="ar-EG"/>
        </w:rPr>
        <w:t xml:space="preserve"> في المائة سنوياً.</w:t>
      </w:r>
    </w:p>
    <w:p w14:paraId="3EF97361" w14:textId="01EA533E" w:rsidR="00D424DC" w:rsidRDefault="00D424DC" w:rsidP="00D424DC">
      <w:pPr>
        <w:pStyle w:val="SingleTxtGA"/>
        <w:rPr>
          <w:rtl/>
          <w:lang w:bidi="ar-EG"/>
        </w:rPr>
      </w:pPr>
      <w:r w:rsidRPr="00350F98">
        <w:rPr>
          <w:rtl/>
          <w:lang w:bidi="ar-EG"/>
        </w:rPr>
        <w:t>8</w:t>
      </w:r>
      <w:r>
        <w:rPr>
          <w:rtl/>
          <w:lang w:bidi="ar-EG"/>
        </w:rPr>
        <w:t>-</w:t>
      </w:r>
      <w:r>
        <w:rPr>
          <w:rtl/>
          <w:lang w:bidi="ar-EG"/>
        </w:rPr>
        <w:tab/>
        <w:t xml:space="preserve">ويبلغ عدد سكان البلد حالياً نحو </w:t>
      </w:r>
      <w:r w:rsidR="00885FF5" w:rsidRPr="00350F98">
        <w:rPr>
          <w:rFonts w:hint="cs"/>
          <w:rtl/>
          <w:lang w:bidi="ar-EG"/>
        </w:rPr>
        <w:t>4</w:t>
      </w:r>
      <w:r w:rsidR="00885FF5">
        <w:rPr>
          <w:rFonts w:hint="cs"/>
          <w:sz w:val="24"/>
          <w:szCs w:val="24"/>
          <w:rtl/>
        </w:rPr>
        <w:t>,</w:t>
      </w:r>
      <w:r w:rsidR="00885FF5" w:rsidRPr="00350F98">
        <w:rPr>
          <w:rFonts w:hint="cs"/>
          <w:rtl/>
        </w:rPr>
        <w:t>11</w:t>
      </w:r>
      <w:r>
        <w:rPr>
          <w:rtl/>
          <w:lang w:bidi="ar-EG"/>
        </w:rPr>
        <w:t xml:space="preserve"> مليون نسمة. وتشير آخر التوقعات الصادرة عن مكتب التخطيط إلى أن عدد سكان بلجيكا سيبلغ </w:t>
      </w:r>
      <w:r w:rsidR="00885FF5" w:rsidRPr="00350F98">
        <w:rPr>
          <w:rFonts w:hint="cs"/>
          <w:rtl/>
          <w:lang w:bidi="ar-EG"/>
        </w:rPr>
        <w:t>5</w:t>
      </w:r>
      <w:r w:rsidR="00885FF5">
        <w:rPr>
          <w:rFonts w:hint="cs"/>
          <w:sz w:val="24"/>
          <w:szCs w:val="24"/>
          <w:rtl/>
        </w:rPr>
        <w:t>,</w:t>
      </w:r>
      <w:r w:rsidR="00885FF5" w:rsidRPr="00350F98">
        <w:rPr>
          <w:rFonts w:hint="cs"/>
          <w:rtl/>
        </w:rPr>
        <w:t>11</w:t>
      </w:r>
      <w:r w:rsidR="00885FF5">
        <w:rPr>
          <w:rtl/>
          <w:lang w:bidi="ar-EG"/>
        </w:rPr>
        <w:t xml:space="preserve"> </w:t>
      </w:r>
      <w:r>
        <w:rPr>
          <w:rtl/>
          <w:lang w:bidi="ar-EG"/>
        </w:rPr>
        <w:t xml:space="preserve">مليون نسمة في عام </w:t>
      </w:r>
      <w:r w:rsidRPr="00350F98">
        <w:rPr>
          <w:rtl/>
          <w:lang w:bidi="ar-EG"/>
        </w:rPr>
        <w:t>2020</w:t>
      </w:r>
      <w:r>
        <w:rPr>
          <w:rtl/>
          <w:lang w:bidi="ar-EG"/>
        </w:rPr>
        <w:t xml:space="preserve"> وقد يبلغ </w:t>
      </w:r>
      <w:r w:rsidR="00885FF5" w:rsidRPr="00350F98">
        <w:rPr>
          <w:rFonts w:hint="cs"/>
          <w:rtl/>
          <w:lang w:bidi="ar-EG"/>
        </w:rPr>
        <w:t>6</w:t>
      </w:r>
      <w:r w:rsidR="00885FF5">
        <w:rPr>
          <w:rFonts w:hint="cs"/>
          <w:sz w:val="24"/>
          <w:szCs w:val="24"/>
          <w:rtl/>
        </w:rPr>
        <w:t>,</w:t>
      </w:r>
      <w:r w:rsidR="00885FF5" w:rsidRPr="00350F98">
        <w:rPr>
          <w:rFonts w:hint="cs"/>
          <w:rtl/>
        </w:rPr>
        <w:t>12</w:t>
      </w:r>
      <w:r w:rsidR="00885FF5">
        <w:rPr>
          <w:rtl/>
          <w:lang w:bidi="ar-EG"/>
        </w:rPr>
        <w:t xml:space="preserve"> </w:t>
      </w:r>
      <w:r>
        <w:rPr>
          <w:rtl/>
          <w:lang w:bidi="ar-EG"/>
        </w:rPr>
        <w:t xml:space="preserve">مليون نسمة في عام </w:t>
      </w:r>
      <w:r w:rsidRPr="00350F98">
        <w:rPr>
          <w:rtl/>
          <w:lang w:bidi="ar-EG"/>
        </w:rPr>
        <w:t>2050</w:t>
      </w:r>
      <w:r>
        <w:rPr>
          <w:rtl/>
          <w:lang w:bidi="ar-EG"/>
        </w:rPr>
        <w:t>. وسيتوقف النمو السكاني بدرجة كبيرة على عدد المهاجرين.</w:t>
      </w:r>
    </w:p>
    <w:p w14:paraId="02CC388B" w14:textId="327AC8C4" w:rsidR="00D424DC" w:rsidRDefault="00D424DC" w:rsidP="00D424DC">
      <w:pPr>
        <w:pStyle w:val="SingleTxtGA"/>
        <w:rPr>
          <w:rtl/>
          <w:lang w:bidi="ar-EG"/>
        </w:rPr>
      </w:pPr>
      <w:r w:rsidRPr="00350F98">
        <w:rPr>
          <w:rtl/>
          <w:lang w:bidi="ar-EG"/>
        </w:rPr>
        <w:lastRenderedPageBreak/>
        <w:t>9</w:t>
      </w:r>
      <w:r>
        <w:rPr>
          <w:rtl/>
          <w:lang w:bidi="ar-EG"/>
        </w:rPr>
        <w:t>-</w:t>
      </w:r>
      <w:r>
        <w:rPr>
          <w:rtl/>
          <w:lang w:bidi="ar-EG"/>
        </w:rPr>
        <w:tab/>
        <w:t xml:space="preserve">وطوال القرن الماضي، سجلت نسبة الأجانب إلى مجموع السكان زيادةً كبيرة. ففي عام </w:t>
      </w:r>
      <w:r w:rsidRPr="00350F98">
        <w:rPr>
          <w:rtl/>
          <w:lang w:bidi="ar-EG"/>
        </w:rPr>
        <w:t>1920</w:t>
      </w:r>
      <w:r>
        <w:rPr>
          <w:rtl/>
          <w:lang w:bidi="ar-EG"/>
        </w:rPr>
        <w:t xml:space="preserve">، لم تكن هذه النسبة تزيد على </w:t>
      </w:r>
      <w:r w:rsidRPr="00350F98">
        <w:rPr>
          <w:rtl/>
          <w:lang w:bidi="ar-EG"/>
        </w:rPr>
        <w:t>2</w:t>
      </w:r>
      <w:r>
        <w:rPr>
          <w:rtl/>
          <w:lang w:bidi="ar-EG"/>
        </w:rPr>
        <w:t xml:space="preserve"> في المائة من مجموع السكان. أما اليوم، فإن نسبة الأجانب من مجموع السكان تبلغ أكثر من </w:t>
      </w:r>
      <w:r w:rsidR="00885FF5" w:rsidRPr="00350F98">
        <w:rPr>
          <w:rFonts w:hint="cs"/>
          <w:rtl/>
          <w:lang w:bidi="ar-EG"/>
        </w:rPr>
        <w:t>9</w:t>
      </w:r>
      <w:r w:rsidR="00885FF5">
        <w:rPr>
          <w:rFonts w:hint="cs"/>
          <w:sz w:val="24"/>
          <w:szCs w:val="24"/>
          <w:rtl/>
        </w:rPr>
        <w:t>,</w:t>
      </w:r>
      <w:r w:rsidR="00885FF5" w:rsidRPr="00350F98">
        <w:rPr>
          <w:rFonts w:hint="cs"/>
          <w:rtl/>
        </w:rPr>
        <w:t>11</w:t>
      </w:r>
      <w:r w:rsidR="00885FF5">
        <w:rPr>
          <w:rtl/>
          <w:lang w:bidi="ar-EG"/>
        </w:rPr>
        <w:t xml:space="preserve"> </w:t>
      </w:r>
      <w:r>
        <w:rPr>
          <w:rtl/>
          <w:lang w:bidi="ar-EG"/>
        </w:rPr>
        <w:t xml:space="preserve">في المائة. ومن المتوقع أن يتواصل تزايد نسبة الأجانب إلى مجموع السكان. وخلال الفترة ما بين عامي </w:t>
      </w:r>
      <w:r w:rsidR="00F92BBC" w:rsidRPr="00350F98">
        <w:rPr>
          <w:rFonts w:hint="cs"/>
          <w:rtl/>
          <w:lang w:bidi="ar-EG"/>
        </w:rPr>
        <w:t>1998</w:t>
      </w:r>
      <w:r>
        <w:rPr>
          <w:rtl/>
          <w:lang w:bidi="ar-EG"/>
        </w:rPr>
        <w:t xml:space="preserve"> و</w:t>
      </w:r>
      <w:r w:rsidR="00F92BBC" w:rsidRPr="00350F98">
        <w:rPr>
          <w:rFonts w:hint="cs"/>
          <w:rtl/>
          <w:lang w:bidi="ar-EG"/>
        </w:rPr>
        <w:t>2008</w:t>
      </w:r>
      <w:r>
        <w:rPr>
          <w:rtl/>
          <w:lang w:bidi="ar-EG"/>
        </w:rPr>
        <w:t xml:space="preserve">، تضاعف صافي الهجرة السنوي خمس مرات، فارتفع من </w:t>
      </w:r>
      <w:r w:rsidRPr="00970A38">
        <w:rPr>
          <w:spacing w:val="-2"/>
          <w:rtl/>
          <w:lang w:bidi="ar-EG"/>
        </w:rPr>
        <w:t>قرابة</w:t>
      </w:r>
      <w:r w:rsidR="00970A38" w:rsidRPr="00970A38">
        <w:rPr>
          <w:rFonts w:hint="cs"/>
          <w:spacing w:val="-2"/>
          <w:rtl/>
          <w:lang w:bidi="ar-EG"/>
        </w:rPr>
        <w:t> </w:t>
      </w:r>
      <w:r w:rsidRPr="00350F98">
        <w:rPr>
          <w:spacing w:val="-2"/>
          <w:rtl/>
          <w:lang w:bidi="ar-EG"/>
        </w:rPr>
        <w:t>700</w:t>
      </w:r>
      <w:r w:rsidRPr="00970A38">
        <w:rPr>
          <w:spacing w:val="-2"/>
          <w:rtl/>
          <w:lang w:bidi="ar-EG"/>
        </w:rPr>
        <w:t xml:space="preserve"> </w:t>
      </w:r>
      <w:r w:rsidRPr="00350F98">
        <w:rPr>
          <w:spacing w:val="-2"/>
          <w:rtl/>
          <w:lang w:bidi="ar-EG"/>
        </w:rPr>
        <w:t>11</w:t>
      </w:r>
      <w:r w:rsidRPr="00970A38">
        <w:rPr>
          <w:spacing w:val="-2"/>
          <w:rtl/>
          <w:lang w:bidi="ar-EG"/>
        </w:rPr>
        <w:t xml:space="preserve"> في عام </w:t>
      </w:r>
      <w:r w:rsidRPr="00350F98">
        <w:rPr>
          <w:spacing w:val="-2"/>
          <w:rtl/>
          <w:lang w:bidi="ar-EG"/>
        </w:rPr>
        <w:t>1998</w:t>
      </w:r>
      <w:r w:rsidRPr="00970A38">
        <w:rPr>
          <w:spacing w:val="-2"/>
          <w:rtl/>
          <w:lang w:bidi="ar-EG"/>
        </w:rPr>
        <w:t xml:space="preserve"> إلى </w:t>
      </w:r>
      <w:r w:rsidRPr="00350F98">
        <w:rPr>
          <w:spacing w:val="-2"/>
          <w:rtl/>
          <w:lang w:bidi="ar-EG"/>
        </w:rPr>
        <w:t>900</w:t>
      </w:r>
      <w:r w:rsidRPr="00970A38">
        <w:rPr>
          <w:spacing w:val="-2"/>
          <w:rtl/>
          <w:lang w:bidi="ar-EG"/>
        </w:rPr>
        <w:t xml:space="preserve"> </w:t>
      </w:r>
      <w:r w:rsidRPr="00350F98">
        <w:rPr>
          <w:spacing w:val="-2"/>
          <w:rtl/>
          <w:lang w:bidi="ar-EG"/>
        </w:rPr>
        <w:t>63</w:t>
      </w:r>
      <w:r w:rsidRPr="00970A38">
        <w:rPr>
          <w:spacing w:val="-2"/>
          <w:rtl/>
          <w:lang w:bidi="ar-EG"/>
        </w:rPr>
        <w:t xml:space="preserve"> في عام </w:t>
      </w:r>
      <w:r w:rsidRPr="00350F98">
        <w:rPr>
          <w:spacing w:val="-2"/>
          <w:rtl/>
          <w:lang w:bidi="ar-EG"/>
        </w:rPr>
        <w:t>2008</w:t>
      </w:r>
      <w:r w:rsidRPr="00970A38">
        <w:rPr>
          <w:spacing w:val="-2"/>
          <w:rtl/>
          <w:lang w:bidi="ar-EG"/>
        </w:rPr>
        <w:t xml:space="preserve">. وفي بداية عام </w:t>
      </w:r>
      <w:r w:rsidR="00F92BBC" w:rsidRPr="00350F98">
        <w:rPr>
          <w:spacing w:val="-2"/>
          <w:rtl/>
          <w:lang w:bidi="ar-EG"/>
        </w:rPr>
        <w:t>2018</w:t>
      </w:r>
      <w:r w:rsidRPr="00970A38">
        <w:rPr>
          <w:spacing w:val="-2"/>
          <w:rtl/>
          <w:lang w:bidi="ar-EG"/>
        </w:rPr>
        <w:t>، وصل صافي الهجرة</w:t>
      </w:r>
      <w:r>
        <w:rPr>
          <w:rtl/>
          <w:lang w:bidi="ar-EG"/>
        </w:rPr>
        <w:t xml:space="preserve"> إلى </w:t>
      </w:r>
      <w:r w:rsidR="00F92BBC" w:rsidRPr="00350F98">
        <w:rPr>
          <w:rFonts w:hint="cs"/>
          <w:rtl/>
          <w:lang w:bidi="ar-EG"/>
        </w:rPr>
        <w:t>536</w:t>
      </w:r>
      <w:r>
        <w:rPr>
          <w:rtl/>
          <w:lang w:bidi="ar-EG"/>
        </w:rPr>
        <w:t xml:space="preserve"> </w:t>
      </w:r>
      <w:r w:rsidRPr="00350F98">
        <w:rPr>
          <w:rtl/>
          <w:lang w:bidi="ar-EG"/>
        </w:rPr>
        <w:t>44</w:t>
      </w:r>
      <w:r>
        <w:rPr>
          <w:rtl/>
          <w:lang w:bidi="ar-EG"/>
        </w:rPr>
        <w:t>.</w:t>
      </w:r>
    </w:p>
    <w:p w14:paraId="6FA1D9FA" w14:textId="4E6E630F" w:rsidR="00D424DC" w:rsidRDefault="00D424DC" w:rsidP="00D424DC">
      <w:pPr>
        <w:pStyle w:val="SingleTxtGA"/>
        <w:rPr>
          <w:rtl/>
          <w:lang w:bidi="ar-EG"/>
        </w:rPr>
      </w:pPr>
      <w:r w:rsidRPr="00350F98">
        <w:rPr>
          <w:rtl/>
          <w:lang w:bidi="ar-EG"/>
        </w:rPr>
        <w:t>10</w:t>
      </w:r>
      <w:r>
        <w:rPr>
          <w:rtl/>
          <w:lang w:bidi="ar-EG"/>
        </w:rPr>
        <w:t>-</w:t>
      </w:r>
      <w:r>
        <w:rPr>
          <w:rtl/>
          <w:lang w:bidi="ar-EG"/>
        </w:rPr>
        <w:tab/>
        <w:t xml:space="preserve">غير أن الأهم من الزيادة في عدد السكان هي التغيرات في التركيبة السكانية. ففي أواسط القرن </w:t>
      </w:r>
      <w:r w:rsidRPr="00885FF5">
        <w:rPr>
          <w:spacing w:val="-2"/>
          <w:rtl/>
          <w:lang w:bidi="ar-EG"/>
        </w:rPr>
        <w:t xml:space="preserve">الماضي، كانت نسبة السكان البالغين من العمر </w:t>
      </w:r>
      <w:r w:rsidRPr="00350F98">
        <w:rPr>
          <w:spacing w:val="-2"/>
          <w:rtl/>
          <w:lang w:bidi="ar-EG"/>
        </w:rPr>
        <w:t>65</w:t>
      </w:r>
      <w:r w:rsidRPr="00885FF5">
        <w:rPr>
          <w:spacing w:val="-2"/>
          <w:rtl/>
          <w:lang w:bidi="ar-EG"/>
        </w:rPr>
        <w:t xml:space="preserve"> سنة فأكثر تتجاوز بالكاد عُشُر السكان (</w:t>
      </w:r>
      <w:r w:rsidRPr="00350F98">
        <w:rPr>
          <w:spacing w:val="-2"/>
          <w:rtl/>
          <w:lang w:bidi="ar-EG"/>
        </w:rPr>
        <w:t>11</w:t>
      </w:r>
      <w:r w:rsidRPr="00885FF5">
        <w:rPr>
          <w:spacing w:val="-2"/>
          <w:rtl/>
          <w:lang w:bidi="ar-EG"/>
        </w:rPr>
        <w:t xml:space="preserve"> في المائة)؛</w:t>
      </w:r>
      <w:r>
        <w:rPr>
          <w:rtl/>
          <w:lang w:bidi="ar-EG"/>
        </w:rPr>
        <w:t xml:space="preserve"> واليوم تمثل هذه الفئة ما يقرب من خُمس السكان (</w:t>
      </w:r>
      <w:r w:rsidR="00885FF5" w:rsidRPr="00350F98">
        <w:rPr>
          <w:rFonts w:hint="cs"/>
          <w:rtl/>
          <w:lang w:bidi="ar-EG"/>
        </w:rPr>
        <w:t>7</w:t>
      </w:r>
      <w:r w:rsidR="00885FF5">
        <w:rPr>
          <w:rFonts w:hint="cs"/>
          <w:sz w:val="24"/>
          <w:szCs w:val="24"/>
          <w:rtl/>
        </w:rPr>
        <w:t>,</w:t>
      </w:r>
      <w:r w:rsidR="00885FF5" w:rsidRPr="00350F98">
        <w:rPr>
          <w:rFonts w:hint="cs"/>
          <w:rtl/>
        </w:rPr>
        <w:t>18</w:t>
      </w:r>
      <w:r w:rsidR="00885FF5">
        <w:rPr>
          <w:rtl/>
          <w:lang w:bidi="ar-EG"/>
        </w:rPr>
        <w:t xml:space="preserve"> </w:t>
      </w:r>
      <w:r>
        <w:rPr>
          <w:rtl/>
          <w:lang w:bidi="ar-EG"/>
        </w:rPr>
        <w:t xml:space="preserve">في المائة) ويُتوقّع أن تصل، بحلول عام </w:t>
      </w:r>
      <w:r w:rsidRPr="00350F98">
        <w:rPr>
          <w:rtl/>
          <w:lang w:bidi="ar-EG"/>
        </w:rPr>
        <w:t>2050</w:t>
      </w:r>
      <w:r>
        <w:rPr>
          <w:rtl/>
          <w:lang w:bidi="ar-EG"/>
        </w:rPr>
        <w:t>، إلى أكثر من ربع السكان (</w:t>
      </w:r>
      <w:r w:rsidRPr="00350F98">
        <w:rPr>
          <w:rtl/>
          <w:lang w:bidi="ar-EG"/>
        </w:rPr>
        <w:t>26</w:t>
      </w:r>
      <w:r>
        <w:rPr>
          <w:rtl/>
          <w:lang w:bidi="ar-EG"/>
        </w:rPr>
        <w:t xml:space="preserve"> في المائة).</w:t>
      </w:r>
    </w:p>
    <w:p w14:paraId="2F342F7B" w14:textId="1E0CB88F" w:rsidR="00D424DC" w:rsidRDefault="00D424DC" w:rsidP="00D424DC">
      <w:pPr>
        <w:pStyle w:val="SingleTxtGA"/>
        <w:rPr>
          <w:rtl/>
          <w:lang w:bidi="ar-EG"/>
        </w:rPr>
      </w:pPr>
      <w:r w:rsidRPr="00350F98">
        <w:rPr>
          <w:rtl/>
          <w:lang w:bidi="ar-EG"/>
        </w:rPr>
        <w:t>11</w:t>
      </w:r>
      <w:r>
        <w:rPr>
          <w:rtl/>
          <w:lang w:bidi="ar-EG"/>
        </w:rPr>
        <w:t>-</w:t>
      </w:r>
      <w:r>
        <w:rPr>
          <w:rtl/>
          <w:lang w:bidi="ar-EG"/>
        </w:rPr>
        <w:tab/>
        <w:t xml:space="preserve">وتُعرف هذه التغيرات بظاهرة "شيخوخة السكان". وقد شملت جميع البلدان الصناعية تقريباً. </w:t>
      </w:r>
      <w:r w:rsidRPr="00970A38">
        <w:rPr>
          <w:spacing w:val="-2"/>
          <w:rtl/>
          <w:lang w:bidi="ar-EG"/>
        </w:rPr>
        <w:t>إلا</w:t>
      </w:r>
      <w:r w:rsidR="00885FF5" w:rsidRPr="00970A38">
        <w:rPr>
          <w:rFonts w:hint="cs"/>
          <w:spacing w:val="-2"/>
          <w:rtl/>
          <w:lang w:bidi="ar-EG"/>
        </w:rPr>
        <w:t> </w:t>
      </w:r>
      <w:r w:rsidRPr="00970A38">
        <w:rPr>
          <w:spacing w:val="-2"/>
          <w:rtl/>
          <w:lang w:bidi="ar-EG"/>
        </w:rPr>
        <w:t>أن هذه الظاهرة متقدمة جداً في بلجيكا. وبالفعل، وحسب تقرير أعدته الأمم المتحدة عن شيخوخة السكان</w:t>
      </w:r>
      <w:r>
        <w:rPr>
          <w:rtl/>
          <w:lang w:bidi="ar-EG"/>
        </w:rPr>
        <w:t xml:space="preserve"> ويستند إلى نسبة السكان البالغين من العمر </w:t>
      </w:r>
      <w:r w:rsidRPr="00350F98">
        <w:rPr>
          <w:rtl/>
          <w:lang w:bidi="ar-EG"/>
        </w:rPr>
        <w:t>60</w:t>
      </w:r>
      <w:r>
        <w:rPr>
          <w:rtl/>
          <w:lang w:bidi="ar-EG"/>
        </w:rPr>
        <w:t xml:space="preserve"> سنة فأكثر، تصنّف بلجيكا ضمن البلدان العشرة التي توجد بها أعلى معدلات شيخوخة في العالم (</w:t>
      </w:r>
      <w:r w:rsidRPr="00350F98">
        <w:rPr>
          <w:rtl/>
          <w:lang w:bidi="ar-EG"/>
        </w:rPr>
        <w:t>23</w:t>
      </w:r>
      <w:r>
        <w:rPr>
          <w:rtl/>
          <w:lang w:bidi="ar-EG"/>
        </w:rPr>
        <w:t xml:space="preserve"> في المائة).</w:t>
      </w:r>
    </w:p>
    <w:p w14:paraId="000E3C35" w14:textId="5A7622A3" w:rsidR="00D424DC" w:rsidRDefault="00D424DC" w:rsidP="00D424DC">
      <w:pPr>
        <w:pStyle w:val="SingleTxtGA"/>
        <w:rPr>
          <w:rtl/>
          <w:lang w:bidi="ar-EG"/>
        </w:rPr>
      </w:pPr>
      <w:r w:rsidRPr="00350F98">
        <w:rPr>
          <w:rtl/>
          <w:lang w:bidi="ar-EG"/>
        </w:rPr>
        <w:t>12</w:t>
      </w:r>
      <w:r>
        <w:rPr>
          <w:rtl/>
          <w:lang w:bidi="ar-EG"/>
        </w:rPr>
        <w:t>-</w:t>
      </w:r>
      <w:r>
        <w:rPr>
          <w:rtl/>
          <w:lang w:bidi="ar-EG"/>
        </w:rPr>
        <w:tab/>
      </w:r>
      <w:r w:rsidRPr="00970A38">
        <w:rPr>
          <w:spacing w:val="-2"/>
          <w:rtl/>
          <w:lang w:bidi="ar-EG"/>
        </w:rPr>
        <w:t xml:space="preserve">وأسباب الشيخوخة معلومة، وهي انخفاض معدل الوفيات وانحدار مستوى الخصوبة. فخلال القرن </w:t>
      </w:r>
      <w:r>
        <w:rPr>
          <w:rtl/>
          <w:lang w:bidi="ar-EG"/>
        </w:rPr>
        <w:t xml:space="preserve">الماضي، سجلت بلجيكا انخفاضاً مذهلاً في معدل وفيات الرضع، حيث انخفض معدل وفيات الأطفال قبل إتمام السنة الأولى من أعمارهم من أكثر من </w:t>
      </w:r>
      <w:r w:rsidRPr="00350F98">
        <w:rPr>
          <w:rtl/>
          <w:lang w:bidi="ar-EG"/>
        </w:rPr>
        <w:t>150</w:t>
      </w:r>
      <w:r>
        <w:rPr>
          <w:rtl/>
          <w:lang w:bidi="ar-EG"/>
        </w:rPr>
        <w:t xml:space="preserve"> طفلاً لكل </w:t>
      </w:r>
      <w:r w:rsidRPr="00350F98">
        <w:rPr>
          <w:rtl/>
          <w:lang w:bidi="ar-EG"/>
        </w:rPr>
        <w:t>000</w:t>
      </w:r>
      <w:r>
        <w:rPr>
          <w:rtl/>
          <w:lang w:bidi="ar-EG"/>
        </w:rPr>
        <w:t xml:space="preserve"> </w:t>
      </w:r>
      <w:r w:rsidRPr="00350F98">
        <w:rPr>
          <w:rtl/>
          <w:lang w:bidi="ar-EG"/>
        </w:rPr>
        <w:t>1</w:t>
      </w:r>
      <w:r>
        <w:rPr>
          <w:rtl/>
          <w:lang w:bidi="ar-EG"/>
        </w:rPr>
        <w:t xml:space="preserve"> طفل في عام </w:t>
      </w:r>
      <w:r w:rsidRPr="00350F98">
        <w:rPr>
          <w:rtl/>
          <w:lang w:bidi="ar-EG"/>
        </w:rPr>
        <w:t>1900</w:t>
      </w:r>
      <w:r>
        <w:rPr>
          <w:rtl/>
          <w:lang w:bidi="ar-EG"/>
        </w:rPr>
        <w:t xml:space="preserve"> إلى أقل من </w:t>
      </w:r>
      <w:r w:rsidRPr="00350F98">
        <w:rPr>
          <w:rtl/>
          <w:lang w:bidi="ar-EG"/>
        </w:rPr>
        <w:t>10</w:t>
      </w:r>
      <w:r>
        <w:rPr>
          <w:rtl/>
          <w:lang w:bidi="ar-EG"/>
        </w:rPr>
        <w:t xml:space="preserve"> أطفال لكل </w:t>
      </w:r>
      <w:r w:rsidRPr="00350F98">
        <w:rPr>
          <w:rtl/>
          <w:lang w:bidi="ar-EG"/>
        </w:rPr>
        <w:t>000</w:t>
      </w:r>
      <w:r>
        <w:rPr>
          <w:rtl/>
          <w:lang w:bidi="ar-EG"/>
        </w:rPr>
        <w:t xml:space="preserve"> </w:t>
      </w:r>
      <w:r w:rsidRPr="00350F98">
        <w:rPr>
          <w:rtl/>
          <w:lang w:bidi="ar-EG"/>
        </w:rPr>
        <w:t>1</w:t>
      </w:r>
      <w:r>
        <w:rPr>
          <w:rtl/>
          <w:lang w:bidi="ar-EG"/>
        </w:rPr>
        <w:t xml:space="preserve"> طفل في عام </w:t>
      </w:r>
      <w:r w:rsidRPr="00350F98">
        <w:rPr>
          <w:rtl/>
          <w:lang w:bidi="ar-EG"/>
        </w:rPr>
        <w:t>2010</w:t>
      </w:r>
      <w:r>
        <w:rPr>
          <w:rtl/>
          <w:lang w:bidi="ar-EG"/>
        </w:rPr>
        <w:t xml:space="preserve"> (</w:t>
      </w:r>
      <w:r w:rsidRPr="00350F98">
        <w:rPr>
          <w:rtl/>
          <w:lang w:bidi="ar-EG"/>
        </w:rPr>
        <w:t>8</w:t>
      </w:r>
      <w:r>
        <w:rPr>
          <w:rtl/>
          <w:lang w:bidi="ar-EG"/>
        </w:rPr>
        <w:t>/</w:t>
      </w:r>
      <w:r w:rsidRPr="00350F98">
        <w:rPr>
          <w:rtl/>
          <w:lang w:bidi="ar-EG"/>
        </w:rPr>
        <w:t>000</w:t>
      </w:r>
      <w:r>
        <w:rPr>
          <w:rtl/>
          <w:lang w:bidi="ar-EG"/>
        </w:rPr>
        <w:t xml:space="preserve"> </w:t>
      </w:r>
      <w:r w:rsidRPr="00350F98">
        <w:rPr>
          <w:rtl/>
          <w:lang w:bidi="ar-EG"/>
        </w:rPr>
        <w:t>1</w:t>
      </w:r>
      <w:r>
        <w:rPr>
          <w:rtl/>
          <w:lang w:bidi="ar-EG"/>
        </w:rPr>
        <w:t xml:space="preserve"> في صفوف البنين و</w:t>
      </w:r>
      <w:r w:rsidRPr="00350F98">
        <w:rPr>
          <w:rtl/>
          <w:lang w:bidi="ar-EG"/>
        </w:rPr>
        <w:t>6</w:t>
      </w:r>
      <w:r>
        <w:rPr>
          <w:rtl/>
          <w:lang w:bidi="ar-EG"/>
        </w:rPr>
        <w:t>/</w:t>
      </w:r>
      <w:r w:rsidRPr="00350F98">
        <w:rPr>
          <w:rtl/>
          <w:lang w:bidi="ar-EG"/>
        </w:rPr>
        <w:t>000</w:t>
      </w:r>
      <w:r>
        <w:rPr>
          <w:rtl/>
          <w:lang w:bidi="ar-EG"/>
        </w:rPr>
        <w:t xml:space="preserve"> </w:t>
      </w:r>
      <w:r w:rsidRPr="00350F98">
        <w:rPr>
          <w:rtl/>
          <w:lang w:bidi="ar-EG"/>
        </w:rPr>
        <w:t>1</w:t>
      </w:r>
      <w:r>
        <w:rPr>
          <w:rtl/>
          <w:lang w:bidi="ar-EG"/>
        </w:rPr>
        <w:t xml:space="preserve"> في صفوف </w:t>
      </w:r>
      <w:r w:rsidRPr="00970A38">
        <w:rPr>
          <w:spacing w:val="-2"/>
          <w:rtl/>
          <w:lang w:bidi="ar-EG"/>
        </w:rPr>
        <w:t xml:space="preserve">البنات) وإلى </w:t>
      </w:r>
      <w:r w:rsidR="00885FF5" w:rsidRPr="00350F98">
        <w:rPr>
          <w:rFonts w:hint="cs"/>
          <w:spacing w:val="-2"/>
          <w:rtl/>
          <w:lang w:bidi="ar-EG"/>
        </w:rPr>
        <w:t>6</w:t>
      </w:r>
      <w:r w:rsidR="00885FF5" w:rsidRPr="00970A38">
        <w:rPr>
          <w:rFonts w:hint="cs"/>
          <w:spacing w:val="-2"/>
          <w:sz w:val="24"/>
          <w:szCs w:val="24"/>
          <w:rtl/>
        </w:rPr>
        <w:t>,</w:t>
      </w:r>
      <w:r w:rsidR="00885FF5" w:rsidRPr="00350F98">
        <w:rPr>
          <w:rFonts w:hint="cs"/>
          <w:spacing w:val="-2"/>
          <w:rtl/>
        </w:rPr>
        <w:t>3</w:t>
      </w:r>
      <w:r w:rsidR="00885FF5" w:rsidRPr="00970A38">
        <w:rPr>
          <w:spacing w:val="-2"/>
          <w:rtl/>
          <w:lang w:bidi="ar-EG"/>
        </w:rPr>
        <w:t xml:space="preserve"> </w:t>
      </w:r>
      <w:r w:rsidRPr="00970A38">
        <w:rPr>
          <w:spacing w:val="-2"/>
          <w:rtl/>
          <w:lang w:bidi="ar-EG"/>
        </w:rPr>
        <w:t xml:space="preserve">أطفال لكل </w:t>
      </w:r>
      <w:r w:rsidRPr="00350F98">
        <w:rPr>
          <w:spacing w:val="-2"/>
          <w:rtl/>
          <w:lang w:bidi="ar-EG"/>
        </w:rPr>
        <w:t>000</w:t>
      </w:r>
      <w:r w:rsidRPr="00970A38">
        <w:rPr>
          <w:spacing w:val="-2"/>
          <w:rtl/>
          <w:lang w:bidi="ar-EG"/>
        </w:rPr>
        <w:t xml:space="preserve"> </w:t>
      </w:r>
      <w:r w:rsidRPr="00350F98">
        <w:rPr>
          <w:spacing w:val="-2"/>
          <w:rtl/>
          <w:lang w:bidi="ar-EG"/>
        </w:rPr>
        <w:t>1</w:t>
      </w:r>
      <w:r w:rsidRPr="00970A38">
        <w:rPr>
          <w:spacing w:val="-2"/>
          <w:rtl/>
          <w:lang w:bidi="ar-EG"/>
        </w:rPr>
        <w:t xml:space="preserve"> طفل في عام </w:t>
      </w:r>
      <w:r w:rsidRPr="00350F98">
        <w:rPr>
          <w:spacing w:val="-2"/>
          <w:rtl/>
          <w:lang w:bidi="ar-EG"/>
        </w:rPr>
        <w:t>2017</w:t>
      </w:r>
      <w:r w:rsidRPr="00970A38">
        <w:rPr>
          <w:spacing w:val="-2"/>
          <w:rtl/>
          <w:lang w:bidi="ar-EG"/>
        </w:rPr>
        <w:t xml:space="preserve"> (</w:t>
      </w:r>
      <w:r w:rsidR="00885FF5" w:rsidRPr="00350F98">
        <w:rPr>
          <w:rFonts w:hint="cs"/>
          <w:spacing w:val="-2"/>
          <w:rtl/>
          <w:lang w:bidi="ar-EG"/>
        </w:rPr>
        <w:t>6</w:t>
      </w:r>
      <w:r w:rsidR="00885FF5" w:rsidRPr="00970A38">
        <w:rPr>
          <w:rFonts w:hint="cs"/>
          <w:spacing w:val="-2"/>
          <w:sz w:val="24"/>
          <w:szCs w:val="24"/>
          <w:rtl/>
        </w:rPr>
        <w:t>,</w:t>
      </w:r>
      <w:r w:rsidR="00885FF5" w:rsidRPr="00350F98">
        <w:rPr>
          <w:rFonts w:hint="cs"/>
          <w:spacing w:val="-2"/>
          <w:rtl/>
        </w:rPr>
        <w:t>3</w:t>
      </w:r>
      <w:r w:rsidRPr="00970A38">
        <w:rPr>
          <w:spacing w:val="-2"/>
          <w:rtl/>
          <w:lang w:bidi="ar-EG"/>
        </w:rPr>
        <w:t>/</w:t>
      </w:r>
      <w:r w:rsidRPr="00350F98">
        <w:rPr>
          <w:spacing w:val="-2"/>
          <w:rtl/>
          <w:lang w:bidi="ar-EG"/>
        </w:rPr>
        <w:t>000</w:t>
      </w:r>
      <w:r w:rsidRPr="00970A38">
        <w:rPr>
          <w:spacing w:val="-2"/>
          <w:rtl/>
          <w:lang w:bidi="ar-EG"/>
        </w:rPr>
        <w:t xml:space="preserve"> </w:t>
      </w:r>
      <w:r w:rsidRPr="00350F98">
        <w:rPr>
          <w:spacing w:val="-2"/>
          <w:rtl/>
          <w:lang w:bidi="ar-EG"/>
        </w:rPr>
        <w:t>1</w:t>
      </w:r>
      <w:r w:rsidRPr="00970A38">
        <w:rPr>
          <w:spacing w:val="-2"/>
          <w:rtl/>
          <w:lang w:bidi="ar-EG"/>
        </w:rPr>
        <w:t xml:space="preserve"> في صفوف البنين و</w:t>
      </w:r>
      <w:r w:rsidR="00885FF5" w:rsidRPr="00350F98">
        <w:rPr>
          <w:rFonts w:hint="cs"/>
          <w:spacing w:val="-2"/>
          <w:rtl/>
          <w:lang w:bidi="ar-EG"/>
        </w:rPr>
        <w:t>2</w:t>
      </w:r>
      <w:r w:rsidR="00885FF5" w:rsidRPr="00970A38">
        <w:rPr>
          <w:rFonts w:hint="cs"/>
          <w:spacing w:val="-2"/>
          <w:sz w:val="24"/>
          <w:szCs w:val="24"/>
          <w:rtl/>
        </w:rPr>
        <w:t>,</w:t>
      </w:r>
      <w:r w:rsidR="00885FF5" w:rsidRPr="00350F98">
        <w:rPr>
          <w:rFonts w:hint="cs"/>
          <w:spacing w:val="-2"/>
          <w:rtl/>
        </w:rPr>
        <w:t>3</w:t>
      </w:r>
      <w:r w:rsidRPr="00970A38">
        <w:rPr>
          <w:spacing w:val="-2"/>
          <w:rtl/>
          <w:lang w:bidi="ar-EG"/>
        </w:rPr>
        <w:t>/</w:t>
      </w:r>
      <w:r w:rsidRPr="00350F98">
        <w:rPr>
          <w:spacing w:val="-2"/>
          <w:rtl/>
          <w:lang w:bidi="ar-EG"/>
        </w:rPr>
        <w:t>000</w:t>
      </w:r>
      <w:r w:rsidRPr="00970A38">
        <w:rPr>
          <w:spacing w:val="-2"/>
          <w:rtl/>
          <w:lang w:bidi="ar-EG"/>
        </w:rPr>
        <w:t xml:space="preserve"> </w:t>
      </w:r>
      <w:r w:rsidRPr="00350F98">
        <w:rPr>
          <w:spacing w:val="-2"/>
          <w:rtl/>
          <w:lang w:bidi="ar-EG"/>
        </w:rPr>
        <w:t>1</w:t>
      </w:r>
      <w:r>
        <w:rPr>
          <w:rtl/>
          <w:lang w:bidi="ar-EG"/>
        </w:rPr>
        <w:t xml:space="preserve"> في صفوف البنات). وفي الوقت ذاته، طال العمر المتوقع بشكل كبير من متوسط قدره </w:t>
      </w:r>
      <w:r w:rsidRPr="00350F98">
        <w:rPr>
          <w:rtl/>
          <w:lang w:bidi="ar-EG"/>
        </w:rPr>
        <w:t>45</w:t>
      </w:r>
      <w:r>
        <w:rPr>
          <w:rtl/>
          <w:lang w:bidi="ar-EG"/>
        </w:rPr>
        <w:t xml:space="preserve"> سنة في بداية القرن إلى </w:t>
      </w:r>
      <w:r w:rsidR="00885FF5" w:rsidRPr="00350F98">
        <w:rPr>
          <w:rFonts w:hint="cs"/>
          <w:rtl/>
          <w:lang w:bidi="ar-EG"/>
        </w:rPr>
        <w:t>4</w:t>
      </w:r>
      <w:r w:rsidR="00885FF5">
        <w:rPr>
          <w:rFonts w:hint="cs"/>
          <w:sz w:val="24"/>
          <w:szCs w:val="24"/>
          <w:rtl/>
        </w:rPr>
        <w:t>,</w:t>
      </w:r>
      <w:r w:rsidR="00885FF5" w:rsidRPr="00350F98">
        <w:rPr>
          <w:rFonts w:hint="cs"/>
          <w:rtl/>
        </w:rPr>
        <w:t>81</w:t>
      </w:r>
      <w:r w:rsidR="00885FF5">
        <w:rPr>
          <w:rtl/>
          <w:lang w:bidi="ar-EG"/>
        </w:rPr>
        <w:t xml:space="preserve"> </w:t>
      </w:r>
      <w:r>
        <w:rPr>
          <w:rtl/>
          <w:lang w:bidi="ar-EG"/>
        </w:rPr>
        <w:t>سنة حالياً (</w:t>
      </w:r>
      <w:r w:rsidRPr="00350F98">
        <w:rPr>
          <w:rtl/>
          <w:lang w:bidi="ar-EG"/>
        </w:rPr>
        <w:t>79</w:t>
      </w:r>
      <w:r>
        <w:rPr>
          <w:rtl/>
          <w:lang w:bidi="ar-EG"/>
        </w:rPr>
        <w:t xml:space="preserve"> سنة بالنسبة إلى الرجال و</w:t>
      </w:r>
      <w:r w:rsidR="00885FF5" w:rsidRPr="00350F98">
        <w:rPr>
          <w:rFonts w:hint="cs"/>
          <w:rtl/>
          <w:lang w:bidi="ar-EG"/>
        </w:rPr>
        <w:t>6</w:t>
      </w:r>
      <w:r w:rsidR="00885FF5">
        <w:rPr>
          <w:rFonts w:hint="cs"/>
          <w:sz w:val="24"/>
          <w:szCs w:val="24"/>
          <w:rtl/>
        </w:rPr>
        <w:t>,</w:t>
      </w:r>
      <w:r w:rsidR="00885FF5" w:rsidRPr="00350F98">
        <w:rPr>
          <w:rFonts w:hint="cs"/>
          <w:rtl/>
        </w:rPr>
        <w:t>83</w:t>
      </w:r>
      <w:r w:rsidR="00885FF5">
        <w:rPr>
          <w:rtl/>
          <w:lang w:bidi="ar-EG"/>
        </w:rPr>
        <w:t xml:space="preserve"> </w:t>
      </w:r>
      <w:r>
        <w:rPr>
          <w:rtl/>
          <w:lang w:bidi="ar-EG"/>
        </w:rPr>
        <w:t>سنة بالنسبة إلى النساء).</w:t>
      </w:r>
    </w:p>
    <w:p w14:paraId="3D286B69" w14:textId="17641379" w:rsidR="00D424DC" w:rsidRDefault="00D424DC" w:rsidP="00D424DC">
      <w:pPr>
        <w:pStyle w:val="SingleTxtGA"/>
        <w:rPr>
          <w:rtl/>
          <w:lang w:bidi="ar-EG"/>
        </w:rPr>
      </w:pPr>
      <w:r w:rsidRPr="00350F98">
        <w:rPr>
          <w:rtl/>
          <w:lang w:bidi="ar-EG"/>
        </w:rPr>
        <w:t>13</w:t>
      </w:r>
      <w:r>
        <w:rPr>
          <w:rtl/>
          <w:lang w:bidi="ar-EG"/>
        </w:rPr>
        <w:t>-</w:t>
      </w:r>
      <w:r>
        <w:rPr>
          <w:rtl/>
          <w:lang w:bidi="ar-EG"/>
        </w:rPr>
        <w:tab/>
        <w:t xml:space="preserve">ويكمن السبب الآخر وراء شيخوخة السكان في انخفاض مستوى الخصوبة. وكما هو الشأن </w:t>
      </w:r>
      <w:r w:rsidRPr="00970A38">
        <w:rPr>
          <w:spacing w:val="-2"/>
          <w:rtl/>
          <w:lang w:bidi="ar-EG"/>
        </w:rPr>
        <w:t>بالنسبة لمعظم البلدان الصناعية، تشهد بلجيكا، منذ ستينات القرن الماضي، انخفاضاً في مستوى الخصوبة إلى</w:t>
      </w:r>
      <w:r>
        <w:rPr>
          <w:rtl/>
          <w:lang w:bidi="ar-EG"/>
        </w:rPr>
        <w:t xml:space="preserve"> أقل من طفلين. فقد نزل معدل الخصوبة من معدل يبلغ </w:t>
      </w:r>
      <w:r w:rsidRPr="00350F98">
        <w:rPr>
          <w:rtl/>
          <w:lang w:bidi="ar-EG"/>
        </w:rPr>
        <w:t>2</w:t>
      </w:r>
      <w:r w:rsidR="009E790E" w:rsidRPr="009E790E">
        <w:rPr>
          <w:rFonts w:ascii="Simplified Arabic" w:hAnsi="Simplified Arabic" w:hint="cs"/>
          <w:rtl/>
          <w:lang w:bidi="ar-EG"/>
        </w:rPr>
        <w:t>,</w:t>
      </w:r>
      <w:r w:rsidRPr="00350F98">
        <w:rPr>
          <w:rtl/>
          <w:lang w:bidi="ar-EG"/>
        </w:rPr>
        <w:t>64</w:t>
      </w:r>
      <w:r>
        <w:rPr>
          <w:rtl/>
          <w:lang w:bidi="ar-EG"/>
        </w:rPr>
        <w:t xml:space="preserve"> من الأطفال للمرأة الواحدة في الفترة ما</w:t>
      </w:r>
      <w:r w:rsidR="00970A38">
        <w:rPr>
          <w:rFonts w:hint="cs"/>
          <w:rtl/>
          <w:lang w:bidi="ar-EG"/>
        </w:rPr>
        <w:t> </w:t>
      </w:r>
      <w:r>
        <w:rPr>
          <w:rtl/>
          <w:lang w:bidi="ar-EG"/>
        </w:rPr>
        <w:t xml:space="preserve">بين عامي </w:t>
      </w:r>
      <w:r w:rsidRPr="00350F98">
        <w:rPr>
          <w:rtl/>
          <w:lang w:bidi="ar-EG"/>
        </w:rPr>
        <w:t>1960</w:t>
      </w:r>
      <w:r>
        <w:rPr>
          <w:rtl/>
          <w:lang w:bidi="ar-EG"/>
        </w:rPr>
        <w:t xml:space="preserve"> و</w:t>
      </w:r>
      <w:r w:rsidRPr="00350F98">
        <w:rPr>
          <w:rtl/>
          <w:lang w:bidi="ar-EG"/>
        </w:rPr>
        <w:t>1964</w:t>
      </w:r>
      <w:r>
        <w:rPr>
          <w:rtl/>
          <w:lang w:bidi="ar-EG"/>
        </w:rPr>
        <w:t xml:space="preserve"> إلى </w:t>
      </w:r>
      <w:r w:rsidRPr="00350F98">
        <w:rPr>
          <w:rtl/>
          <w:lang w:bidi="ar-EG"/>
        </w:rPr>
        <w:t>1</w:t>
      </w:r>
      <w:r w:rsidR="009E790E" w:rsidRPr="009E790E">
        <w:rPr>
          <w:rFonts w:ascii="Simplified Arabic" w:hAnsi="Simplified Arabic" w:hint="cs"/>
          <w:rtl/>
          <w:lang w:bidi="ar-EG"/>
        </w:rPr>
        <w:t>,</w:t>
      </w:r>
      <w:r w:rsidRPr="00350F98">
        <w:rPr>
          <w:rtl/>
          <w:lang w:bidi="ar-EG"/>
        </w:rPr>
        <w:t>6</w:t>
      </w:r>
      <w:r>
        <w:rPr>
          <w:rtl/>
          <w:lang w:bidi="ar-EG"/>
        </w:rPr>
        <w:t xml:space="preserve"> طفل فقط خلال الفترة ما بين عامي </w:t>
      </w:r>
      <w:r w:rsidRPr="00350F98">
        <w:rPr>
          <w:rtl/>
          <w:lang w:bidi="ar-EG"/>
        </w:rPr>
        <w:t>1980</w:t>
      </w:r>
      <w:r>
        <w:rPr>
          <w:rtl/>
          <w:lang w:bidi="ar-EG"/>
        </w:rPr>
        <w:t xml:space="preserve"> و</w:t>
      </w:r>
      <w:r w:rsidRPr="00350F98">
        <w:rPr>
          <w:rtl/>
          <w:lang w:bidi="ar-EG"/>
        </w:rPr>
        <w:t>1999</w:t>
      </w:r>
      <w:r>
        <w:rPr>
          <w:rtl/>
          <w:lang w:bidi="ar-EG"/>
        </w:rPr>
        <w:t xml:space="preserve">. ويبلغ معدل </w:t>
      </w:r>
      <w:r w:rsidRPr="00970A38">
        <w:rPr>
          <w:spacing w:val="-2"/>
          <w:rtl/>
          <w:lang w:bidi="ar-EG"/>
        </w:rPr>
        <w:t xml:space="preserve">الخصوبة حالياً نحو </w:t>
      </w:r>
      <w:r w:rsidRPr="00350F98">
        <w:rPr>
          <w:spacing w:val="-2"/>
          <w:rtl/>
          <w:lang w:bidi="ar-EG"/>
        </w:rPr>
        <w:t>1</w:t>
      </w:r>
      <w:r w:rsidR="009E790E" w:rsidRPr="00970A38">
        <w:rPr>
          <w:rFonts w:ascii="Simplified Arabic" w:hAnsi="Simplified Arabic" w:hint="cs"/>
          <w:spacing w:val="-2"/>
          <w:rtl/>
          <w:lang w:bidi="ar-EG"/>
        </w:rPr>
        <w:t>,</w:t>
      </w:r>
      <w:r w:rsidRPr="00350F98">
        <w:rPr>
          <w:spacing w:val="-2"/>
          <w:rtl/>
          <w:lang w:bidi="ar-EG"/>
        </w:rPr>
        <w:t>68</w:t>
      </w:r>
      <w:r w:rsidRPr="00970A38">
        <w:rPr>
          <w:spacing w:val="-2"/>
          <w:rtl/>
          <w:lang w:bidi="ar-EG"/>
        </w:rPr>
        <w:t xml:space="preserve"> طفل. وتشير التوقعات إلى أن هذا المعدل سيرتفع إلى </w:t>
      </w:r>
      <w:r w:rsidRPr="00350F98">
        <w:rPr>
          <w:spacing w:val="-2"/>
          <w:rtl/>
          <w:lang w:bidi="ar-EG"/>
        </w:rPr>
        <w:t>1</w:t>
      </w:r>
      <w:r w:rsidR="009E790E" w:rsidRPr="00970A38">
        <w:rPr>
          <w:rFonts w:ascii="Simplified Arabic" w:hAnsi="Simplified Arabic" w:hint="cs"/>
          <w:spacing w:val="-2"/>
          <w:rtl/>
          <w:lang w:bidi="ar-EG"/>
        </w:rPr>
        <w:t>,</w:t>
      </w:r>
      <w:r w:rsidRPr="00350F98">
        <w:rPr>
          <w:spacing w:val="-2"/>
          <w:rtl/>
          <w:lang w:bidi="ar-EG"/>
        </w:rPr>
        <w:t>8</w:t>
      </w:r>
      <w:r w:rsidRPr="00970A38">
        <w:rPr>
          <w:spacing w:val="-2"/>
          <w:rtl/>
          <w:lang w:bidi="ar-EG"/>
        </w:rPr>
        <w:t xml:space="preserve"> خلال بضع سنوات.</w:t>
      </w:r>
      <w:r>
        <w:rPr>
          <w:rtl/>
          <w:lang w:bidi="ar-EG"/>
        </w:rPr>
        <w:t xml:space="preserve"> ولكن من المرجح أن يظل معدل الخصوبة في بلجيكا، كما في معظم البلدان الصناعية الأخرى، حتى عام</w:t>
      </w:r>
      <w:r w:rsidR="00970A38">
        <w:rPr>
          <w:rFonts w:hint="cs"/>
          <w:rtl/>
          <w:lang w:bidi="ar-EG"/>
        </w:rPr>
        <w:t> </w:t>
      </w:r>
      <w:r w:rsidRPr="00350F98">
        <w:rPr>
          <w:rtl/>
          <w:lang w:bidi="ar-EG"/>
        </w:rPr>
        <w:t>2050</w:t>
      </w:r>
      <w:r>
        <w:rPr>
          <w:rtl/>
          <w:lang w:bidi="ar-EG"/>
        </w:rPr>
        <w:t xml:space="preserve"> على الأقل، دون عتبة إحلال الأجيال (</w:t>
      </w:r>
      <w:r w:rsidRPr="00350F98">
        <w:rPr>
          <w:rtl/>
          <w:lang w:bidi="ar-EG"/>
        </w:rPr>
        <w:t>2</w:t>
      </w:r>
      <w:r w:rsidR="009E790E" w:rsidRPr="009E790E">
        <w:rPr>
          <w:rFonts w:ascii="Simplified Arabic" w:hAnsi="Simplified Arabic" w:hint="cs"/>
          <w:rtl/>
          <w:lang w:bidi="ar-EG"/>
        </w:rPr>
        <w:t>,</w:t>
      </w:r>
      <w:r w:rsidRPr="00350F98">
        <w:rPr>
          <w:rtl/>
          <w:lang w:bidi="ar-EG"/>
        </w:rPr>
        <w:t>1</w:t>
      </w:r>
      <w:r>
        <w:rPr>
          <w:rtl/>
          <w:lang w:bidi="ar-EG"/>
        </w:rPr>
        <w:t xml:space="preserve"> من الأطفال).</w:t>
      </w:r>
    </w:p>
    <w:p w14:paraId="52AD70CA" w14:textId="77777777" w:rsidR="00D424DC" w:rsidRPr="00970A38" w:rsidRDefault="00D424DC" w:rsidP="00D424DC">
      <w:pPr>
        <w:pStyle w:val="SingleTxtGA"/>
        <w:rPr>
          <w:spacing w:val="-4"/>
          <w:rtl/>
          <w:lang w:bidi="ar-EG"/>
        </w:rPr>
      </w:pPr>
      <w:r w:rsidRPr="00350F98">
        <w:rPr>
          <w:rtl/>
          <w:lang w:bidi="ar-EG"/>
        </w:rPr>
        <w:t>14</w:t>
      </w:r>
      <w:r>
        <w:rPr>
          <w:rtl/>
          <w:lang w:bidi="ar-EG"/>
        </w:rPr>
        <w:t>-</w:t>
      </w:r>
      <w:r>
        <w:rPr>
          <w:rtl/>
          <w:lang w:bidi="ar-EG"/>
        </w:rPr>
        <w:tab/>
        <w:t xml:space="preserve">ويرد فيما يلي بعض البيانات الدقيقة عن عدد السكان حسب المناطق وعن البلدان الأصلية التي </w:t>
      </w:r>
      <w:r w:rsidRPr="00970A38">
        <w:rPr>
          <w:spacing w:val="-2"/>
          <w:rtl/>
          <w:lang w:bidi="ar-EG"/>
        </w:rPr>
        <w:t xml:space="preserve">أتى منها السكان الأجانب: في </w:t>
      </w:r>
      <w:r w:rsidRPr="00350F98">
        <w:rPr>
          <w:spacing w:val="-2"/>
          <w:rtl/>
          <w:lang w:bidi="ar-EG"/>
        </w:rPr>
        <w:t>1</w:t>
      </w:r>
      <w:r w:rsidRPr="00970A38">
        <w:rPr>
          <w:spacing w:val="-2"/>
          <w:rtl/>
          <w:lang w:bidi="ar-EG"/>
        </w:rPr>
        <w:t xml:space="preserve"> كانون الثاني/يناير </w:t>
      </w:r>
      <w:r w:rsidRPr="00350F98">
        <w:rPr>
          <w:spacing w:val="-2"/>
          <w:rtl/>
          <w:lang w:bidi="ar-EG"/>
        </w:rPr>
        <w:t>2018</w:t>
      </w:r>
      <w:r w:rsidRPr="00970A38">
        <w:rPr>
          <w:spacing w:val="-2"/>
          <w:rtl/>
          <w:lang w:bidi="ar-EG"/>
        </w:rPr>
        <w:t xml:space="preserve">، بلـغ عـدد سكان بلجيكا </w:t>
      </w:r>
      <w:r w:rsidRPr="00350F98">
        <w:rPr>
          <w:spacing w:val="-2"/>
          <w:rtl/>
          <w:lang w:bidi="ar-EG"/>
        </w:rPr>
        <w:t>070</w:t>
      </w:r>
      <w:r w:rsidRPr="00970A38">
        <w:rPr>
          <w:spacing w:val="-2"/>
          <w:rtl/>
          <w:lang w:bidi="ar-EG"/>
        </w:rPr>
        <w:t xml:space="preserve"> </w:t>
      </w:r>
      <w:r w:rsidRPr="00350F98">
        <w:rPr>
          <w:spacing w:val="-2"/>
          <w:rtl/>
          <w:lang w:bidi="ar-EG"/>
        </w:rPr>
        <w:t>376</w:t>
      </w:r>
      <w:r w:rsidRPr="00970A38">
        <w:rPr>
          <w:spacing w:val="-2"/>
          <w:rtl/>
          <w:lang w:bidi="ar-EG"/>
        </w:rPr>
        <w:t xml:space="preserve"> </w:t>
      </w:r>
      <w:r w:rsidRPr="00350F98">
        <w:rPr>
          <w:spacing w:val="-2"/>
          <w:rtl/>
          <w:lang w:bidi="ar-EG"/>
        </w:rPr>
        <w:t>11</w:t>
      </w:r>
      <w:r w:rsidRPr="00970A38">
        <w:rPr>
          <w:spacing w:val="-2"/>
          <w:rtl/>
          <w:lang w:bidi="ar-EG"/>
        </w:rPr>
        <w:t xml:space="preserve"> نسمة،</w:t>
      </w:r>
      <w:r>
        <w:rPr>
          <w:rtl/>
          <w:lang w:bidi="ar-EG"/>
        </w:rPr>
        <w:t xml:space="preserve"> </w:t>
      </w:r>
      <w:r w:rsidRPr="00970A38">
        <w:rPr>
          <w:spacing w:val="-4"/>
          <w:rtl/>
          <w:lang w:bidi="ar-EG"/>
        </w:rPr>
        <w:t xml:space="preserve">منهم </w:t>
      </w:r>
      <w:r w:rsidRPr="00350F98">
        <w:rPr>
          <w:spacing w:val="-4"/>
          <w:rtl/>
          <w:lang w:bidi="ar-EG"/>
        </w:rPr>
        <w:t>164</w:t>
      </w:r>
      <w:r w:rsidRPr="00970A38">
        <w:rPr>
          <w:spacing w:val="-4"/>
          <w:rtl/>
          <w:lang w:bidi="ar-EG"/>
        </w:rPr>
        <w:t xml:space="preserve"> </w:t>
      </w:r>
      <w:r w:rsidRPr="00350F98">
        <w:rPr>
          <w:spacing w:val="-4"/>
          <w:rtl/>
          <w:lang w:bidi="ar-EG"/>
        </w:rPr>
        <w:t>778</w:t>
      </w:r>
      <w:r w:rsidRPr="00970A38">
        <w:rPr>
          <w:spacing w:val="-4"/>
          <w:rtl/>
          <w:lang w:bidi="ar-EG"/>
        </w:rPr>
        <w:t xml:space="preserve"> </w:t>
      </w:r>
      <w:r w:rsidRPr="00350F98">
        <w:rPr>
          <w:spacing w:val="-4"/>
          <w:rtl/>
          <w:lang w:bidi="ar-EG"/>
        </w:rPr>
        <w:t>5</w:t>
      </w:r>
      <w:r w:rsidRPr="00970A38">
        <w:rPr>
          <w:spacing w:val="-4"/>
          <w:rtl/>
          <w:lang w:bidi="ar-EG"/>
        </w:rPr>
        <w:t xml:space="preserve"> امرأة و</w:t>
      </w:r>
      <w:r w:rsidRPr="00350F98">
        <w:rPr>
          <w:spacing w:val="-4"/>
          <w:rtl/>
          <w:lang w:bidi="ar-EG"/>
        </w:rPr>
        <w:t>906</w:t>
      </w:r>
      <w:r w:rsidRPr="00970A38">
        <w:rPr>
          <w:spacing w:val="-4"/>
          <w:rtl/>
          <w:lang w:bidi="ar-EG"/>
        </w:rPr>
        <w:t xml:space="preserve"> </w:t>
      </w:r>
      <w:r w:rsidRPr="00350F98">
        <w:rPr>
          <w:spacing w:val="-4"/>
          <w:rtl/>
          <w:lang w:bidi="ar-EG"/>
        </w:rPr>
        <w:t>597</w:t>
      </w:r>
      <w:r w:rsidRPr="00970A38">
        <w:rPr>
          <w:spacing w:val="-4"/>
          <w:rtl/>
          <w:lang w:bidi="ar-EG"/>
        </w:rPr>
        <w:t xml:space="preserve"> </w:t>
      </w:r>
      <w:r w:rsidRPr="00350F98">
        <w:rPr>
          <w:spacing w:val="-4"/>
          <w:rtl/>
          <w:lang w:bidi="ar-EG"/>
        </w:rPr>
        <w:t>5</w:t>
      </w:r>
      <w:r w:rsidRPr="00970A38">
        <w:rPr>
          <w:spacing w:val="-4"/>
          <w:rtl/>
          <w:lang w:bidi="ar-EG"/>
        </w:rPr>
        <w:t xml:space="preserve"> رجال. ويشمل هذا الرقم جميع البلجيكيين والأجانب الذين يوجد محل</w:t>
      </w:r>
      <w:r>
        <w:rPr>
          <w:rtl/>
          <w:lang w:bidi="ar-EG"/>
        </w:rPr>
        <w:t xml:space="preserve"> </w:t>
      </w:r>
      <w:r w:rsidRPr="00970A38">
        <w:rPr>
          <w:spacing w:val="-4"/>
          <w:rtl/>
          <w:lang w:bidi="ar-EG"/>
        </w:rPr>
        <w:t>إقامتهم الرئيسي في البلد، باستثناء الموظفين الدوليين ومن شابههم وأفراد القوات العسكرية الموجودة في البلد.</w:t>
      </w:r>
    </w:p>
    <w:p w14:paraId="62CCCE19" w14:textId="77777777" w:rsidR="00D424DC" w:rsidRDefault="00D424DC" w:rsidP="00D424DC">
      <w:pPr>
        <w:pStyle w:val="SingleTxtGA"/>
        <w:rPr>
          <w:rtl/>
          <w:lang w:bidi="ar-EG"/>
        </w:rPr>
      </w:pPr>
      <w:r w:rsidRPr="00350F98">
        <w:rPr>
          <w:rtl/>
          <w:lang w:bidi="ar-EG"/>
        </w:rPr>
        <w:t>15</w:t>
      </w:r>
      <w:r>
        <w:rPr>
          <w:rtl/>
          <w:lang w:bidi="ar-EG"/>
        </w:rPr>
        <w:t>-</w:t>
      </w:r>
      <w:r>
        <w:rPr>
          <w:rtl/>
          <w:lang w:bidi="ar-EG"/>
        </w:rPr>
        <w:tab/>
      </w:r>
      <w:r w:rsidRPr="00970A38">
        <w:rPr>
          <w:spacing w:val="-5"/>
          <w:rtl/>
          <w:lang w:bidi="ar-EG"/>
        </w:rPr>
        <w:t xml:space="preserve">وفي عام </w:t>
      </w:r>
      <w:r w:rsidRPr="00350F98">
        <w:rPr>
          <w:spacing w:val="-5"/>
          <w:rtl/>
          <w:lang w:bidi="ar-EG"/>
        </w:rPr>
        <w:t>2017</w:t>
      </w:r>
      <w:r w:rsidRPr="00970A38">
        <w:rPr>
          <w:spacing w:val="-5"/>
          <w:rtl/>
          <w:lang w:bidi="ar-EG"/>
        </w:rPr>
        <w:t xml:space="preserve">، بلغ عدد سكان المنطقة الفلمنكية </w:t>
      </w:r>
      <w:r w:rsidRPr="00350F98">
        <w:rPr>
          <w:spacing w:val="-5"/>
          <w:rtl/>
          <w:lang w:bidi="ar-EG"/>
        </w:rPr>
        <w:t>967</w:t>
      </w:r>
      <w:r w:rsidRPr="00970A38">
        <w:rPr>
          <w:spacing w:val="-5"/>
          <w:rtl/>
          <w:lang w:bidi="ar-EG"/>
        </w:rPr>
        <w:t xml:space="preserve"> </w:t>
      </w:r>
      <w:r w:rsidRPr="00350F98">
        <w:rPr>
          <w:spacing w:val="-5"/>
          <w:rtl/>
          <w:lang w:bidi="ar-EG"/>
        </w:rPr>
        <w:t>552</w:t>
      </w:r>
      <w:r w:rsidRPr="00970A38">
        <w:rPr>
          <w:spacing w:val="-5"/>
          <w:rtl/>
          <w:lang w:bidi="ar-EG"/>
        </w:rPr>
        <w:t xml:space="preserve"> </w:t>
      </w:r>
      <w:r w:rsidRPr="00350F98">
        <w:rPr>
          <w:spacing w:val="-5"/>
          <w:rtl/>
          <w:lang w:bidi="ar-EG"/>
        </w:rPr>
        <w:t>6</w:t>
      </w:r>
      <w:r w:rsidRPr="00970A38">
        <w:rPr>
          <w:spacing w:val="-5"/>
          <w:rtl/>
          <w:lang w:bidi="ar-EG"/>
        </w:rPr>
        <w:t xml:space="preserve"> نسمة، وعدد سكان المنطقة الوالونية،</w:t>
      </w:r>
      <w:r>
        <w:rPr>
          <w:rtl/>
          <w:lang w:bidi="ar-EG"/>
        </w:rPr>
        <w:t xml:space="preserve"> بما فيها منطقة اللغة الألمانية، </w:t>
      </w:r>
      <w:r w:rsidRPr="00350F98">
        <w:rPr>
          <w:rtl/>
          <w:lang w:bidi="ar-EG"/>
        </w:rPr>
        <w:t>377</w:t>
      </w:r>
      <w:r>
        <w:rPr>
          <w:rtl/>
          <w:lang w:bidi="ar-EG"/>
        </w:rPr>
        <w:t xml:space="preserve"> </w:t>
      </w:r>
      <w:r w:rsidRPr="00350F98">
        <w:rPr>
          <w:rtl/>
          <w:lang w:bidi="ar-EG"/>
        </w:rPr>
        <w:t>624</w:t>
      </w:r>
      <w:r>
        <w:rPr>
          <w:rtl/>
          <w:lang w:bidi="ar-EG"/>
        </w:rPr>
        <w:t xml:space="preserve"> </w:t>
      </w:r>
      <w:r w:rsidRPr="00350F98">
        <w:rPr>
          <w:rtl/>
          <w:lang w:bidi="ar-EG"/>
        </w:rPr>
        <w:t>3</w:t>
      </w:r>
      <w:r>
        <w:rPr>
          <w:rtl/>
          <w:lang w:bidi="ar-EG"/>
        </w:rPr>
        <w:t xml:space="preserve"> نسمة، ومنطقة العاصمة بروكسل </w:t>
      </w:r>
      <w:r w:rsidRPr="00350F98">
        <w:rPr>
          <w:rtl/>
          <w:lang w:bidi="ar-EG"/>
        </w:rPr>
        <w:t>726</w:t>
      </w:r>
      <w:r>
        <w:rPr>
          <w:rtl/>
          <w:lang w:bidi="ar-EG"/>
        </w:rPr>
        <w:t xml:space="preserve"> </w:t>
      </w:r>
      <w:r w:rsidRPr="00350F98">
        <w:rPr>
          <w:rtl/>
          <w:lang w:bidi="ar-EG"/>
        </w:rPr>
        <w:t>198</w:t>
      </w:r>
      <w:r>
        <w:rPr>
          <w:rtl/>
          <w:lang w:bidi="ar-EG"/>
        </w:rPr>
        <w:t xml:space="preserve"> </w:t>
      </w:r>
      <w:r w:rsidRPr="00350F98">
        <w:rPr>
          <w:rtl/>
          <w:lang w:bidi="ar-EG"/>
        </w:rPr>
        <w:t>1</w:t>
      </w:r>
      <w:r>
        <w:rPr>
          <w:rtl/>
          <w:lang w:bidi="ar-EG"/>
        </w:rPr>
        <w:t xml:space="preserve"> نسمة.</w:t>
      </w:r>
    </w:p>
    <w:p w14:paraId="660B7151" w14:textId="1CCCA9CB" w:rsidR="00D424DC" w:rsidRDefault="00D424DC" w:rsidP="00D424DC">
      <w:pPr>
        <w:pStyle w:val="SingleTxtGA"/>
        <w:rPr>
          <w:rtl/>
          <w:lang w:bidi="ar-EG"/>
        </w:rPr>
      </w:pPr>
      <w:r w:rsidRPr="00350F98">
        <w:rPr>
          <w:rtl/>
          <w:lang w:bidi="ar-EG"/>
        </w:rPr>
        <w:t>16</w:t>
      </w:r>
      <w:r>
        <w:rPr>
          <w:rtl/>
          <w:lang w:bidi="ar-EG"/>
        </w:rPr>
        <w:t>-</w:t>
      </w:r>
      <w:r>
        <w:rPr>
          <w:rtl/>
          <w:lang w:bidi="ar-EG"/>
        </w:rPr>
        <w:tab/>
        <w:t xml:space="preserve">وفي </w:t>
      </w:r>
      <w:r w:rsidRPr="00350F98">
        <w:rPr>
          <w:rtl/>
          <w:lang w:bidi="ar-EG"/>
        </w:rPr>
        <w:t>1</w:t>
      </w:r>
      <w:r>
        <w:rPr>
          <w:rtl/>
          <w:lang w:bidi="ar-EG"/>
        </w:rPr>
        <w:t xml:space="preserve"> كانون الثاني/يناير </w:t>
      </w:r>
      <w:r w:rsidRPr="00350F98">
        <w:rPr>
          <w:rtl/>
          <w:lang w:bidi="ar-EG"/>
        </w:rPr>
        <w:t>2018</w:t>
      </w:r>
      <w:r>
        <w:rPr>
          <w:rtl/>
          <w:lang w:bidi="ar-EG"/>
        </w:rPr>
        <w:t>، بلغ عدد رعايا بلدان الاتحاد الأوروبي المقيمين في بلجيكا</w:t>
      </w:r>
      <w:r w:rsidR="002C315A">
        <w:rPr>
          <w:rFonts w:hint="cs"/>
          <w:rtl/>
          <w:lang w:bidi="ar-EG"/>
        </w:rPr>
        <w:t> </w:t>
      </w:r>
      <w:r w:rsidRPr="00350F98">
        <w:rPr>
          <w:rtl/>
          <w:lang w:bidi="ar-EG"/>
        </w:rPr>
        <w:t>000</w:t>
      </w:r>
      <w:r>
        <w:rPr>
          <w:rtl/>
          <w:lang w:bidi="ar-EG"/>
        </w:rPr>
        <w:t xml:space="preserve"> </w:t>
      </w:r>
      <w:r w:rsidRPr="00350F98">
        <w:rPr>
          <w:rtl/>
          <w:lang w:bidi="ar-EG"/>
        </w:rPr>
        <w:t>907</w:t>
      </w:r>
      <w:r>
        <w:rPr>
          <w:rtl/>
          <w:lang w:bidi="ar-EG"/>
        </w:rPr>
        <w:t xml:space="preserve"> نسمة، أي </w:t>
      </w:r>
      <w:r w:rsidRPr="00350F98">
        <w:rPr>
          <w:rtl/>
          <w:lang w:bidi="ar-EG"/>
        </w:rPr>
        <w:t>66</w:t>
      </w:r>
      <w:r w:rsidR="009E790E" w:rsidRPr="009E790E">
        <w:rPr>
          <w:rFonts w:ascii="Simplified Arabic" w:hAnsi="Simplified Arabic" w:hint="cs"/>
          <w:rtl/>
          <w:lang w:bidi="ar-EG"/>
        </w:rPr>
        <w:t>,</w:t>
      </w:r>
      <w:r w:rsidRPr="00350F98">
        <w:rPr>
          <w:rtl/>
          <w:lang w:bidi="ar-EG"/>
        </w:rPr>
        <w:t>9</w:t>
      </w:r>
      <w:r>
        <w:rPr>
          <w:rtl/>
          <w:lang w:bidi="ar-EG"/>
        </w:rPr>
        <w:t xml:space="preserve"> في المائة من مجموع السكان الأجانب. وفيما يتعلق بالأجانب من </w:t>
      </w:r>
      <w:r w:rsidRPr="002C315A">
        <w:rPr>
          <w:spacing w:val="-2"/>
          <w:rtl/>
          <w:lang w:bidi="ar-EG"/>
        </w:rPr>
        <w:t>البلدان غير الأعضاء في الاتحاد الأوروبي، فإن البلدان الخمسة الممثلة بأكبر الأعداد هي المغرب، وتركيا،</w:t>
      </w:r>
      <w:r>
        <w:rPr>
          <w:rtl/>
          <w:lang w:bidi="ar-EG"/>
        </w:rPr>
        <w:t xml:space="preserve"> </w:t>
      </w:r>
      <w:r>
        <w:rPr>
          <w:rtl/>
          <w:lang w:bidi="ar-EG"/>
        </w:rPr>
        <w:lastRenderedPageBreak/>
        <w:t xml:space="preserve">وجمهورية الكونغو الديمقراطية، وأفغانستان، والهند. ويمثل رعايا بلدان المغرب العربي وتركيا </w:t>
      </w:r>
      <w:r w:rsidRPr="00350F98">
        <w:rPr>
          <w:rtl/>
          <w:lang w:bidi="ar-EG"/>
        </w:rPr>
        <w:t>30</w:t>
      </w:r>
      <w:r>
        <w:rPr>
          <w:rtl/>
          <w:lang w:bidi="ar-EG"/>
        </w:rPr>
        <w:t xml:space="preserve"> في </w:t>
      </w:r>
      <w:r w:rsidRPr="002C315A">
        <w:rPr>
          <w:spacing w:val="-2"/>
          <w:rtl/>
          <w:lang w:bidi="ar-EG"/>
        </w:rPr>
        <w:t xml:space="preserve">المائة من السكان الأجانب من البلدان غير الأعضاء في الاتحاد الأوروبي. ويعيش </w:t>
      </w:r>
      <w:r w:rsidR="007501E7" w:rsidRPr="00350F98">
        <w:rPr>
          <w:spacing w:val="-2"/>
          <w:rtl/>
          <w:lang w:bidi="ar-EG"/>
        </w:rPr>
        <w:t>42</w:t>
      </w:r>
      <w:r w:rsidRPr="002C315A">
        <w:rPr>
          <w:spacing w:val="-2"/>
          <w:rtl/>
          <w:lang w:bidi="ar-EG"/>
        </w:rPr>
        <w:t xml:space="preserve"> في المائة من الأجانب</w:t>
      </w:r>
      <w:r>
        <w:rPr>
          <w:rtl/>
          <w:lang w:bidi="ar-EG"/>
        </w:rPr>
        <w:t xml:space="preserve"> المقيمين في بلجيكا في فلندرة، و</w:t>
      </w:r>
      <w:r w:rsidR="007501E7" w:rsidRPr="00350F98">
        <w:rPr>
          <w:rtl/>
          <w:lang w:bidi="ar-EG"/>
        </w:rPr>
        <w:t>27</w:t>
      </w:r>
      <w:r>
        <w:rPr>
          <w:rtl/>
          <w:lang w:bidi="ar-EG"/>
        </w:rPr>
        <w:t xml:space="preserve"> في المائة في المنطقة الوالونية من البلد، و</w:t>
      </w:r>
      <w:r w:rsidR="007501E7" w:rsidRPr="00350F98">
        <w:rPr>
          <w:rtl/>
          <w:lang w:bidi="ar-EG"/>
        </w:rPr>
        <w:t>31</w:t>
      </w:r>
      <w:r>
        <w:rPr>
          <w:rtl/>
          <w:lang w:bidi="ar-EG"/>
        </w:rPr>
        <w:t xml:space="preserve"> في المائة في منطقة العاصمة بروكسل.</w:t>
      </w:r>
    </w:p>
    <w:p w14:paraId="60072144" w14:textId="77777777" w:rsidR="00D424DC" w:rsidRPr="00350F98" w:rsidRDefault="00D424DC" w:rsidP="00D424DC">
      <w:pPr>
        <w:pStyle w:val="H1GA"/>
        <w:rPr>
          <w:rtl/>
          <w:lang w:bidi="ar-EG"/>
        </w:rPr>
      </w:pPr>
      <w:r w:rsidRPr="00350F98">
        <w:rPr>
          <w:rtl/>
          <w:lang w:bidi="ar-EG"/>
        </w:rPr>
        <w:tab/>
      </w:r>
      <w:bookmarkStart w:id="6" w:name="_Toc73715640"/>
      <w:r w:rsidRPr="00350F98">
        <w:rPr>
          <w:rtl/>
          <w:lang w:bidi="ar-EG"/>
        </w:rPr>
        <w:t>باء-</w:t>
      </w:r>
      <w:r w:rsidRPr="00350F98">
        <w:rPr>
          <w:rtl/>
          <w:lang w:bidi="ar-EG"/>
        </w:rPr>
        <w:tab/>
        <w:t>الهيكل الدستوري والسياسي والقانوني للدولة</w:t>
      </w:r>
      <w:bookmarkEnd w:id="6"/>
    </w:p>
    <w:p w14:paraId="0C941CAD" w14:textId="77777777" w:rsidR="00D424DC" w:rsidRPr="00350F98" w:rsidRDefault="00D424DC" w:rsidP="00D424DC">
      <w:pPr>
        <w:pStyle w:val="H23GA"/>
        <w:rPr>
          <w:rtl/>
          <w:lang w:bidi="ar-EG"/>
        </w:rPr>
      </w:pPr>
      <w:r w:rsidRPr="00350F98">
        <w:rPr>
          <w:rtl/>
          <w:lang w:bidi="ar-EG"/>
        </w:rPr>
        <w:tab/>
      </w:r>
      <w:r w:rsidRPr="00350F98">
        <w:rPr>
          <w:rFonts w:hint="cs"/>
          <w:rtl/>
          <w:lang w:bidi="ar-EG"/>
        </w:rPr>
        <w:t>1</w:t>
      </w:r>
      <w:r w:rsidRPr="00350F98">
        <w:rPr>
          <w:rtl/>
          <w:lang w:bidi="ar-EG"/>
        </w:rPr>
        <w:t>-</w:t>
      </w:r>
      <w:r w:rsidRPr="00350F98">
        <w:rPr>
          <w:rtl/>
          <w:lang w:bidi="ar-EG"/>
        </w:rPr>
        <w:tab/>
        <w:t>الإطار العام</w:t>
      </w:r>
    </w:p>
    <w:p w14:paraId="291CCCB3" w14:textId="77777777" w:rsidR="00D424DC" w:rsidRDefault="00D424DC" w:rsidP="002C315A">
      <w:pPr>
        <w:pStyle w:val="SingleTxtGA"/>
        <w:spacing w:line="346" w:lineRule="exact"/>
        <w:rPr>
          <w:rtl/>
          <w:lang w:bidi="ar-EG"/>
        </w:rPr>
      </w:pPr>
      <w:r w:rsidRPr="00350F98">
        <w:rPr>
          <w:rtl/>
          <w:lang w:bidi="ar-EG"/>
        </w:rPr>
        <w:t>17</w:t>
      </w:r>
      <w:r>
        <w:rPr>
          <w:rtl/>
          <w:lang w:bidi="ar-EG"/>
        </w:rPr>
        <w:t>-</w:t>
      </w:r>
      <w:r>
        <w:rPr>
          <w:rtl/>
          <w:lang w:bidi="ar-EG"/>
        </w:rPr>
        <w:tab/>
        <w:t xml:space="preserve">في عام </w:t>
      </w:r>
      <w:r w:rsidRPr="00350F98">
        <w:rPr>
          <w:rtl/>
          <w:lang w:bidi="ar-EG"/>
        </w:rPr>
        <w:t>1831</w:t>
      </w:r>
      <w:r>
        <w:rPr>
          <w:rtl/>
          <w:lang w:bidi="ar-EG"/>
        </w:rPr>
        <w:t>، أقامت الجمعية التأسيسية دولةً ديمقراطية ترتكز على سيادة القانون والفصل المرن بين السلطات في شكل ملكية برلمانية ودولة مُوحّدة لا مركزية (الدولة، الأقاليم، البلديات).</w:t>
      </w:r>
    </w:p>
    <w:p w14:paraId="50E5BD2D" w14:textId="77777777" w:rsidR="00D424DC" w:rsidRDefault="00D424DC" w:rsidP="002C315A">
      <w:pPr>
        <w:pStyle w:val="SingleTxtGA"/>
        <w:spacing w:line="346" w:lineRule="exact"/>
        <w:rPr>
          <w:rtl/>
          <w:lang w:bidi="ar-EG"/>
        </w:rPr>
      </w:pPr>
      <w:r w:rsidRPr="00350F98">
        <w:rPr>
          <w:rtl/>
          <w:lang w:bidi="ar-EG"/>
        </w:rPr>
        <w:t>18</w:t>
      </w:r>
      <w:r>
        <w:rPr>
          <w:rtl/>
          <w:lang w:bidi="ar-EG"/>
        </w:rPr>
        <w:t>-</w:t>
      </w:r>
      <w:r>
        <w:rPr>
          <w:rtl/>
          <w:lang w:bidi="ar-EG"/>
        </w:rPr>
        <w:tab/>
        <w:t>وتغيّر شكل الدولة هذا بإنشاء دولة اتحادية تتكون من جماعات ومناطق.</w:t>
      </w:r>
    </w:p>
    <w:p w14:paraId="1897527F" w14:textId="77777777" w:rsidR="00D424DC" w:rsidRDefault="00D424DC" w:rsidP="002C315A">
      <w:pPr>
        <w:pStyle w:val="SingleTxtGA"/>
        <w:spacing w:line="346" w:lineRule="exact"/>
        <w:rPr>
          <w:rtl/>
          <w:lang w:bidi="ar-EG"/>
        </w:rPr>
      </w:pPr>
      <w:r w:rsidRPr="00350F98">
        <w:rPr>
          <w:rtl/>
          <w:lang w:bidi="ar-EG"/>
        </w:rPr>
        <w:t>19</w:t>
      </w:r>
      <w:r>
        <w:rPr>
          <w:rtl/>
          <w:lang w:bidi="ar-EG"/>
        </w:rPr>
        <w:t>-</w:t>
      </w:r>
      <w:r>
        <w:rPr>
          <w:rtl/>
          <w:lang w:bidi="ar-EG"/>
        </w:rPr>
        <w:tab/>
      </w:r>
      <w:r w:rsidRPr="002C315A">
        <w:rPr>
          <w:spacing w:val="-2"/>
          <w:rtl/>
          <w:lang w:bidi="ar-EG"/>
        </w:rPr>
        <w:t xml:space="preserve">ويقوم توزيع السلطات العامة أساساً على تفويض اختصاصات موضوعية وإقليمية تمارسها السلطة </w:t>
      </w:r>
      <w:r>
        <w:rPr>
          <w:rtl/>
          <w:lang w:bidi="ar-EG"/>
        </w:rPr>
        <w:t>الاتحادية والجماعات والمناطق.</w:t>
      </w:r>
    </w:p>
    <w:p w14:paraId="0044A23D" w14:textId="195209D8" w:rsidR="00D424DC" w:rsidRDefault="00D424DC" w:rsidP="002C315A">
      <w:pPr>
        <w:pStyle w:val="SingleTxtGA"/>
        <w:spacing w:line="346" w:lineRule="exact"/>
        <w:rPr>
          <w:rFonts w:hint="cs"/>
          <w:rtl/>
        </w:rPr>
      </w:pPr>
      <w:r w:rsidRPr="00350F98">
        <w:rPr>
          <w:rtl/>
          <w:lang w:bidi="ar-EG"/>
        </w:rPr>
        <w:t>20</w:t>
      </w:r>
      <w:r>
        <w:rPr>
          <w:rtl/>
          <w:lang w:bidi="ar-EG"/>
        </w:rPr>
        <w:t>-</w:t>
      </w:r>
      <w:r>
        <w:rPr>
          <w:rtl/>
          <w:lang w:bidi="ar-EG"/>
        </w:rPr>
        <w:tab/>
      </w:r>
      <w:r w:rsidRPr="002C315A">
        <w:rPr>
          <w:spacing w:val="-2"/>
          <w:rtl/>
          <w:lang w:bidi="ar-EG"/>
        </w:rPr>
        <w:t>والجماعات والمناطق، مثل الأقاليم والبلديات، ليست تجمعات تابعة للسلطة الاتحادية، وإنما تتمتع</w:t>
      </w:r>
      <w:r>
        <w:rPr>
          <w:rtl/>
          <w:lang w:bidi="ar-EG"/>
        </w:rPr>
        <w:t xml:space="preserve"> بنفس مستوى الصلاحيات التي تمارسها السلطة الاتحادية. وتمارس هذه الكيانات، في مجال اختصاصها، </w:t>
      </w:r>
      <w:r w:rsidRPr="002C315A">
        <w:rPr>
          <w:spacing w:val="-2"/>
          <w:rtl/>
          <w:lang w:bidi="ar-EG"/>
        </w:rPr>
        <w:t>نفس صلاحيات السلطة الاتحادية حيث</w:t>
      </w:r>
      <w:r w:rsidR="007501E7" w:rsidRPr="002C315A">
        <w:rPr>
          <w:rFonts w:hint="cs"/>
          <w:spacing w:val="-2"/>
          <w:rtl/>
          <w:lang w:bidi="ar-EG"/>
        </w:rPr>
        <w:t xml:space="preserve"> </w:t>
      </w:r>
      <w:r w:rsidRPr="002C315A">
        <w:rPr>
          <w:spacing w:val="-2"/>
          <w:rtl/>
          <w:lang w:bidi="ar-EG"/>
        </w:rPr>
        <w:t>إن القواعد التشريعية التي تضعها، وهي المراسيم والقرارات، تتساوى</w:t>
      </w:r>
      <w:r>
        <w:rPr>
          <w:rtl/>
          <w:lang w:bidi="ar-EG"/>
        </w:rPr>
        <w:t xml:space="preserve"> في قيمتها مع القانون.</w:t>
      </w:r>
    </w:p>
    <w:p w14:paraId="6410B84D" w14:textId="11281A7C" w:rsidR="00D424DC" w:rsidRDefault="00D424DC" w:rsidP="002C315A">
      <w:pPr>
        <w:pStyle w:val="SingleTxtGA"/>
        <w:spacing w:line="346" w:lineRule="exact"/>
        <w:rPr>
          <w:rtl/>
          <w:lang w:bidi="ar-EG"/>
        </w:rPr>
      </w:pPr>
      <w:r w:rsidRPr="00350F98">
        <w:rPr>
          <w:rtl/>
          <w:lang w:bidi="ar-EG"/>
        </w:rPr>
        <w:t>21</w:t>
      </w:r>
      <w:r>
        <w:rPr>
          <w:rtl/>
          <w:lang w:bidi="ar-EG"/>
        </w:rPr>
        <w:t>-</w:t>
      </w:r>
      <w:r>
        <w:rPr>
          <w:rtl/>
          <w:lang w:bidi="ar-EG"/>
        </w:rPr>
        <w:tab/>
        <w:t xml:space="preserve">وينص دستور عام </w:t>
      </w:r>
      <w:r w:rsidR="007501E7" w:rsidRPr="00350F98">
        <w:rPr>
          <w:rtl/>
          <w:lang w:bidi="ar-EG"/>
        </w:rPr>
        <w:t>1994</w:t>
      </w:r>
      <w:r>
        <w:rPr>
          <w:rtl/>
          <w:lang w:bidi="ar-EG"/>
        </w:rPr>
        <w:t xml:space="preserve"> على أن بلجيكا تضم:</w:t>
      </w:r>
    </w:p>
    <w:p w14:paraId="707B6060" w14:textId="47FB9363" w:rsidR="00D424DC" w:rsidRDefault="00D424DC" w:rsidP="002C315A">
      <w:pPr>
        <w:pStyle w:val="SingleTxtGA"/>
        <w:spacing w:line="346" w:lineRule="exact"/>
        <w:rPr>
          <w:rtl/>
          <w:lang w:bidi="ar-EG"/>
        </w:rPr>
      </w:pPr>
      <w:r>
        <w:rPr>
          <w:rtl/>
          <w:lang w:bidi="ar-EG"/>
        </w:rPr>
        <w:tab/>
        <w:t>(أ)</w:t>
      </w:r>
      <w:r>
        <w:rPr>
          <w:rtl/>
          <w:lang w:bidi="ar-EG"/>
        </w:rPr>
        <w:tab/>
        <w:t>ثلاث جماعات</w:t>
      </w:r>
      <w:r w:rsidR="007501E7">
        <w:rPr>
          <w:rFonts w:hint="cs"/>
          <w:rtl/>
          <w:lang w:bidi="ar-EG"/>
        </w:rPr>
        <w:t xml:space="preserve"> </w:t>
      </w:r>
      <w:r>
        <w:rPr>
          <w:rtl/>
          <w:lang w:bidi="ar-EG"/>
        </w:rPr>
        <w:t>لغوية، هي الجماعة الفرنسية، والجماعة الفلمنكية، والجماعة الناطقة باللغة الألمانية؛</w:t>
      </w:r>
    </w:p>
    <w:p w14:paraId="482D3B82" w14:textId="77777777" w:rsidR="00D424DC" w:rsidRDefault="00D424DC" w:rsidP="002C315A">
      <w:pPr>
        <w:pStyle w:val="SingleTxtGA"/>
        <w:spacing w:line="346" w:lineRule="exact"/>
        <w:rPr>
          <w:rtl/>
          <w:lang w:bidi="ar-EG"/>
        </w:rPr>
      </w:pPr>
      <w:r>
        <w:rPr>
          <w:rtl/>
          <w:lang w:bidi="ar-EG"/>
        </w:rPr>
        <w:tab/>
        <w:t>(ب)</w:t>
      </w:r>
      <w:r>
        <w:rPr>
          <w:rtl/>
          <w:lang w:bidi="ar-EG"/>
        </w:rPr>
        <w:tab/>
        <w:t>ثلاث مناطق، هي المنطقة الوالونية والمنطقة الفلمنكية ومنطقة العاصمة بروكسل؛</w:t>
      </w:r>
    </w:p>
    <w:p w14:paraId="0A50D527" w14:textId="77777777" w:rsidR="00D424DC" w:rsidRDefault="00D424DC" w:rsidP="002C315A">
      <w:pPr>
        <w:pStyle w:val="SingleTxtGA"/>
        <w:spacing w:line="346" w:lineRule="exact"/>
        <w:rPr>
          <w:rtl/>
          <w:lang w:bidi="ar-EG"/>
        </w:rPr>
      </w:pPr>
      <w:r>
        <w:rPr>
          <w:rtl/>
          <w:lang w:bidi="ar-EG"/>
        </w:rPr>
        <w:tab/>
        <w:t>(ج)</w:t>
      </w:r>
      <w:r>
        <w:rPr>
          <w:rtl/>
          <w:lang w:bidi="ar-EG"/>
        </w:rPr>
        <w:tab/>
        <w:t>أربع مناطق لغوية، هي منطقة اللغة الفرنسية، ومنطقة اللغة الهولندية، ومنطقة العاصمة بروكسل ذات اللغتين، ومنطقة اللغة الألمانية. وتشكل كل بلدية في المملكة جزءاً من إحدى هذه المناطق اللغوية.</w:t>
      </w:r>
    </w:p>
    <w:p w14:paraId="5A0DF45C" w14:textId="77777777" w:rsidR="00D424DC" w:rsidRDefault="00D424DC" w:rsidP="002C315A">
      <w:pPr>
        <w:pStyle w:val="SingleTxtGA"/>
        <w:spacing w:line="346" w:lineRule="exact"/>
        <w:rPr>
          <w:rtl/>
          <w:lang w:bidi="ar-EG"/>
        </w:rPr>
      </w:pPr>
      <w:r w:rsidRPr="00350F98">
        <w:rPr>
          <w:rtl/>
          <w:lang w:bidi="ar-EG"/>
        </w:rPr>
        <w:t>22</w:t>
      </w:r>
      <w:r>
        <w:rPr>
          <w:rtl/>
          <w:lang w:bidi="ar-EG"/>
        </w:rPr>
        <w:t>-</w:t>
      </w:r>
      <w:r>
        <w:rPr>
          <w:rtl/>
          <w:lang w:bidi="ar-EG"/>
        </w:rPr>
        <w:tab/>
        <w:t>والجماعات والمناطق كيانات مُوحَّدة لها هيئاتها السياسية. وليست المناطق اللغوية سوى تقسيم سياسي للأراضي البلجيكية.</w:t>
      </w:r>
    </w:p>
    <w:p w14:paraId="64645A4A" w14:textId="77777777" w:rsidR="00D424DC" w:rsidRDefault="00D424DC" w:rsidP="002C315A">
      <w:pPr>
        <w:pStyle w:val="SingleTxtGA"/>
        <w:spacing w:line="346" w:lineRule="exact"/>
        <w:rPr>
          <w:rtl/>
          <w:lang w:bidi="ar-EG"/>
        </w:rPr>
      </w:pPr>
      <w:r w:rsidRPr="00350F98">
        <w:rPr>
          <w:rtl/>
          <w:lang w:bidi="ar-EG"/>
        </w:rPr>
        <w:t>23</w:t>
      </w:r>
      <w:r>
        <w:rPr>
          <w:rtl/>
          <w:lang w:bidi="ar-EG"/>
        </w:rPr>
        <w:t>-</w:t>
      </w:r>
      <w:r>
        <w:rPr>
          <w:rtl/>
          <w:lang w:bidi="ar-EG"/>
        </w:rPr>
        <w:tab/>
      </w:r>
      <w:r w:rsidRPr="002C315A">
        <w:rPr>
          <w:spacing w:val="-2"/>
          <w:rtl/>
          <w:lang w:bidi="ar-EG"/>
        </w:rPr>
        <w:t>والسلطة الاتحادية لا تمارس فقط اختصاصات في المجالات المسنَدة إليها رسمياً بمقتضى الدستور</w:t>
      </w:r>
      <w:r>
        <w:rPr>
          <w:rtl/>
          <w:lang w:bidi="ar-EG"/>
        </w:rPr>
        <w:t xml:space="preserve"> والقوانين الصادرة بموجبه. بل تمارس أيضاً اختصاصات غير مسندة صراحةً إلى الجماعات والمناطق.</w:t>
      </w:r>
    </w:p>
    <w:p w14:paraId="78E8C629" w14:textId="77777777" w:rsidR="00D424DC" w:rsidRPr="00350F98" w:rsidRDefault="00D424DC" w:rsidP="002C315A">
      <w:pPr>
        <w:pStyle w:val="H23GA"/>
        <w:spacing w:line="346" w:lineRule="exact"/>
        <w:rPr>
          <w:rtl/>
          <w:lang w:bidi="ar-EG"/>
        </w:rPr>
      </w:pPr>
      <w:r w:rsidRPr="00350F98">
        <w:rPr>
          <w:rtl/>
          <w:lang w:bidi="ar-EG"/>
        </w:rPr>
        <w:tab/>
      </w:r>
      <w:r w:rsidRPr="00350F98">
        <w:rPr>
          <w:rFonts w:hint="cs"/>
          <w:rtl/>
          <w:lang w:bidi="ar-EG"/>
        </w:rPr>
        <w:t>2</w:t>
      </w:r>
      <w:r w:rsidRPr="00350F98">
        <w:rPr>
          <w:rtl/>
          <w:lang w:bidi="ar-EG"/>
        </w:rPr>
        <w:t>-</w:t>
      </w:r>
      <w:r w:rsidRPr="00350F98">
        <w:rPr>
          <w:rtl/>
          <w:lang w:bidi="ar-EG"/>
        </w:rPr>
        <w:tab/>
        <w:t>السلطة التشريعية الاتحادية</w:t>
      </w:r>
    </w:p>
    <w:p w14:paraId="150707B6" w14:textId="77777777" w:rsidR="00D424DC" w:rsidRDefault="00D424DC" w:rsidP="002C315A">
      <w:pPr>
        <w:pStyle w:val="SingleTxtGA"/>
        <w:spacing w:line="346" w:lineRule="exact"/>
        <w:rPr>
          <w:rtl/>
          <w:lang w:bidi="ar-EG"/>
        </w:rPr>
      </w:pPr>
      <w:r w:rsidRPr="00350F98">
        <w:rPr>
          <w:rtl/>
          <w:lang w:bidi="ar-EG"/>
        </w:rPr>
        <w:t>24</w:t>
      </w:r>
      <w:r>
        <w:rPr>
          <w:rtl/>
          <w:lang w:bidi="ar-EG"/>
        </w:rPr>
        <w:t>-</w:t>
      </w:r>
      <w:r>
        <w:rPr>
          <w:rtl/>
          <w:lang w:bidi="ar-EG"/>
        </w:rPr>
        <w:tab/>
        <w:t>يمارس هذه السلطة الملك بالاشتراك مع مجلس النواب ومجلس الشيوخ.</w:t>
      </w:r>
    </w:p>
    <w:p w14:paraId="49BF8B7C" w14:textId="77777777" w:rsidR="00D424DC" w:rsidRDefault="00D424DC" w:rsidP="002C315A">
      <w:pPr>
        <w:pStyle w:val="SingleTxtGA"/>
        <w:spacing w:line="346" w:lineRule="exact"/>
        <w:rPr>
          <w:rtl/>
          <w:lang w:bidi="ar-EG"/>
        </w:rPr>
      </w:pPr>
      <w:r w:rsidRPr="00350F98">
        <w:rPr>
          <w:rtl/>
          <w:lang w:bidi="ar-EG"/>
        </w:rPr>
        <w:t>25</w:t>
      </w:r>
      <w:r>
        <w:rPr>
          <w:rtl/>
          <w:lang w:bidi="ar-EG"/>
        </w:rPr>
        <w:t>-</w:t>
      </w:r>
      <w:r>
        <w:rPr>
          <w:rtl/>
          <w:lang w:bidi="ar-EG"/>
        </w:rPr>
        <w:tab/>
      </w:r>
      <w:r w:rsidRPr="002C315A">
        <w:rPr>
          <w:spacing w:val="-4"/>
          <w:rtl/>
          <w:lang w:bidi="ar-EG"/>
        </w:rPr>
        <w:t>ويمثل أعضاءُ المجلسين الأمّةَ لا منتخِبيهم فقط. وفي الحالات التي يحددها الدستور، يُقسَّم الأعضاء</w:t>
      </w:r>
      <w:r>
        <w:rPr>
          <w:rtl/>
          <w:lang w:bidi="ar-EG"/>
        </w:rPr>
        <w:t xml:space="preserve"> المنتخَبون لكل مجلس إلى مجموعة لغوية فرنسية ومجموعة لغوية هولندية بالطريقة التي يحددها القانون.</w:t>
      </w:r>
    </w:p>
    <w:p w14:paraId="545700FE" w14:textId="77777777" w:rsidR="00D424DC" w:rsidRDefault="00D424DC" w:rsidP="002C315A">
      <w:pPr>
        <w:pStyle w:val="SingleTxtGA"/>
        <w:spacing w:line="346" w:lineRule="exact"/>
        <w:rPr>
          <w:rtl/>
          <w:lang w:bidi="ar-EG"/>
        </w:rPr>
      </w:pPr>
      <w:r w:rsidRPr="00350F98">
        <w:rPr>
          <w:rtl/>
          <w:lang w:bidi="ar-EG"/>
        </w:rPr>
        <w:t>26</w:t>
      </w:r>
      <w:r>
        <w:rPr>
          <w:rtl/>
          <w:lang w:bidi="ar-EG"/>
        </w:rPr>
        <w:t>-</w:t>
      </w:r>
      <w:r>
        <w:rPr>
          <w:rtl/>
          <w:lang w:bidi="ar-EG"/>
        </w:rPr>
        <w:tab/>
        <w:t xml:space="preserve">ويجتمع المجلسان بحكم القانون كل سنة ويتعيّن عليهما أن يظلا مجتمعين لمدة أربعين يوماً </w:t>
      </w:r>
      <w:r w:rsidRPr="002C315A">
        <w:rPr>
          <w:spacing w:val="-4"/>
          <w:rtl/>
          <w:lang w:bidi="ar-EG"/>
        </w:rPr>
        <w:t>على الأقل. والملك هو الذي يعلن اختتام كل دورة. ويجوز له أن يؤجل انعقاد المجلسين أو أن يحلّهما حسب</w:t>
      </w:r>
      <w:r>
        <w:rPr>
          <w:rtl/>
          <w:lang w:bidi="ar-EG"/>
        </w:rPr>
        <w:t xml:space="preserve"> </w:t>
      </w:r>
      <w:r w:rsidRPr="002C315A">
        <w:rPr>
          <w:spacing w:val="-2"/>
          <w:rtl/>
          <w:lang w:bidi="ar-EG"/>
        </w:rPr>
        <w:t>الصيغ المحدّدة في الدستور. وأي عضو في البرلمان يعيّنه الملك وزيراً يترك مقعده النيابي ولا يستعيد ولايته</w:t>
      </w:r>
      <w:r>
        <w:rPr>
          <w:rtl/>
          <w:lang w:bidi="ar-EG"/>
        </w:rPr>
        <w:t xml:space="preserve"> إلا بعد انتهاء مهامه الوزارية.</w:t>
      </w:r>
    </w:p>
    <w:p w14:paraId="28CDEE29" w14:textId="77777777" w:rsidR="00D424DC" w:rsidRDefault="00D424DC" w:rsidP="002C315A">
      <w:pPr>
        <w:pStyle w:val="SingleTxtGA"/>
        <w:spacing w:line="350" w:lineRule="exact"/>
        <w:rPr>
          <w:rtl/>
          <w:lang w:bidi="ar-EG"/>
        </w:rPr>
      </w:pPr>
      <w:r w:rsidRPr="00350F98">
        <w:rPr>
          <w:rtl/>
          <w:lang w:bidi="ar-EG"/>
        </w:rPr>
        <w:lastRenderedPageBreak/>
        <w:t>27</w:t>
      </w:r>
      <w:r>
        <w:rPr>
          <w:rtl/>
          <w:lang w:bidi="ar-EG"/>
        </w:rPr>
        <w:t>-</w:t>
      </w:r>
      <w:r>
        <w:rPr>
          <w:rtl/>
          <w:lang w:bidi="ar-EG"/>
        </w:rPr>
        <w:tab/>
        <w:t>ولكل فرع من فروع السلطة التشريعية الاتحادية حق المبادرة [عرض مشاريع قوانين على أحد المجلسين (نصوص صادرة عن السلطة التنفيذية) أو مقترحات قوانين (مبادرة من البرلمان)].</w:t>
      </w:r>
    </w:p>
    <w:p w14:paraId="7F366538" w14:textId="77777777" w:rsidR="00D424DC" w:rsidRDefault="00D424DC" w:rsidP="002C315A">
      <w:pPr>
        <w:pStyle w:val="SingleTxtGA"/>
        <w:spacing w:line="350" w:lineRule="exact"/>
        <w:rPr>
          <w:rtl/>
          <w:lang w:bidi="ar-EG"/>
        </w:rPr>
      </w:pPr>
      <w:r w:rsidRPr="00350F98">
        <w:rPr>
          <w:rtl/>
          <w:lang w:bidi="ar-EG"/>
        </w:rPr>
        <w:t>28</w:t>
      </w:r>
      <w:r>
        <w:rPr>
          <w:rtl/>
          <w:lang w:bidi="ar-EG"/>
        </w:rPr>
        <w:t>-</w:t>
      </w:r>
      <w:r>
        <w:rPr>
          <w:rtl/>
          <w:lang w:bidi="ar-EG"/>
        </w:rPr>
        <w:tab/>
        <w:t xml:space="preserve">وفيما عدا المشاريع المتعلقة بالميزانية وبالقوانين التي تقتضي أغلبية خاصة، توجد آلية تُسمَّى </w:t>
      </w:r>
      <w:r w:rsidRPr="002C315A">
        <w:rPr>
          <w:spacing w:val="-2"/>
          <w:rtl/>
          <w:lang w:bidi="ar-EG"/>
        </w:rPr>
        <w:t>"جرس الإنذار" تهدف إلى منع إقرار أي مشروع أو مقترح قانون قد تُسيء أحكامه إساءةً بالغة إلى العلاقات</w:t>
      </w:r>
      <w:r>
        <w:rPr>
          <w:rtl/>
          <w:lang w:bidi="ar-EG"/>
        </w:rPr>
        <w:t xml:space="preserve"> بين المجموعات اللغوية. وفي هذه الحالة، يُعلَّق الإجراء البرلماني لمدة ثلاثين يوماً ريثما يعطي مجلس الوزراء رأياً معلَّلاً في الموضوع.</w:t>
      </w:r>
    </w:p>
    <w:p w14:paraId="64D61CBD" w14:textId="77777777" w:rsidR="00D424DC" w:rsidRDefault="00D424DC" w:rsidP="002C315A">
      <w:pPr>
        <w:pStyle w:val="SingleTxtGA"/>
        <w:spacing w:line="350" w:lineRule="exact"/>
        <w:rPr>
          <w:rtl/>
          <w:lang w:bidi="ar-EG"/>
        </w:rPr>
      </w:pPr>
      <w:r w:rsidRPr="00350F98">
        <w:rPr>
          <w:rtl/>
          <w:lang w:bidi="ar-EG"/>
        </w:rPr>
        <w:t>29</w:t>
      </w:r>
      <w:r>
        <w:rPr>
          <w:rtl/>
          <w:lang w:bidi="ar-EG"/>
        </w:rPr>
        <w:t>-</w:t>
      </w:r>
      <w:r>
        <w:rPr>
          <w:rtl/>
          <w:lang w:bidi="ar-EG"/>
        </w:rPr>
        <w:tab/>
      </w:r>
      <w:r w:rsidRPr="002C315A">
        <w:rPr>
          <w:spacing w:val="-2"/>
          <w:rtl/>
          <w:lang w:bidi="ar-EG"/>
        </w:rPr>
        <w:t xml:space="preserve">ويضمّ مجلس النواب </w:t>
      </w:r>
      <w:r w:rsidRPr="00350F98">
        <w:rPr>
          <w:spacing w:val="-2"/>
          <w:rtl/>
          <w:lang w:bidi="ar-EG"/>
        </w:rPr>
        <w:t>150</w:t>
      </w:r>
      <w:r w:rsidRPr="002C315A">
        <w:rPr>
          <w:spacing w:val="-2"/>
          <w:rtl/>
          <w:lang w:bidi="ar-EG"/>
        </w:rPr>
        <w:t xml:space="preserve"> عضواً منتخباً عن طريق الاقتراع العام المباشر. وشروط الأهلية للترشح </w:t>
      </w:r>
      <w:r>
        <w:rPr>
          <w:rtl/>
          <w:lang w:bidi="ar-EG"/>
        </w:rPr>
        <w:t>هي كالآتي:</w:t>
      </w:r>
    </w:p>
    <w:p w14:paraId="05196132" w14:textId="77777777" w:rsidR="00D424DC" w:rsidRDefault="00D424DC" w:rsidP="002C315A">
      <w:pPr>
        <w:pStyle w:val="Bullet1GA"/>
        <w:spacing w:line="350" w:lineRule="exact"/>
        <w:rPr>
          <w:rtl/>
          <w:lang w:bidi="ar-EG"/>
        </w:rPr>
      </w:pPr>
      <w:r>
        <w:rPr>
          <w:rtl/>
          <w:lang w:bidi="ar-EG"/>
        </w:rPr>
        <w:t>أن يكون المرشح بلجيكيّاً؛</w:t>
      </w:r>
    </w:p>
    <w:p w14:paraId="39B2692C" w14:textId="77777777" w:rsidR="00D424DC" w:rsidRDefault="00D424DC" w:rsidP="002C315A">
      <w:pPr>
        <w:pStyle w:val="Bullet1GA"/>
        <w:spacing w:line="350" w:lineRule="exact"/>
        <w:rPr>
          <w:rtl/>
          <w:lang w:bidi="ar-EG"/>
        </w:rPr>
      </w:pPr>
      <w:r>
        <w:rPr>
          <w:rtl/>
          <w:lang w:bidi="ar-EG"/>
        </w:rPr>
        <w:t>أن يكون متمتعاً بحقوقه المدنية والسياسية؛</w:t>
      </w:r>
    </w:p>
    <w:p w14:paraId="0C7984B2" w14:textId="77777777" w:rsidR="00D424DC" w:rsidRDefault="00D424DC" w:rsidP="002C315A">
      <w:pPr>
        <w:pStyle w:val="Bullet1GA"/>
        <w:spacing w:line="350" w:lineRule="exact"/>
        <w:rPr>
          <w:rtl/>
          <w:lang w:bidi="ar-EG"/>
        </w:rPr>
      </w:pPr>
      <w:r>
        <w:rPr>
          <w:rtl/>
          <w:lang w:bidi="ar-EG"/>
        </w:rPr>
        <w:t xml:space="preserve">أن يكون قد بلغ </w:t>
      </w:r>
      <w:r w:rsidRPr="00350F98">
        <w:rPr>
          <w:rtl/>
          <w:lang w:bidi="ar-EG"/>
        </w:rPr>
        <w:t>21</w:t>
      </w:r>
      <w:r>
        <w:rPr>
          <w:rtl/>
          <w:lang w:bidi="ar-EG"/>
        </w:rPr>
        <w:t xml:space="preserve"> سنة من العمر وأن يكون محل إقامته في بلجيكا.</w:t>
      </w:r>
    </w:p>
    <w:p w14:paraId="2CE44D9F" w14:textId="4435333D" w:rsidR="00D424DC" w:rsidRDefault="00D424DC" w:rsidP="002C315A">
      <w:pPr>
        <w:pStyle w:val="SingleTxtGA"/>
        <w:spacing w:line="350" w:lineRule="exact"/>
        <w:rPr>
          <w:rtl/>
          <w:lang w:bidi="ar-EG"/>
        </w:rPr>
      </w:pPr>
      <w:r w:rsidRPr="00350F98">
        <w:rPr>
          <w:rtl/>
          <w:lang w:bidi="ar-EG"/>
        </w:rPr>
        <w:t>30</w:t>
      </w:r>
      <w:r>
        <w:rPr>
          <w:rtl/>
          <w:lang w:bidi="ar-EG"/>
        </w:rPr>
        <w:t>-</w:t>
      </w:r>
      <w:r>
        <w:rPr>
          <w:rtl/>
          <w:lang w:bidi="ar-EG"/>
        </w:rPr>
        <w:tab/>
        <w:t>ومدة النيابة خمس سنوات ولا يجوز الجمع بين النيابة في البرلمان والاضطلاع بولاية عضو في مجلس نيابي لإحدى المناطق أو</w:t>
      </w:r>
      <w:r w:rsidR="007501E7">
        <w:rPr>
          <w:rFonts w:hint="cs"/>
          <w:rtl/>
          <w:lang w:bidi="ar-EG"/>
        </w:rPr>
        <w:t xml:space="preserve"> </w:t>
      </w:r>
      <w:r>
        <w:rPr>
          <w:rtl/>
          <w:lang w:bidi="ar-EG"/>
        </w:rPr>
        <w:t>الجماعات أو بوظيفة وزير.</w:t>
      </w:r>
    </w:p>
    <w:p w14:paraId="4D82A600" w14:textId="6F6D03BC" w:rsidR="00D424DC" w:rsidRDefault="00D424DC" w:rsidP="002C315A">
      <w:pPr>
        <w:pStyle w:val="SingleTxtGA"/>
        <w:spacing w:line="350" w:lineRule="exact"/>
        <w:rPr>
          <w:rtl/>
          <w:lang w:bidi="ar-EG"/>
        </w:rPr>
      </w:pPr>
      <w:r w:rsidRPr="00350F98">
        <w:rPr>
          <w:rtl/>
          <w:lang w:bidi="ar-EG"/>
        </w:rPr>
        <w:t>31</w:t>
      </w:r>
      <w:r>
        <w:rPr>
          <w:rtl/>
          <w:lang w:bidi="ar-EG"/>
        </w:rPr>
        <w:t>-</w:t>
      </w:r>
      <w:r>
        <w:rPr>
          <w:rtl/>
          <w:lang w:bidi="ar-EG"/>
        </w:rPr>
        <w:tab/>
      </w:r>
      <w:r w:rsidRPr="002C315A">
        <w:rPr>
          <w:spacing w:val="-2"/>
          <w:rtl/>
          <w:lang w:bidi="ar-EG"/>
        </w:rPr>
        <w:t>ويحتكر مجلس النواب الرقابة السياسية على العمل السياسي للحكومة الاتحادية (التكليف وسحب الثقة). وينفرد أيضاً بالاختصاص في مجال الميزانية؛ فهو وحده الذي يقرّ قانون الحسابات ويعتمد الميزانية.</w:t>
      </w:r>
      <w:r>
        <w:rPr>
          <w:rtl/>
          <w:lang w:bidi="ar-EG"/>
        </w:rPr>
        <w:t xml:space="preserve"> وينفرد المجلس أيضاً بالاختصاص فيما منح الجنسية</w:t>
      </w:r>
      <w:r w:rsidR="007501E7">
        <w:rPr>
          <w:rFonts w:hint="cs"/>
          <w:rtl/>
          <w:lang w:bidi="ar-EG"/>
        </w:rPr>
        <w:t xml:space="preserve"> </w:t>
      </w:r>
      <w:r>
        <w:rPr>
          <w:rtl/>
          <w:lang w:bidi="ar-EG"/>
        </w:rPr>
        <w:t>وإقرار المسؤولية الجنائية والمدنية للوزراء</w:t>
      </w:r>
      <w:r w:rsidR="007501E7">
        <w:rPr>
          <w:rFonts w:hint="cs"/>
          <w:rtl/>
          <w:lang w:bidi="ar-EG"/>
        </w:rPr>
        <w:t xml:space="preserve"> </w:t>
      </w:r>
      <w:r>
        <w:rPr>
          <w:rtl/>
          <w:lang w:bidi="ar-EG"/>
        </w:rPr>
        <w:t>وتحديد عدد أفراد الجيش.</w:t>
      </w:r>
    </w:p>
    <w:p w14:paraId="282734A7" w14:textId="173DB16D" w:rsidR="00D424DC" w:rsidRDefault="00D424DC" w:rsidP="002C315A">
      <w:pPr>
        <w:pStyle w:val="SingleTxtGA"/>
        <w:spacing w:line="350" w:lineRule="exact"/>
        <w:rPr>
          <w:rtl/>
          <w:lang w:bidi="ar-EG"/>
        </w:rPr>
      </w:pPr>
      <w:r w:rsidRPr="00350F98">
        <w:rPr>
          <w:rtl/>
          <w:lang w:bidi="ar-EG"/>
        </w:rPr>
        <w:t>32</w:t>
      </w:r>
      <w:r>
        <w:rPr>
          <w:rtl/>
          <w:lang w:bidi="ar-EG"/>
        </w:rPr>
        <w:t>-</w:t>
      </w:r>
      <w:r>
        <w:rPr>
          <w:rtl/>
          <w:lang w:bidi="ar-EG"/>
        </w:rPr>
        <w:tab/>
        <w:t xml:space="preserve">ويتألف مجلس الشيوخ من </w:t>
      </w:r>
      <w:r w:rsidRPr="00350F98">
        <w:rPr>
          <w:rtl/>
          <w:lang w:bidi="ar-EG"/>
        </w:rPr>
        <w:t>50</w:t>
      </w:r>
      <w:r>
        <w:rPr>
          <w:rtl/>
          <w:lang w:bidi="ar-EG"/>
        </w:rPr>
        <w:t xml:space="preserve"> عضواً وفقاً للنموذج التالي: </w:t>
      </w:r>
      <w:r w:rsidRPr="00350F98">
        <w:rPr>
          <w:rtl/>
          <w:lang w:bidi="ar-EG"/>
        </w:rPr>
        <w:t>29</w:t>
      </w:r>
      <w:r>
        <w:rPr>
          <w:rtl/>
          <w:lang w:bidi="ar-EG"/>
        </w:rPr>
        <w:t xml:space="preserve"> عضواً يعينهم المجلس النيابي</w:t>
      </w:r>
      <w:r w:rsidR="007501E7">
        <w:rPr>
          <w:rFonts w:hint="cs"/>
          <w:rtl/>
          <w:lang w:bidi="ar-EG"/>
        </w:rPr>
        <w:t xml:space="preserve"> </w:t>
      </w:r>
      <w:r w:rsidRPr="002C315A">
        <w:rPr>
          <w:spacing w:val="-4"/>
          <w:rtl/>
          <w:lang w:bidi="ar-EG"/>
        </w:rPr>
        <w:t>الفلمنكي، و</w:t>
      </w:r>
      <w:r w:rsidR="007501E7" w:rsidRPr="00350F98">
        <w:rPr>
          <w:spacing w:val="-4"/>
          <w:rtl/>
          <w:lang w:bidi="ar-EG"/>
        </w:rPr>
        <w:t>10</w:t>
      </w:r>
      <w:r w:rsidRPr="002C315A">
        <w:rPr>
          <w:spacing w:val="-4"/>
          <w:rtl/>
          <w:lang w:bidi="ar-EG"/>
        </w:rPr>
        <w:t xml:space="preserve"> أعضاء يعينهم المجلس النيابي للجماعة الفرنسية، و</w:t>
      </w:r>
      <w:r w:rsidRPr="00350F98">
        <w:rPr>
          <w:spacing w:val="-4"/>
          <w:rtl/>
          <w:lang w:bidi="ar-EG"/>
        </w:rPr>
        <w:t>8</w:t>
      </w:r>
      <w:r w:rsidRPr="002C315A">
        <w:rPr>
          <w:spacing w:val="-4"/>
          <w:rtl/>
          <w:lang w:bidi="ar-EG"/>
        </w:rPr>
        <w:t xml:space="preserve"> أعضاء يعينهم المجلس النيابي </w:t>
      </w:r>
      <w:proofErr w:type="spellStart"/>
      <w:r w:rsidRPr="002C315A">
        <w:rPr>
          <w:spacing w:val="-4"/>
          <w:rtl/>
          <w:lang w:bidi="ar-EG"/>
        </w:rPr>
        <w:t>الوالوني</w:t>
      </w:r>
      <w:proofErr w:type="spellEnd"/>
      <w:r w:rsidRPr="002C315A">
        <w:rPr>
          <w:spacing w:val="-4"/>
          <w:rtl/>
          <w:lang w:bidi="ar-EG"/>
        </w:rPr>
        <w:t>،</w:t>
      </w:r>
      <w:r>
        <w:rPr>
          <w:rtl/>
          <w:lang w:bidi="ar-EG"/>
        </w:rPr>
        <w:t xml:space="preserve"> وعضوان تعينهما مجموعة اللغة الفرنسية التابعة لبرلمان بروكسل وعضو واحد يعينه المجلس النيابي للجماعة الناطقة باللغة الألمانية؛</w:t>
      </w:r>
      <w:r>
        <w:rPr>
          <w:rFonts w:hint="cs"/>
          <w:rtl/>
          <w:lang w:bidi="ar-EG"/>
        </w:rPr>
        <w:t xml:space="preserve"> </w:t>
      </w:r>
      <w:r>
        <w:rPr>
          <w:rtl/>
          <w:lang w:bidi="ar-EG"/>
        </w:rPr>
        <w:t xml:space="preserve">ويُختار بالتوافق </w:t>
      </w:r>
      <w:r w:rsidR="007501E7" w:rsidRPr="00350F98">
        <w:rPr>
          <w:rtl/>
          <w:lang w:bidi="ar-EG"/>
        </w:rPr>
        <w:t>10</w:t>
      </w:r>
      <w:r>
        <w:rPr>
          <w:rtl/>
          <w:lang w:bidi="ar-EG"/>
        </w:rPr>
        <w:t xml:space="preserve"> أعضاء في مجلس الشيوخ، </w:t>
      </w:r>
      <w:r w:rsidR="007501E7" w:rsidRPr="00350F98">
        <w:rPr>
          <w:rtl/>
          <w:lang w:bidi="ar-EG"/>
        </w:rPr>
        <w:t>6</w:t>
      </w:r>
      <w:r>
        <w:rPr>
          <w:rtl/>
          <w:lang w:bidi="ar-EG"/>
        </w:rPr>
        <w:t xml:space="preserve"> من الناطقين باللغة الهولندية و</w:t>
      </w:r>
      <w:r w:rsidR="007501E7" w:rsidRPr="00350F98">
        <w:rPr>
          <w:rtl/>
          <w:lang w:bidi="ar-EG"/>
        </w:rPr>
        <w:t>4</w:t>
      </w:r>
      <w:r>
        <w:rPr>
          <w:rtl/>
          <w:lang w:bidi="ar-EG"/>
        </w:rPr>
        <w:t xml:space="preserve"> من الناطقين باللغة الفرنسية يعينون على أساس نتائج انتخابات تجري في المجلس.</w:t>
      </w:r>
    </w:p>
    <w:p w14:paraId="031BBEAB" w14:textId="77777777" w:rsidR="00D424DC" w:rsidRDefault="00D424DC" w:rsidP="002C315A">
      <w:pPr>
        <w:pStyle w:val="SingleTxtGA"/>
        <w:spacing w:line="350" w:lineRule="exact"/>
        <w:rPr>
          <w:rtl/>
          <w:lang w:bidi="ar-EG"/>
        </w:rPr>
      </w:pPr>
      <w:r w:rsidRPr="00350F98">
        <w:rPr>
          <w:rtl/>
          <w:lang w:bidi="ar-EG"/>
        </w:rPr>
        <w:t>33</w:t>
      </w:r>
      <w:r>
        <w:rPr>
          <w:rtl/>
          <w:lang w:bidi="ar-EG"/>
        </w:rPr>
        <w:t>-</w:t>
      </w:r>
      <w:r>
        <w:rPr>
          <w:rtl/>
          <w:lang w:bidi="ar-EG"/>
        </w:rPr>
        <w:tab/>
      </w:r>
      <w:r w:rsidRPr="002C315A">
        <w:rPr>
          <w:spacing w:val="-2"/>
          <w:rtl/>
          <w:lang w:bidi="ar-EG"/>
        </w:rPr>
        <w:t>ويهدف هذا التنظيم داخل مجلس الشيوخ إلى المواءمة في تمثيل الكيانات الموحدة (أعضاء منبثقون</w:t>
      </w:r>
      <w:r>
        <w:rPr>
          <w:rtl/>
          <w:lang w:bidi="ar-EG"/>
        </w:rPr>
        <w:t xml:space="preserve"> عن المجالس النيابية المجتمعية والإقليمية).</w:t>
      </w:r>
    </w:p>
    <w:p w14:paraId="5A6E4AFC" w14:textId="77777777" w:rsidR="00D424DC" w:rsidRDefault="00D424DC" w:rsidP="002C315A">
      <w:pPr>
        <w:pStyle w:val="SingleTxtGA"/>
        <w:spacing w:line="350" w:lineRule="exact"/>
        <w:rPr>
          <w:rtl/>
          <w:lang w:bidi="ar-EG"/>
        </w:rPr>
      </w:pPr>
      <w:r w:rsidRPr="00350F98">
        <w:rPr>
          <w:rtl/>
          <w:lang w:bidi="ar-EG"/>
        </w:rPr>
        <w:t>34</w:t>
      </w:r>
      <w:r>
        <w:rPr>
          <w:rtl/>
          <w:lang w:bidi="ar-EG"/>
        </w:rPr>
        <w:t>-</w:t>
      </w:r>
      <w:r>
        <w:rPr>
          <w:rtl/>
          <w:lang w:bidi="ar-EG"/>
        </w:rPr>
        <w:tab/>
        <w:t xml:space="preserve">وينبغي أن يكون المرشَّح قد بلغ </w:t>
      </w:r>
      <w:r w:rsidRPr="00350F98">
        <w:rPr>
          <w:rtl/>
          <w:lang w:bidi="ar-EG"/>
        </w:rPr>
        <w:t>18</w:t>
      </w:r>
      <w:r>
        <w:rPr>
          <w:rtl/>
          <w:lang w:bidi="ar-EG"/>
        </w:rPr>
        <w:t xml:space="preserve"> سنة من العمر ليُنتخَب عضواً في مجلس الشيوخ.</w:t>
      </w:r>
    </w:p>
    <w:p w14:paraId="543F8D79" w14:textId="48ABD70D" w:rsidR="00D424DC" w:rsidRDefault="00D424DC" w:rsidP="002C315A">
      <w:pPr>
        <w:pStyle w:val="SingleTxtGA"/>
        <w:spacing w:line="350" w:lineRule="exact"/>
        <w:rPr>
          <w:rtl/>
          <w:lang w:bidi="ar-EG"/>
        </w:rPr>
      </w:pPr>
      <w:r w:rsidRPr="00350F98">
        <w:rPr>
          <w:rtl/>
          <w:lang w:bidi="ar-EG"/>
        </w:rPr>
        <w:t>35</w:t>
      </w:r>
      <w:r>
        <w:rPr>
          <w:rtl/>
          <w:lang w:bidi="ar-EG"/>
        </w:rPr>
        <w:t>-</w:t>
      </w:r>
      <w:r>
        <w:rPr>
          <w:rtl/>
          <w:lang w:bidi="ar-EG"/>
        </w:rPr>
        <w:tab/>
        <w:t xml:space="preserve">ويمارس مجلس الشيوخ، في عدد محدود من المجالات، نفس السلطات التي يمارسها مجلس النواب (نظام المجلسين المتكافئين)، وهي إعلان مراجعة الدستور علاوة على مراجعة الدستور وتنسيقه؛ والقوانين التي تعتمد بأغلبية خاصة؛ والنظر في مسائل معينة تتصل بالعلاقات الدولية (قوانين الموافقة </w:t>
      </w:r>
      <w:r w:rsidRPr="002C315A">
        <w:rPr>
          <w:spacing w:val="-4"/>
          <w:rtl/>
          <w:lang w:bidi="ar-EG"/>
        </w:rPr>
        <w:t>على المعاهدات)؛ ومسائل معينة تتعلق بتنظيم المحاكم والهيئات القضائية، والتشريع المتعلق بمجلس الدولة؛</w:t>
      </w:r>
      <w:r w:rsidR="007501E7">
        <w:rPr>
          <w:rFonts w:hint="cs"/>
          <w:rtl/>
          <w:lang w:bidi="ar-EG"/>
        </w:rPr>
        <w:t xml:space="preserve"> </w:t>
      </w:r>
      <w:r>
        <w:rPr>
          <w:rtl/>
          <w:lang w:bidi="ar-EG"/>
        </w:rPr>
        <w:t>والمسائل الواجب تسويتها من قبل المجلسين بموجب الدستور (الأحكام المتعلقة بالنظام الملكي)؛ والأحكام المتعلقة بمؤسسات الجماعة الناطقة باللغة الألمانية؛ والأحكام المتعلقة بتمويل الأحزاب السياسية وبمراقبة النفقات الانتخابية؛ والأحكام المتعلقة بتنظيم مجلس الشيوخ وبمركز العضو في مجلس الشيوخ.</w:t>
      </w:r>
    </w:p>
    <w:p w14:paraId="25234954" w14:textId="72A9D7FB" w:rsidR="00D424DC" w:rsidRDefault="00D424DC" w:rsidP="002C315A">
      <w:pPr>
        <w:pStyle w:val="SingleTxtGA"/>
        <w:spacing w:line="350" w:lineRule="exact"/>
        <w:rPr>
          <w:rtl/>
          <w:lang w:bidi="ar-EG"/>
        </w:rPr>
      </w:pPr>
      <w:r w:rsidRPr="00350F98">
        <w:rPr>
          <w:rtl/>
          <w:lang w:bidi="ar-EG"/>
        </w:rPr>
        <w:t>36</w:t>
      </w:r>
      <w:r>
        <w:rPr>
          <w:rtl/>
          <w:lang w:bidi="ar-EG"/>
        </w:rPr>
        <w:t>-</w:t>
      </w:r>
      <w:r>
        <w:rPr>
          <w:rtl/>
          <w:lang w:bidi="ar-EG"/>
        </w:rPr>
        <w:tab/>
        <w:t>ويمارس مجلس الشيوخ اختصاصاً حصرياً فيما تسوية المسائل التي تثير تضارباً في المصالح بين الجمعيات البرلمانية الاتحادية والموحدة. علاوة على ذلك،</w:t>
      </w:r>
      <w:r w:rsidR="007501E7">
        <w:rPr>
          <w:rFonts w:hint="cs"/>
          <w:rtl/>
          <w:lang w:bidi="ar-EG"/>
        </w:rPr>
        <w:t xml:space="preserve"> </w:t>
      </w:r>
      <w:r>
        <w:rPr>
          <w:rtl/>
          <w:lang w:bidi="ar-EG"/>
        </w:rPr>
        <w:t>تعرض الحكومة مشاريع الموافقة على المعاهدات الدولية، التي يجب اعتمادها من المجلسين، على مجلس الشيوخ أولاً ثم على مجلس النواب، مما يتيح للمجلس الأول أداء دور أكثر أهمية في</w:t>
      </w:r>
      <w:r w:rsidR="007501E7">
        <w:rPr>
          <w:rFonts w:hint="cs"/>
          <w:rtl/>
          <w:lang w:bidi="ar-EG"/>
        </w:rPr>
        <w:t xml:space="preserve"> </w:t>
      </w:r>
      <w:r>
        <w:rPr>
          <w:rtl/>
          <w:lang w:bidi="ar-EG"/>
        </w:rPr>
        <w:t>الملفات الدولية.</w:t>
      </w:r>
    </w:p>
    <w:p w14:paraId="55C0E458" w14:textId="77777777" w:rsidR="00D424DC" w:rsidRPr="00350F98" w:rsidRDefault="00D424DC" w:rsidP="00D424DC">
      <w:pPr>
        <w:pStyle w:val="H23GA"/>
        <w:rPr>
          <w:rtl/>
          <w:lang w:bidi="ar-EG"/>
        </w:rPr>
      </w:pPr>
      <w:r w:rsidRPr="00350F98">
        <w:rPr>
          <w:rtl/>
          <w:lang w:bidi="ar-EG"/>
        </w:rPr>
        <w:lastRenderedPageBreak/>
        <w:tab/>
      </w:r>
      <w:r w:rsidRPr="00350F98">
        <w:rPr>
          <w:rFonts w:hint="cs"/>
          <w:rtl/>
          <w:lang w:bidi="ar-EG"/>
        </w:rPr>
        <w:t>3</w:t>
      </w:r>
      <w:r w:rsidRPr="00350F98">
        <w:rPr>
          <w:rtl/>
          <w:lang w:bidi="ar-EG"/>
        </w:rPr>
        <w:t>-</w:t>
      </w:r>
      <w:r w:rsidRPr="00350F98">
        <w:rPr>
          <w:rtl/>
          <w:lang w:bidi="ar-EG"/>
        </w:rPr>
        <w:tab/>
        <w:t>السلطة التنفيذية الاتحادية</w:t>
      </w:r>
    </w:p>
    <w:p w14:paraId="6404F316" w14:textId="451338C6" w:rsidR="00D424DC" w:rsidRDefault="00D424DC" w:rsidP="00D424DC">
      <w:pPr>
        <w:pStyle w:val="SingleTxtGA"/>
        <w:rPr>
          <w:rtl/>
          <w:lang w:bidi="ar-EG"/>
        </w:rPr>
      </w:pPr>
      <w:r w:rsidRPr="00350F98">
        <w:rPr>
          <w:rtl/>
          <w:lang w:bidi="ar-EG"/>
        </w:rPr>
        <w:t>37</w:t>
      </w:r>
      <w:r>
        <w:rPr>
          <w:rtl/>
          <w:lang w:bidi="ar-EG"/>
        </w:rPr>
        <w:t>-</w:t>
      </w:r>
      <w:r>
        <w:rPr>
          <w:rtl/>
          <w:lang w:bidi="ar-EG"/>
        </w:rPr>
        <w:tab/>
        <w:t>السلطة التنفيذية الاتحادية، كما ينظمها الدستور، هي من اختصاص الملك. وفي الواقع، تقوم السلطة التنفيذية في بلجيكا على نظام ذي رأسين</w:t>
      </w:r>
      <w:r w:rsidR="007501E7">
        <w:rPr>
          <w:rFonts w:hint="cs"/>
          <w:rtl/>
          <w:lang w:bidi="ar-EG"/>
        </w:rPr>
        <w:t xml:space="preserve"> </w:t>
      </w:r>
      <w:r>
        <w:rPr>
          <w:rtl/>
          <w:lang w:bidi="ar-EG"/>
        </w:rPr>
        <w:t>يشمل الملك والوزراء. ويقرّ الدستور للملك بعدة حقوق ما فتئ نطاقها يتسع بمرور الزمن رغم أنّ نص الدستور لم يتغير.</w:t>
      </w:r>
    </w:p>
    <w:p w14:paraId="2CEE7B25" w14:textId="77777777" w:rsidR="00D424DC" w:rsidRDefault="00D424DC" w:rsidP="00D424DC">
      <w:pPr>
        <w:pStyle w:val="SingleTxtGA"/>
        <w:rPr>
          <w:rtl/>
          <w:lang w:bidi="ar-EG"/>
        </w:rPr>
      </w:pPr>
      <w:r w:rsidRPr="00350F98">
        <w:rPr>
          <w:rtl/>
          <w:lang w:bidi="ar-EG"/>
        </w:rPr>
        <w:t>38</w:t>
      </w:r>
      <w:r>
        <w:rPr>
          <w:rtl/>
          <w:lang w:bidi="ar-EG"/>
        </w:rPr>
        <w:t>-</w:t>
      </w:r>
      <w:r>
        <w:rPr>
          <w:rtl/>
          <w:lang w:bidi="ar-EG"/>
        </w:rPr>
        <w:tab/>
        <w:t>وللملك حرمةٌ لا تُنتَهك على الصعد التالية:</w:t>
      </w:r>
    </w:p>
    <w:p w14:paraId="53F70059" w14:textId="77777777" w:rsidR="00D424DC" w:rsidRDefault="00D424DC" w:rsidP="00D424DC">
      <w:pPr>
        <w:pStyle w:val="Bullet1GA"/>
        <w:rPr>
          <w:rtl/>
          <w:lang w:bidi="ar-EG"/>
        </w:rPr>
      </w:pPr>
      <w:r>
        <w:rPr>
          <w:rtl/>
          <w:lang w:bidi="ar-EG"/>
        </w:rPr>
        <w:t>على الصعيد المدني، لا يجوز رفع دعوى على الملك إلا فيما يتعلق بحيازاته، وفي هذه الحالة يمثّل الملكَ مديرُ مخصصاته؛</w:t>
      </w:r>
    </w:p>
    <w:p w14:paraId="45D5423B" w14:textId="77777777" w:rsidR="00D424DC" w:rsidRDefault="00D424DC" w:rsidP="00D424DC">
      <w:pPr>
        <w:pStyle w:val="Bullet1GA"/>
        <w:rPr>
          <w:rtl/>
          <w:lang w:bidi="ar-EG"/>
        </w:rPr>
      </w:pPr>
      <w:r>
        <w:rPr>
          <w:rtl/>
          <w:lang w:bidi="ar-EG"/>
        </w:rPr>
        <w:t>على الصعيد الجنائي، لا تجوز ملاحقة الملك أمام القضاء الجنائي؛</w:t>
      </w:r>
    </w:p>
    <w:p w14:paraId="215A9A7E" w14:textId="77777777" w:rsidR="00D424DC" w:rsidRDefault="00D424DC" w:rsidP="00D424DC">
      <w:pPr>
        <w:pStyle w:val="Bullet1GA"/>
        <w:rPr>
          <w:rtl/>
          <w:lang w:bidi="ar-EG"/>
        </w:rPr>
      </w:pPr>
      <w:r>
        <w:rPr>
          <w:rtl/>
          <w:lang w:bidi="ar-EG"/>
        </w:rPr>
        <w:t xml:space="preserve">على الصعيد السياسي، الوزير الذي يوقّع إلى جانب توقيع الملك أو الذي يزكي المرسوم </w:t>
      </w:r>
      <w:r w:rsidRPr="0036633E">
        <w:rPr>
          <w:spacing w:val="-4"/>
          <w:rtl/>
          <w:lang w:bidi="ar-EG"/>
        </w:rPr>
        <w:t>الملكي هو وحده من يتحمل المسؤولية. ولا تخص هذه الامتيازات إلا الملك نفسه ولا تشمل</w:t>
      </w:r>
      <w:r>
        <w:rPr>
          <w:rtl/>
          <w:lang w:bidi="ar-EG"/>
        </w:rPr>
        <w:t xml:space="preserve"> أفرادَ أسرته.</w:t>
      </w:r>
    </w:p>
    <w:p w14:paraId="2BE58B12" w14:textId="77777777" w:rsidR="00D424DC" w:rsidRDefault="00D424DC" w:rsidP="00D424DC">
      <w:pPr>
        <w:pStyle w:val="SingleTxtGA"/>
        <w:rPr>
          <w:rtl/>
          <w:lang w:bidi="ar-EG"/>
        </w:rPr>
      </w:pPr>
      <w:r w:rsidRPr="00350F98">
        <w:rPr>
          <w:rtl/>
          <w:lang w:bidi="ar-EG"/>
        </w:rPr>
        <w:t>39</w:t>
      </w:r>
      <w:r>
        <w:rPr>
          <w:rtl/>
          <w:lang w:bidi="ar-EG"/>
        </w:rPr>
        <w:t>-</w:t>
      </w:r>
      <w:r>
        <w:rPr>
          <w:rtl/>
          <w:lang w:bidi="ar-EG"/>
        </w:rPr>
        <w:tab/>
        <w:t>ولا يعتلي الملك العرشَ إلا بعد أداء اليمين أمام المجلسين مجتمعين. ويعيّن الملك وينحّي وزراءه الذين لا يتولون مهام وزارية إلا إذا كانوا بلجيكيين.</w:t>
      </w:r>
    </w:p>
    <w:p w14:paraId="20150D54" w14:textId="77777777" w:rsidR="00D424DC" w:rsidRDefault="00D424DC" w:rsidP="00D424DC">
      <w:pPr>
        <w:pStyle w:val="SingleTxtGA"/>
        <w:rPr>
          <w:rtl/>
          <w:lang w:bidi="ar-EG"/>
        </w:rPr>
      </w:pPr>
      <w:r w:rsidRPr="00350F98">
        <w:rPr>
          <w:rtl/>
          <w:lang w:bidi="ar-EG"/>
        </w:rPr>
        <w:t>40</w:t>
      </w:r>
      <w:r>
        <w:rPr>
          <w:rtl/>
          <w:lang w:bidi="ar-EG"/>
        </w:rPr>
        <w:t>-</w:t>
      </w:r>
      <w:r>
        <w:rPr>
          <w:rtl/>
          <w:lang w:bidi="ar-EG"/>
        </w:rPr>
        <w:tab/>
      </w:r>
      <w:r w:rsidRPr="002C315A">
        <w:rPr>
          <w:spacing w:val="-2"/>
          <w:rtl/>
          <w:lang w:bidi="ar-EG"/>
        </w:rPr>
        <w:t xml:space="preserve">ويتألف مجلس الوزراء من </w:t>
      </w:r>
      <w:r w:rsidRPr="00350F98">
        <w:rPr>
          <w:spacing w:val="-2"/>
          <w:rtl/>
          <w:lang w:bidi="ar-EG"/>
        </w:rPr>
        <w:t>15</w:t>
      </w:r>
      <w:r w:rsidRPr="002C315A">
        <w:rPr>
          <w:spacing w:val="-2"/>
          <w:rtl/>
          <w:lang w:bidi="ar-EG"/>
        </w:rPr>
        <w:t xml:space="preserve"> عضواً على الأكثر، ويتساوى عدد الوزراء الناطقين باللغة الفرنسية</w:t>
      </w:r>
      <w:r>
        <w:rPr>
          <w:rtl/>
          <w:lang w:bidi="ar-EG"/>
        </w:rPr>
        <w:t xml:space="preserve"> مع عدد الوزراء الناطقين باللغة الهولندية (مبدأ التكافؤ) مع إمكانية استثناء رئيس الوزراء.</w:t>
      </w:r>
    </w:p>
    <w:p w14:paraId="62AD168C" w14:textId="77777777" w:rsidR="00D424DC" w:rsidRDefault="00D424DC" w:rsidP="00D424DC">
      <w:pPr>
        <w:pStyle w:val="SingleTxtGA"/>
        <w:rPr>
          <w:rtl/>
          <w:lang w:bidi="ar-EG"/>
        </w:rPr>
      </w:pPr>
      <w:r w:rsidRPr="00350F98">
        <w:rPr>
          <w:rtl/>
          <w:lang w:bidi="ar-EG"/>
        </w:rPr>
        <w:t>41</w:t>
      </w:r>
      <w:r>
        <w:rPr>
          <w:rtl/>
          <w:lang w:bidi="ar-EG"/>
        </w:rPr>
        <w:t>-</w:t>
      </w:r>
      <w:r>
        <w:rPr>
          <w:rtl/>
          <w:lang w:bidi="ar-EG"/>
        </w:rPr>
        <w:tab/>
      </w:r>
      <w:r w:rsidRPr="002C315A">
        <w:rPr>
          <w:spacing w:val="-2"/>
          <w:rtl/>
          <w:lang w:bidi="ar-EG"/>
        </w:rPr>
        <w:t>والوزراء مسؤولون أمام مجلس النواب. ولا تجوز مقاضاة وزير أو طلبه للتحقيق بسبب آراءٍ أبداها</w:t>
      </w:r>
      <w:r>
        <w:rPr>
          <w:rtl/>
          <w:lang w:bidi="ar-EG"/>
        </w:rPr>
        <w:t xml:space="preserve"> في إطار تأدية مهامه.</w:t>
      </w:r>
    </w:p>
    <w:p w14:paraId="2546DA31" w14:textId="77777777" w:rsidR="00D424DC" w:rsidRDefault="00D424DC" w:rsidP="00D424DC">
      <w:pPr>
        <w:pStyle w:val="SingleTxtGA"/>
        <w:rPr>
          <w:rtl/>
          <w:lang w:bidi="ar-EG"/>
        </w:rPr>
      </w:pPr>
      <w:r w:rsidRPr="00350F98">
        <w:rPr>
          <w:rtl/>
          <w:lang w:bidi="ar-EG"/>
        </w:rPr>
        <w:t>42</w:t>
      </w:r>
      <w:r>
        <w:rPr>
          <w:rtl/>
          <w:lang w:bidi="ar-EG"/>
        </w:rPr>
        <w:t>-</w:t>
      </w:r>
      <w:r>
        <w:rPr>
          <w:rtl/>
          <w:lang w:bidi="ar-EG"/>
        </w:rPr>
        <w:tab/>
        <w:t xml:space="preserve">وتختص محكمة الاستئناف وحدها بمقاضاة الوزراء عن المخالفات التي قد يرتكبونها أثناء تأدية مهامهم. وتنطبق القاعدة ذاتها على المخالفات التي قد يرتكبها الوزراء خارج إطار مهامهم ويُحاكمون </w:t>
      </w:r>
      <w:r w:rsidRPr="002C315A">
        <w:rPr>
          <w:spacing w:val="-4"/>
          <w:rtl/>
          <w:lang w:bidi="ar-EG"/>
        </w:rPr>
        <w:t>عليها في أثناء فترة ولايتهم. ويحدّد القانون طبيعة الإجراءات التي قد تُتّخذ في حقهم، سواءٌ في مرحلة الملاحقة</w:t>
      </w:r>
      <w:r>
        <w:rPr>
          <w:rtl/>
          <w:lang w:bidi="ar-EG"/>
        </w:rPr>
        <w:t xml:space="preserve"> أو خلال المحاكمة.</w:t>
      </w:r>
    </w:p>
    <w:p w14:paraId="2A2D61C5" w14:textId="77777777" w:rsidR="00D424DC" w:rsidRDefault="00D424DC" w:rsidP="00D424DC">
      <w:pPr>
        <w:pStyle w:val="SingleTxtGA"/>
        <w:rPr>
          <w:rtl/>
          <w:lang w:bidi="ar-EG"/>
        </w:rPr>
      </w:pPr>
      <w:r w:rsidRPr="00350F98">
        <w:rPr>
          <w:rtl/>
          <w:lang w:bidi="ar-EG"/>
        </w:rPr>
        <w:t>43</w:t>
      </w:r>
      <w:r>
        <w:rPr>
          <w:rtl/>
          <w:lang w:bidi="ar-EG"/>
        </w:rPr>
        <w:t>-</w:t>
      </w:r>
      <w:r>
        <w:rPr>
          <w:rtl/>
          <w:lang w:bidi="ar-EG"/>
        </w:rPr>
        <w:tab/>
      </w:r>
      <w:r w:rsidRPr="0036633E">
        <w:rPr>
          <w:spacing w:val="-2"/>
          <w:rtl/>
          <w:lang w:bidi="ar-EG"/>
        </w:rPr>
        <w:t>ويعيّن الملك وينحي كتَّاب الدولة الاتحاديين وهم، بصفتهم مساعدين للوزراء، أعضاءٌ في الحكومة الاتحادية</w:t>
      </w:r>
      <w:r>
        <w:rPr>
          <w:rtl/>
          <w:lang w:bidi="ar-EG"/>
        </w:rPr>
        <w:t xml:space="preserve"> ولكنهم ليسوا أعضاء في مجلس الوزراء.</w:t>
      </w:r>
    </w:p>
    <w:p w14:paraId="2A0C7F7C" w14:textId="77777777" w:rsidR="00D424DC" w:rsidRDefault="00D424DC" w:rsidP="00D424DC">
      <w:pPr>
        <w:pStyle w:val="SingleTxtGA"/>
        <w:rPr>
          <w:rtl/>
          <w:lang w:bidi="ar-EG"/>
        </w:rPr>
      </w:pPr>
      <w:r w:rsidRPr="00350F98">
        <w:rPr>
          <w:rtl/>
          <w:lang w:bidi="ar-EG"/>
        </w:rPr>
        <w:t>44</w:t>
      </w:r>
      <w:r>
        <w:rPr>
          <w:rtl/>
          <w:lang w:bidi="ar-EG"/>
        </w:rPr>
        <w:t>-</w:t>
      </w:r>
      <w:r>
        <w:rPr>
          <w:rtl/>
          <w:lang w:bidi="ar-EG"/>
        </w:rPr>
        <w:tab/>
      </w:r>
      <w:r w:rsidRPr="002C315A">
        <w:rPr>
          <w:spacing w:val="-2"/>
          <w:rtl/>
          <w:lang w:bidi="ar-EG"/>
        </w:rPr>
        <w:t>ويتولى الملك منح الرتب في سلك الجيش والتعيين في وظائف الإدارة العامة والعلاقات الخارجية،</w:t>
      </w:r>
      <w:r>
        <w:rPr>
          <w:rtl/>
          <w:lang w:bidi="ar-EG"/>
        </w:rPr>
        <w:t xml:space="preserve"> إلا في الاستثناءات المنصوص عليها في القوانين.</w:t>
      </w:r>
    </w:p>
    <w:p w14:paraId="3C838560" w14:textId="77777777" w:rsidR="00D424DC" w:rsidRDefault="00D424DC" w:rsidP="00D424DC">
      <w:pPr>
        <w:pStyle w:val="SingleTxtGA"/>
        <w:rPr>
          <w:rtl/>
          <w:lang w:bidi="ar-EG"/>
        </w:rPr>
      </w:pPr>
      <w:r w:rsidRPr="00350F98">
        <w:rPr>
          <w:rtl/>
          <w:lang w:bidi="ar-EG"/>
        </w:rPr>
        <w:t>45</w:t>
      </w:r>
      <w:r>
        <w:rPr>
          <w:rtl/>
          <w:lang w:bidi="ar-EG"/>
        </w:rPr>
        <w:t>-</w:t>
      </w:r>
      <w:r>
        <w:rPr>
          <w:rtl/>
          <w:lang w:bidi="ar-EG"/>
        </w:rPr>
        <w:tab/>
        <w:t>ويوافق الملك على القوانين، وعلى اللوائح والقرارات اللازمة لتنفيذ القوانين، ويصدرها.</w:t>
      </w:r>
    </w:p>
    <w:p w14:paraId="1CA078BD" w14:textId="77777777" w:rsidR="00D424DC" w:rsidRPr="002C315A" w:rsidRDefault="00D424DC" w:rsidP="00D424DC">
      <w:pPr>
        <w:pStyle w:val="SingleTxtGA"/>
        <w:rPr>
          <w:spacing w:val="2"/>
          <w:rtl/>
          <w:lang w:bidi="ar-EG"/>
        </w:rPr>
      </w:pPr>
      <w:r w:rsidRPr="00350F98">
        <w:rPr>
          <w:spacing w:val="2"/>
          <w:rtl/>
          <w:lang w:bidi="ar-EG"/>
        </w:rPr>
        <w:t>46</w:t>
      </w:r>
      <w:r w:rsidRPr="002C315A">
        <w:rPr>
          <w:spacing w:val="2"/>
          <w:rtl/>
          <w:lang w:bidi="ar-EG"/>
        </w:rPr>
        <w:t>-</w:t>
      </w:r>
      <w:r w:rsidRPr="002C315A">
        <w:rPr>
          <w:spacing w:val="2"/>
          <w:rtl/>
          <w:lang w:bidi="ar-EG"/>
        </w:rPr>
        <w:tab/>
        <w:t xml:space="preserve">ويعيّن الملك القضاة. وتنفّذ القرارات والأحكام باسم الملك. ويحق للملك أن يعفي من كامل </w:t>
      </w:r>
      <w:r w:rsidRPr="002C315A">
        <w:rPr>
          <w:rtl/>
          <w:lang w:bidi="ar-EG"/>
        </w:rPr>
        <w:t>العقوبة أو من جزء منها (ويجوز له أيضاً تخفيضها أو تغييرها أو منح فترة اختبار)، إلا فيما تقرر بالنسبة</w:t>
      </w:r>
      <w:r w:rsidRPr="002C315A">
        <w:rPr>
          <w:spacing w:val="2"/>
          <w:rtl/>
          <w:lang w:bidi="ar-EG"/>
        </w:rPr>
        <w:t xml:space="preserve"> للوزراء وأعضاء حكومات الجماعات والمناطق. ويحق له أيضاً سك العملة تنفيذاً للقانون، ومنح ألقاب النبالة دون أن يجوز له أن يلحق بها أي امتياز،</w:t>
      </w:r>
      <w:r w:rsidRPr="002C315A">
        <w:rPr>
          <w:rFonts w:hint="cs"/>
          <w:spacing w:val="2"/>
          <w:rtl/>
          <w:lang w:bidi="ar-EG"/>
        </w:rPr>
        <w:t xml:space="preserve"> </w:t>
      </w:r>
      <w:r w:rsidRPr="002C315A">
        <w:rPr>
          <w:spacing w:val="2"/>
          <w:rtl/>
          <w:lang w:bidi="ar-EG"/>
        </w:rPr>
        <w:t>ومنح الأوسمة العسكرية مع مراعاة أحكام القانون في هذا الشأن.</w:t>
      </w:r>
    </w:p>
    <w:p w14:paraId="53449B5D" w14:textId="0DBCA6E1" w:rsidR="00D424DC" w:rsidRPr="00350F98" w:rsidRDefault="00D424DC" w:rsidP="00D424DC">
      <w:pPr>
        <w:pStyle w:val="H23GA"/>
        <w:rPr>
          <w:rtl/>
          <w:lang w:bidi="ar-EG"/>
        </w:rPr>
      </w:pPr>
      <w:r w:rsidRPr="00350F98">
        <w:rPr>
          <w:rtl/>
          <w:lang w:bidi="ar-EG"/>
        </w:rPr>
        <w:tab/>
      </w:r>
      <w:r w:rsidRPr="00350F98">
        <w:rPr>
          <w:rFonts w:hint="cs"/>
          <w:rtl/>
          <w:lang w:bidi="ar-EG"/>
        </w:rPr>
        <w:t>4</w:t>
      </w:r>
      <w:r w:rsidRPr="00350F98">
        <w:rPr>
          <w:rtl/>
          <w:lang w:bidi="ar-EG"/>
        </w:rPr>
        <w:t>-</w:t>
      </w:r>
      <w:r w:rsidRPr="00350F98">
        <w:rPr>
          <w:rtl/>
          <w:lang w:bidi="ar-EG"/>
        </w:rPr>
        <w:tab/>
        <w:t>التنظيم القضائي</w:t>
      </w:r>
    </w:p>
    <w:p w14:paraId="0A091B2D" w14:textId="77777777" w:rsidR="00D424DC" w:rsidRDefault="00D424DC" w:rsidP="00D424DC">
      <w:pPr>
        <w:pStyle w:val="SingleTxtGA"/>
        <w:rPr>
          <w:rtl/>
          <w:lang w:bidi="ar-EG"/>
        </w:rPr>
      </w:pPr>
      <w:r w:rsidRPr="00350F98">
        <w:rPr>
          <w:rtl/>
          <w:lang w:bidi="ar-EG"/>
        </w:rPr>
        <w:t>47</w:t>
      </w:r>
      <w:r>
        <w:rPr>
          <w:rtl/>
          <w:lang w:bidi="ar-EG"/>
        </w:rPr>
        <w:t>-</w:t>
      </w:r>
      <w:r>
        <w:rPr>
          <w:rtl/>
          <w:lang w:bidi="ar-EG"/>
        </w:rPr>
        <w:tab/>
        <w:t>تختص السلطة الاتحادية، بموجب الدستور، بتنظيم المحاكم والهيئات القضائية البلجيكية.</w:t>
      </w:r>
    </w:p>
    <w:p w14:paraId="1A643F67" w14:textId="77777777" w:rsidR="00D424DC" w:rsidRDefault="00D424DC" w:rsidP="00D424DC">
      <w:pPr>
        <w:pStyle w:val="SingleTxtGA"/>
        <w:rPr>
          <w:rtl/>
          <w:lang w:bidi="ar-EG"/>
        </w:rPr>
      </w:pPr>
      <w:r w:rsidRPr="00350F98">
        <w:rPr>
          <w:rtl/>
          <w:lang w:bidi="ar-EG"/>
        </w:rPr>
        <w:lastRenderedPageBreak/>
        <w:t>48</w:t>
      </w:r>
      <w:r>
        <w:rPr>
          <w:rtl/>
          <w:lang w:bidi="ar-EG"/>
        </w:rPr>
        <w:t>-</w:t>
      </w:r>
      <w:r>
        <w:rPr>
          <w:rtl/>
          <w:lang w:bidi="ar-EG"/>
        </w:rPr>
        <w:tab/>
        <w:t>ويتمثل دور أعضاء القضاء الجالس، الذين يُطلق عليهم اسم "القضاة" في المحاكم الابتدائية واسم "المستشارين" في الهيئات القضائية الاستئنافية، في الفصل في المنازعات. ويحدد القانون القضائي ما إذا كان القضاة المهنيون يجلسون فرادى أو في هيئات قضائية ثلاثية. ويجلس قضاة غير مهنيين في محاكم العمل، والمحاكم التجارية، ومحاكم تنفيذ العقوبات، ومحاكم الاستئناف المكلفة بقضايا العمل، ومحاكم الجنايات.</w:t>
      </w:r>
    </w:p>
    <w:p w14:paraId="12E112C9" w14:textId="77777777" w:rsidR="00D424DC" w:rsidRDefault="00D424DC" w:rsidP="00D424DC">
      <w:pPr>
        <w:pStyle w:val="SingleTxtGA"/>
        <w:rPr>
          <w:rtl/>
          <w:lang w:bidi="ar-EG"/>
        </w:rPr>
      </w:pPr>
      <w:r w:rsidRPr="00350F98">
        <w:rPr>
          <w:rtl/>
          <w:lang w:bidi="ar-EG"/>
        </w:rPr>
        <w:t>49</w:t>
      </w:r>
      <w:r>
        <w:rPr>
          <w:rtl/>
          <w:lang w:bidi="ar-EG"/>
        </w:rPr>
        <w:t>-</w:t>
      </w:r>
      <w:r>
        <w:rPr>
          <w:rtl/>
          <w:lang w:bidi="ar-EG"/>
        </w:rPr>
        <w:tab/>
        <w:t>وتكفل النيابة العامة، أو القضاء الواقف، احترام القانون ومصالح المجتمع ويتمثل دورها في ملاحقة من يخالف القانون بهدف تطبيق القانون من جانب القضاة.</w:t>
      </w:r>
    </w:p>
    <w:p w14:paraId="5F9A5D9E" w14:textId="77777777" w:rsidR="00D424DC" w:rsidRDefault="00D424DC" w:rsidP="00D424DC">
      <w:pPr>
        <w:pStyle w:val="SingleTxtGA"/>
        <w:rPr>
          <w:rtl/>
          <w:lang w:bidi="ar-EG"/>
        </w:rPr>
      </w:pPr>
      <w:r w:rsidRPr="00350F98">
        <w:rPr>
          <w:rtl/>
          <w:lang w:bidi="ar-EG"/>
        </w:rPr>
        <w:t>50</w:t>
      </w:r>
      <w:r>
        <w:rPr>
          <w:rtl/>
          <w:lang w:bidi="ar-EG"/>
        </w:rPr>
        <w:t>-</w:t>
      </w:r>
      <w:r>
        <w:rPr>
          <w:rtl/>
          <w:lang w:bidi="ar-EG"/>
        </w:rPr>
        <w:tab/>
        <w:t>وتختص المحاكم الابتدائية وحدها بالمنازعات التي تتعلق بالحقوق المدنية. أما المنازعات المتعلقة بالحقوق السياسية فهي أيضاً من اختصاص المحاكم الابتدائية، فيما عدا في الاستثناءات التي ينص عليها القانون. ولا يمكن إنشاء هيئة قضائية إلا بمقتضى قانون. ومن حيث المبدأ، تكون جلسات الهيئات القضائية علنية. وكل حكم صادر عن هيئة قضائية يكون معلَّلاً. ويصدر في جلسة علنية.</w:t>
      </w:r>
    </w:p>
    <w:p w14:paraId="400663DE" w14:textId="77777777" w:rsidR="00D424DC" w:rsidRPr="00350F98" w:rsidRDefault="00D424DC" w:rsidP="00D424DC">
      <w:pPr>
        <w:pStyle w:val="H4GA"/>
        <w:rPr>
          <w:rtl/>
          <w:lang w:bidi="ar-EG"/>
        </w:rPr>
      </w:pPr>
      <w:r w:rsidRPr="00350F98">
        <w:rPr>
          <w:rtl/>
          <w:lang w:bidi="ar-EG"/>
        </w:rPr>
        <w:tab/>
        <w:t>(أ)</w:t>
      </w:r>
      <w:r w:rsidRPr="00350F98">
        <w:rPr>
          <w:rtl/>
          <w:lang w:bidi="ar-EG"/>
        </w:rPr>
        <w:tab/>
        <w:t>مركز القضاة</w:t>
      </w:r>
    </w:p>
    <w:p w14:paraId="503223F3" w14:textId="77777777" w:rsidR="00D424DC" w:rsidRDefault="00D424DC" w:rsidP="00D424DC">
      <w:pPr>
        <w:pStyle w:val="SingleTxtGA"/>
        <w:rPr>
          <w:rtl/>
          <w:lang w:bidi="ar-EG"/>
        </w:rPr>
      </w:pPr>
      <w:r w:rsidRPr="00350F98">
        <w:rPr>
          <w:rtl/>
          <w:lang w:bidi="ar-EG"/>
        </w:rPr>
        <w:t>51</w:t>
      </w:r>
      <w:r>
        <w:rPr>
          <w:rtl/>
          <w:lang w:bidi="ar-EG"/>
        </w:rPr>
        <w:t>-</w:t>
      </w:r>
      <w:r>
        <w:rPr>
          <w:rtl/>
          <w:lang w:bidi="ar-EG"/>
        </w:rPr>
        <w:tab/>
        <w:t>الملِك هو من يُعيّن القضاة. وينص الدستور على أن يكون تعيين القضاة ورؤساء الهيئات بناءً على اقتراح مُعلّل من المجلس الأعلى للقضاء. والمجلس الأعلى للقضاء هو جهاز من نوع خاص، مستقل بذاته ومُكلف بتنفيذ المهام الثلاث التالية:</w:t>
      </w:r>
    </w:p>
    <w:p w14:paraId="2E99F520" w14:textId="77777777" w:rsidR="00D424DC" w:rsidRDefault="00D424DC" w:rsidP="00D424DC">
      <w:pPr>
        <w:pStyle w:val="Bullet1GA"/>
        <w:rPr>
          <w:rtl/>
          <w:lang w:bidi="ar-EG"/>
        </w:rPr>
      </w:pPr>
      <w:r>
        <w:rPr>
          <w:rtl/>
          <w:lang w:bidi="ar-EG"/>
        </w:rPr>
        <w:t>ممارسة رقابة خارجية على أداء جهاز القضاء، بما في ذلك معالجة الشكاوى؛</w:t>
      </w:r>
    </w:p>
    <w:p w14:paraId="635D89EA" w14:textId="77777777" w:rsidR="00D424DC" w:rsidRDefault="00D424DC" w:rsidP="00D424DC">
      <w:pPr>
        <w:pStyle w:val="Bullet1GA"/>
        <w:rPr>
          <w:rtl/>
          <w:lang w:bidi="ar-EG"/>
        </w:rPr>
      </w:pPr>
      <w:r>
        <w:rPr>
          <w:rtl/>
          <w:lang w:bidi="ar-EG"/>
        </w:rPr>
        <w:t>إسداء المشورة إلى المسؤولين السياسيين بغية تحسين أداء سلك القضاء؛</w:t>
      </w:r>
    </w:p>
    <w:p w14:paraId="1680C62E" w14:textId="77777777" w:rsidR="00D424DC" w:rsidRDefault="00D424DC" w:rsidP="00D424DC">
      <w:pPr>
        <w:pStyle w:val="Bullet1GA"/>
        <w:rPr>
          <w:rtl/>
          <w:lang w:bidi="ar-EG"/>
        </w:rPr>
      </w:pPr>
      <w:r>
        <w:rPr>
          <w:rtl/>
          <w:lang w:bidi="ar-EG"/>
        </w:rPr>
        <w:t>أداء دور حاسم في سياسة التعيينات داخل سلك القضاء، وذلك بطريقة موضوعية.</w:t>
      </w:r>
    </w:p>
    <w:p w14:paraId="653F82F6" w14:textId="2FD06A8C" w:rsidR="00D424DC" w:rsidRDefault="00D424DC" w:rsidP="00D424DC">
      <w:pPr>
        <w:pStyle w:val="SingleTxtGA"/>
        <w:rPr>
          <w:rtl/>
          <w:lang w:bidi="ar-EG"/>
        </w:rPr>
      </w:pPr>
      <w:r w:rsidRPr="00350F98">
        <w:rPr>
          <w:rtl/>
          <w:lang w:bidi="ar-EG"/>
        </w:rPr>
        <w:t>52</w:t>
      </w:r>
      <w:r>
        <w:rPr>
          <w:rtl/>
          <w:lang w:bidi="ar-EG"/>
        </w:rPr>
        <w:t>-</w:t>
      </w:r>
      <w:r>
        <w:rPr>
          <w:rtl/>
          <w:lang w:bidi="ar-EG"/>
        </w:rPr>
        <w:tab/>
        <w:t>وينص القانون القضائي على</w:t>
      </w:r>
      <w:r>
        <w:rPr>
          <w:rFonts w:hint="cs"/>
          <w:rtl/>
          <w:lang w:bidi="ar-EG"/>
        </w:rPr>
        <w:t xml:space="preserve"> </w:t>
      </w:r>
      <w:r>
        <w:rPr>
          <w:rtl/>
          <w:lang w:bidi="ar-EG"/>
        </w:rPr>
        <w:t>تعيين قضاة</w:t>
      </w:r>
      <w:r w:rsidR="007501E7">
        <w:rPr>
          <w:rFonts w:hint="cs"/>
          <w:rtl/>
          <w:lang w:bidi="ar-EG"/>
        </w:rPr>
        <w:t xml:space="preserve"> </w:t>
      </w:r>
      <w:r>
        <w:rPr>
          <w:rtl/>
          <w:lang w:bidi="ar-EG"/>
        </w:rPr>
        <w:t>في المحاكم الابتدائية التي</w:t>
      </w:r>
      <w:r>
        <w:rPr>
          <w:rFonts w:hint="cs"/>
          <w:rtl/>
          <w:lang w:bidi="ar-EG"/>
        </w:rPr>
        <w:t xml:space="preserve"> </w:t>
      </w:r>
      <w:r>
        <w:rPr>
          <w:rtl/>
          <w:lang w:bidi="ar-EG"/>
        </w:rPr>
        <w:t>تقع تحت نفوذ محكمة الاستئناف، وفي المحكمة التجارية أو المحاكم التجارية (محاكم المؤسسات في المستقبل) التي</w:t>
      </w:r>
      <w:r>
        <w:rPr>
          <w:rFonts w:hint="cs"/>
          <w:rtl/>
          <w:lang w:bidi="ar-EG"/>
        </w:rPr>
        <w:t xml:space="preserve"> </w:t>
      </w:r>
      <w:r>
        <w:rPr>
          <w:rtl/>
          <w:lang w:bidi="ar-EG"/>
        </w:rPr>
        <w:t>تقع تحت نفوذ محكمة الاستئناف،</w:t>
      </w:r>
      <w:r>
        <w:rPr>
          <w:rFonts w:hint="cs"/>
          <w:rtl/>
          <w:lang w:bidi="ar-EG"/>
        </w:rPr>
        <w:t xml:space="preserve"> </w:t>
      </w:r>
      <w:r>
        <w:rPr>
          <w:rtl/>
          <w:lang w:bidi="ar-EG"/>
        </w:rPr>
        <w:t>وفي محكمة العمل أو محاكم العمل التي</w:t>
      </w:r>
      <w:r w:rsidR="007501E7">
        <w:rPr>
          <w:rFonts w:hint="cs"/>
          <w:rtl/>
          <w:lang w:bidi="ar-EG"/>
        </w:rPr>
        <w:t xml:space="preserve"> </w:t>
      </w:r>
      <w:r>
        <w:rPr>
          <w:rtl/>
          <w:lang w:bidi="ar-EG"/>
        </w:rPr>
        <w:t>تقع تحت نفوذ محكمة العمل الاستئنافية،</w:t>
      </w:r>
      <w:r>
        <w:rPr>
          <w:rFonts w:hint="cs"/>
          <w:rtl/>
          <w:lang w:bidi="ar-EG"/>
        </w:rPr>
        <w:t xml:space="preserve"> </w:t>
      </w:r>
      <w:r>
        <w:rPr>
          <w:rtl/>
          <w:lang w:bidi="ar-EG"/>
        </w:rPr>
        <w:t>وفي مكاتب النيابة، التابعة لوكيل الملك،</w:t>
      </w:r>
      <w:r>
        <w:rPr>
          <w:rFonts w:hint="cs"/>
          <w:rtl/>
          <w:lang w:bidi="ar-EG"/>
        </w:rPr>
        <w:t xml:space="preserve"> </w:t>
      </w:r>
      <w:r>
        <w:rPr>
          <w:rtl/>
          <w:lang w:bidi="ar-EG"/>
        </w:rPr>
        <w:t>التي تقع تحت نفوذ محكمة الاستئناف،</w:t>
      </w:r>
      <w:r>
        <w:rPr>
          <w:rFonts w:hint="cs"/>
          <w:rtl/>
          <w:lang w:bidi="ar-EG"/>
        </w:rPr>
        <w:t xml:space="preserve"> </w:t>
      </w:r>
      <w:r>
        <w:rPr>
          <w:rtl/>
          <w:lang w:bidi="ar-EG"/>
        </w:rPr>
        <w:t>وفي مكاتب ممثلي النيابة لدى محاكم العمل التي</w:t>
      </w:r>
      <w:r>
        <w:rPr>
          <w:rFonts w:hint="cs"/>
          <w:rtl/>
          <w:lang w:bidi="ar-EG"/>
        </w:rPr>
        <w:t xml:space="preserve"> </w:t>
      </w:r>
      <w:r>
        <w:rPr>
          <w:rtl/>
          <w:lang w:bidi="ar-EG"/>
        </w:rPr>
        <w:t xml:space="preserve">تقع تحت نفوذ محكمة العمل الاستئنافية. وعلى سبيل الاستثناء، يعين القضاة في </w:t>
      </w:r>
      <w:proofErr w:type="spellStart"/>
      <w:r>
        <w:rPr>
          <w:rtl/>
          <w:lang w:bidi="ar-EG"/>
        </w:rPr>
        <w:t>يوبان</w:t>
      </w:r>
      <w:proofErr w:type="spellEnd"/>
      <w:r>
        <w:rPr>
          <w:rtl/>
          <w:lang w:bidi="ar-EG"/>
        </w:rPr>
        <w:t xml:space="preserve"> في نفس الوقت في المحكمة الابتدائية، ومحكمة العمل، والمحكمة التجارية. ويعين أعضاء مكتب النيابة في هذه المدينة في نفس الوقت في مكتب النيابة التابع لوكيل الملك وفي مكتب ممثل النيابة لدى محكمة العمل. ويمكن ممارسة مهنة</w:t>
      </w:r>
      <w:r>
        <w:rPr>
          <w:rFonts w:hint="cs"/>
          <w:rtl/>
          <w:lang w:bidi="ar-EG"/>
        </w:rPr>
        <w:t xml:space="preserve"> </w:t>
      </w:r>
      <w:r>
        <w:rPr>
          <w:rtl/>
          <w:lang w:bidi="ar-EG"/>
        </w:rPr>
        <w:t>القاضي</w:t>
      </w:r>
      <w:r>
        <w:rPr>
          <w:rFonts w:hint="cs"/>
          <w:rtl/>
          <w:lang w:bidi="ar-EG"/>
        </w:rPr>
        <w:t xml:space="preserve"> </w:t>
      </w:r>
      <w:r>
        <w:rPr>
          <w:rtl/>
          <w:lang w:bidi="ar-EG"/>
        </w:rPr>
        <w:t>عبر المسارات الثلاثة التالية:</w:t>
      </w:r>
    </w:p>
    <w:p w14:paraId="509016AB" w14:textId="77777777" w:rsidR="00D424DC" w:rsidRDefault="00D424DC" w:rsidP="00D424DC">
      <w:pPr>
        <w:pStyle w:val="SingleTxtGA"/>
        <w:rPr>
          <w:rtl/>
          <w:lang w:bidi="ar-EG"/>
        </w:rPr>
      </w:pPr>
      <w:r>
        <w:rPr>
          <w:rtl/>
          <w:lang w:bidi="ar-EG"/>
        </w:rPr>
        <w:tab/>
        <w:t>(أ)</w:t>
      </w:r>
      <w:r>
        <w:rPr>
          <w:rtl/>
          <w:lang w:bidi="ar-EG"/>
        </w:rPr>
        <w:tab/>
        <w:t>اجتياز الامتحان التنافسي من أجل القبول في برنامج التدريب القضائي المخصص لرجال القانون ممّن يملكون خبرة مفيدة لا تقل عن سنتين. ويؤهل برنامج التدريب القضائي، ومدته سنتان، للعمل في كل من المحاكم والنيابة العامة؛</w:t>
      </w:r>
    </w:p>
    <w:p w14:paraId="42C28F43" w14:textId="77777777" w:rsidR="00D424DC" w:rsidRDefault="00D424DC" w:rsidP="00D424DC">
      <w:pPr>
        <w:pStyle w:val="SingleTxtGA"/>
        <w:rPr>
          <w:rtl/>
          <w:lang w:bidi="ar-EG"/>
        </w:rPr>
      </w:pPr>
      <w:r>
        <w:rPr>
          <w:rtl/>
          <w:lang w:bidi="ar-EG"/>
        </w:rPr>
        <w:tab/>
        <w:t>(ب)</w:t>
      </w:r>
      <w:r>
        <w:rPr>
          <w:rtl/>
          <w:lang w:bidi="ar-EG"/>
        </w:rPr>
        <w:tab/>
        <w:t>اجتياز امتحان التأهيل المهني المخصص لرجال القانون المحنَّكين، والذي يؤهل للعمل مباشرة في سلك القضاء شرط أن يُثبت المترشّح استيفاءه لعدد سنوات الخبرة المحدّد في القانون القضائي. ومن ذلك، على سبيل المثال، أن خبرة عشر سنوات في مهنة المحاماة تؤهل لممارسة مهنة قاض بالمحاكم، وأن خبرة خمس سنوات في مهنة المحاماة تؤهل لممارسة مهنة وكيل النيابة العامة؛</w:t>
      </w:r>
    </w:p>
    <w:p w14:paraId="3CFEE1D2" w14:textId="77777777" w:rsidR="00D424DC" w:rsidRDefault="00D424DC" w:rsidP="00D424DC">
      <w:pPr>
        <w:pStyle w:val="SingleTxtGA"/>
        <w:rPr>
          <w:rtl/>
          <w:lang w:bidi="ar-EG"/>
        </w:rPr>
      </w:pPr>
      <w:r>
        <w:rPr>
          <w:rtl/>
          <w:lang w:bidi="ar-EG"/>
        </w:rPr>
        <w:lastRenderedPageBreak/>
        <w:tab/>
        <w:t>(ج)</w:t>
      </w:r>
      <w:r>
        <w:rPr>
          <w:rtl/>
          <w:lang w:bidi="ar-EG"/>
        </w:rPr>
        <w:tab/>
        <w:t xml:space="preserve">اجتياز امتحان التقييم الشفهي المخصّص للمحامين الذين مارسوا المحاماة كمهنة أساسية لمدة لا تقل عن </w:t>
      </w:r>
      <w:r w:rsidRPr="00350F98">
        <w:rPr>
          <w:rtl/>
          <w:lang w:bidi="ar-EG"/>
        </w:rPr>
        <w:t>20</w:t>
      </w:r>
      <w:r>
        <w:rPr>
          <w:rtl/>
          <w:lang w:bidi="ar-EG"/>
        </w:rPr>
        <w:t xml:space="preserve"> عاماً أو الذين مارسوا هذه المهنة لمدة </w:t>
      </w:r>
      <w:r w:rsidRPr="00350F98">
        <w:rPr>
          <w:rtl/>
          <w:lang w:bidi="ar-EG"/>
        </w:rPr>
        <w:t>15</w:t>
      </w:r>
      <w:r>
        <w:rPr>
          <w:rtl/>
          <w:lang w:bidi="ar-EG"/>
        </w:rPr>
        <w:t xml:space="preserve"> عاماً ولكنهم مارسوا أيضاً لمدة خمسة أعوام على الأقل وظيفة تقتضي معرفة متعمقة بالقانون.</w:t>
      </w:r>
    </w:p>
    <w:p w14:paraId="1929FF05" w14:textId="77777777" w:rsidR="00D424DC" w:rsidRDefault="00D424DC" w:rsidP="00D424DC">
      <w:pPr>
        <w:pStyle w:val="SingleTxtGA"/>
        <w:rPr>
          <w:rtl/>
          <w:lang w:bidi="ar-EG"/>
        </w:rPr>
      </w:pPr>
      <w:r w:rsidRPr="00350F98">
        <w:rPr>
          <w:rtl/>
          <w:lang w:bidi="ar-EG"/>
        </w:rPr>
        <w:t>53</w:t>
      </w:r>
      <w:r>
        <w:rPr>
          <w:rtl/>
          <w:lang w:bidi="ar-EG"/>
        </w:rPr>
        <w:t>-</w:t>
      </w:r>
      <w:r>
        <w:rPr>
          <w:rtl/>
          <w:lang w:bidi="ar-EG"/>
        </w:rPr>
        <w:tab/>
        <w:t>ويتولى المجلس الأعلى للقضاء تنظيم هذه الامتحانات.</w:t>
      </w:r>
    </w:p>
    <w:p w14:paraId="7B293276" w14:textId="77777777" w:rsidR="00D424DC" w:rsidRDefault="00D424DC" w:rsidP="00D424DC">
      <w:pPr>
        <w:pStyle w:val="SingleTxtGA"/>
        <w:rPr>
          <w:rtl/>
          <w:lang w:bidi="ar-EG"/>
        </w:rPr>
      </w:pPr>
      <w:r w:rsidRPr="00350F98">
        <w:rPr>
          <w:rtl/>
          <w:lang w:bidi="ar-EG"/>
        </w:rPr>
        <w:t>54</w:t>
      </w:r>
      <w:r>
        <w:rPr>
          <w:rtl/>
          <w:lang w:bidi="ar-EG"/>
        </w:rPr>
        <w:t>-</w:t>
      </w:r>
      <w:r>
        <w:rPr>
          <w:rtl/>
          <w:lang w:bidi="ar-EG"/>
        </w:rPr>
        <w:tab/>
        <w:t xml:space="preserve">ويضمن الدستور البلجيكي استقلال قضاة المحاكم لدى ممارسة الاختصاصات المسندة إليهم. والنيابة العامة مستقلة فيما تضطلع به من أبحاث وملاحقات فردية، دون أن يمس ذلك بحق الوزير المختص في أن يأمر بالملاحقة وفي أن يصدر تعليمات مُلزمة تتعلق بالسياسات الجنائية، بما يشمل </w:t>
      </w:r>
      <w:r w:rsidRPr="002C315A">
        <w:rPr>
          <w:spacing w:val="-2"/>
          <w:rtl/>
          <w:lang w:bidi="ar-EG"/>
        </w:rPr>
        <w:t>السياسات المتّبعة في مجال الأبحاث والملاحقات. وينص الدستور أيضاً على تحديد رواتب أعضاء الجهاز</w:t>
      </w:r>
      <w:r>
        <w:rPr>
          <w:rtl/>
          <w:lang w:bidi="ar-EG"/>
        </w:rPr>
        <w:t xml:space="preserve"> القضائي وسِن التقاعد بموجب قانون. ولا يجوز فصل قضاة المحاكم ولا توقيفهم إلا بموجب حكم قضائي. ومنذ </w:t>
      </w:r>
      <w:r w:rsidRPr="00350F98">
        <w:rPr>
          <w:rtl/>
          <w:lang w:bidi="ar-EG"/>
        </w:rPr>
        <w:t>1</w:t>
      </w:r>
      <w:r>
        <w:rPr>
          <w:rtl/>
          <w:lang w:bidi="ar-EG"/>
        </w:rPr>
        <w:t xml:space="preserve"> أيلول/سبتمبر </w:t>
      </w:r>
      <w:r w:rsidRPr="00350F98">
        <w:rPr>
          <w:rtl/>
          <w:lang w:bidi="ar-EG"/>
        </w:rPr>
        <w:t>2014</w:t>
      </w:r>
      <w:r>
        <w:rPr>
          <w:rtl/>
          <w:lang w:bidi="ar-EG"/>
        </w:rPr>
        <w:t xml:space="preserve">، وباستثناء ما يتعلق بفصل أعضاء النيابة العامة، تصدر العقوبات التأديبية الرئيسية المفروضة على القضاة والموظفين القضائيين من قبل محكمة تأديبية غير دائمة فرنسية اللغة أنشئت بنامور ومحكمة تأديبية هولندية اللغة أنشئت </w:t>
      </w:r>
      <w:proofErr w:type="spellStart"/>
      <w:r>
        <w:rPr>
          <w:rtl/>
          <w:lang w:bidi="ar-EG"/>
        </w:rPr>
        <w:t>بغاند</w:t>
      </w:r>
      <w:proofErr w:type="spellEnd"/>
      <w:r>
        <w:rPr>
          <w:rtl/>
          <w:lang w:bidi="ar-EG"/>
        </w:rPr>
        <w:t>. ويحتفظ رؤساء الهيئات، وكبار كتبة المحاكم، وكبار الأمناء بصلاحية اتخاذ الإجراءات التأديبية وإصدار الأحكام البسيطة. ولا يجوز نقل قاضٍ من محكمة إلى أخرى إلا بمقتضى تعيين جديد وبعد الحصول على موافقته.</w:t>
      </w:r>
    </w:p>
    <w:p w14:paraId="7681DC4A" w14:textId="77777777" w:rsidR="00D424DC" w:rsidRPr="00350F98" w:rsidRDefault="00D424DC" w:rsidP="00D424DC">
      <w:pPr>
        <w:pStyle w:val="H4GA"/>
        <w:rPr>
          <w:rtl/>
          <w:lang w:bidi="ar-EG"/>
        </w:rPr>
      </w:pPr>
      <w:r w:rsidRPr="00350F98">
        <w:rPr>
          <w:rtl/>
          <w:lang w:bidi="ar-EG"/>
        </w:rPr>
        <w:tab/>
        <w:t>(ب)</w:t>
      </w:r>
      <w:r w:rsidRPr="00350F98">
        <w:rPr>
          <w:rtl/>
          <w:lang w:bidi="ar-EG"/>
        </w:rPr>
        <w:tab/>
        <w:t>قضاة المحاكم والهيئات القضائية</w:t>
      </w:r>
    </w:p>
    <w:p w14:paraId="6EECF3CC" w14:textId="780322E6" w:rsidR="00D424DC" w:rsidRDefault="00D424DC" w:rsidP="00D424DC">
      <w:pPr>
        <w:pStyle w:val="SingleTxtGA"/>
        <w:rPr>
          <w:rtl/>
          <w:lang w:bidi="ar-EG"/>
        </w:rPr>
      </w:pPr>
      <w:r w:rsidRPr="00350F98">
        <w:rPr>
          <w:rtl/>
          <w:lang w:bidi="ar-EG"/>
        </w:rPr>
        <w:t>55</w:t>
      </w:r>
      <w:r>
        <w:rPr>
          <w:rtl/>
          <w:lang w:bidi="ar-EG"/>
        </w:rPr>
        <w:t>-</w:t>
      </w:r>
      <w:r>
        <w:rPr>
          <w:rtl/>
          <w:lang w:bidi="ar-EG"/>
        </w:rPr>
        <w:tab/>
        <w:t>تشكل هيئات السلطة القضائية هيكلاً هرمياً. وتوجد محكمة النقض في قمة هذا الهيكل. ولا</w:t>
      </w:r>
      <w:r w:rsidR="007501E7">
        <w:rPr>
          <w:rFonts w:hint="cs"/>
          <w:rtl/>
          <w:lang w:bidi="ar-EG"/>
        </w:rPr>
        <w:t> </w:t>
      </w:r>
      <w:r>
        <w:rPr>
          <w:rtl/>
          <w:lang w:bidi="ar-EG"/>
        </w:rPr>
        <w:t>تنظر محكمة النقض في مضمون القضايا، بل تتحقق من التطبيق الصحيح للقانون. ثم تأتي المحاكم المختصة بالنظر في مضمون الدعاوى. وهي تتناول المنازعات من حيث عناصرها الوقائعية والقانونية. وتتميَّز المحاكم الابتدائية التي تنظر في الدعاوى للمرة الأولى عن محاكم الدرجة الثانية أو محاكم الاستئناف التي تنظر في القضايا التي صدر بشأنها حكم في الدرجة الأولى.</w:t>
      </w:r>
    </w:p>
    <w:p w14:paraId="1351CF20" w14:textId="77777777" w:rsidR="00D424DC" w:rsidRPr="00350F98" w:rsidRDefault="00D424DC" w:rsidP="00D424DC">
      <w:pPr>
        <w:pStyle w:val="H4GA"/>
        <w:rPr>
          <w:rtl/>
          <w:lang w:bidi="ar-EG"/>
        </w:rPr>
      </w:pPr>
      <w:r w:rsidRPr="00350F98">
        <w:rPr>
          <w:rtl/>
          <w:lang w:bidi="ar-EG"/>
        </w:rPr>
        <w:tab/>
        <w:t>(ج)</w:t>
      </w:r>
      <w:r w:rsidRPr="00350F98">
        <w:rPr>
          <w:rtl/>
          <w:lang w:bidi="ar-EG"/>
        </w:rPr>
        <w:tab/>
        <w:t xml:space="preserve">شكل الهيكل الهرمي للهيئات القضائية في بلجيكا </w:t>
      </w:r>
    </w:p>
    <w:p w14:paraId="4483B566" w14:textId="6E0DAB33" w:rsidR="00D424DC" w:rsidRPr="00EA183B" w:rsidRDefault="00800832" w:rsidP="00297A84">
      <w:pPr>
        <w:pStyle w:val="SingleTxtGA"/>
        <w:bidi w:val="0"/>
        <w:spacing w:after="0" w:line="240" w:lineRule="auto"/>
        <w:jc w:val="center"/>
        <w:rPr>
          <w:lang w:val="fr-CH"/>
        </w:rPr>
      </w:pPr>
      <w:r>
        <w:rPr>
          <w:noProof/>
          <w:lang w:eastAsia="en-GB"/>
        </w:rPr>
        <w:drawing>
          <wp:inline distT="0" distB="0" distL="0" distR="0" wp14:anchorId="1D6DA6BC" wp14:editId="12A240A8">
            <wp:extent cx="4182745" cy="339534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14:paraId="0BD2DB6E" w14:textId="77777777" w:rsidR="00D424DC" w:rsidRDefault="00D424DC" w:rsidP="00D424DC">
      <w:pPr>
        <w:pStyle w:val="SingleTxtGA"/>
        <w:rPr>
          <w:rtl/>
        </w:rPr>
      </w:pPr>
    </w:p>
    <w:p w14:paraId="447793BB" w14:textId="77777777" w:rsidR="00D424DC" w:rsidRDefault="00D424DC" w:rsidP="00D424DC">
      <w:pPr>
        <w:pStyle w:val="SingleTxtGA"/>
        <w:rPr>
          <w:rtl/>
          <w:lang w:bidi="ar-EG"/>
        </w:rPr>
      </w:pPr>
      <w:r w:rsidRPr="00350F98">
        <w:rPr>
          <w:rtl/>
          <w:lang w:bidi="ar-EG"/>
        </w:rPr>
        <w:lastRenderedPageBreak/>
        <w:t>56</w:t>
      </w:r>
      <w:r>
        <w:rPr>
          <w:rtl/>
          <w:lang w:bidi="ar-EG"/>
        </w:rPr>
        <w:t>-</w:t>
      </w:r>
      <w:r>
        <w:rPr>
          <w:rtl/>
          <w:lang w:bidi="ar-EG"/>
        </w:rPr>
        <w:tab/>
        <w:t>المحكمة الابتدائية ومحكمة العمل الابتدائية والمحكمة التجارية ومحكمة الصلح ومحكمة المخالفات كلها هيئات قضائية من الدرجة الأولى. أما محاكم الاستئناف ومحاكم العمل</w:t>
      </w:r>
      <w:r>
        <w:rPr>
          <w:rFonts w:hint="cs"/>
          <w:rtl/>
          <w:lang w:bidi="ar-EG"/>
        </w:rPr>
        <w:t xml:space="preserve"> </w:t>
      </w:r>
      <w:r>
        <w:rPr>
          <w:rtl/>
          <w:lang w:bidi="ar-EG"/>
        </w:rPr>
        <w:t>الاستئنافية فتعتبر هيئات قضائية من الدرجة الثانية.</w:t>
      </w:r>
    </w:p>
    <w:p w14:paraId="3A6B47E6" w14:textId="61BA545B" w:rsidR="00D424DC" w:rsidRDefault="00D424DC" w:rsidP="00D424DC">
      <w:pPr>
        <w:pStyle w:val="SingleTxtGA"/>
        <w:rPr>
          <w:rtl/>
          <w:lang w:bidi="ar-EG"/>
        </w:rPr>
      </w:pPr>
      <w:r w:rsidRPr="00350F98">
        <w:rPr>
          <w:rtl/>
          <w:lang w:bidi="ar-EG"/>
        </w:rPr>
        <w:t>57</w:t>
      </w:r>
      <w:r>
        <w:rPr>
          <w:rtl/>
          <w:lang w:bidi="ar-EG"/>
        </w:rPr>
        <w:t>-</w:t>
      </w:r>
      <w:r>
        <w:rPr>
          <w:rtl/>
          <w:lang w:bidi="ar-EG"/>
        </w:rPr>
        <w:tab/>
        <w:t xml:space="preserve">وتنقسم المحكمة الابتدائية إلى </w:t>
      </w:r>
      <w:r w:rsidR="007501E7" w:rsidRPr="00350F98">
        <w:rPr>
          <w:rtl/>
          <w:lang w:bidi="ar-EG"/>
        </w:rPr>
        <w:t>4</w:t>
      </w:r>
      <w:r>
        <w:rPr>
          <w:rtl/>
          <w:lang w:bidi="ar-EG"/>
        </w:rPr>
        <w:t xml:space="preserve"> أقسام هي القسم المدني وقسم الأحداث وقسم الأسرة وقسم الشباب. ومحكمة تطبيق العقوبات قسم أيضاً لدى المحاكم الابتدائية في أنفرس وبروكسل وغاند </w:t>
      </w:r>
      <w:proofErr w:type="spellStart"/>
      <w:r>
        <w:rPr>
          <w:rtl/>
          <w:lang w:bidi="ar-EG"/>
        </w:rPr>
        <w:t>ومونس</w:t>
      </w:r>
      <w:proofErr w:type="spellEnd"/>
      <w:r>
        <w:rPr>
          <w:rtl/>
          <w:lang w:bidi="ar-EG"/>
        </w:rPr>
        <w:t xml:space="preserve"> ولييج. وبالإضافة إلى رئيس المحكمة، ورؤساء الشُّعَب، ونائب أو نواب الرئيس، لدى المحكمة الابتدائية قاضٍ أو عدة قضاة مختصون في شؤون الأسرة والشباب، وقضاة تحقيق وقضاة تنفيذ. وتتكون محكمة تطبيق العقوبات من قاض بمحكمة تطبيق العقوبات (مهني) ومن مختص في شؤون السجون وآخر مختص في إعادة الإدماج في المجتمع. وغرفة الحماية الاجتماعية، داخل محكمة تطبيق العقوبات، غرفة مختصة على سبيل الحصر في متابعة المحتفظ بهم داخل مؤسسات (من الأشخاص الذين يعانون من </w:t>
      </w:r>
      <w:r w:rsidRPr="00EA183B">
        <w:rPr>
          <w:spacing w:val="-4"/>
          <w:rtl/>
          <w:lang w:bidi="ar-EG"/>
        </w:rPr>
        <w:t>اضطراب عقلي يشلّ قدرتهم على التمييز أو التحكم في تصرفاتهم أو يؤثر فيها على نحو خطير، والخاضعين</w:t>
      </w:r>
      <w:r>
        <w:rPr>
          <w:rtl/>
          <w:lang w:bidi="ar-EG"/>
        </w:rPr>
        <w:t xml:space="preserve"> </w:t>
      </w:r>
      <w:r w:rsidRPr="00EA183B">
        <w:rPr>
          <w:spacing w:val="-4"/>
          <w:rtl/>
          <w:lang w:bidi="ar-EG"/>
        </w:rPr>
        <w:t>للتأطير بسبب حالتهم هذه التي تجعل منهم خطراً على أنفسهم وعلى المجتمع). وهي تتألف من قاض واحد</w:t>
      </w:r>
      <w:r>
        <w:rPr>
          <w:rtl/>
          <w:lang w:bidi="ar-EG"/>
        </w:rPr>
        <w:t xml:space="preserve"> بمحكمة تطبيق العقوبات ومن مستشارين (أحدهما متخصص في علم النفس السريري والآخر متخصص في إعادة الإدماج الاجتماعي). وقد عوض قانون </w:t>
      </w:r>
      <w:r w:rsidR="000C7FF8" w:rsidRPr="00350F98">
        <w:rPr>
          <w:rtl/>
          <w:lang w:bidi="ar-EG"/>
        </w:rPr>
        <w:t>5</w:t>
      </w:r>
      <w:r>
        <w:rPr>
          <w:rtl/>
          <w:lang w:bidi="ar-EG"/>
        </w:rPr>
        <w:t xml:space="preserve"> أيار/مايو </w:t>
      </w:r>
      <w:r w:rsidR="007501E7" w:rsidRPr="00350F98">
        <w:rPr>
          <w:rtl/>
          <w:lang w:bidi="ar-EG"/>
        </w:rPr>
        <w:t>2014</w:t>
      </w:r>
      <w:r>
        <w:rPr>
          <w:rtl/>
          <w:lang w:bidi="ar-EG"/>
        </w:rPr>
        <w:t xml:space="preserve"> لجان الحماية الاجتماعية بغرف الحماية الاجتماعية. وفي السابق، كانت لجان الحماية الاجتماعية تتألف من قاض فعلي أو فخري يكون رئيس اللجنة، ومن محام وطبيب.</w:t>
      </w:r>
    </w:p>
    <w:p w14:paraId="40B209A9" w14:textId="77777777" w:rsidR="00D424DC" w:rsidRDefault="00D424DC" w:rsidP="00D424DC">
      <w:pPr>
        <w:pStyle w:val="SingleTxtGA"/>
        <w:rPr>
          <w:rtl/>
          <w:lang w:bidi="ar-EG"/>
        </w:rPr>
      </w:pPr>
      <w:r w:rsidRPr="00350F98">
        <w:rPr>
          <w:rtl/>
          <w:lang w:bidi="ar-EG"/>
        </w:rPr>
        <w:t>58</w:t>
      </w:r>
      <w:r>
        <w:rPr>
          <w:rtl/>
          <w:lang w:bidi="ar-EG"/>
        </w:rPr>
        <w:t>-</w:t>
      </w:r>
      <w:r>
        <w:rPr>
          <w:rtl/>
          <w:lang w:bidi="ar-EG"/>
        </w:rPr>
        <w:tab/>
        <w:t>وتنظر المحكمة المدنية، حسب الحالات، في طلبات استئناف الأحكام الصادرة عن قاضي الصلح ومحكمة المخالفات. أما محكمة الجنح فتنظر في طلبات استئناف الأحكام الصادرة عن محكمة المخالفات. ومحكمة الأسرة مختصة أيضاً في معالجة الطعون المقدمة ضد بعض القرارات الصادرة في المرحلة الابتدائية عن قضاة الصلح.</w:t>
      </w:r>
    </w:p>
    <w:p w14:paraId="092980B3" w14:textId="7CB88524" w:rsidR="00D424DC" w:rsidRDefault="00D424DC" w:rsidP="00D424DC">
      <w:pPr>
        <w:pStyle w:val="SingleTxtGA"/>
        <w:rPr>
          <w:rtl/>
          <w:lang w:bidi="ar-EG"/>
        </w:rPr>
      </w:pPr>
      <w:r w:rsidRPr="00350F98">
        <w:rPr>
          <w:rtl/>
          <w:lang w:bidi="ar-EG"/>
        </w:rPr>
        <w:t>59</w:t>
      </w:r>
      <w:r>
        <w:rPr>
          <w:rtl/>
          <w:lang w:bidi="ar-EG"/>
        </w:rPr>
        <w:t>-</w:t>
      </w:r>
      <w:r>
        <w:rPr>
          <w:rtl/>
          <w:lang w:bidi="ar-EG"/>
        </w:rPr>
        <w:tab/>
        <w:t xml:space="preserve">وتنقسم بلجيكا إلى خمس ولايات قضائية كبرى، هي أنفرس وبروكسل وغاند </w:t>
      </w:r>
      <w:proofErr w:type="spellStart"/>
      <w:r>
        <w:rPr>
          <w:rtl/>
          <w:lang w:bidi="ar-EG"/>
        </w:rPr>
        <w:t>ومونس</w:t>
      </w:r>
      <w:proofErr w:type="spellEnd"/>
      <w:r>
        <w:rPr>
          <w:rtl/>
          <w:lang w:bidi="ar-EG"/>
        </w:rPr>
        <w:t xml:space="preserve"> ولييج. وتضم كل ولاية قضائية محكمة استئناف ومحكمة عمل استئنافية. وهذه الولايات مقسّمة بدورها إلى </w:t>
      </w:r>
      <w:r w:rsidRPr="00350F98">
        <w:rPr>
          <w:rtl/>
          <w:lang w:bidi="ar-EG"/>
        </w:rPr>
        <w:t>12</w:t>
      </w:r>
      <w:r>
        <w:rPr>
          <w:rtl/>
          <w:lang w:bidi="ar-EG"/>
        </w:rPr>
        <w:t xml:space="preserve"> دائرة قضائية. وتوجد محكمة ابتدائية في كل دائرة. وتضم محاكم العمل </w:t>
      </w:r>
      <w:r w:rsidRPr="00350F98">
        <w:rPr>
          <w:rtl/>
          <w:lang w:bidi="ar-EG"/>
        </w:rPr>
        <w:t>9</w:t>
      </w:r>
      <w:r>
        <w:rPr>
          <w:rtl/>
          <w:lang w:bidi="ar-EG"/>
        </w:rPr>
        <w:t xml:space="preserve"> محاكم كما تضم المحاكم التجارية </w:t>
      </w:r>
      <w:r w:rsidRPr="00350F98">
        <w:rPr>
          <w:rtl/>
          <w:lang w:bidi="ar-EG"/>
        </w:rPr>
        <w:t>9</w:t>
      </w:r>
      <w:r>
        <w:rPr>
          <w:rtl/>
          <w:lang w:bidi="ar-EG"/>
        </w:rPr>
        <w:t xml:space="preserve"> محاكم أيضا</w:t>
      </w:r>
      <w:r w:rsidR="0036633E">
        <w:rPr>
          <w:rFonts w:hint="cs"/>
          <w:rtl/>
          <w:lang w:bidi="ar-EG"/>
        </w:rPr>
        <w:t>ً</w:t>
      </w:r>
      <w:r>
        <w:rPr>
          <w:rtl/>
          <w:lang w:bidi="ar-EG"/>
        </w:rPr>
        <w:t>.</w:t>
      </w:r>
    </w:p>
    <w:p w14:paraId="183B0083" w14:textId="77777777" w:rsidR="00D424DC" w:rsidRPr="00800832" w:rsidRDefault="00D424DC" w:rsidP="00D424DC">
      <w:pPr>
        <w:pStyle w:val="SingleTxtGA"/>
        <w:rPr>
          <w:spacing w:val="-4"/>
          <w:rtl/>
          <w:lang w:bidi="ar-EG"/>
        </w:rPr>
      </w:pPr>
      <w:r w:rsidRPr="00350F98">
        <w:rPr>
          <w:rtl/>
          <w:lang w:bidi="ar-EG"/>
        </w:rPr>
        <w:t>60</w:t>
      </w:r>
      <w:r>
        <w:rPr>
          <w:rtl/>
          <w:lang w:bidi="ar-EG"/>
        </w:rPr>
        <w:t>-</w:t>
      </w:r>
      <w:r>
        <w:rPr>
          <w:rtl/>
          <w:lang w:bidi="ar-EG"/>
        </w:rPr>
        <w:tab/>
      </w:r>
      <w:r w:rsidRPr="00800832">
        <w:rPr>
          <w:spacing w:val="-4"/>
          <w:rtl/>
          <w:lang w:bidi="ar-EG"/>
        </w:rPr>
        <w:t xml:space="preserve">ويُعيّن قضاة غير مهنيين لمدة خمس سنوات، حسب الفئة المهنية التي ينتمون إليها، للجلوس إلى </w:t>
      </w:r>
      <w:r w:rsidRPr="00800832">
        <w:rPr>
          <w:spacing w:val="-6"/>
          <w:rtl/>
          <w:lang w:bidi="ar-EG"/>
        </w:rPr>
        <w:t>جانب القضاة المهنيين في محاكم العمل (قضاة ومستشارون اجتماعيون) وفي المحاكم التجارية (قضاة</w:t>
      </w:r>
      <w:r w:rsidRPr="00800832">
        <w:rPr>
          <w:rFonts w:hint="cs"/>
          <w:spacing w:val="-6"/>
          <w:rtl/>
          <w:lang w:bidi="ar-EG"/>
        </w:rPr>
        <w:t xml:space="preserve"> </w:t>
      </w:r>
      <w:r w:rsidRPr="00800832">
        <w:rPr>
          <w:spacing w:val="-6"/>
          <w:rtl/>
          <w:lang w:bidi="ar-EG"/>
        </w:rPr>
        <w:t>منتخبون).</w:t>
      </w:r>
    </w:p>
    <w:p w14:paraId="2A8F5EE2" w14:textId="008E992B" w:rsidR="00D424DC" w:rsidRDefault="00D424DC" w:rsidP="00D424DC">
      <w:pPr>
        <w:pStyle w:val="SingleTxtGA"/>
        <w:rPr>
          <w:rtl/>
          <w:lang w:bidi="ar-EG"/>
        </w:rPr>
      </w:pPr>
      <w:r w:rsidRPr="00350F98">
        <w:rPr>
          <w:rtl/>
          <w:lang w:bidi="ar-EG"/>
        </w:rPr>
        <w:t>61</w:t>
      </w:r>
      <w:r>
        <w:rPr>
          <w:rtl/>
          <w:lang w:bidi="ar-EG"/>
        </w:rPr>
        <w:t>-</w:t>
      </w:r>
      <w:r>
        <w:rPr>
          <w:rtl/>
          <w:lang w:bidi="ar-EG"/>
        </w:rPr>
        <w:tab/>
        <w:t xml:space="preserve">وهناك محكمة صلح في كل كانتون قضائي. وسيخفض عدد </w:t>
      </w:r>
      <w:proofErr w:type="spellStart"/>
      <w:r>
        <w:rPr>
          <w:rtl/>
          <w:lang w:bidi="ar-EG"/>
        </w:rPr>
        <w:t>الكانتونات</w:t>
      </w:r>
      <w:proofErr w:type="spellEnd"/>
      <w:r>
        <w:rPr>
          <w:rtl/>
          <w:lang w:bidi="ar-EG"/>
        </w:rPr>
        <w:t xml:space="preserve"> تدريجياً إلى </w:t>
      </w:r>
      <w:r w:rsidR="007501E7" w:rsidRPr="00350F98">
        <w:rPr>
          <w:rFonts w:hint="cs"/>
          <w:rtl/>
          <w:lang w:bidi="ar-EG"/>
        </w:rPr>
        <w:t>162</w:t>
      </w:r>
      <w:r>
        <w:rPr>
          <w:rtl/>
          <w:lang w:bidi="ar-EG"/>
        </w:rPr>
        <w:t xml:space="preserve">. وهناك ما لا يقل عن محكمة مخالفات في كل دائرة قضائية. ويوجد منها </w:t>
      </w:r>
      <w:r w:rsidRPr="00350F98">
        <w:rPr>
          <w:rtl/>
          <w:lang w:bidi="ar-EG"/>
        </w:rPr>
        <w:t>15</w:t>
      </w:r>
      <w:r>
        <w:rPr>
          <w:rtl/>
          <w:lang w:bidi="ar-EG"/>
        </w:rPr>
        <w:t xml:space="preserve"> محكمة.</w:t>
      </w:r>
    </w:p>
    <w:p w14:paraId="5937CDE8" w14:textId="77777777" w:rsidR="00D424DC" w:rsidRPr="00800832" w:rsidRDefault="00D424DC" w:rsidP="00D424DC">
      <w:pPr>
        <w:pStyle w:val="SingleTxtGA"/>
        <w:rPr>
          <w:spacing w:val="-4"/>
          <w:rtl/>
          <w:lang w:bidi="ar-EG"/>
        </w:rPr>
      </w:pPr>
      <w:r w:rsidRPr="00350F98">
        <w:rPr>
          <w:rtl/>
          <w:lang w:bidi="ar-EG"/>
        </w:rPr>
        <w:t>62</w:t>
      </w:r>
      <w:r>
        <w:rPr>
          <w:rtl/>
          <w:lang w:bidi="ar-EG"/>
        </w:rPr>
        <w:t>-</w:t>
      </w:r>
      <w:r>
        <w:rPr>
          <w:rtl/>
          <w:lang w:bidi="ar-EG"/>
        </w:rPr>
        <w:tab/>
      </w:r>
      <w:r w:rsidRPr="00800832">
        <w:rPr>
          <w:spacing w:val="-4"/>
          <w:rtl/>
          <w:lang w:bidi="ar-EG"/>
        </w:rPr>
        <w:t>وتوجد محكمة جنايات في كل إقليم من الأقاليم العشرة، فضلاً عن الدائرة الإدارية للعاصمة بروكسل.</w:t>
      </w:r>
      <w:r>
        <w:rPr>
          <w:rtl/>
          <w:lang w:bidi="ar-EG"/>
        </w:rPr>
        <w:t xml:space="preserve"> وتُشكَّل محكمة الجنايات كلما أُحيل إليها متهمون من أجل مقاضاتهم. وتتألف من ثلاثة قضاة مهنيين </w:t>
      </w:r>
      <w:r w:rsidRPr="00800832">
        <w:rPr>
          <w:spacing w:val="-4"/>
          <w:rtl/>
          <w:lang w:bidi="ar-EG"/>
        </w:rPr>
        <w:t xml:space="preserve">(رئيس ومستشارَين) وهيئة محلفين تتألف من </w:t>
      </w:r>
      <w:r w:rsidRPr="00350F98">
        <w:rPr>
          <w:spacing w:val="-4"/>
          <w:rtl/>
          <w:lang w:bidi="ar-EG"/>
        </w:rPr>
        <w:t>12</w:t>
      </w:r>
      <w:r w:rsidRPr="00800832">
        <w:rPr>
          <w:spacing w:val="-4"/>
          <w:rtl/>
          <w:lang w:bidi="ar-EG"/>
        </w:rPr>
        <w:t xml:space="preserve"> محلفاً ومناوباً أو أكثر يُختارون بسحب القرعة بين السكان.</w:t>
      </w:r>
    </w:p>
    <w:p w14:paraId="4CE313E6" w14:textId="77777777" w:rsidR="00D424DC" w:rsidRDefault="00D424DC" w:rsidP="00D424DC">
      <w:pPr>
        <w:pStyle w:val="SingleTxtGA"/>
        <w:rPr>
          <w:rtl/>
          <w:lang w:bidi="ar-EG"/>
        </w:rPr>
      </w:pPr>
      <w:r w:rsidRPr="00350F98">
        <w:rPr>
          <w:rtl/>
          <w:lang w:bidi="ar-EG"/>
        </w:rPr>
        <w:t>63</w:t>
      </w:r>
      <w:r>
        <w:rPr>
          <w:rtl/>
          <w:lang w:bidi="ar-EG"/>
        </w:rPr>
        <w:t>-</w:t>
      </w:r>
      <w:r>
        <w:rPr>
          <w:rtl/>
          <w:lang w:bidi="ar-EG"/>
        </w:rPr>
        <w:tab/>
        <w:t xml:space="preserve">وتتألف محكمة النقض، وهي ضامنة احترام القانون من جانب الهيئات القضائية والمحاكم، من </w:t>
      </w:r>
      <w:r w:rsidRPr="00800832">
        <w:rPr>
          <w:spacing w:val="-4"/>
          <w:rtl/>
          <w:lang w:bidi="ar-EG"/>
        </w:rPr>
        <w:t>ثلاث غرف هي: غرفة تختص بالقضايا الجنائية، وغرفة تختص بالملفات المتعلقة بقانون العمل، وغرفة تختص</w:t>
      </w:r>
      <w:r>
        <w:rPr>
          <w:rtl/>
          <w:lang w:bidi="ar-EG"/>
        </w:rPr>
        <w:t xml:space="preserve"> بالقضايا المدنية والتجارية.</w:t>
      </w:r>
    </w:p>
    <w:p w14:paraId="3E7F377F" w14:textId="77777777" w:rsidR="00D424DC" w:rsidRPr="00350F98" w:rsidRDefault="00D424DC" w:rsidP="00D424DC">
      <w:pPr>
        <w:pStyle w:val="H4GA"/>
        <w:rPr>
          <w:rtl/>
          <w:lang w:bidi="ar-EG"/>
        </w:rPr>
      </w:pPr>
      <w:r w:rsidRPr="00350F98">
        <w:rPr>
          <w:rtl/>
          <w:lang w:bidi="ar-EG"/>
        </w:rPr>
        <w:lastRenderedPageBreak/>
        <w:tab/>
        <w:t>(د)</w:t>
      </w:r>
      <w:r w:rsidRPr="00350F98">
        <w:rPr>
          <w:rtl/>
          <w:lang w:bidi="ar-EG"/>
        </w:rPr>
        <w:tab/>
        <w:t>النيابة العامة</w:t>
      </w:r>
    </w:p>
    <w:p w14:paraId="3180CDEB" w14:textId="77777777" w:rsidR="00D424DC" w:rsidRDefault="00D424DC" w:rsidP="00800832">
      <w:pPr>
        <w:pStyle w:val="SingleTxtGA"/>
        <w:spacing w:line="350" w:lineRule="exact"/>
        <w:rPr>
          <w:rtl/>
          <w:lang w:bidi="ar-EG"/>
        </w:rPr>
      </w:pPr>
      <w:r w:rsidRPr="00350F98">
        <w:rPr>
          <w:rtl/>
          <w:lang w:bidi="ar-EG"/>
        </w:rPr>
        <w:t>64</w:t>
      </w:r>
      <w:r>
        <w:rPr>
          <w:rtl/>
          <w:lang w:bidi="ar-EG"/>
        </w:rPr>
        <w:t>-</w:t>
      </w:r>
      <w:r>
        <w:rPr>
          <w:rtl/>
          <w:lang w:bidi="ar-EG"/>
        </w:rPr>
        <w:tab/>
      </w:r>
      <w:r w:rsidRPr="00800832">
        <w:rPr>
          <w:spacing w:val="-2"/>
          <w:rtl/>
          <w:lang w:bidi="ar-EG"/>
        </w:rPr>
        <w:t>تتألف النيابة العامة من أعضاء يُلحقون بمكتب من مكاتب النيابة (يختص بمادة القانون الجنائي)</w:t>
      </w:r>
      <w:r>
        <w:rPr>
          <w:rtl/>
          <w:lang w:bidi="ar-EG"/>
        </w:rPr>
        <w:t xml:space="preserve"> أو بأحد مكاتب ممثلي النيابة لدى محكمة العمل (يختص بقانون العمل) ويؤدون، في إطار هذه الوظيفة، الواجبات المُسندة إليهم بحكم وظيفتهم لدى المحكمة أو الهيئة القضائية التي يتبعون لها.</w:t>
      </w:r>
    </w:p>
    <w:p w14:paraId="35686E7D" w14:textId="77777777" w:rsidR="00D424DC" w:rsidRDefault="00D424DC" w:rsidP="00800832">
      <w:pPr>
        <w:pStyle w:val="SingleTxtGA"/>
        <w:spacing w:line="350" w:lineRule="exact"/>
        <w:rPr>
          <w:rtl/>
          <w:lang w:bidi="ar-EG"/>
        </w:rPr>
      </w:pPr>
      <w:r w:rsidRPr="00350F98">
        <w:rPr>
          <w:rtl/>
          <w:lang w:bidi="ar-EG"/>
        </w:rPr>
        <w:t>65</w:t>
      </w:r>
      <w:r>
        <w:rPr>
          <w:rtl/>
          <w:lang w:bidi="ar-EG"/>
        </w:rPr>
        <w:t>-</w:t>
      </w:r>
      <w:r>
        <w:rPr>
          <w:rtl/>
          <w:lang w:bidi="ar-EG"/>
        </w:rPr>
        <w:tab/>
        <w:t xml:space="preserve">ومن حيث المبدأ، يوجد في كل محكمة ابتدائية مكتب نيابة. ويتألف، مبدئياً، من وكيل للملك، ومن نواب للشُُّعَب، ومن وكلاء النيابة من المرتبة الأولى، ومن وكلاء النيابة. ويوجد في الدائرة القضائية لبروكسل مساعد لوكيل الملك. وهناك بعض وكلاء النيابة المختصين بالقضايا الضريبية، ووكلاء نيابة آخرون لممارسة مهام لدى محكمة الشباب، وهناك في أنفرس وبروكسل وغاند </w:t>
      </w:r>
      <w:proofErr w:type="spellStart"/>
      <w:r>
        <w:rPr>
          <w:rtl/>
          <w:lang w:bidi="ar-EG"/>
        </w:rPr>
        <w:t>ومونس</w:t>
      </w:r>
      <w:proofErr w:type="spellEnd"/>
      <w:r>
        <w:rPr>
          <w:rtl/>
          <w:lang w:bidi="ar-EG"/>
        </w:rPr>
        <w:t xml:space="preserve"> ولييج وكلاء نيابة متخصصون في تطبيق العقوبات. وفي المجموع، يوجد في بلجيكا </w:t>
      </w:r>
      <w:r w:rsidRPr="00350F98">
        <w:rPr>
          <w:rtl/>
          <w:lang w:bidi="ar-EG"/>
        </w:rPr>
        <w:t>14</w:t>
      </w:r>
      <w:r>
        <w:rPr>
          <w:rtl/>
          <w:lang w:bidi="ar-EG"/>
        </w:rPr>
        <w:t xml:space="preserve"> مكتب نيابة.</w:t>
      </w:r>
    </w:p>
    <w:p w14:paraId="02637B25" w14:textId="77777777" w:rsidR="00D424DC" w:rsidRDefault="00D424DC" w:rsidP="00800832">
      <w:pPr>
        <w:pStyle w:val="SingleTxtGA"/>
        <w:spacing w:line="350" w:lineRule="exact"/>
        <w:rPr>
          <w:rtl/>
          <w:lang w:bidi="ar-EG"/>
        </w:rPr>
      </w:pPr>
      <w:r w:rsidRPr="00350F98">
        <w:rPr>
          <w:rtl/>
          <w:lang w:bidi="ar-EG"/>
        </w:rPr>
        <w:t>66</w:t>
      </w:r>
      <w:r>
        <w:rPr>
          <w:rtl/>
          <w:lang w:bidi="ar-EG"/>
        </w:rPr>
        <w:t>-</w:t>
      </w:r>
      <w:r>
        <w:rPr>
          <w:rtl/>
          <w:lang w:bidi="ar-EG"/>
        </w:rPr>
        <w:tab/>
        <w:t xml:space="preserve">ولدى محكمة الاستئناف مكتب للنيابة العامة يتألف من نائب عام يسهر على تنفيذ التعليمات </w:t>
      </w:r>
      <w:r w:rsidRPr="00800832">
        <w:rPr>
          <w:spacing w:val="-2"/>
          <w:rtl/>
          <w:lang w:bidi="ar-EG"/>
        </w:rPr>
        <w:t>في مجال السياسات الجنائية التي تدخل ضمن اختصاصه، وعلى إدارة ومراقبة</w:t>
      </w:r>
      <w:r w:rsidRPr="00800832">
        <w:rPr>
          <w:rFonts w:hint="cs"/>
          <w:spacing w:val="-2"/>
          <w:rtl/>
          <w:lang w:bidi="ar-EG"/>
        </w:rPr>
        <w:t xml:space="preserve"> </w:t>
      </w:r>
      <w:r w:rsidRPr="00800832">
        <w:rPr>
          <w:spacing w:val="-2"/>
          <w:rtl/>
          <w:lang w:bidi="ar-EG"/>
        </w:rPr>
        <w:t>أعضاء مكتب النيابة العامة</w:t>
      </w:r>
      <w:r>
        <w:rPr>
          <w:rtl/>
          <w:lang w:bidi="ar-EG"/>
        </w:rPr>
        <w:t xml:space="preserve"> </w:t>
      </w:r>
      <w:r w:rsidRPr="00800832">
        <w:rPr>
          <w:spacing w:val="-4"/>
          <w:rtl/>
          <w:lang w:bidi="ar-EG"/>
        </w:rPr>
        <w:t>ومكاتب ممثلي النيابة العامة لدى محاكم العمل. ويساعده مدعٍ عام من المرتبة الأولى ومدعون عامون ووكلاء</w:t>
      </w:r>
      <w:r>
        <w:rPr>
          <w:rtl/>
          <w:lang w:bidi="ar-EG"/>
        </w:rPr>
        <w:t xml:space="preserve"> للنائب العام.</w:t>
      </w:r>
    </w:p>
    <w:p w14:paraId="3D77E3BA" w14:textId="77777777" w:rsidR="00D424DC" w:rsidRDefault="00D424DC" w:rsidP="00800832">
      <w:pPr>
        <w:pStyle w:val="SingleTxtGA"/>
        <w:spacing w:line="350" w:lineRule="exact"/>
        <w:rPr>
          <w:rtl/>
          <w:lang w:bidi="ar-EG"/>
        </w:rPr>
      </w:pPr>
      <w:r w:rsidRPr="00350F98">
        <w:rPr>
          <w:rtl/>
          <w:lang w:bidi="ar-EG"/>
        </w:rPr>
        <w:t>67</w:t>
      </w:r>
      <w:r>
        <w:rPr>
          <w:rtl/>
          <w:lang w:bidi="ar-EG"/>
        </w:rPr>
        <w:t>-</w:t>
      </w:r>
      <w:r>
        <w:rPr>
          <w:rtl/>
          <w:lang w:bidi="ar-EG"/>
        </w:rPr>
        <w:tab/>
        <w:t>ولدى محاكم العمل نيابة عامة متخصصة في قضايا العمل تتألف مبدئياً من مدعٍ عام لقضايا العمل، ووكلاء للشُّعب، ووكلاء من المرتبة الأولى ووكلاء آخرين. ويوجد في الدائرة القضائية لبروكسل وكيل مساعد لوكيل الملك.</w:t>
      </w:r>
    </w:p>
    <w:p w14:paraId="3B6833A2" w14:textId="77777777" w:rsidR="00D424DC" w:rsidRDefault="00D424DC" w:rsidP="00800832">
      <w:pPr>
        <w:pStyle w:val="SingleTxtGA"/>
        <w:spacing w:line="350" w:lineRule="exact"/>
        <w:rPr>
          <w:rtl/>
          <w:lang w:bidi="ar-EG"/>
        </w:rPr>
      </w:pPr>
      <w:r w:rsidRPr="00350F98">
        <w:rPr>
          <w:rtl/>
          <w:lang w:bidi="ar-EG"/>
        </w:rPr>
        <w:t>68</w:t>
      </w:r>
      <w:r>
        <w:rPr>
          <w:rtl/>
          <w:lang w:bidi="ar-EG"/>
        </w:rPr>
        <w:t>-</w:t>
      </w:r>
      <w:r>
        <w:rPr>
          <w:rtl/>
          <w:lang w:bidi="ar-EG"/>
        </w:rPr>
        <w:tab/>
        <w:t>ولدى محكمة العمل الاستئنافية نيابة عامة يرأسها النائب العام لدى محكمة الاستئناف. ويساعده مدعٍ عام من المرتبة الأولى ومدعون عامون ووكلاء للمدعي العام.</w:t>
      </w:r>
    </w:p>
    <w:p w14:paraId="2791AF43" w14:textId="77777777" w:rsidR="00D424DC" w:rsidRDefault="00D424DC" w:rsidP="00800832">
      <w:pPr>
        <w:pStyle w:val="SingleTxtGA"/>
        <w:spacing w:line="350" w:lineRule="exact"/>
        <w:rPr>
          <w:rtl/>
          <w:lang w:bidi="ar-EG"/>
        </w:rPr>
      </w:pPr>
      <w:r w:rsidRPr="00350F98">
        <w:rPr>
          <w:rtl/>
          <w:lang w:bidi="ar-EG"/>
        </w:rPr>
        <w:t>69</w:t>
      </w:r>
      <w:r>
        <w:rPr>
          <w:rtl/>
          <w:lang w:bidi="ar-EG"/>
        </w:rPr>
        <w:t>-</w:t>
      </w:r>
      <w:r>
        <w:rPr>
          <w:rtl/>
          <w:lang w:bidi="ar-EG"/>
        </w:rPr>
        <w:tab/>
        <w:t>ويمارس المدعي العام لدى محكمة الاستئناف مهام النيابة العامة لدى محكمة الجنايات ويمكنه تفويض مهامه.</w:t>
      </w:r>
    </w:p>
    <w:p w14:paraId="1AFD55EA" w14:textId="77777777" w:rsidR="00D424DC" w:rsidRDefault="00D424DC" w:rsidP="00800832">
      <w:pPr>
        <w:pStyle w:val="SingleTxtGA"/>
        <w:spacing w:line="350" w:lineRule="exact"/>
        <w:rPr>
          <w:rtl/>
          <w:lang w:bidi="ar-EG"/>
        </w:rPr>
      </w:pPr>
      <w:r w:rsidRPr="00350F98">
        <w:rPr>
          <w:rtl/>
          <w:lang w:bidi="ar-EG"/>
        </w:rPr>
        <w:t>70</w:t>
      </w:r>
      <w:r>
        <w:rPr>
          <w:rtl/>
          <w:lang w:bidi="ar-EG"/>
        </w:rPr>
        <w:t>-</w:t>
      </w:r>
      <w:r>
        <w:rPr>
          <w:rtl/>
          <w:lang w:bidi="ar-EG"/>
        </w:rPr>
        <w:tab/>
        <w:t>وفي محكمة النقض، يمارس مهمة النيابة العامة المدعي العام لدى محكمة النقض يساعده مدعٍ عام من المرتبة الأولى ومدعون عامون. وهو لا يرفع الدعاوى العمومية وإنما يؤدي دوراً استشارياً لدى المحكمة.</w:t>
      </w:r>
    </w:p>
    <w:p w14:paraId="03D5AACF" w14:textId="7996C901" w:rsidR="00D424DC" w:rsidRDefault="00D424DC" w:rsidP="00800832">
      <w:pPr>
        <w:pStyle w:val="SingleTxtGA"/>
        <w:spacing w:line="350" w:lineRule="exact"/>
        <w:rPr>
          <w:rtl/>
          <w:lang w:bidi="ar-EG"/>
        </w:rPr>
      </w:pPr>
      <w:r w:rsidRPr="00350F98">
        <w:rPr>
          <w:rtl/>
          <w:lang w:bidi="ar-EG"/>
        </w:rPr>
        <w:t>71</w:t>
      </w:r>
      <w:r>
        <w:rPr>
          <w:rtl/>
          <w:lang w:bidi="ar-EG"/>
        </w:rPr>
        <w:t>-</w:t>
      </w:r>
      <w:r>
        <w:rPr>
          <w:rtl/>
          <w:lang w:bidi="ar-EG"/>
        </w:rPr>
        <w:tab/>
      </w:r>
      <w:r w:rsidRPr="00800832">
        <w:rPr>
          <w:spacing w:val="-4"/>
          <w:rtl/>
          <w:lang w:bidi="ar-EG"/>
        </w:rPr>
        <w:t>أما مكتب النيابة الاتحادية فيتألف من نائب اتحادي وأعضاء اتحاديين. ويمارس</w:t>
      </w:r>
      <w:r w:rsidR="007501E7" w:rsidRPr="00800832">
        <w:rPr>
          <w:rFonts w:hint="cs"/>
          <w:spacing w:val="-4"/>
          <w:rtl/>
          <w:lang w:bidi="ar-EG"/>
        </w:rPr>
        <w:t xml:space="preserve"> </w:t>
      </w:r>
      <w:r w:rsidRPr="00800832">
        <w:rPr>
          <w:spacing w:val="-4"/>
          <w:rtl/>
          <w:lang w:bidi="ar-EG"/>
        </w:rPr>
        <w:t>النائب الاتحادي،</w:t>
      </w:r>
      <w:r>
        <w:rPr>
          <w:rtl/>
          <w:lang w:bidi="ar-EG"/>
        </w:rPr>
        <w:t xml:space="preserve"> </w:t>
      </w:r>
      <w:r w:rsidRPr="00800832">
        <w:rPr>
          <w:spacing w:val="-4"/>
          <w:rtl/>
          <w:lang w:bidi="ar-EG"/>
        </w:rPr>
        <w:t>في الحالات التي ينص عليها القانون، جميع المهام المسندة إلى النيابة العامة في القضايا الجنائية المعروضة على</w:t>
      </w:r>
      <w:r>
        <w:rPr>
          <w:rtl/>
          <w:lang w:bidi="ar-EG"/>
        </w:rPr>
        <w:t xml:space="preserve"> محاكم الاستئناف ومحاكم الجنايات والمحاكم الابتدائية ومحاكم المخالفات.</w:t>
      </w:r>
    </w:p>
    <w:p w14:paraId="37066E8A" w14:textId="0C7149F1" w:rsidR="00D424DC" w:rsidRDefault="00D424DC" w:rsidP="00800832">
      <w:pPr>
        <w:pStyle w:val="SingleTxtGA"/>
        <w:spacing w:line="350" w:lineRule="exact"/>
        <w:rPr>
          <w:rtl/>
          <w:lang w:bidi="ar-EG"/>
        </w:rPr>
      </w:pPr>
      <w:r w:rsidRPr="00350F98">
        <w:rPr>
          <w:rtl/>
          <w:lang w:bidi="ar-EG"/>
        </w:rPr>
        <w:t>72</w:t>
      </w:r>
      <w:r>
        <w:rPr>
          <w:rtl/>
          <w:lang w:bidi="ar-EG"/>
        </w:rPr>
        <w:t>-</w:t>
      </w:r>
      <w:r>
        <w:rPr>
          <w:rtl/>
          <w:lang w:bidi="ar-EG"/>
        </w:rPr>
        <w:tab/>
      </w:r>
      <w:r w:rsidRPr="00800832">
        <w:rPr>
          <w:spacing w:val="-4"/>
          <w:rtl/>
          <w:lang w:bidi="ar-EG"/>
        </w:rPr>
        <w:t>وتتألف هيئة النواب العامين من النواب العامين لدى محاكم الاستئناف. وتقرر الهيئة جميع التدابير</w:t>
      </w:r>
      <w:r>
        <w:rPr>
          <w:rtl/>
          <w:lang w:bidi="ar-EG"/>
        </w:rPr>
        <w:t xml:space="preserve"> اللازمة لتنفيذ السياسات الجنائية وتنسيقها، ولسير عمل النيابة العامة وتنسيقه. وبالإضافة إلى ذلك، تضطلع الهيئة بمسؤولية إعلام وزير العدل وإسداء المشورة له، بمبادرة منها أو بناء على طلبه، بشأن أي</w:t>
      </w:r>
      <w:r w:rsidR="0036633E">
        <w:rPr>
          <w:rFonts w:hint="cs"/>
          <w:rtl/>
          <w:lang w:bidi="ar-EG"/>
        </w:rPr>
        <w:t> </w:t>
      </w:r>
      <w:r>
        <w:rPr>
          <w:rtl/>
          <w:lang w:bidi="ar-EG"/>
        </w:rPr>
        <w:t>مسألة متصلة بولايات النيابة العامة.</w:t>
      </w:r>
    </w:p>
    <w:p w14:paraId="0CCB6579" w14:textId="77777777" w:rsidR="00D424DC" w:rsidRPr="00350F98" w:rsidRDefault="00D424DC" w:rsidP="00D424DC">
      <w:pPr>
        <w:pStyle w:val="H23GA"/>
        <w:rPr>
          <w:rtl/>
          <w:lang w:bidi="ar-EG"/>
        </w:rPr>
      </w:pPr>
      <w:r w:rsidRPr="00350F98">
        <w:rPr>
          <w:rtl/>
          <w:lang w:bidi="ar-EG"/>
        </w:rPr>
        <w:tab/>
      </w:r>
      <w:r w:rsidRPr="00350F98">
        <w:rPr>
          <w:rFonts w:hint="cs"/>
          <w:rtl/>
          <w:lang w:bidi="ar-EG"/>
        </w:rPr>
        <w:t>5</w:t>
      </w:r>
      <w:r w:rsidRPr="00350F98">
        <w:rPr>
          <w:rtl/>
          <w:lang w:bidi="ar-EG"/>
        </w:rPr>
        <w:t>-</w:t>
      </w:r>
      <w:r w:rsidRPr="00350F98">
        <w:rPr>
          <w:rtl/>
          <w:lang w:bidi="ar-EG"/>
        </w:rPr>
        <w:tab/>
        <w:t>الجماعات</w:t>
      </w:r>
    </w:p>
    <w:p w14:paraId="7200956A" w14:textId="77777777" w:rsidR="00D424DC" w:rsidRDefault="00D424DC" w:rsidP="00800832">
      <w:pPr>
        <w:pStyle w:val="SingleTxtGA"/>
        <w:spacing w:line="350" w:lineRule="exact"/>
        <w:rPr>
          <w:rtl/>
          <w:lang w:bidi="ar-EG"/>
        </w:rPr>
      </w:pPr>
      <w:r w:rsidRPr="00350F98">
        <w:rPr>
          <w:rtl/>
          <w:lang w:bidi="ar-EG"/>
        </w:rPr>
        <w:t>73</w:t>
      </w:r>
      <w:r>
        <w:rPr>
          <w:rtl/>
          <w:lang w:bidi="ar-EG"/>
        </w:rPr>
        <w:t>-</w:t>
      </w:r>
      <w:r>
        <w:rPr>
          <w:rtl/>
          <w:lang w:bidi="ar-EG"/>
        </w:rPr>
        <w:tab/>
        <w:t>لكل كيان من كيانات</w:t>
      </w:r>
      <w:r>
        <w:rPr>
          <w:rFonts w:hint="cs"/>
          <w:rtl/>
          <w:lang w:bidi="ar-EG"/>
        </w:rPr>
        <w:t xml:space="preserve"> </w:t>
      </w:r>
      <w:r>
        <w:rPr>
          <w:rtl/>
          <w:lang w:bidi="ar-EG"/>
        </w:rPr>
        <w:t>الجماعات والمناطق مجلس نيابي وحكومة.</w:t>
      </w:r>
    </w:p>
    <w:p w14:paraId="1B710822" w14:textId="77777777" w:rsidR="00D424DC" w:rsidRDefault="00D424DC" w:rsidP="00800832">
      <w:pPr>
        <w:pStyle w:val="SingleTxtGA"/>
        <w:spacing w:line="350" w:lineRule="exact"/>
        <w:rPr>
          <w:rtl/>
          <w:lang w:bidi="ar-EG"/>
        </w:rPr>
      </w:pPr>
      <w:r w:rsidRPr="00350F98">
        <w:rPr>
          <w:rtl/>
          <w:lang w:bidi="ar-EG"/>
        </w:rPr>
        <w:t>74</w:t>
      </w:r>
      <w:r>
        <w:rPr>
          <w:rtl/>
          <w:lang w:bidi="ar-EG"/>
        </w:rPr>
        <w:t>-</w:t>
      </w:r>
      <w:r>
        <w:rPr>
          <w:rtl/>
          <w:lang w:bidi="ar-EG"/>
        </w:rPr>
        <w:tab/>
      </w:r>
      <w:r w:rsidRPr="00800832">
        <w:rPr>
          <w:spacing w:val="-4"/>
          <w:rtl/>
          <w:lang w:bidi="ar-EG"/>
        </w:rPr>
        <w:t>وتمارس الهيئات التابعة للجماعة الفلمنكية الاختصاصات المتعلقة بالمنطقة الفلمنكية. وهناك بالتالي</w:t>
      </w:r>
      <w:r>
        <w:rPr>
          <w:rFonts w:hint="cs"/>
          <w:rtl/>
          <w:lang w:bidi="ar-EG"/>
        </w:rPr>
        <w:t xml:space="preserve"> </w:t>
      </w:r>
      <w:r w:rsidRPr="00800832">
        <w:rPr>
          <w:spacing w:val="-4"/>
          <w:rtl/>
          <w:lang w:bidi="ar-EG"/>
        </w:rPr>
        <w:t>وحدة مؤسسية بين المنطقة الفلمنكية والجماعة الفلمنكية. وتمارس الاختصاصاتِ المتعلقة بالكيانات الأخرى،</w:t>
      </w:r>
      <w:r>
        <w:rPr>
          <w:rtl/>
          <w:lang w:bidi="ar-EG"/>
        </w:rPr>
        <w:t xml:space="preserve"> وهي الجماعة الفرنسية، والجماعة الناطقة باللغة الألمانية، والمنطقة الوالونية، ومنطقة العاصمة بروكسل، هيئاتُها الخاصة بها.</w:t>
      </w:r>
    </w:p>
    <w:p w14:paraId="5A51C74F" w14:textId="77777777" w:rsidR="00D424DC" w:rsidRPr="00350F98" w:rsidRDefault="00D424DC" w:rsidP="00D424DC">
      <w:pPr>
        <w:pStyle w:val="H4GA"/>
        <w:rPr>
          <w:rtl/>
          <w:lang w:bidi="ar-EG"/>
        </w:rPr>
      </w:pPr>
      <w:r w:rsidRPr="00350F98">
        <w:rPr>
          <w:rtl/>
          <w:lang w:bidi="ar-EG"/>
        </w:rPr>
        <w:lastRenderedPageBreak/>
        <w:tab/>
        <w:t>(أ)</w:t>
      </w:r>
      <w:r w:rsidRPr="00350F98">
        <w:rPr>
          <w:rtl/>
          <w:lang w:bidi="ar-EG"/>
        </w:rPr>
        <w:tab/>
        <w:t>المجالس النيابية</w:t>
      </w:r>
    </w:p>
    <w:p w14:paraId="0E57FC11" w14:textId="77777777" w:rsidR="00D424DC" w:rsidRDefault="00D424DC" w:rsidP="00D424DC">
      <w:pPr>
        <w:pStyle w:val="SingleTxtGA"/>
        <w:rPr>
          <w:rtl/>
          <w:lang w:bidi="ar-EG"/>
        </w:rPr>
      </w:pPr>
      <w:r w:rsidRPr="00350F98">
        <w:rPr>
          <w:rtl/>
          <w:lang w:bidi="ar-EG"/>
        </w:rPr>
        <w:t>75</w:t>
      </w:r>
      <w:r>
        <w:rPr>
          <w:rtl/>
          <w:lang w:bidi="ar-EG"/>
        </w:rPr>
        <w:t>-</w:t>
      </w:r>
      <w:r>
        <w:rPr>
          <w:rtl/>
          <w:lang w:bidi="ar-EG"/>
        </w:rPr>
        <w:tab/>
        <w:t xml:space="preserve">يتألف المجلس النيابي الفلمنكي من </w:t>
      </w:r>
      <w:r w:rsidRPr="00350F98">
        <w:rPr>
          <w:rtl/>
          <w:lang w:bidi="ar-EG"/>
        </w:rPr>
        <w:t>124</w:t>
      </w:r>
      <w:r>
        <w:rPr>
          <w:rtl/>
          <w:lang w:bidi="ar-EG"/>
        </w:rPr>
        <w:t xml:space="preserve"> عضواً، من بينهم </w:t>
      </w:r>
      <w:r w:rsidRPr="00350F98">
        <w:rPr>
          <w:rtl/>
          <w:lang w:bidi="ar-EG"/>
        </w:rPr>
        <w:t>118</w:t>
      </w:r>
      <w:r>
        <w:rPr>
          <w:rtl/>
          <w:lang w:bidi="ar-EG"/>
        </w:rPr>
        <w:t xml:space="preserve"> عضواً يُنتخبون عن طريق الاقتراع المباشر في المنطقة الفلمنكية وستة أعضاء ينتخبهم عن طريق الاقتراع المباشر الناخبون في منطقة العاصمة بروكسل الذين لا يصوتون لفائدة قائمة مترشحين ينتمون للمجموعة اللغوية الفرنسية في انتخابات مجلس منطقة العاصمة بروكسل.</w:t>
      </w:r>
    </w:p>
    <w:p w14:paraId="606DCDE6" w14:textId="77777777" w:rsidR="00D424DC" w:rsidRDefault="00D424DC" w:rsidP="00D424DC">
      <w:pPr>
        <w:pStyle w:val="SingleTxtGA"/>
        <w:rPr>
          <w:rtl/>
          <w:lang w:bidi="ar-EG"/>
        </w:rPr>
      </w:pPr>
      <w:r w:rsidRPr="00350F98">
        <w:rPr>
          <w:rtl/>
          <w:lang w:bidi="ar-EG"/>
        </w:rPr>
        <w:t>76</w:t>
      </w:r>
      <w:r>
        <w:rPr>
          <w:rtl/>
          <w:lang w:bidi="ar-EG"/>
        </w:rPr>
        <w:t>-</w:t>
      </w:r>
      <w:r>
        <w:rPr>
          <w:rtl/>
          <w:lang w:bidi="ar-EG"/>
        </w:rPr>
        <w:tab/>
        <w:t xml:space="preserve">ويتألف المجلس النيابي للجماعة الفرنسية من </w:t>
      </w:r>
      <w:r w:rsidRPr="00350F98">
        <w:rPr>
          <w:rtl/>
          <w:lang w:bidi="ar-EG"/>
        </w:rPr>
        <w:t>94</w:t>
      </w:r>
      <w:r>
        <w:rPr>
          <w:rtl/>
          <w:lang w:bidi="ar-EG"/>
        </w:rPr>
        <w:t xml:space="preserve"> عضواً، من بينهم </w:t>
      </w:r>
      <w:r w:rsidRPr="00350F98">
        <w:rPr>
          <w:rtl/>
          <w:lang w:bidi="ar-EG"/>
        </w:rPr>
        <w:t>75</w:t>
      </w:r>
      <w:r>
        <w:rPr>
          <w:rtl/>
          <w:lang w:bidi="ar-EG"/>
        </w:rPr>
        <w:t xml:space="preserve"> عضواً في مجلس المنطقة الوالونية و</w:t>
      </w:r>
      <w:r w:rsidRPr="00350F98">
        <w:rPr>
          <w:rtl/>
          <w:lang w:bidi="ar-EG"/>
        </w:rPr>
        <w:t>19</w:t>
      </w:r>
      <w:r>
        <w:rPr>
          <w:rtl/>
          <w:lang w:bidi="ar-EG"/>
        </w:rPr>
        <w:t xml:space="preserve"> عضواً تنتخبهم المجموعة اللغوية الفرنسية في مجلس منطقة العاصمة بروكسل.</w:t>
      </w:r>
    </w:p>
    <w:p w14:paraId="6F80D375" w14:textId="4D449554" w:rsidR="00D424DC" w:rsidRDefault="00D424DC" w:rsidP="00D424DC">
      <w:pPr>
        <w:pStyle w:val="SingleTxtGA"/>
        <w:rPr>
          <w:rtl/>
          <w:lang w:bidi="ar-EG"/>
        </w:rPr>
      </w:pPr>
      <w:r w:rsidRPr="00350F98">
        <w:rPr>
          <w:rtl/>
          <w:lang w:bidi="ar-EG"/>
        </w:rPr>
        <w:t>77</w:t>
      </w:r>
      <w:r>
        <w:rPr>
          <w:rtl/>
          <w:lang w:bidi="ar-EG"/>
        </w:rPr>
        <w:t>-</w:t>
      </w:r>
      <w:r>
        <w:rPr>
          <w:rtl/>
          <w:lang w:bidi="ar-EG"/>
        </w:rPr>
        <w:tab/>
        <w:t xml:space="preserve">ويتألف المجلس النيابي للجماعة الناطقة بالألمانية من </w:t>
      </w:r>
      <w:r w:rsidR="00F92BBC" w:rsidRPr="00350F98">
        <w:rPr>
          <w:rtl/>
          <w:lang w:bidi="ar-EG"/>
        </w:rPr>
        <w:t>25</w:t>
      </w:r>
      <w:r>
        <w:rPr>
          <w:rtl/>
          <w:lang w:bidi="ar-EG"/>
        </w:rPr>
        <w:t xml:space="preserve"> عضواً ينتخبون عن طريق الاقتراع المباشر.</w:t>
      </w:r>
    </w:p>
    <w:p w14:paraId="3C3D26B7" w14:textId="77777777" w:rsidR="00D424DC" w:rsidRPr="00800832" w:rsidRDefault="00D424DC" w:rsidP="00D424DC">
      <w:pPr>
        <w:pStyle w:val="SingleTxtGA"/>
        <w:rPr>
          <w:spacing w:val="-4"/>
          <w:rtl/>
          <w:lang w:bidi="ar-EG"/>
        </w:rPr>
      </w:pPr>
      <w:r w:rsidRPr="00350F98">
        <w:rPr>
          <w:rtl/>
          <w:lang w:bidi="ar-EG"/>
        </w:rPr>
        <w:t>78</w:t>
      </w:r>
      <w:r>
        <w:rPr>
          <w:rtl/>
          <w:lang w:bidi="ar-EG"/>
        </w:rPr>
        <w:t>-</w:t>
      </w:r>
      <w:r>
        <w:rPr>
          <w:rtl/>
          <w:lang w:bidi="ar-EG"/>
        </w:rPr>
        <w:tab/>
        <w:t xml:space="preserve">ولا يجوز من حيث المبدأ الجمع بين وظيفتي عضو في مجلس نيابي ونائب في مجلس النواب </w:t>
      </w:r>
      <w:r w:rsidRPr="00800832">
        <w:rPr>
          <w:spacing w:val="-4"/>
          <w:rtl/>
          <w:lang w:bidi="ar-EG"/>
        </w:rPr>
        <w:t>أو عضو في مجلس الشيوخ، باستثناء أعضاء مجلس الشيوخ الذين يعينهم مجلس نيابي مجتمعي أو إقليمي.</w:t>
      </w:r>
    </w:p>
    <w:p w14:paraId="11031406" w14:textId="77777777" w:rsidR="00D424DC" w:rsidRDefault="00D424DC" w:rsidP="00D424DC">
      <w:pPr>
        <w:pStyle w:val="SingleTxtGA"/>
        <w:rPr>
          <w:rtl/>
          <w:lang w:bidi="ar-EG"/>
        </w:rPr>
      </w:pPr>
      <w:r w:rsidRPr="00350F98">
        <w:rPr>
          <w:rtl/>
          <w:lang w:bidi="ar-EG"/>
        </w:rPr>
        <w:t>79</w:t>
      </w:r>
      <w:r>
        <w:rPr>
          <w:rtl/>
          <w:lang w:bidi="ar-EG"/>
        </w:rPr>
        <w:t>-</w:t>
      </w:r>
      <w:r>
        <w:rPr>
          <w:rtl/>
          <w:lang w:bidi="ar-EG"/>
        </w:rPr>
        <w:tab/>
        <w:t>ويتمتع كل مجلس نيابي، في حدود معينة، بالاستقلال الذاتي فيما يتعلق بالمسائل التأسيسية، أي أنّ المراسيم التي تعتمدها المجالس النيابية بأغلبية معزَّزة يمكن أن تحسم مسائل تتعلق بالانتخابات وبتكوين المجالس النيابية وحكوماتها وسير عملها.</w:t>
      </w:r>
    </w:p>
    <w:p w14:paraId="3E23DFFB" w14:textId="77777777" w:rsidR="00D424DC" w:rsidRDefault="00D424DC" w:rsidP="00D424DC">
      <w:pPr>
        <w:pStyle w:val="SingleTxtGA"/>
        <w:rPr>
          <w:rtl/>
          <w:lang w:bidi="ar-EG"/>
        </w:rPr>
      </w:pPr>
      <w:r w:rsidRPr="00350F98">
        <w:rPr>
          <w:rtl/>
          <w:lang w:bidi="ar-EG"/>
        </w:rPr>
        <w:t>80</w:t>
      </w:r>
      <w:r>
        <w:rPr>
          <w:rtl/>
          <w:lang w:bidi="ar-EG"/>
        </w:rPr>
        <w:t>-</w:t>
      </w:r>
      <w:r>
        <w:rPr>
          <w:rtl/>
          <w:lang w:bidi="ar-EG"/>
        </w:rPr>
        <w:tab/>
      </w:r>
      <w:r w:rsidRPr="00800832">
        <w:rPr>
          <w:spacing w:val="-4"/>
          <w:rtl/>
          <w:lang w:bidi="ar-EG"/>
        </w:rPr>
        <w:t>ويُنتخَب أعضاء المجالس النيابية المجتمعية والإقليمية لمدة خمس سنوات. ويتجدَّد انتخاب المجالس</w:t>
      </w:r>
      <w:r>
        <w:rPr>
          <w:rtl/>
          <w:lang w:bidi="ar-EG"/>
        </w:rPr>
        <w:t xml:space="preserve"> النيابية بكافة أعضائها كل خمس سنوات؛ ولا يجوز حلّ هذه المجالس قبل انتهاء المدة النيابية.</w:t>
      </w:r>
    </w:p>
    <w:p w14:paraId="015463B3" w14:textId="77777777" w:rsidR="00D424DC" w:rsidRPr="00350F98" w:rsidRDefault="00D424DC" w:rsidP="00D424DC">
      <w:pPr>
        <w:pStyle w:val="H4GA"/>
        <w:rPr>
          <w:rtl/>
          <w:lang w:bidi="ar-EG"/>
        </w:rPr>
      </w:pPr>
      <w:r w:rsidRPr="00350F98">
        <w:rPr>
          <w:rtl/>
          <w:lang w:bidi="ar-EG"/>
        </w:rPr>
        <w:tab/>
        <w:t>(ب)</w:t>
      </w:r>
      <w:r w:rsidRPr="00350F98">
        <w:rPr>
          <w:rtl/>
          <w:lang w:bidi="ar-EG"/>
        </w:rPr>
        <w:tab/>
        <w:t>الحكومات</w:t>
      </w:r>
    </w:p>
    <w:p w14:paraId="1D817065" w14:textId="77777777" w:rsidR="00D424DC" w:rsidRDefault="00D424DC" w:rsidP="00D424DC">
      <w:pPr>
        <w:pStyle w:val="SingleTxtGA"/>
        <w:rPr>
          <w:rtl/>
          <w:lang w:bidi="ar-EG"/>
        </w:rPr>
      </w:pPr>
      <w:r w:rsidRPr="00350F98">
        <w:rPr>
          <w:rtl/>
          <w:lang w:bidi="ar-EG"/>
        </w:rPr>
        <w:t>81</w:t>
      </w:r>
      <w:r>
        <w:rPr>
          <w:rtl/>
          <w:lang w:bidi="ar-EG"/>
        </w:rPr>
        <w:t>-</w:t>
      </w:r>
      <w:r>
        <w:rPr>
          <w:rtl/>
          <w:lang w:bidi="ar-EG"/>
        </w:rPr>
        <w:tab/>
        <w:t xml:space="preserve">يُنتخب أعضاء كل من الحكومات الإقليمية أو المجتمعية من لدن مجالسها النيابية ولكن ليس </w:t>
      </w:r>
      <w:r w:rsidRPr="00800832">
        <w:rPr>
          <w:spacing w:val="-4"/>
          <w:rtl/>
          <w:lang w:bidi="ar-EG"/>
        </w:rPr>
        <w:t>بالضرورة من داخلها. ويؤدي أعضاء الحكومة اليمين أمام رئيس المجلس النيابي الذي انتخبهم. والمسؤوليات</w:t>
      </w:r>
      <w:r>
        <w:rPr>
          <w:rtl/>
          <w:lang w:bidi="ar-EG"/>
        </w:rPr>
        <w:t xml:space="preserve"> السياسية والقضائية التي يمارسها أعضاء هذه الهيئات التنفيذية مستمدة من المسؤوليات الجارية على الصعيد الاتحادي.</w:t>
      </w:r>
    </w:p>
    <w:p w14:paraId="09C1862C" w14:textId="77777777" w:rsidR="00D424DC" w:rsidRPr="00350F98" w:rsidRDefault="00D424DC" w:rsidP="00D424DC">
      <w:pPr>
        <w:pStyle w:val="H4GA"/>
        <w:rPr>
          <w:rtl/>
          <w:lang w:bidi="ar-EG"/>
        </w:rPr>
      </w:pPr>
      <w:r w:rsidRPr="00350F98">
        <w:rPr>
          <w:rtl/>
          <w:lang w:bidi="ar-EG"/>
        </w:rPr>
        <w:tab/>
        <w:t>(ج)</w:t>
      </w:r>
      <w:r w:rsidRPr="00350F98">
        <w:rPr>
          <w:rtl/>
          <w:lang w:bidi="ar-EG"/>
        </w:rPr>
        <w:tab/>
        <w:t xml:space="preserve">الاختصاصات الموضوعية للجماعات </w:t>
      </w:r>
    </w:p>
    <w:p w14:paraId="6044FCCB" w14:textId="77777777" w:rsidR="00D424DC" w:rsidRDefault="00D424DC" w:rsidP="00D424DC">
      <w:pPr>
        <w:pStyle w:val="SingleTxtGA"/>
        <w:rPr>
          <w:rtl/>
          <w:lang w:bidi="ar-EG"/>
        </w:rPr>
      </w:pPr>
      <w:r w:rsidRPr="00350F98">
        <w:rPr>
          <w:rtl/>
          <w:lang w:bidi="ar-EG"/>
        </w:rPr>
        <w:t>82</w:t>
      </w:r>
      <w:r>
        <w:rPr>
          <w:rtl/>
          <w:lang w:bidi="ar-EG"/>
        </w:rPr>
        <w:t>-</w:t>
      </w:r>
      <w:r>
        <w:rPr>
          <w:rtl/>
          <w:lang w:bidi="ar-EG"/>
        </w:rPr>
        <w:tab/>
        <w:t>تشمل هذه الاختصاصات، على سبيل الذكر لا الحصر، المجالات التالية:</w:t>
      </w:r>
    </w:p>
    <w:p w14:paraId="51A2DFC9" w14:textId="77777777" w:rsidR="00D424DC" w:rsidRDefault="00D424DC" w:rsidP="00D424DC">
      <w:pPr>
        <w:pStyle w:val="H56GA"/>
        <w:rPr>
          <w:rtl/>
          <w:lang w:bidi="ar-EG"/>
        </w:rPr>
      </w:pPr>
      <w:r>
        <w:rPr>
          <w:rtl/>
          <w:lang w:bidi="ar-EG"/>
        </w:rPr>
        <w:tab/>
        <w:t>(</w:t>
      </w:r>
      <w:r w:rsidRPr="00350F98">
        <w:rPr>
          <w:rtl/>
          <w:lang w:bidi="ar-EG"/>
        </w:rPr>
        <w:t>1</w:t>
      </w:r>
      <w:r>
        <w:rPr>
          <w:rtl/>
          <w:lang w:bidi="ar-EG"/>
        </w:rPr>
        <w:t>)</w:t>
      </w:r>
      <w:r>
        <w:rPr>
          <w:rtl/>
          <w:lang w:bidi="ar-EG"/>
        </w:rPr>
        <w:tab/>
        <w:t>الشؤون الثقافية</w:t>
      </w:r>
    </w:p>
    <w:p w14:paraId="706FF0B1" w14:textId="7A0F9747" w:rsidR="00D424DC" w:rsidRDefault="00D424DC" w:rsidP="00D424DC">
      <w:pPr>
        <w:pStyle w:val="SingleTxtGA"/>
        <w:rPr>
          <w:rtl/>
          <w:lang w:bidi="ar-EG"/>
        </w:rPr>
      </w:pPr>
      <w:r w:rsidRPr="00350F98">
        <w:rPr>
          <w:rtl/>
          <w:lang w:bidi="ar-EG"/>
        </w:rPr>
        <w:t>83</w:t>
      </w:r>
      <w:r>
        <w:rPr>
          <w:rtl/>
          <w:lang w:bidi="ar-EG"/>
        </w:rPr>
        <w:t>-</w:t>
      </w:r>
      <w:r>
        <w:rPr>
          <w:rtl/>
          <w:lang w:bidi="ar-EG"/>
        </w:rPr>
        <w:tab/>
        <w:t xml:space="preserve">لم يُعدِّد واضع الدستور بطريقة مُفصَّلة قائمة بالمسائل التي يشملها مفهوم "الشؤون الثقافية". </w:t>
      </w:r>
      <w:r w:rsidRPr="00800832">
        <w:rPr>
          <w:spacing w:val="-2"/>
          <w:rtl/>
          <w:lang w:bidi="ar-EG"/>
        </w:rPr>
        <w:t>وقد</w:t>
      </w:r>
      <w:r w:rsidR="00800832" w:rsidRPr="00800832">
        <w:rPr>
          <w:rFonts w:hint="cs"/>
          <w:spacing w:val="-2"/>
          <w:rtl/>
          <w:lang w:bidi="ar-EG"/>
        </w:rPr>
        <w:t> </w:t>
      </w:r>
      <w:r w:rsidRPr="00800832">
        <w:rPr>
          <w:spacing w:val="-2"/>
          <w:rtl/>
          <w:lang w:bidi="ar-EG"/>
        </w:rPr>
        <w:t>حدَّد المشرِّع، بالاستناد إلى قانون اعتُمد بالأغلبية الخاصة، قائمة ب</w:t>
      </w:r>
      <w:r w:rsidR="00800832">
        <w:rPr>
          <w:rFonts w:hint="cs"/>
          <w:spacing w:val="-2"/>
          <w:rtl/>
          <w:lang w:bidi="ar-EG"/>
        </w:rPr>
        <w:t>‍</w:t>
      </w:r>
      <w:r w:rsidRPr="00800832">
        <w:rPr>
          <w:spacing w:val="-2"/>
          <w:rtl/>
          <w:lang w:bidi="ar-EG"/>
        </w:rPr>
        <w:t xml:space="preserve"> </w:t>
      </w:r>
      <w:r w:rsidRPr="00350F98">
        <w:rPr>
          <w:spacing w:val="-2"/>
          <w:rtl/>
          <w:lang w:bidi="ar-EG"/>
        </w:rPr>
        <w:t>18</w:t>
      </w:r>
      <w:r w:rsidRPr="00800832">
        <w:rPr>
          <w:spacing w:val="-2"/>
          <w:rtl/>
          <w:lang w:bidi="ar-EG"/>
        </w:rPr>
        <w:t xml:space="preserve"> باباً، من بينها الدفاع عن اللغة،</w:t>
      </w:r>
      <w:r>
        <w:rPr>
          <w:rtl/>
          <w:lang w:bidi="ar-EG"/>
        </w:rPr>
        <w:t xml:space="preserve"> والفنون الجميلة، والتراث الثقافي، ومساندة الصحافة، وسياسة الشباب، وأنشطة الترفيه، والتثقيف الفكري والأخلاقي والفني والاجتماعي.</w:t>
      </w:r>
    </w:p>
    <w:p w14:paraId="1171ABDE" w14:textId="77777777" w:rsidR="00D424DC" w:rsidRDefault="00D424DC" w:rsidP="00D424DC">
      <w:pPr>
        <w:pStyle w:val="H56GA"/>
        <w:rPr>
          <w:rtl/>
          <w:lang w:bidi="ar-EG"/>
        </w:rPr>
      </w:pPr>
      <w:r>
        <w:rPr>
          <w:rtl/>
          <w:lang w:bidi="ar-EG"/>
        </w:rPr>
        <w:tab/>
        <w:t>(</w:t>
      </w:r>
      <w:r w:rsidRPr="00350F98">
        <w:rPr>
          <w:rtl/>
          <w:lang w:bidi="ar-EG"/>
        </w:rPr>
        <w:t>2</w:t>
      </w:r>
      <w:r>
        <w:rPr>
          <w:rtl/>
          <w:lang w:bidi="ar-EG"/>
        </w:rPr>
        <w:t>)</w:t>
      </w:r>
      <w:r>
        <w:rPr>
          <w:rtl/>
          <w:lang w:bidi="ar-EG"/>
        </w:rPr>
        <w:tab/>
        <w:t>التعليم</w:t>
      </w:r>
    </w:p>
    <w:p w14:paraId="50DB16F9" w14:textId="77777777" w:rsidR="00D424DC" w:rsidRDefault="00D424DC" w:rsidP="00D424DC">
      <w:pPr>
        <w:pStyle w:val="SingleTxtGA"/>
        <w:rPr>
          <w:rtl/>
          <w:lang w:bidi="ar-EG"/>
        </w:rPr>
      </w:pPr>
      <w:r w:rsidRPr="00350F98">
        <w:rPr>
          <w:rtl/>
          <w:lang w:bidi="ar-EG"/>
        </w:rPr>
        <w:t>84</w:t>
      </w:r>
      <w:r>
        <w:rPr>
          <w:rtl/>
          <w:lang w:bidi="ar-EG"/>
        </w:rPr>
        <w:t>-</w:t>
      </w:r>
      <w:r>
        <w:rPr>
          <w:rtl/>
          <w:lang w:bidi="ar-EG"/>
        </w:rPr>
        <w:tab/>
        <w:t>أُوكِل التعليم بجل أصنافه، من مدارس الحضانة حتى الجامعة، إلى الجماعات.</w:t>
      </w:r>
    </w:p>
    <w:p w14:paraId="000D388F" w14:textId="77777777" w:rsidR="00D424DC" w:rsidRDefault="00D424DC" w:rsidP="00D424DC">
      <w:pPr>
        <w:pStyle w:val="SingleTxtGA"/>
        <w:rPr>
          <w:rtl/>
          <w:lang w:bidi="ar-EG"/>
        </w:rPr>
      </w:pPr>
      <w:r w:rsidRPr="00350F98">
        <w:rPr>
          <w:rtl/>
          <w:lang w:bidi="ar-EG"/>
        </w:rPr>
        <w:t>85</w:t>
      </w:r>
      <w:r>
        <w:rPr>
          <w:rtl/>
          <w:lang w:bidi="ar-EG"/>
        </w:rPr>
        <w:t>-</w:t>
      </w:r>
      <w:r>
        <w:rPr>
          <w:rtl/>
          <w:lang w:bidi="ar-EG"/>
        </w:rPr>
        <w:tab/>
      </w:r>
      <w:r w:rsidRPr="008E6DC1">
        <w:rPr>
          <w:spacing w:val="-2"/>
          <w:rtl/>
          <w:lang w:bidi="ar-EG"/>
        </w:rPr>
        <w:t>وتقتصر اختصاصات السلطة الاتحادية في هذا المجال على تحديد بداية التعليم الإلزامي ونهايته،</w:t>
      </w:r>
      <w:r>
        <w:rPr>
          <w:rtl/>
          <w:lang w:bidi="ar-EG"/>
        </w:rPr>
        <w:t xml:space="preserve"> ووضع الشروط الدنيا لمنح الشهادات العلمية، ونظام المعاشات التقاعدية.</w:t>
      </w:r>
    </w:p>
    <w:p w14:paraId="163F8138" w14:textId="77777777" w:rsidR="00D424DC" w:rsidRDefault="00D424DC" w:rsidP="00D424DC">
      <w:pPr>
        <w:pStyle w:val="H56GA"/>
        <w:rPr>
          <w:rtl/>
          <w:lang w:bidi="ar-EG"/>
        </w:rPr>
      </w:pPr>
      <w:r>
        <w:rPr>
          <w:rtl/>
          <w:lang w:bidi="ar-EG"/>
        </w:rPr>
        <w:lastRenderedPageBreak/>
        <w:tab/>
        <w:t>(</w:t>
      </w:r>
      <w:r w:rsidRPr="00350F98">
        <w:rPr>
          <w:rtl/>
          <w:lang w:bidi="ar-EG"/>
        </w:rPr>
        <w:t>3</w:t>
      </w:r>
      <w:r>
        <w:rPr>
          <w:rtl/>
          <w:lang w:bidi="ar-EG"/>
        </w:rPr>
        <w:t>)</w:t>
      </w:r>
      <w:r>
        <w:rPr>
          <w:rtl/>
          <w:lang w:bidi="ar-EG"/>
        </w:rPr>
        <w:tab/>
        <w:t>استخدام اللغات</w:t>
      </w:r>
    </w:p>
    <w:p w14:paraId="1D4D0ED3" w14:textId="77777777" w:rsidR="00D424DC" w:rsidRDefault="00D424DC" w:rsidP="00D424DC">
      <w:pPr>
        <w:pStyle w:val="SingleTxtGA"/>
        <w:rPr>
          <w:rtl/>
          <w:lang w:bidi="ar-EG"/>
        </w:rPr>
      </w:pPr>
      <w:r w:rsidRPr="00350F98">
        <w:rPr>
          <w:rtl/>
          <w:lang w:bidi="ar-EG"/>
        </w:rPr>
        <w:t>86</w:t>
      </w:r>
      <w:r>
        <w:rPr>
          <w:rtl/>
          <w:lang w:bidi="ar-EG"/>
        </w:rPr>
        <w:t>-</w:t>
      </w:r>
      <w:r>
        <w:rPr>
          <w:rtl/>
          <w:lang w:bidi="ar-EG"/>
        </w:rPr>
        <w:tab/>
        <w:t>للجماعتين المحليتين الفرنسية والفلمنكية أهلية تنظيم استخدام اللغات في مجالات ثلاثة هي المسائل الإدارية؛ والتعليم في المؤسسات التي تنشئها وتموِّلها السلطات العامة؛ والعلاقات الاجتماعية بين أصحاب العمل وموظفيهم، والوثائق والمستندات الخاصة بالمؤسسات والتي تفرضها القوانين واللوائح.</w:t>
      </w:r>
    </w:p>
    <w:p w14:paraId="303E6EBE" w14:textId="77777777" w:rsidR="00D424DC" w:rsidRDefault="00D424DC" w:rsidP="00D424DC">
      <w:pPr>
        <w:pStyle w:val="SingleTxtGA"/>
        <w:rPr>
          <w:rtl/>
          <w:lang w:bidi="ar-EG"/>
        </w:rPr>
      </w:pPr>
      <w:r w:rsidRPr="00350F98">
        <w:rPr>
          <w:rtl/>
          <w:lang w:bidi="ar-EG"/>
        </w:rPr>
        <w:t>87</w:t>
      </w:r>
      <w:r>
        <w:rPr>
          <w:rtl/>
          <w:lang w:bidi="ar-EG"/>
        </w:rPr>
        <w:t>-</w:t>
      </w:r>
      <w:r>
        <w:rPr>
          <w:rtl/>
          <w:lang w:bidi="ar-EG"/>
        </w:rPr>
        <w:tab/>
        <w:t>وليس من اختصاص الجماعات تنظيم استخدام اللغات فيما يتعلق بالدوائر التي يمتد نشاطها إلى خارج المنطقة اللغوية التي أُحدِثت فيها، والمؤسسات الاتحادية والدولية المنصوص عليها في القوانين، والتي يشمل نشاطها أكثر من جماعة، والبلديات ذات النظام اللغوي الخاص.</w:t>
      </w:r>
    </w:p>
    <w:p w14:paraId="662B383A" w14:textId="2A8B563F" w:rsidR="00D424DC" w:rsidRDefault="00D424DC" w:rsidP="00D424DC">
      <w:pPr>
        <w:pStyle w:val="SingleTxtGA"/>
        <w:rPr>
          <w:rtl/>
          <w:lang w:bidi="ar-EG"/>
        </w:rPr>
      </w:pPr>
      <w:r w:rsidRPr="00350F98">
        <w:rPr>
          <w:rtl/>
          <w:lang w:bidi="ar-EG"/>
        </w:rPr>
        <w:t>88</w:t>
      </w:r>
      <w:r>
        <w:rPr>
          <w:rtl/>
          <w:lang w:bidi="ar-EG"/>
        </w:rPr>
        <w:t>-</w:t>
      </w:r>
      <w:r w:rsidR="000C7FF8">
        <w:rPr>
          <w:rtl/>
          <w:lang w:bidi="ar-EG"/>
        </w:rPr>
        <w:tab/>
      </w:r>
      <w:r w:rsidRPr="00C918AE">
        <w:rPr>
          <w:rtl/>
          <w:lang w:bidi="ar-EG"/>
        </w:rPr>
        <w:t xml:space="preserve">ويُربط الاختصاص فيما يتعلق بتلك الدوائر والمؤسسات والبلديات بالمستوى الاتحادي. ومن </w:t>
      </w:r>
      <w:r w:rsidRPr="00800832">
        <w:rPr>
          <w:spacing w:val="-4"/>
          <w:rtl/>
          <w:lang w:bidi="ar-EG"/>
        </w:rPr>
        <w:t>اختصاصات السلطة الاتحادية أيضاً تنظيم استخدام اللغات في منطقة العاصمة بروكسل ذات اللغتين ومنطقة</w:t>
      </w:r>
      <w:r>
        <w:rPr>
          <w:rtl/>
          <w:lang w:bidi="ar-EG"/>
        </w:rPr>
        <w:t xml:space="preserve"> اللغة الألمانية.</w:t>
      </w:r>
    </w:p>
    <w:p w14:paraId="2318F4AB" w14:textId="77777777" w:rsidR="00D424DC" w:rsidRDefault="00D424DC" w:rsidP="00D424DC">
      <w:pPr>
        <w:pStyle w:val="SingleTxtGA"/>
        <w:rPr>
          <w:rtl/>
          <w:lang w:bidi="ar-EG"/>
        </w:rPr>
      </w:pPr>
      <w:r w:rsidRPr="00350F98">
        <w:rPr>
          <w:rtl/>
          <w:lang w:bidi="ar-EG"/>
        </w:rPr>
        <w:t>89</w:t>
      </w:r>
      <w:r>
        <w:rPr>
          <w:rtl/>
          <w:lang w:bidi="ar-EG"/>
        </w:rPr>
        <w:t>-</w:t>
      </w:r>
      <w:r>
        <w:rPr>
          <w:rtl/>
          <w:lang w:bidi="ar-EG"/>
        </w:rPr>
        <w:tab/>
        <w:t>وتمارس الجماعات أيضاً اختصاصات دولية في المجالات التي تخصها.</w:t>
      </w:r>
    </w:p>
    <w:p w14:paraId="0F6F17AB" w14:textId="77777777" w:rsidR="00D424DC" w:rsidRDefault="00D424DC" w:rsidP="00D424DC">
      <w:pPr>
        <w:pStyle w:val="SingleTxtGA"/>
        <w:rPr>
          <w:rtl/>
          <w:lang w:bidi="ar-EG"/>
        </w:rPr>
      </w:pPr>
      <w:r w:rsidRPr="00350F98">
        <w:rPr>
          <w:rtl/>
          <w:lang w:bidi="ar-EG"/>
        </w:rPr>
        <w:t>90</w:t>
      </w:r>
      <w:r>
        <w:rPr>
          <w:rtl/>
          <w:lang w:bidi="ar-EG"/>
        </w:rPr>
        <w:t>-</w:t>
      </w:r>
      <w:r>
        <w:rPr>
          <w:rtl/>
          <w:lang w:bidi="ar-EG"/>
        </w:rPr>
        <w:tab/>
        <w:t>وتتألف أراضي بلجيكا من أربع مناطق لغوية، هي:</w:t>
      </w:r>
    </w:p>
    <w:p w14:paraId="33EBC2E7" w14:textId="77777777" w:rsidR="00D424DC" w:rsidRDefault="00D424DC" w:rsidP="00D424DC">
      <w:pPr>
        <w:pStyle w:val="SingleTxtGA"/>
        <w:rPr>
          <w:rtl/>
          <w:lang w:bidi="ar-EG"/>
        </w:rPr>
      </w:pPr>
      <w:r>
        <w:rPr>
          <w:rtl/>
          <w:lang w:bidi="ar-EG"/>
        </w:rPr>
        <w:tab/>
        <w:t>(أ)</w:t>
      </w:r>
      <w:r>
        <w:rPr>
          <w:rtl/>
          <w:lang w:bidi="ar-EG"/>
        </w:rPr>
        <w:tab/>
        <w:t>منطقة اللغة الهولندية التي تشمل الأقاليم الفلمنكية الخمسة؛</w:t>
      </w:r>
    </w:p>
    <w:p w14:paraId="76A0F234" w14:textId="77777777" w:rsidR="00D424DC" w:rsidRDefault="00D424DC" w:rsidP="00D424DC">
      <w:pPr>
        <w:pStyle w:val="SingleTxtGA"/>
        <w:rPr>
          <w:rtl/>
          <w:lang w:bidi="ar-EG"/>
        </w:rPr>
      </w:pPr>
      <w:r>
        <w:rPr>
          <w:rtl/>
          <w:lang w:bidi="ar-EG"/>
        </w:rPr>
        <w:tab/>
        <w:t>(ب)</w:t>
      </w:r>
      <w:r>
        <w:rPr>
          <w:rtl/>
          <w:lang w:bidi="ar-EG"/>
        </w:rPr>
        <w:tab/>
        <w:t>منطقة اللغة الفرنسية التي تشمل الأقاليم الوالونية الخمسة باستثناء بلديات منطقة اللغة الألمانية التي تشكّل جزءاً من إقليم لييج؛</w:t>
      </w:r>
    </w:p>
    <w:p w14:paraId="1778B060" w14:textId="77777777" w:rsidR="00D424DC" w:rsidRDefault="00D424DC" w:rsidP="00D424DC">
      <w:pPr>
        <w:pStyle w:val="SingleTxtGA"/>
        <w:rPr>
          <w:rtl/>
          <w:lang w:bidi="ar-EG"/>
        </w:rPr>
      </w:pPr>
      <w:r>
        <w:rPr>
          <w:rtl/>
          <w:lang w:bidi="ar-EG"/>
        </w:rPr>
        <w:tab/>
        <w:t>(ج)</w:t>
      </w:r>
      <w:r>
        <w:rPr>
          <w:rtl/>
          <w:lang w:bidi="ar-EG"/>
        </w:rPr>
        <w:tab/>
        <w:t xml:space="preserve">منطقة العاصمة بروكسل ذات اللغتين التي تشمل </w:t>
      </w:r>
      <w:r w:rsidRPr="00350F98">
        <w:rPr>
          <w:rtl/>
          <w:lang w:bidi="ar-EG"/>
        </w:rPr>
        <w:t>19</w:t>
      </w:r>
      <w:r>
        <w:rPr>
          <w:rtl/>
          <w:lang w:bidi="ar-EG"/>
        </w:rPr>
        <w:t xml:space="preserve"> بلدية؛</w:t>
      </w:r>
    </w:p>
    <w:p w14:paraId="0C13138B" w14:textId="77777777" w:rsidR="00D424DC" w:rsidRDefault="00D424DC" w:rsidP="00D424DC">
      <w:pPr>
        <w:pStyle w:val="SingleTxtGA"/>
        <w:rPr>
          <w:rtl/>
          <w:lang w:bidi="ar-EG"/>
        </w:rPr>
      </w:pPr>
      <w:r>
        <w:rPr>
          <w:rtl/>
          <w:lang w:bidi="ar-EG"/>
        </w:rPr>
        <w:tab/>
        <w:t>(د)</w:t>
      </w:r>
      <w:r>
        <w:rPr>
          <w:rtl/>
          <w:lang w:bidi="ar-EG"/>
        </w:rPr>
        <w:tab/>
        <w:t>منطقة اللغة الألمانية.</w:t>
      </w:r>
    </w:p>
    <w:p w14:paraId="52E1659B" w14:textId="77777777" w:rsidR="00D424DC" w:rsidRDefault="00D424DC" w:rsidP="00D424DC">
      <w:pPr>
        <w:pStyle w:val="SingleTxtGA"/>
        <w:rPr>
          <w:rtl/>
          <w:lang w:bidi="ar-EG"/>
        </w:rPr>
      </w:pPr>
      <w:r w:rsidRPr="00350F98">
        <w:rPr>
          <w:rtl/>
          <w:lang w:bidi="ar-EG"/>
        </w:rPr>
        <w:t>91</w:t>
      </w:r>
      <w:r>
        <w:rPr>
          <w:rtl/>
          <w:lang w:bidi="ar-EG"/>
        </w:rPr>
        <w:t>-</w:t>
      </w:r>
      <w:r>
        <w:rPr>
          <w:rtl/>
          <w:lang w:bidi="ar-EG"/>
        </w:rPr>
        <w:tab/>
      </w:r>
      <w:r w:rsidRPr="00800832">
        <w:rPr>
          <w:spacing w:val="-2"/>
          <w:rtl/>
          <w:lang w:bidi="ar-EG"/>
        </w:rPr>
        <w:t>ويمنح الدستور الجماعة الناطقة باللغة الألمانية نفس الاختصاصات الممنوحة للجماعتين المحليتين الأخريين،</w:t>
      </w:r>
      <w:r>
        <w:rPr>
          <w:rtl/>
          <w:lang w:bidi="ar-EG"/>
        </w:rPr>
        <w:t xml:space="preserve"> غير أن هذه الاختصاصات تقَرّ بموجب قانون يُعتمد بالأغلبية البسيطة.</w:t>
      </w:r>
    </w:p>
    <w:p w14:paraId="2C03C84C" w14:textId="77777777" w:rsidR="00D424DC" w:rsidRDefault="00D424DC" w:rsidP="00D424DC">
      <w:pPr>
        <w:pStyle w:val="SingleTxtGA"/>
        <w:rPr>
          <w:rtl/>
          <w:lang w:bidi="ar-EG"/>
        </w:rPr>
      </w:pPr>
      <w:r w:rsidRPr="00350F98">
        <w:rPr>
          <w:rtl/>
          <w:lang w:bidi="ar-EG"/>
        </w:rPr>
        <w:t>92</w:t>
      </w:r>
      <w:r>
        <w:rPr>
          <w:rtl/>
          <w:lang w:bidi="ar-EG"/>
        </w:rPr>
        <w:t>-</w:t>
      </w:r>
      <w:r>
        <w:rPr>
          <w:rtl/>
          <w:lang w:bidi="ar-EG"/>
        </w:rPr>
        <w:tab/>
        <w:t>ويمكنها أيضاً أن تمارس اختصاصات معينة مستمدة من المنطقة الوالونية على أساس اتفاقات تُبرَم بين حكومتي هذين الكيانين.</w:t>
      </w:r>
    </w:p>
    <w:p w14:paraId="2827CF0C" w14:textId="77777777" w:rsidR="00D424DC" w:rsidRDefault="00D424DC" w:rsidP="00D424DC">
      <w:pPr>
        <w:pStyle w:val="SingleTxtGA"/>
        <w:rPr>
          <w:rtl/>
          <w:lang w:bidi="ar-EG"/>
        </w:rPr>
      </w:pPr>
      <w:r w:rsidRPr="00350F98">
        <w:rPr>
          <w:rtl/>
          <w:lang w:bidi="ar-EG"/>
        </w:rPr>
        <w:t>93</w:t>
      </w:r>
      <w:r>
        <w:rPr>
          <w:rtl/>
          <w:lang w:bidi="ar-EG"/>
        </w:rPr>
        <w:t>-</w:t>
      </w:r>
      <w:r>
        <w:rPr>
          <w:rtl/>
          <w:lang w:bidi="ar-EG"/>
        </w:rPr>
        <w:tab/>
        <w:t>وقد أقرّ المشرّع أوضاعاً قانونية خاصة، على شكل "تسهيلات" لغوية، لبلديات متاخمة لحدود المناطق اللغوية وحول بروكسل تضم أقليات لغوية قوية إلى حد ما.</w:t>
      </w:r>
    </w:p>
    <w:p w14:paraId="1A3EC51F" w14:textId="77777777" w:rsidR="00D424DC" w:rsidRDefault="00D424DC" w:rsidP="00D424DC">
      <w:pPr>
        <w:pStyle w:val="H56GA"/>
        <w:rPr>
          <w:rtl/>
          <w:lang w:bidi="ar-EG"/>
        </w:rPr>
      </w:pPr>
      <w:r>
        <w:rPr>
          <w:rtl/>
          <w:lang w:bidi="ar-EG"/>
        </w:rPr>
        <w:tab/>
        <w:t>(</w:t>
      </w:r>
      <w:r w:rsidRPr="00350F98">
        <w:rPr>
          <w:rtl/>
          <w:lang w:bidi="ar-EG"/>
        </w:rPr>
        <w:t>4</w:t>
      </w:r>
      <w:r>
        <w:rPr>
          <w:rtl/>
          <w:lang w:bidi="ar-EG"/>
        </w:rPr>
        <w:t>)</w:t>
      </w:r>
      <w:r>
        <w:rPr>
          <w:rtl/>
          <w:lang w:bidi="ar-EG"/>
        </w:rPr>
        <w:tab/>
        <w:t>المسائل التي يمكن اعتبارها شخصية</w:t>
      </w:r>
    </w:p>
    <w:p w14:paraId="751CEDDB" w14:textId="77777777" w:rsidR="00D424DC" w:rsidRDefault="00D424DC" w:rsidP="00D424DC">
      <w:pPr>
        <w:pStyle w:val="SingleTxtGA"/>
        <w:rPr>
          <w:rtl/>
          <w:lang w:bidi="ar-EG"/>
        </w:rPr>
      </w:pPr>
      <w:r w:rsidRPr="00350F98">
        <w:rPr>
          <w:rtl/>
          <w:lang w:bidi="ar-EG"/>
        </w:rPr>
        <w:t>94</w:t>
      </w:r>
      <w:r>
        <w:rPr>
          <w:rtl/>
          <w:lang w:bidi="ar-EG"/>
        </w:rPr>
        <w:t>-</w:t>
      </w:r>
      <w:r>
        <w:rPr>
          <w:rtl/>
          <w:lang w:bidi="ar-EG"/>
        </w:rPr>
        <w:tab/>
      </w:r>
      <w:r w:rsidRPr="00C918AE">
        <w:rPr>
          <w:spacing w:val="-4"/>
          <w:rtl/>
          <w:lang w:bidi="ar-EG"/>
        </w:rPr>
        <w:t xml:space="preserve">يشير هذا المصطلح إلى المسائل التي تتصل اتصالاً وثيقاً، بحكم طبيعتها، بالأشخاص في نموهم </w:t>
      </w:r>
      <w:r>
        <w:rPr>
          <w:rtl/>
          <w:lang w:bidi="ar-EG"/>
        </w:rPr>
        <w:t>الشخصي والاجتماعي.</w:t>
      </w:r>
    </w:p>
    <w:p w14:paraId="71DDE237" w14:textId="77777777" w:rsidR="00D424DC" w:rsidRDefault="00D424DC" w:rsidP="00D424DC">
      <w:pPr>
        <w:pStyle w:val="SingleTxtGA"/>
        <w:rPr>
          <w:rtl/>
          <w:lang w:bidi="ar-EG"/>
        </w:rPr>
      </w:pPr>
      <w:r w:rsidRPr="00350F98">
        <w:rPr>
          <w:rtl/>
          <w:lang w:bidi="ar-EG"/>
        </w:rPr>
        <w:t>95</w:t>
      </w:r>
      <w:r>
        <w:rPr>
          <w:rtl/>
          <w:lang w:bidi="ar-EG"/>
        </w:rPr>
        <w:t>-</w:t>
      </w:r>
      <w:r>
        <w:rPr>
          <w:rtl/>
          <w:lang w:bidi="ar-EG"/>
        </w:rPr>
        <w:tab/>
        <w:t>ويحدد قانون خاص المسائل التي يمكن اعتبارها شخصية:</w:t>
      </w:r>
    </w:p>
    <w:p w14:paraId="683C5B54" w14:textId="77777777" w:rsidR="00D424DC" w:rsidRDefault="00D424DC" w:rsidP="00D424DC">
      <w:pPr>
        <w:pStyle w:val="SingleTxtGA"/>
        <w:rPr>
          <w:rtl/>
          <w:lang w:bidi="ar-EG"/>
        </w:rPr>
      </w:pPr>
      <w:r>
        <w:rPr>
          <w:rtl/>
          <w:lang w:bidi="ar-EG"/>
        </w:rPr>
        <w:tab/>
        <w:t>(أ)</w:t>
      </w:r>
      <w:r>
        <w:rPr>
          <w:rtl/>
          <w:lang w:bidi="ar-EG"/>
        </w:rPr>
        <w:tab/>
        <w:t>السياسة الصحية؛</w:t>
      </w:r>
    </w:p>
    <w:p w14:paraId="6E888F63" w14:textId="77777777" w:rsidR="00D424DC" w:rsidRPr="008E6DC1" w:rsidRDefault="00D424DC" w:rsidP="00D424DC">
      <w:pPr>
        <w:pStyle w:val="SingleTxtGA"/>
        <w:rPr>
          <w:spacing w:val="-4"/>
          <w:rtl/>
          <w:lang w:bidi="ar-EG"/>
        </w:rPr>
      </w:pPr>
      <w:r w:rsidRPr="008E6DC1">
        <w:rPr>
          <w:spacing w:val="-4"/>
          <w:rtl/>
          <w:lang w:bidi="ar-EG"/>
        </w:rPr>
        <w:tab/>
        <w:t>(ب)</w:t>
      </w:r>
      <w:r w:rsidRPr="008E6DC1">
        <w:rPr>
          <w:spacing w:val="-4"/>
          <w:rtl/>
          <w:lang w:bidi="ar-EG"/>
        </w:rPr>
        <w:tab/>
        <w:t>المساعدة المقدمة إلى الأشخاص والتي تشمل في جملة أمور السياسة الأُسرية، والمساعدة الاجتماعية، واستقبال المهاجرين وإدماجهم، والسياسة الخاصة بذوي الإعاقة، والسياسة الخاصة بالمسنين، والسياسة الخاصة بالشباب، والمساعدة الاجتماعية المقدمة إلى السجناء، والمساعدة القانونية الأولية؛</w:t>
      </w:r>
    </w:p>
    <w:p w14:paraId="07F1BC0F" w14:textId="77777777" w:rsidR="00D424DC" w:rsidRDefault="00D424DC" w:rsidP="00D424DC">
      <w:pPr>
        <w:pStyle w:val="SingleTxtGA"/>
        <w:rPr>
          <w:rtl/>
          <w:lang w:bidi="ar-EG"/>
        </w:rPr>
      </w:pPr>
      <w:r>
        <w:rPr>
          <w:rtl/>
          <w:lang w:bidi="ar-EG"/>
        </w:rPr>
        <w:tab/>
        <w:t>(ج)</w:t>
      </w:r>
      <w:r>
        <w:rPr>
          <w:rtl/>
          <w:lang w:bidi="ar-EG"/>
        </w:rPr>
        <w:tab/>
        <w:t>تنظيم مراكز العدالة والدوائر المختصة، وسير عملها ومهامها لكفالة تنفيذ الرصد الإلكتروني ومتابعته؛</w:t>
      </w:r>
    </w:p>
    <w:p w14:paraId="5FC83EEC" w14:textId="77777777" w:rsidR="00D424DC" w:rsidRDefault="00D424DC" w:rsidP="00D424DC">
      <w:pPr>
        <w:pStyle w:val="SingleTxtGA"/>
        <w:rPr>
          <w:rtl/>
          <w:lang w:bidi="ar-EG"/>
        </w:rPr>
      </w:pPr>
      <w:r>
        <w:rPr>
          <w:rtl/>
          <w:lang w:bidi="ar-EG"/>
        </w:rPr>
        <w:lastRenderedPageBreak/>
        <w:tab/>
        <w:t>(د)</w:t>
      </w:r>
      <w:r>
        <w:rPr>
          <w:rtl/>
          <w:lang w:bidi="ar-EG"/>
        </w:rPr>
        <w:tab/>
        <w:t>الاستحقاقات الأسرية.</w:t>
      </w:r>
      <w:r>
        <w:rPr>
          <w:rFonts w:hint="cs"/>
          <w:rtl/>
          <w:lang w:bidi="ar-EG"/>
        </w:rPr>
        <w:t xml:space="preserve"> </w:t>
      </w:r>
      <w:r>
        <w:rPr>
          <w:rtl/>
          <w:lang w:bidi="ar-EG"/>
        </w:rPr>
        <w:t>وتتولى المنطقة الوالونية</w:t>
      </w:r>
      <w:r>
        <w:rPr>
          <w:rFonts w:hint="cs"/>
          <w:rtl/>
          <w:lang w:bidi="ar-EG"/>
        </w:rPr>
        <w:t xml:space="preserve"> </w:t>
      </w:r>
      <w:r>
        <w:rPr>
          <w:rtl/>
          <w:lang w:bidi="ar-EG"/>
        </w:rPr>
        <w:t>ممارسة هذا الاختصاص في منطقة اللغة الفرنسية، بينما تمارسه لجنة الجماعات المشتركة في منطقة العاصمة بروكسل ذات اللغتين؛</w:t>
      </w:r>
    </w:p>
    <w:p w14:paraId="2022DBC6" w14:textId="77777777" w:rsidR="00D424DC" w:rsidRDefault="00D424DC" w:rsidP="00D424DC">
      <w:pPr>
        <w:pStyle w:val="SingleTxtGA"/>
        <w:rPr>
          <w:rtl/>
          <w:lang w:bidi="ar-EG"/>
        </w:rPr>
      </w:pPr>
      <w:r>
        <w:rPr>
          <w:rtl/>
          <w:lang w:bidi="ar-EG"/>
        </w:rPr>
        <w:tab/>
        <w:t>(ه)</w:t>
      </w:r>
      <w:r>
        <w:rPr>
          <w:rtl/>
          <w:lang w:bidi="ar-EG"/>
        </w:rPr>
        <w:tab/>
        <w:t>مراقبة الأفلام</w:t>
      </w:r>
      <w:r>
        <w:rPr>
          <w:rFonts w:hint="cs"/>
          <w:rtl/>
          <w:lang w:bidi="ar-EG"/>
        </w:rPr>
        <w:t xml:space="preserve"> </w:t>
      </w:r>
      <w:r>
        <w:rPr>
          <w:rtl/>
          <w:lang w:bidi="ar-EG"/>
        </w:rPr>
        <w:t>من أجل تحديد إمكانية وصول القُصّر إلى قاعات العروض السينمائية.</w:t>
      </w:r>
    </w:p>
    <w:p w14:paraId="7455EDF4" w14:textId="77777777" w:rsidR="00D424DC" w:rsidRDefault="00D424DC" w:rsidP="00D424DC">
      <w:pPr>
        <w:pStyle w:val="SingleTxtGA"/>
        <w:rPr>
          <w:rtl/>
          <w:lang w:bidi="ar-EG"/>
        </w:rPr>
      </w:pPr>
      <w:r w:rsidRPr="00350F98">
        <w:rPr>
          <w:rtl/>
          <w:lang w:bidi="ar-EG"/>
        </w:rPr>
        <w:t>96</w:t>
      </w:r>
      <w:r>
        <w:rPr>
          <w:rtl/>
          <w:lang w:bidi="ar-EG"/>
        </w:rPr>
        <w:t>-</w:t>
      </w:r>
      <w:r>
        <w:rPr>
          <w:rtl/>
          <w:lang w:bidi="ar-EG"/>
        </w:rPr>
        <w:tab/>
        <w:t>وتُستثنى من هذه الاختصاصات المجتمعية مجالات تختص بها السلطة الاتحادية.</w:t>
      </w:r>
    </w:p>
    <w:p w14:paraId="1F969E3B" w14:textId="2D8D2280" w:rsidR="00D424DC" w:rsidRDefault="00D424DC" w:rsidP="00D424DC">
      <w:pPr>
        <w:pStyle w:val="SingleTxtGA"/>
        <w:rPr>
          <w:rtl/>
          <w:lang w:bidi="ar-EG"/>
        </w:rPr>
      </w:pPr>
      <w:r w:rsidRPr="00350F98">
        <w:rPr>
          <w:rtl/>
          <w:lang w:bidi="ar-EG"/>
        </w:rPr>
        <w:t>97</w:t>
      </w:r>
      <w:r>
        <w:rPr>
          <w:rtl/>
          <w:lang w:bidi="ar-EG"/>
        </w:rPr>
        <w:t>-</w:t>
      </w:r>
      <w:r w:rsidR="000C7FF8">
        <w:rPr>
          <w:rtl/>
          <w:lang w:bidi="ar-EG"/>
        </w:rPr>
        <w:tab/>
      </w:r>
      <w:r>
        <w:rPr>
          <w:rtl/>
          <w:lang w:bidi="ar-EG"/>
        </w:rPr>
        <w:t>وتمارس الجماعات أيضاً اختصاصات في المسائل التي تدخل في اختصاصها في مجال البحث العلمي والتعاون الإنمائي.</w:t>
      </w:r>
    </w:p>
    <w:p w14:paraId="7041092F" w14:textId="77777777" w:rsidR="00D424DC" w:rsidRPr="00800832" w:rsidRDefault="00D424DC" w:rsidP="00297A84">
      <w:pPr>
        <w:pStyle w:val="H23GA"/>
        <w:rPr>
          <w:rtl/>
          <w:lang w:bidi="ar-EG"/>
        </w:rPr>
      </w:pPr>
      <w:r>
        <w:rPr>
          <w:rtl/>
          <w:lang w:bidi="ar-EG"/>
        </w:rPr>
        <w:tab/>
      </w:r>
      <w:r w:rsidRPr="00350F98">
        <w:rPr>
          <w:rFonts w:hint="cs"/>
          <w:rtl/>
          <w:lang w:bidi="ar-EG"/>
        </w:rPr>
        <w:t>6</w:t>
      </w:r>
      <w:r w:rsidRPr="00800832">
        <w:rPr>
          <w:rtl/>
          <w:lang w:bidi="ar-EG"/>
        </w:rPr>
        <w:t>-</w:t>
      </w:r>
      <w:r w:rsidRPr="00800832">
        <w:rPr>
          <w:rtl/>
          <w:lang w:bidi="ar-EG"/>
        </w:rPr>
        <w:tab/>
        <w:t>المناطق</w:t>
      </w:r>
    </w:p>
    <w:p w14:paraId="0A0A426B" w14:textId="16099E9C" w:rsidR="00D424DC" w:rsidRPr="00800832" w:rsidRDefault="00D424DC" w:rsidP="00D424DC">
      <w:pPr>
        <w:pStyle w:val="SingleTxtGA"/>
        <w:rPr>
          <w:rtl/>
          <w:lang w:bidi="ar-EG"/>
        </w:rPr>
      </w:pPr>
      <w:r w:rsidRPr="00350F98">
        <w:rPr>
          <w:rtl/>
          <w:lang w:bidi="ar-EG"/>
        </w:rPr>
        <w:t>98</w:t>
      </w:r>
      <w:r w:rsidRPr="00800832">
        <w:rPr>
          <w:rtl/>
          <w:lang w:bidi="ar-EG"/>
        </w:rPr>
        <w:t>-</w:t>
      </w:r>
      <w:r w:rsidRPr="00800832">
        <w:rPr>
          <w:rtl/>
          <w:lang w:bidi="ar-EG"/>
        </w:rPr>
        <w:tab/>
        <w:t>تضم بلجيكا ثلاث مناطق متميزة عن الجماعات</w:t>
      </w:r>
      <w:r w:rsidR="00800832" w:rsidRPr="00800832">
        <w:rPr>
          <w:rFonts w:hint="cs"/>
          <w:rtl/>
          <w:lang w:bidi="ar-EG"/>
        </w:rPr>
        <w:t xml:space="preserve"> </w:t>
      </w:r>
      <w:r w:rsidRPr="00800832">
        <w:rPr>
          <w:rtl/>
          <w:lang w:bidi="ar-EG"/>
        </w:rPr>
        <w:t>الثلاث: المنطقة الفلمنكية، والمنطقة الوالونية، ومنطقة العاصمة بروكسل. والسلطات والاختصاصات هي نفسها بالنسبة للمنطقتين الأوليين، بينما تتميز المنطقة الثالثة بآليات خاصة بها ويعود ذلك أساساً إلى أنه يتعايش على أراضيها سكان ناطقون باللغة الفرنسية وسكان ناطقون باللغة الهولندية، وإلى مركزها كعاصمة.</w:t>
      </w:r>
    </w:p>
    <w:p w14:paraId="46A2BD8A" w14:textId="1B89B348" w:rsidR="00D424DC" w:rsidRDefault="00D424DC" w:rsidP="00D424DC">
      <w:pPr>
        <w:pStyle w:val="SingleTxtGA"/>
        <w:rPr>
          <w:rtl/>
          <w:lang w:bidi="ar-EG"/>
        </w:rPr>
      </w:pPr>
      <w:r w:rsidRPr="00350F98">
        <w:rPr>
          <w:rtl/>
          <w:lang w:bidi="ar-EG"/>
        </w:rPr>
        <w:t>99</w:t>
      </w:r>
      <w:r w:rsidRPr="00800832">
        <w:rPr>
          <w:rtl/>
          <w:lang w:bidi="ar-EG"/>
        </w:rPr>
        <w:t>-</w:t>
      </w:r>
      <w:r w:rsidRPr="00800832">
        <w:rPr>
          <w:rtl/>
          <w:lang w:bidi="ar-EG"/>
        </w:rPr>
        <w:tab/>
        <w:t>وفي فلندرة، يمارس</w:t>
      </w:r>
      <w:r w:rsidR="00800832" w:rsidRPr="00800832">
        <w:rPr>
          <w:rFonts w:hint="cs"/>
          <w:rtl/>
          <w:lang w:bidi="ar-EG"/>
        </w:rPr>
        <w:t xml:space="preserve"> </w:t>
      </w:r>
      <w:r w:rsidRPr="00800832">
        <w:rPr>
          <w:rtl/>
          <w:lang w:bidi="ar-EG"/>
        </w:rPr>
        <w:t>اختصاصات</w:t>
      </w:r>
      <w:r w:rsidR="00800832" w:rsidRPr="00800832">
        <w:rPr>
          <w:rFonts w:hint="cs"/>
          <w:rtl/>
          <w:lang w:bidi="ar-EG"/>
        </w:rPr>
        <w:t xml:space="preserve"> </w:t>
      </w:r>
      <w:r w:rsidRPr="00800832">
        <w:rPr>
          <w:rtl/>
          <w:lang w:bidi="ar-EG"/>
        </w:rPr>
        <w:t>المنطقة المجلسُ النيابي للجماعة الفلمنكية وحكومتها.</w:t>
      </w:r>
    </w:p>
    <w:p w14:paraId="6C4E3996" w14:textId="77777777" w:rsidR="00D424DC" w:rsidRPr="00F92844" w:rsidRDefault="00D424DC" w:rsidP="00D424DC">
      <w:pPr>
        <w:pStyle w:val="SingleTxtGA"/>
        <w:rPr>
          <w:rtl/>
          <w:lang w:bidi="ar-EG"/>
        </w:rPr>
      </w:pPr>
      <w:r w:rsidRPr="00350F98">
        <w:rPr>
          <w:rtl/>
          <w:lang w:bidi="ar-EG"/>
        </w:rPr>
        <w:t>100</w:t>
      </w:r>
      <w:r>
        <w:rPr>
          <w:rtl/>
          <w:lang w:bidi="ar-EG"/>
        </w:rPr>
        <w:t>-</w:t>
      </w:r>
      <w:r>
        <w:rPr>
          <w:rtl/>
          <w:lang w:bidi="ar-EG"/>
        </w:rPr>
        <w:tab/>
      </w:r>
      <w:r w:rsidRPr="00F92844">
        <w:rPr>
          <w:rtl/>
          <w:lang w:bidi="ar-EG"/>
        </w:rPr>
        <w:t>وتوجد في المنطقة الوالونية وفي منطقة العاصمة بروكسل هيئات خاصة بكل منهما (مجلسان وحكومتان).</w:t>
      </w:r>
    </w:p>
    <w:p w14:paraId="10042342" w14:textId="22F47B5C" w:rsidR="00D424DC" w:rsidRDefault="00D424DC" w:rsidP="00D424DC">
      <w:pPr>
        <w:pStyle w:val="SingleTxtGA"/>
        <w:rPr>
          <w:rtl/>
          <w:lang w:bidi="ar-EG"/>
        </w:rPr>
      </w:pPr>
      <w:r w:rsidRPr="00350F98">
        <w:rPr>
          <w:rtl/>
          <w:lang w:bidi="ar-EG"/>
        </w:rPr>
        <w:t>101</w:t>
      </w:r>
      <w:r>
        <w:rPr>
          <w:rtl/>
          <w:lang w:bidi="ar-EG"/>
        </w:rPr>
        <w:t>-</w:t>
      </w:r>
      <w:r>
        <w:rPr>
          <w:rtl/>
          <w:lang w:bidi="ar-EG"/>
        </w:rPr>
        <w:tab/>
        <w:t>وتشمل</w:t>
      </w:r>
      <w:r w:rsidR="007501E7">
        <w:rPr>
          <w:rFonts w:hint="cs"/>
          <w:rtl/>
          <w:lang w:bidi="ar-EG"/>
        </w:rPr>
        <w:t xml:space="preserve"> </w:t>
      </w:r>
      <w:r>
        <w:rPr>
          <w:rtl/>
          <w:lang w:bidi="ar-EG"/>
        </w:rPr>
        <w:t>اختصاصات</w:t>
      </w:r>
      <w:r w:rsidR="007501E7">
        <w:rPr>
          <w:rFonts w:hint="cs"/>
          <w:rtl/>
          <w:lang w:bidi="ar-EG"/>
        </w:rPr>
        <w:t xml:space="preserve"> </w:t>
      </w:r>
      <w:r>
        <w:rPr>
          <w:rtl/>
          <w:lang w:bidi="ar-EG"/>
        </w:rPr>
        <w:t>المناطق، فيما تشمله، المجالات التالية: (مع استثناء بعض المجالات التي تعالج على المستوى الاتحادي):</w:t>
      </w:r>
    </w:p>
    <w:p w14:paraId="09C966E2" w14:textId="77777777" w:rsidR="00D424DC" w:rsidRDefault="00D424DC" w:rsidP="00D424DC">
      <w:pPr>
        <w:pStyle w:val="SingleTxtGA"/>
        <w:rPr>
          <w:rtl/>
          <w:lang w:bidi="ar-EG"/>
        </w:rPr>
      </w:pPr>
      <w:r>
        <w:rPr>
          <w:rtl/>
          <w:lang w:bidi="ar-EG"/>
        </w:rPr>
        <w:tab/>
        <w:t>(أ)</w:t>
      </w:r>
      <w:r>
        <w:rPr>
          <w:rtl/>
          <w:lang w:bidi="ar-EG"/>
        </w:rPr>
        <w:tab/>
        <w:t>التخطيط العمراني؛</w:t>
      </w:r>
    </w:p>
    <w:p w14:paraId="0E7C9FA8" w14:textId="77777777" w:rsidR="00D424DC" w:rsidRDefault="00D424DC" w:rsidP="00D424DC">
      <w:pPr>
        <w:pStyle w:val="SingleTxtGA"/>
        <w:rPr>
          <w:rtl/>
          <w:lang w:bidi="ar-EG"/>
        </w:rPr>
      </w:pPr>
      <w:r>
        <w:rPr>
          <w:rtl/>
          <w:lang w:bidi="ar-EG"/>
        </w:rPr>
        <w:tab/>
        <w:t>(ب)</w:t>
      </w:r>
      <w:r>
        <w:rPr>
          <w:rtl/>
          <w:lang w:bidi="ar-EG"/>
        </w:rPr>
        <w:tab/>
        <w:t>البيئة وسياسة المياه؛</w:t>
      </w:r>
    </w:p>
    <w:p w14:paraId="5E05A24E" w14:textId="77777777" w:rsidR="00D424DC" w:rsidRDefault="00D424DC" w:rsidP="00D424DC">
      <w:pPr>
        <w:pStyle w:val="SingleTxtGA"/>
        <w:rPr>
          <w:rtl/>
          <w:lang w:bidi="ar-EG"/>
        </w:rPr>
      </w:pPr>
      <w:r>
        <w:rPr>
          <w:rtl/>
          <w:lang w:bidi="ar-EG"/>
        </w:rPr>
        <w:tab/>
        <w:t>(ج)</w:t>
      </w:r>
      <w:r>
        <w:rPr>
          <w:rtl/>
          <w:lang w:bidi="ar-EG"/>
        </w:rPr>
        <w:tab/>
        <w:t>تجديد المناطق الريفية وصون الطبيعة؛</w:t>
      </w:r>
    </w:p>
    <w:p w14:paraId="193085F8" w14:textId="77777777" w:rsidR="00D424DC" w:rsidRDefault="00D424DC" w:rsidP="00D424DC">
      <w:pPr>
        <w:pStyle w:val="SingleTxtGA"/>
        <w:rPr>
          <w:rtl/>
          <w:lang w:bidi="ar-EG"/>
        </w:rPr>
      </w:pPr>
      <w:r>
        <w:rPr>
          <w:rtl/>
          <w:lang w:bidi="ar-EG"/>
        </w:rPr>
        <w:tab/>
        <w:t>(د)</w:t>
      </w:r>
      <w:r>
        <w:rPr>
          <w:rtl/>
          <w:lang w:bidi="ar-EG"/>
        </w:rPr>
        <w:tab/>
      </w:r>
      <w:r w:rsidRPr="00800832">
        <w:rPr>
          <w:spacing w:val="-4"/>
          <w:rtl/>
          <w:lang w:bidi="ar-EG"/>
        </w:rPr>
        <w:t xml:space="preserve">السكن وتنظيم المساكن التي تمثل خطراً على النظافة والصحة العامة، والقواعد المحددة </w:t>
      </w:r>
      <w:r>
        <w:rPr>
          <w:rtl/>
          <w:lang w:bidi="ar-EG"/>
        </w:rPr>
        <w:t>المتعلقة بإيجار الممتلكات المخصصة للسكنى؛</w:t>
      </w:r>
    </w:p>
    <w:p w14:paraId="759049B1" w14:textId="77777777" w:rsidR="00D424DC" w:rsidRDefault="00D424DC" w:rsidP="00D424DC">
      <w:pPr>
        <w:pStyle w:val="SingleTxtGA"/>
        <w:rPr>
          <w:rtl/>
          <w:lang w:bidi="ar-EG"/>
        </w:rPr>
      </w:pPr>
      <w:r>
        <w:rPr>
          <w:rtl/>
          <w:lang w:bidi="ar-EG"/>
        </w:rPr>
        <w:tab/>
        <w:t>(ه)</w:t>
      </w:r>
      <w:r>
        <w:rPr>
          <w:rtl/>
          <w:lang w:bidi="ar-EG"/>
        </w:rPr>
        <w:tab/>
        <w:t>الزراعة؛</w:t>
      </w:r>
    </w:p>
    <w:p w14:paraId="3B67F9E5" w14:textId="77777777" w:rsidR="00D424DC" w:rsidRDefault="00D424DC" w:rsidP="00D424DC">
      <w:pPr>
        <w:pStyle w:val="SingleTxtGA"/>
        <w:rPr>
          <w:rtl/>
          <w:lang w:bidi="ar-EG"/>
        </w:rPr>
      </w:pPr>
      <w:r>
        <w:rPr>
          <w:rtl/>
          <w:lang w:bidi="ar-EG"/>
        </w:rPr>
        <w:tab/>
        <w:t>(و)</w:t>
      </w:r>
      <w:r>
        <w:rPr>
          <w:rtl/>
          <w:lang w:bidi="ar-EG"/>
        </w:rPr>
        <w:tab/>
        <w:t>الاقتصاد؛</w:t>
      </w:r>
    </w:p>
    <w:p w14:paraId="1EEAA3EE" w14:textId="77777777" w:rsidR="00D424DC" w:rsidRDefault="00D424DC" w:rsidP="00D424DC">
      <w:pPr>
        <w:pStyle w:val="SingleTxtGA"/>
        <w:rPr>
          <w:rtl/>
          <w:lang w:bidi="ar-EG"/>
        </w:rPr>
      </w:pPr>
      <w:r>
        <w:rPr>
          <w:rtl/>
          <w:lang w:bidi="ar-EG"/>
        </w:rPr>
        <w:tab/>
        <w:t>(ز)</w:t>
      </w:r>
      <w:r>
        <w:rPr>
          <w:rtl/>
          <w:lang w:bidi="ar-EG"/>
        </w:rPr>
        <w:tab/>
        <w:t>سياسة الطاقة؛</w:t>
      </w:r>
    </w:p>
    <w:p w14:paraId="2A9F9DDB" w14:textId="77777777" w:rsidR="00D424DC" w:rsidRDefault="00D424DC" w:rsidP="00D424DC">
      <w:pPr>
        <w:pStyle w:val="SingleTxtGA"/>
        <w:rPr>
          <w:rtl/>
          <w:lang w:bidi="ar-EG"/>
        </w:rPr>
      </w:pPr>
      <w:r>
        <w:rPr>
          <w:rtl/>
          <w:lang w:bidi="ar-EG"/>
        </w:rPr>
        <w:tab/>
        <w:t>(ح)</w:t>
      </w:r>
      <w:r>
        <w:rPr>
          <w:rtl/>
          <w:lang w:bidi="ar-EG"/>
        </w:rPr>
        <w:tab/>
        <w:t>السلطات التابعة؛</w:t>
      </w:r>
    </w:p>
    <w:p w14:paraId="48779D78" w14:textId="3D3D0101" w:rsidR="00D424DC" w:rsidRDefault="00D424DC" w:rsidP="00D424DC">
      <w:pPr>
        <w:pStyle w:val="SingleTxtGA"/>
        <w:rPr>
          <w:rtl/>
          <w:lang w:bidi="ar-EG"/>
        </w:rPr>
      </w:pPr>
      <w:r>
        <w:rPr>
          <w:rtl/>
          <w:lang w:bidi="ar-EG"/>
        </w:rPr>
        <w:tab/>
        <w:t>(ط)</w:t>
      </w:r>
      <w:r>
        <w:rPr>
          <w:rtl/>
          <w:lang w:bidi="ar-EG"/>
        </w:rPr>
        <w:tab/>
        <w:t xml:space="preserve">السياسة المتعلقة </w:t>
      </w:r>
      <w:proofErr w:type="gramStart"/>
      <w:r>
        <w:rPr>
          <w:rtl/>
          <w:lang w:bidi="ar-EG"/>
        </w:rPr>
        <w:t>بالعمل</w:t>
      </w:r>
      <w:r w:rsidRPr="00B70B24">
        <w:rPr>
          <w:vertAlign w:val="superscript"/>
          <w:rtl/>
        </w:rPr>
        <w:t>(</w:t>
      </w:r>
      <w:proofErr w:type="gramEnd"/>
      <w:r w:rsidRPr="00350F98">
        <w:rPr>
          <w:rStyle w:val="FootnoteReference"/>
          <w:lang w:val="en-US"/>
        </w:rPr>
        <w:footnoteReference w:id="2"/>
      </w:r>
      <w:r w:rsidRPr="00B70B24">
        <w:rPr>
          <w:vertAlign w:val="superscript"/>
          <w:rtl/>
        </w:rPr>
        <w:t>)</w:t>
      </w:r>
      <w:r>
        <w:rPr>
          <w:rtl/>
          <w:lang w:bidi="ar-EG"/>
        </w:rPr>
        <w:t>؛</w:t>
      </w:r>
    </w:p>
    <w:p w14:paraId="2FE0E64D" w14:textId="77777777" w:rsidR="00D424DC" w:rsidRDefault="00D424DC" w:rsidP="00D424DC">
      <w:pPr>
        <w:pStyle w:val="SingleTxtGA"/>
        <w:rPr>
          <w:rtl/>
          <w:lang w:bidi="ar-EG"/>
        </w:rPr>
      </w:pPr>
      <w:r>
        <w:rPr>
          <w:rtl/>
          <w:lang w:bidi="ar-EG"/>
        </w:rPr>
        <w:tab/>
        <w:t>(ي)</w:t>
      </w:r>
      <w:r>
        <w:rPr>
          <w:rtl/>
          <w:lang w:bidi="ar-EG"/>
        </w:rPr>
        <w:tab/>
        <w:t>الأشغال العامة والنقل؛</w:t>
      </w:r>
    </w:p>
    <w:p w14:paraId="61EFEC6A" w14:textId="77777777" w:rsidR="00D424DC" w:rsidRDefault="00D424DC" w:rsidP="00D424DC">
      <w:pPr>
        <w:pStyle w:val="SingleTxtGA"/>
        <w:rPr>
          <w:rtl/>
          <w:lang w:bidi="ar-EG"/>
        </w:rPr>
      </w:pPr>
      <w:r>
        <w:rPr>
          <w:rtl/>
          <w:lang w:bidi="ar-EG"/>
        </w:rPr>
        <w:tab/>
        <w:t>(ك)</w:t>
      </w:r>
      <w:r>
        <w:rPr>
          <w:rtl/>
          <w:lang w:bidi="ar-EG"/>
        </w:rPr>
        <w:tab/>
        <w:t>رعاية الحيوانات؛</w:t>
      </w:r>
    </w:p>
    <w:p w14:paraId="4C4D938C" w14:textId="77777777" w:rsidR="00D424DC" w:rsidRDefault="00D424DC" w:rsidP="00D424DC">
      <w:pPr>
        <w:pStyle w:val="SingleTxtGA"/>
        <w:rPr>
          <w:rtl/>
          <w:lang w:bidi="ar-EG"/>
        </w:rPr>
      </w:pPr>
      <w:r>
        <w:rPr>
          <w:rtl/>
          <w:lang w:bidi="ar-EG"/>
        </w:rPr>
        <w:tab/>
        <w:t>(ل)</w:t>
      </w:r>
      <w:r>
        <w:rPr>
          <w:rtl/>
          <w:lang w:bidi="ar-EG"/>
        </w:rPr>
        <w:tab/>
        <w:t>السياسات المتعلقة بسلامة الطرقات؛</w:t>
      </w:r>
    </w:p>
    <w:p w14:paraId="5722310F" w14:textId="77777777" w:rsidR="00D424DC" w:rsidRPr="00C918AE" w:rsidRDefault="00D424DC" w:rsidP="00D424DC">
      <w:pPr>
        <w:pStyle w:val="SingleTxtGA"/>
        <w:rPr>
          <w:spacing w:val="-4"/>
          <w:rtl/>
          <w:lang w:bidi="ar-EG"/>
        </w:rPr>
      </w:pPr>
      <w:r>
        <w:rPr>
          <w:rtl/>
          <w:lang w:bidi="ar-EG"/>
        </w:rPr>
        <w:lastRenderedPageBreak/>
        <w:tab/>
        <w:t>(م)</w:t>
      </w:r>
      <w:r>
        <w:rPr>
          <w:rtl/>
          <w:lang w:bidi="ar-EG"/>
        </w:rPr>
        <w:tab/>
        <w:t xml:space="preserve">في إطار اختصاصاتها، وكما هو الشأن بالنسبة إلى الجماعات، مجال البحث العلمي </w:t>
      </w:r>
      <w:r w:rsidRPr="00F92844">
        <w:rPr>
          <w:spacing w:val="-2"/>
          <w:rtl/>
          <w:lang w:bidi="ar-EG"/>
        </w:rPr>
        <w:t>بما في ذلك البحوث التي تُجرى تنفيذاً لاتفاقات أو صكوك دولية أو فوق وطنية، وفي إطار التعاون الإنمائي؛</w:t>
      </w:r>
    </w:p>
    <w:p w14:paraId="55C0E610" w14:textId="77777777" w:rsidR="00D424DC" w:rsidRDefault="00D424DC" w:rsidP="00D424DC">
      <w:pPr>
        <w:pStyle w:val="SingleTxtGA"/>
        <w:rPr>
          <w:rtl/>
          <w:lang w:bidi="ar-EG"/>
        </w:rPr>
      </w:pPr>
      <w:r>
        <w:rPr>
          <w:rtl/>
          <w:lang w:bidi="ar-EG"/>
        </w:rPr>
        <w:tab/>
        <w:t>(ن)</w:t>
      </w:r>
      <w:r>
        <w:rPr>
          <w:rtl/>
          <w:lang w:bidi="ar-EG"/>
        </w:rPr>
        <w:tab/>
        <w:t>العلاقات الدولية التي تدخل في نطاق اختصاصاتها الذاتية.</w:t>
      </w:r>
    </w:p>
    <w:p w14:paraId="6446D6F1" w14:textId="182D4A65" w:rsidR="00D424DC" w:rsidRDefault="00D424DC" w:rsidP="00D424DC">
      <w:pPr>
        <w:pStyle w:val="SingleTxtGA"/>
        <w:rPr>
          <w:rtl/>
          <w:lang w:bidi="ar-EG"/>
        </w:rPr>
      </w:pPr>
      <w:r w:rsidRPr="00350F98">
        <w:rPr>
          <w:rtl/>
          <w:lang w:bidi="ar-EG"/>
        </w:rPr>
        <w:t>102</w:t>
      </w:r>
      <w:r>
        <w:rPr>
          <w:rtl/>
          <w:lang w:bidi="ar-EG"/>
        </w:rPr>
        <w:t>-</w:t>
      </w:r>
      <w:r>
        <w:rPr>
          <w:rtl/>
          <w:lang w:bidi="ar-EG"/>
        </w:rPr>
        <w:tab/>
        <w:t>وينبغي الإشارة إلى أن الجماعات والمناطق لا تملك حالياً إلا اختصاصات إسنادية حُدد نطاقها بقانون خاص. وتضطلع الجماعات والمناطق، بالإضافة إلى السلطة المالية</w:t>
      </w:r>
      <w:r w:rsidR="007501E7">
        <w:rPr>
          <w:rFonts w:hint="cs"/>
          <w:rtl/>
          <w:lang w:bidi="ar-EG"/>
        </w:rPr>
        <w:t xml:space="preserve"> </w:t>
      </w:r>
      <w:r>
        <w:rPr>
          <w:rtl/>
          <w:lang w:bidi="ar-EG"/>
        </w:rPr>
        <w:t>المخولة لها، باختصاصات ثانوية تخولها بوجه خاص ما يلي:</w:t>
      </w:r>
    </w:p>
    <w:p w14:paraId="0CB0C14F" w14:textId="77777777" w:rsidR="00D424DC" w:rsidRDefault="00D424DC" w:rsidP="00D424DC">
      <w:pPr>
        <w:pStyle w:val="SingleTxtGA"/>
        <w:rPr>
          <w:rtl/>
          <w:lang w:bidi="ar-EG"/>
        </w:rPr>
      </w:pPr>
      <w:r>
        <w:rPr>
          <w:rtl/>
          <w:lang w:bidi="ar-EG"/>
        </w:rPr>
        <w:tab/>
        <w:t>(أ)</w:t>
      </w:r>
      <w:r>
        <w:rPr>
          <w:rtl/>
          <w:lang w:bidi="ar-EG"/>
        </w:rPr>
        <w:tab/>
        <w:t>اعتماد التدابير المتعلقة بالهياكل الأساسية اللازمة لممارسة اختصاصها؛</w:t>
      </w:r>
    </w:p>
    <w:p w14:paraId="73F49A6F" w14:textId="77777777" w:rsidR="00D424DC" w:rsidRDefault="00D424DC" w:rsidP="00D424DC">
      <w:pPr>
        <w:pStyle w:val="SingleTxtGA"/>
        <w:rPr>
          <w:rtl/>
          <w:lang w:bidi="ar-EG"/>
        </w:rPr>
      </w:pPr>
      <w:r>
        <w:rPr>
          <w:rtl/>
          <w:lang w:bidi="ar-EG"/>
        </w:rPr>
        <w:tab/>
        <w:t>(ب)</w:t>
      </w:r>
      <w:r>
        <w:rPr>
          <w:rtl/>
          <w:lang w:bidi="ar-EG"/>
        </w:rPr>
        <w:tab/>
        <w:t>إنشاء خدمات لا مركزية ومؤسسات ومشاريع تجارية أو شراء حصص في رأسمالها؛</w:t>
      </w:r>
    </w:p>
    <w:p w14:paraId="09D59102" w14:textId="1C8BD398" w:rsidR="00D424DC" w:rsidRDefault="00D424DC" w:rsidP="00D424DC">
      <w:pPr>
        <w:pStyle w:val="SingleTxtGA"/>
        <w:rPr>
          <w:rtl/>
          <w:lang w:bidi="ar-EG"/>
        </w:rPr>
      </w:pPr>
      <w:r>
        <w:rPr>
          <w:rtl/>
          <w:lang w:bidi="ar-EG"/>
        </w:rPr>
        <w:tab/>
        <w:t>(ج)</w:t>
      </w:r>
      <w:r>
        <w:rPr>
          <w:rtl/>
          <w:lang w:bidi="ar-EG"/>
        </w:rPr>
        <w:tab/>
        <w:t>إصدار مراسيم يعتبر الإخلال بأحكامها من المخالفات وتنص، ضمن حدود معيّنة، على العقوبات</w:t>
      </w:r>
      <w:r w:rsidR="007501E7">
        <w:rPr>
          <w:rFonts w:hint="cs"/>
          <w:rtl/>
          <w:lang w:bidi="ar-EG"/>
        </w:rPr>
        <w:t xml:space="preserve"> </w:t>
      </w:r>
      <w:r>
        <w:rPr>
          <w:rtl/>
          <w:lang w:bidi="ar-EG"/>
        </w:rPr>
        <w:t xml:space="preserve">التي تسري على مثل تلك </w:t>
      </w:r>
      <w:proofErr w:type="spellStart"/>
      <w:r>
        <w:rPr>
          <w:rtl/>
          <w:lang w:bidi="ar-EG"/>
        </w:rPr>
        <w:t>الإخلالات</w:t>
      </w:r>
      <w:proofErr w:type="spellEnd"/>
      <w:r>
        <w:rPr>
          <w:rtl/>
          <w:lang w:bidi="ar-EG"/>
        </w:rPr>
        <w:t>؛</w:t>
      </w:r>
    </w:p>
    <w:p w14:paraId="6128B6CB" w14:textId="77777777" w:rsidR="00D424DC" w:rsidRDefault="00D424DC" w:rsidP="00D424DC">
      <w:pPr>
        <w:pStyle w:val="SingleTxtGA"/>
        <w:rPr>
          <w:rtl/>
          <w:lang w:bidi="ar-EG"/>
        </w:rPr>
      </w:pPr>
      <w:r>
        <w:rPr>
          <w:rtl/>
          <w:lang w:bidi="ar-EG"/>
        </w:rPr>
        <w:tab/>
        <w:t>(د)</w:t>
      </w:r>
      <w:r>
        <w:rPr>
          <w:rtl/>
          <w:lang w:bidi="ar-EG"/>
        </w:rPr>
        <w:tab/>
        <w:t>تنفيذ عمليات المصادرة من أجل فائدة عامة.</w:t>
      </w:r>
    </w:p>
    <w:p w14:paraId="71F96502" w14:textId="77777777" w:rsidR="00D424DC" w:rsidRPr="00350F98" w:rsidRDefault="00D424DC" w:rsidP="00800832">
      <w:pPr>
        <w:pStyle w:val="H4GA"/>
        <w:rPr>
          <w:rtl/>
          <w:lang w:bidi="ar-EG"/>
        </w:rPr>
      </w:pPr>
      <w:r w:rsidRPr="00350F98">
        <w:rPr>
          <w:rtl/>
          <w:lang w:bidi="ar-EG"/>
        </w:rPr>
        <w:tab/>
        <w:t>(أ)</w:t>
      </w:r>
      <w:r w:rsidRPr="00350F98">
        <w:rPr>
          <w:rtl/>
          <w:lang w:bidi="ar-EG"/>
        </w:rPr>
        <w:tab/>
        <w:t>المركز الخاص لمنطقة العاصمة بروكسل</w:t>
      </w:r>
    </w:p>
    <w:p w14:paraId="07A4E0B6" w14:textId="4FF05565" w:rsidR="00D424DC" w:rsidRDefault="00D424DC" w:rsidP="00D424DC">
      <w:pPr>
        <w:pStyle w:val="SingleTxtGA"/>
        <w:rPr>
          <w:rtl/>
          <w:lang w:bidi="ar-EG"/>
        </w:rPr>
      </w:pPr>
      <w:r w:rsidRPr="00350F98">
        <w:rPr>
          <w:rtl/>
          <w:lang w:bidi="ar-EG"/>
        </w:rPr>
        <w:t>103</w:t>
      </w:r>
      <w:r>
        <w:rPr>
          <w:rtl/>
          <w:lang w:bidi="ar-EG"/>
        </w:rPr>
        <w:t>-</w:t>
      </w:r>
      <w:r w:rsidRPr="00C918AE">
        <w:rPr>
          <w:spacing w:val="-4"/>
          <w:rtl/>
          <w:lang w:bidi="ar-EG"/>
        </w:rPr>
        <w:tab/>
        <w:t xml:space="preserve">تمارس هذه المنطقة، التي تضم </w:t>
      </w:r>
      <w:r w:rsidRPr="00350F98">
        <w:rPr>
          <w:spacing w:val="-4"/>
          <w:rtl/>
          <w:lang w:bidi="ar-EG"/>
        </w:rPr>
        <w:t>19</w:t>
      </w:r>
      <w:r w:rsidRPr="00C918AE">
        <w:rPr>
          <w:spacing w:val="-4"/>
          <w:rtl/>
          <w:lang w:bidi="ar-EG"/>
        </w:rPr>
        <w:t xml:space="preserve"> بلدية والتي هي عاصمة البلد الاتحادية، نفس الاختصاصات</w:t>
      </w:r>
      <w:r>
        <w:rPr>
          <w:rtl/>
          <w:lang w:bidi="ar-EG"/>
        </w:rPr>
        <w:t xml:space="preserve"> التي تمارسها المنطقتان الأخريان، ويُشرف على شؤونها مجلس نيابي وحكومة. وتتمتع منطقة العاصمة بروكسل، منذ </w:t>
      </w:r>
      <w:r w:rsidR="007501E7" w:rsidRPr="00350F98">
        <w:rPr>
          <w:rtl/>
          <w:lang w:bidi="ar-EG"/>
        </w:rPr>
        <w:t>1</w:t>
      </w:r>
      <w:r>
        <w:rPr>
          <w:rtl/>
          <w:lang w:bidi="ar-EG"/>
        </w:rPr>
        <w:t xml:space="preserve"> تموز/يوليه </w:t>
      </w:r>
      <w:r w:rsidR="007501E7" w:rsidRPr="00350F98">
        <w:rPr>
          <w:rtl/>
          <w:lang w:bidi="ar-EG"/>
        </w:rPr>
        <w:t>2014</w:t>
      </w:r>
      <w:r>
        <w:rPr>
          <w:rtl/>
          <w:lang w:bidi="ar-EG"/>
        </w:rPr>
        <w:t>، باستقلال ذاتي تأسيسي.</w:t>
      </w:r>
    </w:p>
    <w:p w14:paraId="5B4D57A5" w14:textId="4E9763C2" w:rsidR="00D424DC" w:rsidRDefault="00D424DC" w:rsidP="00D424DC">
      <w:pPr>
        <w:pStyle w:val="SingleTxtGA"/>
        <w:rPr>
          <w:rtl/>
          <w:lang w:bidi="ar-EG"/>
        </w:rPr>
      </w:pPr>
      <w:r w:rsidRPr="00350F98">
        <w:rPr>
          <w:rtl/>
          <w:lang w:bidi="ar-EG"/>
        </w:rPr>
        <w:t>104</w:t>
      </w:r>
      <w:r>
        <w:rPr>
          <w:rtl/>
          <w:lang w:bidi="ar-EG"/>
        </w:rPr>
        <w:t>-</w:t>
      </w:r>
      <w:r>
        <w:rPr>
          <w:rtl/>
          <w:lang w:bidi="ar-EG"/>
        </w:rPr>
        <w:tab/>
        <w:t>ويستند تنظيم المجلس</w:t>
      </w:r>
      <w:r w:rsidR="007501E7">
        <w:rPr>
          <w:rFonts w:hint="cs"/>
          <w:rtl/>
          <w:lang w:bidi="ar-EG"/>
        </w:rPr>
        <w:t xml:space="preserve"> </w:t>
      </w:r>
      <w:r>
        <w:rPr>
          <w:rtl/>
          <w:lang w:bidi="ar-EG"/>
        </w:rPr>
        <w:t>النيابي إلى مبدأ</w:t>
      </w:r>
      <w:r w:rsidR="007501E7">
        <w:rPr>
          <w:rFonts w:hint="cs"/>
          <w:rtl/>
          <w:lang w:bidi="ar-EG"/>
        </w:rPr>
        <w:t xml:space="preserve"> </w:t>
      </w:r>
      <w:r>
        <w:rPr>
          <w:rtl/>
          <w:lang w:bidi="ar-EG"/>
        </w:rPr>
        <w:t xml:space="preserve">وجود مجموعتين لغويتين تمارسان سلطات خاصة بهما وتتقاسمان المسؤوليات في مختلف هيئات المجلس. ويتألف المجلس من </w:t>
      </w:r>
      <w:r w:rsidRPr="00350F98">
        <w:rPr>
          <w:rtl/>
          <w:lang w:bidi="ar-EG"/>
        </w:rPr>
        <w:t>89</w:t>
      </w:r>
      <w:r>
        <w:rPr>
          <w:rtl/>
          <w:lang w:bidi="ar-EG"/>
        </w:rPr>
        <w:t xml:space="preserve"> عضواً (</w:t>
      </w:r>
      <w:r w:rsidRPr="00350F98">
        <w:rPr>
          <w:rtl/>
          <w:lang w:bidi="ar-EG"/>
        </w:rPr>
        <w:t>72</w:t>
      </w:r>
      <w:r>
        <w:rPr>
          <w:rtl/>
          <w:lang w:bidi="ar-EG"/>
        </w:rPr>
        <w:t xml:space="preserve"> عضواً ينتمون إلى المجموعة اللغوية الفرنسية و</w:t>
      </w:r>
      <w:r w:rsidRPr="00350F98">
        <w:rPr>
          <w:rtl/>
          <w:lang w:bidi="ar-EG"/>
        </w:rPr>
        <w:t>17</w:t>
      </w:r>
      <w:r>
        <w:rPr>
          <w:rtl/>
          <w:lang w:bidi="ar-EG"/>
        </w:rPr>
        <w:t xml:space="preserve"> عضواً ينتمون إلى المجموعة اللغوية الهولندية). وفيما عدا الرئيس، </w:t>
      </w:r>
      <w:r w:rsidRPr="00C918AE">
        <w:rPr>
          <w:spacing w:val="-2"/>
          <w:rtl/>
          <w:lang w:bidi="ar-EG"/>
        </w:rPr>
        <w:t>يقوم تشكيل الحكومة على أساس التكافؤ: عضوان ناطقان باللغة الفرنسية وعضوان ناطقان باللغة الهولندية. ويُضاف إلى هؤلاء الوزراء الخمسة، ثلاثة كُتَّاب دولة من بينهم كاتب دولة واحد على الأقل ينتمي</w:t>
      </w:r>
      <w:r>
        <w:rPr>
          <w:rtl/>
          <w:lang w:bidi="ar-EG"/>
        </w:rPr>
        <w:t xml:space="preserve"> إلى المجموعة اللغوية الهولندية.</w:t>
      </w:r>
    </w:p>
    <w:p w14:paraId="41283141" w14:textId="77777777" w:rsidR="00D424DC" w:rsidRDefault="00D424DC" w:rsidP="00D424DC">
      <w:pPr>
        <w:pStyle w:val="SingleTxtGA"/>
        <w:rPr>
          <w:rtl/>
          <w:lang w:bidi="ar-EG"/>
        </w:rPr>
      </w:pPr>
      <w:r w:rsidRPr="00350F98">
        <w:rPr>
          <w:rtl/>
          <w:lang w:bidi="ar-EG"/>
        </w:rPr>
        <w:t>105</w:t>
      </w:r>
      <w:r>
        <w:rPr>
          <w:rtl/>
          <w:lang w:bidi="ar-EG"/>
        </w:rPr>
        <w:t>-</w:t>
      </w:r>
      <w:r>
        <w:rPr>
          <w:rtl/>
          <w:lang w:bidi="ar-EG"/>
        </w:rPr>
        <w:tab/>
        <w:t>وتوكل إلى مؤسسات مُحدّدة مسؤولية ممارسة الاختصاصات المنوطة بالجماعات على أراضي منطقة العاصمة بروكسل ذات اللغتين. وهذه المؤسسات هي لجنة الجماعة الفرنسية ولجنة الجماعة الفلمنكية واللجنة الجماعية المشتركة.</w:t>
      </w:r>
    </w:p>
    <w:p w14:paraId="3DF65C10" w14:textId="6BC0A734" w:rsidR="00D424DC" w:rsidRDefault="00D424DC" w:rsidP="00D424DC">
      <w:pPr>
        <w:pStyle w:val="SingleTxtGA"/>
        <w:rPr>
          <w:rtl/>
          <w:lang w:bidi="ar-EG"/>
        </w:rPr>
      </w:pPr>
      <w:r w:rsidRPr="00350F98">
        <w:rPr>
          <w:rtl/>
          <w:lang w:bidi="ar-EG"/>
        </w:rPr>
        <w:t>106</w:t>
      </w:r>
      <w:r>
        <w:rPr>
          <w:rtl/>
          <w:lang w:bidi="ar-EG"/>
        </w:rPr>
        <w:t>-</w:t>
      </w:r>
      <w:r>
        <w:rPr>
          <w:rtl/>
          <w:lang w:bidi="ar-EG"/>
        </w:rPr>
        <w:tab/>
        <w:t>ويُطلَق على المسائل المجتمعية التي تخص إحدى الجماعتين الفرنسية أو الفلمنكية "المسائل الخاصة بجماعة واحدة" (</w:t>
      </w:r>
      <w:r w:rsidR="0036633E" w:rsidRPr="00963731">
        <w:rPr>
          <w:lang w:val="fr-FR"/>
        </w:rPr>
        <w:t>uni-communautaires</w:t>
      </w:r>
      <w:r>
        <w:rPr>
          <w:rtl/>
          <w:lang w:bidi="ar-EG"/>
        </w:rPr>
        <w:t>) وتُعنى بها لجنة الجماعة الفرنسية أو لجنة الجماعة الفلمنكية تحت إشراف الجماعة المعنية.</w:t>
      </w:r>
    </w:p>
    <w:p w14:paraId="2F36964C" w14:textId="04F0A4B1" w:rsidR="00D424DC" w:rsidRDefault="00D424DC" w:rsidP="00D424DC">
      <w:pPr>
        <w:pStyle w:val="SingleTxtGA"/>
        <w:rPr>
          <w:rtl/>
          <w:lang w:bidi="ar-EG"/>
        </w:rPr>
      </w:pPr>
      <w:r w:rsidRPr="00350F98">
        <w:rPr>
          <w:rtl/>
          <w:lang w:bidi="ar-EG"/>
        </w:rPr>
        <w:t>107</w:t>
      </w:r>
      <w:r>
        <w:rPr>
          <w:rtl/>
          <w:lang w:bidi="ar-EG"/>
        </w:rPr>
        <w:t>-</w:t>
      </w:r>
      <w:r>
        <w:rPr>
          <w:rtl/>
          <w:lang w:bidi="ar-EG"/>
        </w:rPr>
        <w:tab/>
        <w:t xml:space="preserve">أما المسائل التي يمكن اعتبارها متعلقة بالأشخاص والتي لا تنفرد بها جماعة واحدة، فتُوصف </w:t>
      </w:r>
      <w:r>
        <w:rPr>
          <w:rFonts w:hint="cs"/>
          <w:rtl/>
          <w:lang w:bidi="ar-EG"/>
        </w:rPr>
        <w:t>ﺑـ</w:t>
      </w:r>
      <w:r>
        <w:rPr>
          <w:rtl/>
          <w:lang w:bidi="ar-EG"/>
        </w:rPr>
        <w:t xml:space="preserve"> </w:t>
      </w:r>
      <w:r w:rsidRPr="00C918AE">
        <w:rPr>
          <w:spacing w:val="-2"/>
          <w:rtl/>
          <w:lang w:bidi="ar-EG"/>
        </w:rPr>
        <w:t>"المسائل</w:t>
      </w:r>
      <w:r w:rsidR="007501E7" w:rsidRPr="00C918AE">
        <w:rPr>
          <w:rFonts w:hint="cs"/>
          <w:spacing w:val="-2"/>
          <w:rtl/>
          <w:lang w:bidi="ar-EG"/>
        </w:rPr>
        <w:t xml:space="preserve"> </w:t>
      </w:r>
      <w:r w:rsidRPr="00C918AE">
        <w:rPr>
          <w:spacing w:val="-2"/>
          <w:rtl/>
          <w:lang w:bidi="ar-EG"/>
        </w:rPr>
        <w:t>المتعلقة بالأشخاص الخاصة بالجماعتين" (</w:t>
      </w:r>
      <w:r w:rsidRPr="00C918AE">
        <w:rPr>
          <w:spacing w:val="-2"/>
          <w:lang w:bidi="ar-EG"/>
        </w:rPr>
        <w:t>bi-</w:t>
      </w:r>
      <w:proofErr w:type="spellStart"/>
      <w:r w:rsidRPr="00C918AE">
        <w:rPr>
          <w:spacing w:val="-2"/>
          <w:lang w:bidi="ar-EG"/>
        </w:rPr>
        <w:t>personnalisables</w:t>
      </w:r>
      <w:proofErr w:type="spellEnd"/>
      <w:r w:rsidRPr="00C918AE">
        <w:rPr>
          <w:spacing w:val="-2"/>
          <w:rtl/>
          <w:lang w:bidi="ar-EG"/>
        </w:rPr>
        <w:t>) وتُعنى بها اللجنة الجماعية</w:t>
      </w:r>
      <w:r>
        <w:rPr>
          <w:rtl/>
          <w:lang w:bidi="ar-EG"/>
        </w:rPr>
        <w:t xml:space="preserve"> المشتركة التي تختص أيضاً بالمسائل المجتمعية ذات الاهتمام المشترك.</w:t>
      </w:r>
    </w:p>
    <w:p w14:paraId="5C30BC32" w14:textId="1EEAC2D7" w:rsidR="00D424DC" w:rsidRDefault="00D424DC" w:rsidP="00D424DC">
      <w:pPr>
        <w:pStyle w:val="SingleTxtGA"/>
        <w:rPr>
          <w:rtl/>
          <w:lang w:bidi="ar-EG"/>
        </w:rPr>
      </w:pPr>
      <w:r w:rsidRPr="00350F98">
        <w:rPr>
          <w:rtl/>
          <w:lang w:bidi="ar-EG"/>
        </w:rPr>
        <w:t>108</w:t>
      </w:r>
      <w:r>
        <w:rPr>
          <w:rtl/>
          <w:lang w:bidi="ar-EG"/>
        </w:rPr>
        <w:t>-</w:t>
      </w:r>
      <w:r w:rsidRPr="00C918AE">
        <w:rPr>
          <w:spacing w:val="-2"/>
          <w:rtl/>
          <w:lang w:bidi="ar-EG"/>
        </w:rPr>
        <w:tab/>
        <w:t>وتدخل المسائل الثقافية التي لا تخص جماعة واحدة</w:t>
      </w:r>
      <w:r w:rsidR="007501E7" w:rsidRPr="00C918AE">
        <w:rPr>
          <w:rFonts w:hint="cs"/>
          <w:spacing w:val="-2"/>
          <w:rtl/>
          <w:lang w:bidi="ar-EG"/>
        </w:rPr>
        <w:t xml:space="preserve"> </w:t>
      </w:r>
      <w:r w:rsidRPr="00C918AE">
        <w:rPr>
          <w:spacing w:val="-2"/>
          <w:rtl/>
          <w:lang w:bidi="ar-EG"/>
        </w:rPr>
        <w:t>في القطاع "الثقافي الثنائي" الذي تُدير شؤونه</w:t>
      </w:r>
      <w:r>
        <w:rPr>
          <w:rtl/>
          <w:lang w:bidi="ar-EG"/>
        </w:rPr>
        <w:t xml:space="preserve"> السلطة الاتحادية.</w:t>
      </w:r>
    </w:p>
    <w:p w14:paraId="54B0BB28" w14:textId="77777777" w:rsidR="00D424DC" w:rsidRPr="00350F98" w:rsidRDefault="00D424DC" w:rsidP="00800832">
      <w:pPr>
        <w:pStyle w:val="H4GA"/>
        <w:rPr>
          <w:rtl/>
          <w:lang w:bidi="ar-EG"/>
        </w:rPr>
      </w:pPr>
      <w:r w:rsidRPr="00350F98">
        <w:rPr>
          <w:rtl/>
          <w:lang w:bidi="ar-EG"/>
        </w:rPr>
        <w:lastRenderedPageBreak/>
        <w:tab/>
        <w:t>(ب)</w:t>
      </w:r>
      <w:r w:rsidRPr="00350F98">
        <w:rPr>
          <w:rtl/>
          <w:lang w:bidi="ar-EG"/>
        </w:rPr>
        <w:tab/>
        <w:t>علاقات التعاون داخل النظام الاتحادي البلجيكي وتسوية المنازعات</w:t>
      </w:r>
    </w:p>
    <w:p w14:paraId="1B08C413" w14:textId="77777777" w:rsidR="00D424DC" w:rsidRDefault="00D424DC" w:rsidP="00D424DC">
      <w:pPr>
        <w:pStyle w:val="SingleTxtGA"/>
        <w:rPr>
          <w:rtl/>
          <w:lang w:bidi="ar-EG"/>
        </w:rPr>
      </w:pPr>
      <w:r w:rsidRPr="00350F98">
        <w:rPr>
          <w:rtl/>
          <w:lang w:bidi="ar-EG"/>
        </w:rPr>
        <w:t>109</w:t>
      </w:r>
      <w:r>
        <w:rPr>
          <w:rtl/>
          <w:lang w:bidi="ar-EG"/>
        </w:rPr>
        <w:t>-</w:t>
      </w:r>
      <w:r>
        <w:rPr>
          <w:rtl/>
          <w:lang w:bidi="ar-EG"/>
        </w:rPr>
        <w:tab/>
        <w:t>نص الدستور على مبدأ الولاء الاتحادي الذي يقضي بألا يُخل الاتحاد ولا الكيانات الموحدة، كل في إطار ممارسة اختصاصاته، بتوازن البناء العام. وقد أُقيمت شبكة كثيفة جداً من الآليات والإجراءات لإتاحة تحقيق هذا الهدف الذي تتوقف عليه العلاقات الجيدة بين الكيانات المؤسسية العديدة التي تزوّدت بها بلجيكا.</w:t>
      </w:r>
    </w:p>
    <w:p w14:paraId="3A56DEE0" w14:textId="77777777" w:rsidR="00D424DC" w:rsidRDefault="00D424DC" w:rsidP="00D424DC">
      <w:pPr>
        <w:pStyle w:val="SingleTxtGA"/>
        <w:rPr>
          <w:rtl/>
          <w:lang w:bidi="ar-EG"/>
        </w:rPr>
      </w:pPr>
      <w:r w:rsidRPr="00350F98">
        <w:rPr>
          <w:rtl/>
          <w:lang w:bidi="ar-EG"/>
        </w:rPr>
        <w:t>110</w:t>
      </w:r>
      <w:r>
        <w:rPr>
          <w:rtl/>
          <w:lang w:bidi="ar-EG"/>
        </w:rPr>
        <w:t>-</w:t>
      </w:r>
      <w:r>
        <w:rPr>
          <w:rtl/>
          <w:lang w:bidi="ar-EG"/>
        </w:rPr>
        <w:tab/>
        <w:t>وقد أُنشئت ثلاث آليات تهدف على وجه الخصوص إلى منع نشوء أي تضارب في المصالح بين هذه الكيانات، وتسويته إذا اقتضى الأمر. وقد تنشأ أنواع التضارب هذه عن خلاف في التقدير بين السلطات على المستوى السياسي (مبادرة يتقدم بها أحد العناصر وتضر بمصالح عنصر آخر أو عدة عناصر أخرى) وليس عن انتهاك قاعدة قانونية. وهذه الآليات هي:</w:t>
      </w:r>
    </w:p>
    <w:p w14:paraId="31B10647" w14:textId="77777777" w:rsidR="00D424DC" w:rsidRDefault="00D424DC" w:rsidP="00D424DC">
      <w:pPr>
        <w:pStyle w:val="SingleTxtGA"/>
        <w:rPr>
          <w:rtl/>
          <w:lang w:bidi="ar-EG"/>
        </w:rPr>
      </w:pPr>
      <w:r>
        <w:rPr>
          <w:rtl/>
          <w:lang w:bidi="ar-EG"/>
        </w:rPr>
        <w:tab/>
        <w:t>(أ)</w:t>
      </w:r>
      <w:r>
        <w:rPr>
          <w:rtl/>
          <w:lang w:bidi="ar-EG"/>
        </w:rPr>
        <w:tab/>
        <w:t xml:space="preserve">لجنة التشاور التي تتألف من </w:t>
      </w:r>
      <w:r w:rsidRPr="00350F98">
        <w:rPr>
          <w:rtl/>
          <w:lang w:bidi="ar-EG"/>
        </w:rPr>
        <w:t>12</w:t>
      </w:r>
      <w:r>
        <w:rPr>
          <w:rtl/>
          <w:lang w:bidi="ar-EG"/>
        </w:rPr>
        <w:t xml:space="preserve"> عضواً، يمثل ستة أعضاء منهم الحكومة الاتحادية </w:t>
      </w:r>
      <w:r w:rsidRPr="00800832">
        <w:rPr>
          <w:spacing w:val="-4"/>
          <w:rtl/>
          <w:lang w:bidi="ar-EG"/>
        </w:rPr>
        <w:t>ويمثل الأعضاء الستة الآخرون حكومات الجماعات والمناطق. وتقوم مداولات هذا الجهاز، الذي يُحدّد القانون</w:t>
      </w:r>
      <w:r>
        <w:rPr>
          <w:rtl/>
          <w:lang w:bidi="ar-EG"/>
        </w:rPr>
        <w:t xml:space="preserve"> اختصاصاته، على أساس مبدأ التوافق؛</w:t>
      </w:r>
    </w:p>
    <w:p w14:paraId="6F4A8F88" w14:textId="77777777" w:rsidR="00D424DC" w:rsidRDefault="00D424DC" w:rsidP="00D424DC">
      <w:pPr>
        <w:pStyle w:val="SingleTxtGA"/>
        <w:rPr>
          <w:rtl/>
          <w:lang w:bidi="ar-EG"/>
        </w:rPr>
      </w:pPr>
      <w:r>
        <w:rPr>
          <w:rtl/>
          <w:lang w:bidi="ar-EG"/>
        </w:rPr>
        <w:tab/>
        <w:t>(ب)</w:t>
      </w:r>
      <w:r>
        <w:rPr>
          <w:rtl/>
          <w:lang w:bidi="ar-EG"/>
        </w:rPr>
        <w:tab/>
        <w:t xml:space="preserve">المؤتمرات المشتركة بين الوزارات البالغ عددها </w:t>
      </w:r>
      <w:r w:rsidRPr="00350F98">
        <w:rPr>
          <w:rtl/>
          <w:lang w:bidi="ar-EG"/>
        </w:rPr>
        <w:t>19</w:t>
      </w:r>
      <w:r>
        <w:rPr>
          <w:rtl/>
          <w:lang w:bidi="ar-EG"/>
        </w:rPr>
        <w:t xml:space="preserve"> مؤتمراً، وهي هياكل مرنة للتشاور والحوار ومنبر مميّز للتفاوض على اتفاقات التعاون؛</w:t>
      </w:r>
    </w:p>
    <w:p w14:paraId="1A714806" w14:textId="7C6CA514" w:rsidR="00D424DC" w:rsidRDefault="00D424DC" w:rsidP="00D424DC">
      <w:pPr>
        <w:pStyle w:val="SingleTxtGA"/>
        <w:rPr>
          <w:rtl/>
          <w:lang w:bidi="ar-EG"/>
        </w:rPr>
      </w:pPr>
      <w:r>
        <w:rPr>
          <w:rtl/>
          <w:lang w:bidi="ar-EG"/>
        </w:rPr>
        <w:tab/>
        <w:t>(ج)</w:t>
      </w:r>
      <w:r>
        <w:rPr>
          <w:rtl/>
          <w:lang w:bidi="ar-EG"/>
        </w:rPr>
        <w:tab/>
      </w:r>
      <w:r w:rsidRPr="00C918AE">
        <w:rPr>
          <w:spacing w:val="-2"/>
          <w:rtl/>
          <w:lang w:bidi="ar-EG"/>
        </w:rPr>
        <w:t>اتفاقات التعاون التي يُسمح لكيانات الدولة بإبرامها، أو التي</w:t>
      </w:r>
      <w:r w:rsidR="007501E7" w:rsidRPr="00C918AE">
        <w:rPr>
          <w:rFonts w:hint="cs"/>
          <w:spacing w:val="-2"/>
          <w:rtl/>
          <w:lang w:bidi="ar-EG"/>
        </w:rPr>
        <w:t xml:space="preserve"> </w:t>
      </w:r>
      <w:r w:rsidRPr="00C918AE">
        <w:rPr>
          <w:spacing w:val="-2"/>
          <w:rtl/>
          <w:lang w:bidi="ar-EG"/>
        </w:rPr>
        <w:t>تُلزَم في حالات معينة بإبرامها، والتي يمكن أن تنصب بصورة خاصة على إنشاء دوائر ومؤسسات مشتركة وإدارتها إدارة مشتركة، أو على الممارسة المشتركة لاختصاصات أو على استحداث مبادرات مشتركة. ففي ميدان العلاقات الدولية،</w:t>
      </w:r>
      <w:r>
        <w:rPr>
          <w:rtl/>
          <w:lang w:bidi="ar-EG"/>
        </w:rPr>
        <w:t xml:space="preserve"> </w:t>
      </w:r>
      <w:r w:rsidRPr="00C918AE">
        <w:rPr>
          <w:spacing w:val="-2"/>
          <w:rtl/>
          <w:lang w:bidi="ar-EG"/>
        </w:rPr>
        <w:t>على سبيل المثال، أُبرمت اتفاقات بين مختلف الكيانات المختصة بشأن تمثيل بلجيكا لدى المنظمات الدولية</w:t>
      </w:r>
      <w:r w:rsidR="007501E7">
        <w:rPr>
          <w:rFonts w:hint="cs"/>
          <w:rtl/>
          <w:lang w:bidi="ar-EG"/>
        </w:rPr>
        <w:t xml:space="preserve"> </w:t>
      </w:r>
      <w:r>
        <w:rPr>
          <w:rtl/>
          <w:lang w:bidi="ar-EG"/>
        </w:rPr>
        <w:t>وطرائق إبرام المعاهدات الدولية.</w:t>
      </w:r>
    </w:p>
    <w:p w14:paraId="06E4CC26" w14:textId="77777777" w:rsidR="00D424DC" w:rsidRDefault="00D424DC" w:rsidP="00D424DC">
      <w:pPr>
        <w:pStyle w:val="SingleTxtGA"/>
        <w:rPr>
          <w:rtl/>
          <w:lang w:bidi="ar-EG"/>
        </w:rPr>
      </w:pPr>
      <w:r w:rsidRPr="00350F98">
        <w:rPr>
          <w:rtl/>
          <w:lang w:bidi="ar-EG"/>
        </w:rPr>
        <w:t>111</w:t>
      </w:r>
      <w:r>
        <w:rPr>
          <w:rtl/>
          <w:lang w:bidi="ar-EG"/>
        </w:rPr>
        <w:t>-</w:t>
      </w:r>
      <w:r>
        <w:rPr>
          <w:rtl/>
          <w:lang w:bidi="ar-EG"/>
        </w:rPr>
        <w:tab/>
        <w:t xml:space="preserve">والمحكمة الدستورية مؤهلة بوجه خاص للبت في المنازعات المتعلقة بالاختصاصات. وتتألف هذه المحكمة من </w:t>
      </w:r>
      <w:r w:rsidRPr="00350F98">
        <w:rPr>
          <w:rtl/>
          <w:lang w:bidi="ar-EG"/>
        </w:rPr>
        <w:t>12</w:t>
      </w:r>
      <w:r>
        <w:rPr>
          <w:rtl/>
          <w:lang w:bidi="ar-EG"/>
        </w:rPr>
        <w:t xml:space="preserve"> عضواً (ستة أعضاء ناطقين باللغة الفرنسية وستة أعضاء ناطقين باللغة الهولندية، </w:t>
      </w:r>
      <w:r w:rsidRPr="00800832">
        <w:rPr>
          <w:spacing w:val="-2"/>
          <w:rtl/>
          <w:lang w:bidi="ar-EG"/>
        </w:rPr>
        <w:t>نصفهم من ذوي الخبرة القضائية الكبيرة والنصف الثاني من الأوساط البرلمانية). وتبتّ المحكمة الدستورية</w:t>
      </w:r>
      <w:r>
        <w:rPr>
          <w:rtl/>
          <w:lang w:bidi="ar-EG"/>
        </w:rPr>
        <w:t>، عن طريق ما تصدره من قرارات، في الانتهاكات التي قد ترتكبها هيئة تشريعية لقواعد توزيع الاختصاصات أو لمواد بعينها من الدستور تتناول بوجه خاص مبدأ عدم التمييز وحماية الأقليات الفلسفية والإيديولوجية.</w:t>
      </w:r>
    </w:p>
    <w:p w14:paraId="1278899A" w14:textId="77777777" w:rsidR="00D424DC" w:rsidRDefault="00D424DC" w:rsidP="00D424DC">
      <w:pPr>
        <w:pStyle w:val="SingleTxtGA"/>
        <w:rPr>
          <w:rtl/>
          <w:lang w:bidi="ar-EG"/>
        </w:rPr>
      </w:pPr>
      <w:r w:rsidRPr="00350F98">
        <w:rPr>
          <w:rtl/>
          <w:lang w:bidi="ar-EG"/>
        </w:rPr>
        <w:t>112</w:t>
      </w:r>
      <w:r>
        <w:rPr>
          <w:rtl/>
          <w:lang w:bidi="ar-EG"/>
        </w:rPr>
        <w:t>-</w:t>
      </w:r>
      <w:r>
        <w:rPr>
          <w:rtl/>
          <w:lang w:bidi="ar-EG"/>
        </w:rPr>
        <w:tab/>
        <w:t>وتختص المحكمة الدستورية بالنظر في القضايا المحالة إليها من مختلف الحكومات ورؤساء المجالس بناءً على طلب ثلثي أعضائها. ويمكن أيضاً لأي شخص عادي يُثبت أن لديه مصلحة شخصية اللجوء إلى المحكمة الدستورية، على أن يرفع قضيته إلى المحكمة في غضون الأشهر الستة التي تلي النشر الرسمي للقاعدة المطعون فيها.</w:t>
      </w:r>
    </w:p>
    <w:p w14:paraId="35438A79" w14:textId="1CDE4546" w:rsidR="00D424DC" w:rsidRDefault="00D424DC" w:rsidP="00D424DC">
      <w:pPr>
        <w:pStyle w:val="SingleTxtGA"/>
        <w:rPr>
          <w:rtl/>
          <w:lang w:bidi="ar-EG"/>
        </w:rPr>
      </w:pPr>
      <w:r w:rsidRPr="00350F98">
        <w:rPr>
          <w:rtl/>
          <w:lang w:bidi="ar-EG"/>
        </w:rPr>
        <w:t>113</w:t>
      </w:r>
      <w:r>
        <w:rPr>
          <w:rtl/>
          <w:lang w:bidi="ar-EG"/>
        </w:rPr>
        <w:t>-</w:t>
      </w:r>
      <w:r>
        <w:rPr>
          <w:rtl/>
          <w:lang w:bidi="ar-EG"/>
        </w:rPr>
        <w:tab/>
      </w:r>
      <w:r w:rsidRPr="00800832">
        <w:rPr>
          <w:spacing w:val="-4"/>
          <w:rtl/>
          <w:lang w:bidi="ar-EG"/>
        </w:rPr>
        <w:t>وفي الآونة الأخيرة، أنشأ المشرع الخاص قاعدة جديدة للنظام الاتحادي التعاوني: المراسيم المشتركة.</w:t>
      </w:r>
      <w:r>
        <w:rPr>
          <w:rtl/>
          <w:lang w:bidi="ar-EG"/>
        </w:rPr>
        <w:t xml:space="preserve"> وهي قواعد تشريعية معتمدة بصورة مشتركة من قبل السلطات التشريعية لعدة كيانات موحدة. فالأمر لا</w:t>
      </w:r>
      <w:r w:rsidR="00B319E3">
        <w:rPr>
          <w:rFonts w:hint="cs"/>
          <w:rtl/>
          <w:lang w:bidi="ar-EG"/>
        </w:rPr>
        <w:t> </w:t>
      </w:r>
      <w:r>
        <w:rPr>
          <w:rtl/>
          <w:lang w:bidi="ar-EG"/>
        </w:rPr>
        <w:t xml:space="preserve">يعني إذن السلطات الاتحادية. وتشكل هذه المراسيم بديلاً لاتفاقات التعاون. وخلافاً لاتفاقات التعاون </w:t>
      </w:r>
      <w:r w:rsidRPr="00B319E3">
        <w:rPr>
          <w:spacing w:val="-2"/>
          <w:rtl/>
          <w:lang w:bidi="ar-EG"/>
        </w:rPr>
        <w:t>التي لا يجري التفاوض بشأنها ولا تتم صياغتها إلا على مستوى السلطات التنفيذية، فإن المراسيم المشتركة،</w:t>
      </w:r>
      <w:r>
        <w:rPr>
          <w:rtl/>
          <w:lang w:bidi="ar-EG"/>
        </w:rPr>
        <w:t xml:space="preserve"> كأي قاعدة تشريعية، يمكن تغييرها وتعديلها على مستوى المجالس التشريعية المختصة.</w:t>
      </w:r>
    </w:p>
    <w:p w14:paraId="7B242044" w14:textId="77777777" w:rsidR="00D424DC" w:rsidRPr="00350F98" w:rsidRDefault="00D424DC" w:rsidP="00C918AE">
      <w:pPr>
        <w:pStyle w:val="HChGA"/>
        <w:rPr>
          <w:rtl/>
          <w:lang w:bidi="ar-EG"/>
        </w:rPr>
      </w:pPr>
      <w:r w:rsidRPr="00350F98">
        <w:rPr>
          <w:rtl/>
          <w:lang w:bidi="ar-EG"/>
        </w:rPr>
        <w:lastRenderedPageBreak/>
        <w:tab/>
      </w:r>
      <w:bookmarkStart w:id="7" w:name="_Toc73715641"/>
      <w:r w:rsidRPr="00350F98">
        <w:rPr>
          <w:rtl/>
          <w:lang w:bidi="ar-EG"/>
        </w:rPr>
        <w:t>ثانياً-</w:t>
      </w:r>
      <w:r w:rsidRPr="00350F98">
        <w:rPr>
          <w:rtl/>
          <w:lang w:bidi="ar-EG"/>
        </w:rPr>
        <w:tab/>
        <w:t>الإطار العام لحماية حقوق الإنسان وتعزيزها</w:t>
      </w:r>
      <w:bookmarkEnd w:id="7"/>
    </w:p>
    <w:p w14:paraId="33F6C884" w14:textId="77777777" w:rsidR="00D424DC" w:rsidRPr="00350F98" w:rsidRDefault="00D424DC" w:rsidP="00C918AE">
      <w:pPr>
        <w:pStyle w:val="H1GA"/>
        <w:rPr>
          <w:rtl/>
          <w:lang w:bidi="ar-EG"/>
        </w:rPr>
      </w:pPr>
      <w:r w:rsidRPr="00350F98">
        <w:rPr>
          <w:rtl/>
          <w:lang w:bidi="ar-EG"/>
        </w:rPr>
        <w:tab/>
      </w:r>
      <w:bookmarkStart w:id="8" w:name="_Toc73715642"/>
      <w:r w:rsidRPr="00350F98">
        <w:rPr>
          <w:rtl/>
          <w:lang w:bidi="ar-EG"/>
        </w:rPr>
        <w:t>ألف-</w:t>
      </w:r>
      <w:r w:rsidRPr="00350F98">
        <w:rPr>
          <w:rtl/>
          <w:lang w:bidi="ar-EG"/>
        </w:rPr>
        <w:tab/>
        <w:t>قبول القواعد الدولية المتعلقة بحقوق الإنسان</w:t>
      </w:r>
      <w:bookmarkEnd w:id="8"/>
    </w:p>
    <w:p w14:paraId="1D773484" w14:textId="3CBF52B2" w:rsidR="00D424DC" w:rsidRPr="00350F98" w:rsidRDefault="00D424DC" w:rsidP="00C918AE">
      <w:pPr>
        <w:pStyle w:val="H23GA"/>
        <w:rPr>
          <w:rtl/>
          <w:lang w:bidi="ar-EG"/>
        </w:rPr>
      </w:pPr>
      <w:r w:rsidRPr="00350F98">
        <w:rPr>
          <w:rtl/>
          <w:lang w:bidi="ar-EG"/>
        </w:rPr>
        <w:tab/>
      </w:r>
      <w:r w:rsidR="007501E7" w:rsidRPr="00350F98">
        <w:rPr>
          <w:rtl/>
          <w:lang w:bidi="ar-EG"/>
        </w:rPr>
        <w:t>1</w:t>
      </w:r>
      <w:r w:rsidRPr="00350F98">
        <w:rPr>
          <w:rtl/>
          <w:lang w:bidi="ar-EG"/>
        </w:rPr>
        <w:t>-</w:t>
      </w:r>
      <w:r w:rsidRPr="00350F98">
        <w:rPr>
          <w:rtl/>
          <w:lang w:bidi="ar-EG"/>
        </w:rPr>
        <w:tab/>
        <w:t>التصديق على الصكوك الدولية الأساسية المتعلقة بحقوق الإنسان</w:t>
      </w:r>
    </w:p>
    <w:p w14:paraId="01266727" w14:textId="77777777" w:rsidR="00D424DC" w:rsidRDefault="00D424DC" w:rsidP="00B319E3">
      <w:pPr>
        <w:pStyle w:val="SingleTxtGA"/>
        <w:spacing w:line="340" w:lineRule="exact"/>
        <w:rPr>
          <w:rtl/>
          <w:lang w:bidi="ar-EG"/>
        </w:rPr>
      </w:pPr>
      <w:r w:rsidRPr="00350F98">
        <w:rPr>
          <w:rtl/>
          <w:lang w:bidi="ar-EG"/>
        </w:rPr>
        <w:t>114</w:t>
      </w:r>
      <w:r>
        <w:rPr>
          <w:rtl/>
          <w:lang w:bidi="ar-EG"/>
        </w:rPr>
        <w:t>-</w:t>
      </w:r>
      <w:r>
        <w:rPr>
          <w:rtl/>
          <w:lang w:bidi="ar-EG"/>
        </w:rPr>
        <w:tab/>
        <w:t>استخدمت في هذا المرفق المختصرات التالية:</w:t>
      </w:r>
    </w:p>
    <w:p w14:paraId="394FE350" w14:textId="744FC247" w:rsidR="00D424DC" w:rsidRDefault="00D424DC" w:rsidP="00B319E3">
      <w:pPr>
        <w:pStyle w:val="Bullet1GA"/>
        <w:spacing w:line="340" w:lineRule="exact"/>
        <w:rPr>
          <w:rtl/>
          <w:lang w:bidi="ar-EG"/>
        </w:rPr>
      </w:pPr>
      <w:r>
        <w:rPr>
          <w:rtl/>
          <w:lang w:bidi="ar-EG"/>
        </w:rPr>
        <w:t xml:space="preserve">اتفاقية القضاء على التمييز العنصري: الاتفاقية الدولية للقضاء على جميع أشكال التمييز </w:t>
      </w:r>
      <w:proofErr w:type="gramStart"/>
      <w:r>
        <w:rPr>
          <w:rtl/>
          <w:lang w:bidi="ar-EG"/>
        </w:rPr>
        <w:t>العنصري</w:t>
      </w:r>
      <w:r w:rsidRPr="00B70B24">
        <w:rPr>
          <w:vertAlign w:val="superscript"/>
          <w:rtl/>
        </w:rPr>
        <w:t>(</w:t>
      </w:r>
      <w:proofErr w:type="gramEnd"/>
      <w:r w:rsidRPr="00350F98">
        <w:rPr>
          <w:rStyle w:val="FootnoteReference"/>
        </w:rPr>
        <w:footnoteReference w:id="3"/>
      </w:r>
      <w:r w:rsidRPr="00B70B24">
        <w:rPr>
          <w:vertAlign w:val="superscript"/>
          <w:rtl/>
        </w:rPr>
        <w:t>)</w:t>
      </w:r>
      <w:r>
        <w:rPr>
          <w:rtl/>
          <w:lang w:bidi="ar-EG"/>
        </w:rPr>
        <w:t>؛</w:t>
      </w:r>
    </w:p>
    <w:p w14:paraId="48D04AFB" w14:textId="5460B61B" w:rsidR="00D424DC" w:rsidRDefault="00D424DC" w:rsidP="00B319E3">
      <w:pPr>
        <w:pStyle w:val="Bullet1GA"/>
        <w:spacing w:line="340" w:lineRule="exact"/>
        <w:rPr>
          <w:rtl/>
          <w:lang w:bidi="ar-EG"/>
        </w:rPr>
      </w:pPr>
      <w:r>
        <w:rPr>
          <w:rtl/>
          <w:lang w:bidi="ar-EG"/>
        </w:rPr>
        <w:t xml:space="preserve">العهد الخاص بالحقوق الاقتصادية والاجتماعية والثقافية: العهد الدولي الخاص بالحقوق الاقتصادية والاجتماعية </w:t>
      </w:r>
      <w:proofErr w:type="gramStart"/>
      <w:r>
        <w:rPr>
          <w:rtl/>
          <w:lang w:bidi="ar-EG"/>
        </w:rPr>
        <w:t>والثقافية</w:t>
      </w:r>
      <w:r w:rsidRPr="00B70B24">
        <w:rPr>
          <w:vertAlign w:val="superscript"/>
          <w:rtl/>
        </w:rPr>
        <w:t>(</w:t>
      </w:r>
      <w:proofErr w:type="gramEnd"/>
      <w:r w:rsidRPr="00350F98">
        <w:rPr>
          <w:rStyle w:val="FootnoteReference"/>
        </w:rPr>
        <w:footnoteReference w:id="4"/>
      </w:r>
      <w:r w:rsidRPr="00B70B24">
        <w:rPr>
          <w:vertAlign w:val="superscript"/>
          <w:rtl/>
        </w:rPr>
        <w:t>)</w:t>
      </w:r>
      <w:r>
        <w:rPr>
          <w:rtl/>
          <w:lang w:bidi="ar-EG"/>
        </w:rPr>
        <w:t>؛</w:t>
      </w:r>
    </w:p>
    <w:p w14:paraId="79D95918" w14:textId="6398E236" w:rsidR="00D424DC" w:rsidRPr="00C918AE" w:rsidRDefault="00D424DC" w:rsidP="00B319E3">
      <w:pPr>
        <w:pStyle w:val="Bullet1GA"/>
        <w:spacing w:line="340" w:lineRule="exact"/>
        <w:rPr>
          <w:spacing w:val="-4"/>
          <w:rtl/>
          <w:lang w:bidi="ar-EG"/>
        </w:rPr>
      </w:pPr>
      <w:r w:rsidRPr="00C918AE">
        <w:rPr>
          <w:spacing w:val="-4"/>
          <w:rtl/>
          <w:lang w:bidi="ar-EG"/>
        </w:rPr>
        <w:t>العهد الخاص بالحقوق المدنية والسياسية: العهد الدولي الخاص بالحقوق المدنية والسياسية؛</w:t>
      </w:r>
    </w:p>
    <w:p w14:paraId="223BECB9" w14:textId="6476B33F" w:rsidR="00D424DC" w:rsidRPr="00B319E3" w:rsidRDefault="00D424DC" w:rsidP="00B319E3">
      <w:pPr>
        <w:pStyle w:val="Bullet1GA"/>
        <w:spacing w:line="340" w:lineRule="exact"/>
        <w:rPr>
          <w:spacing w:val="-4"/>
          <w:rtl/>
          <w:lang w:bidi="ar-EG"/>
        </w:rPr>
      </w:pPr>
      <w:r w:rsidRPr="00B319E3">
        <w:rPr>
          <w:spacing w:val="-4"/>
          <w:rtl/>
          <w:lang w:bidi="ar-EG"/>
        </w:rPr>
        <w:t>اتفاقية القضاء على التمييز ضد المرأة: اتفاقية القضاء على جميع أشكال التمييز ضد المرأة</w:t>
      </w:r>
      <w:r w:rsidR="0036633E">
        <w:rPr>
          <w:rFonts w:hint="cs"/>
          <w:spacing w:val="-4"/>
          <w:rtl/>
          <w:lang w:bidi="ar-EG"/>
        </w:rPr>
        <w:t>؛</w:t>
      </w:r>
    </w:p>
    <w:p w14:paraId="6FF54A8C" w14:textId="38C775D8" w:rsidR="00D424DC" w:rsidRDefault="00D424DC" w:rsidP="00B319E3">
      <w:pPr>
        <w:pStyle w:val="Bullet1GA"/>
        <w:spacing w:line="340" w:lineRule="exact"/>
        <w:rPr>
          <w:rtl/>
          <w:lang w:bidi="ar-EG"/>
        </w:rPr>
      </w:pPr>
      <w:r w:rsidRPr="00C918AE">
        <w:rPr>
          <w:spacing w:val="-4"/>
          <w:rtl/>
          <w:lang w:bidi="ar-EG"/>
        </w:rPr>
        <w:t>بروتوكول اتفاقية القضاء على التمييز ضد المرأة: البروتوكول الاختياري لاتفاقية القضاء</w:t>
      </w:r>
      <w:r>
        <w:rPr>
          <w:rtl/>
          <w:lang w:bidi="ar-EG"/>
        </w:rPr>
        <w:t xml:space="preserve"> على جميع أشكال التمييز ضد المرأة</w:t>
      </w:r>
      <w:r w:rsidR="0036633E">
        <w:rPr>
          <w:rFonts w:hint="cs"/>
          <w:rtl/>
          <w:lang w:bidi="ar-EG"/>
        </w:rPr>
        <w:t>؛</w:t>
      </w:r>
    </w:p>
    <w:p w14:paraId="3039D8CB" w14:textId="57009FE8" w:rsidR="00D424DC" w:rsidRDefault="00D424DC" w:rsidP="001E4659">
      <w:pPr>
        <w:pStyle w:val="Bullet1GA"/>
        <w:spacing w:after="240" w:line="340" w:lineRule="exact"/>
        <w:ind w:left="2494" w:hanging="544"/>
        <w:rPr>
          <w:rtl/>
          <w:lang w:bidi="ar-EG"/>
        </w:rPr>
      </w:pPr>
      <w:r w:rsidRPr="00B319E3">
        <w:rPr>
          <w:spacing w:val="-2"/>
          <w:rtl/>
          <w:lang w:bidi="ar-EG"/>
        </w:rPr>
        <w:t>بروتكول مناهضة التعذيب: البروتوكول الاختياري لاتفاقية مناهضة التعذيب وغيره من ضروب</w:t>
      </w:r>
      <w:r>
        <w:rPr>
          <w:rtl/>
          <w:lang w:bidi="ar-EG"/>
        </w:rPr>
        <w:t xml:space="preserve"> المعاملة أو العقوبة القاسية أو اللاإنسانية أو المهينة</w:t>
      </w:r>
      <w:r w:rsidR="0036633E">
        <w:rPr>
          <w:rFonts w:hint="cs"/>
          <w:rtl/>
          <w:lang w:bidi="ar-EG"/>
        </w:rPr>
        <w:t>؛</w:t>
      </w:r>
    </w:p>
    <w:tbl>
      <w:tblPr>
        <w:tblStyle w:val="TABLEA"/>
        <w:bidiVisual/>
        <w:tblW w:w="8390" w:type="dxa"/>
        <w:jc w:val="left"/>
        <w:tblInd w:w="1247" w:type="dxa"/>
        <w:tblLayout w:type="fixed"/>
        <w:tblLook w:val="04E0" w:firstRow="1" w:lastRow="1" w:firstColumn="1" w:lastColumn="0" w:noHBand="0" w:noVBand="1"/>
      </w:tblPr>
      <w:tblGrid>
        <w:gridCol w:w="2842"/>
        <w:gridCol w:w="1853"/>
        <w:gridCol w:w="2707"/>
        <w:gridCol w:w="988"/>
      </w:tblGrid>
      <w:tr w:rsidR="00905B80" w:rsidRPr="00E64BF7" w14:paraId="607D6A36" w14:textId="77777777" w:rsidTr="00905B80">
        <w:trPr>
          <w:cnfStyle w:val="100000000000" w:firstRow="1" w:lastRow="0" w:firstColumn="0" w:lastColumn="0" w:oddVBand="0" w:evenVBand="0" w:oddHBand="0" w:evenHBand="0" w:firstRowFirstColumn="0" w:firstRowLastColumn="0" w:lastRowFirstColumn="0" w:lastRowLastColumn="0"/>
          <w:tblHeader/>
          <w:jc w:val="left"/>
        </w:trPr>
        <w:tc>
          <w:tcPr>
            <w:tcW w:w="2842" w:type="dxa"/>
            <w:vAlign w:val="bottom"/>
          </w:tcPr>
          <w:p w14:paraId="02EEACBE" w14:textId="77777777" w:rsidR="00905B80" w:rsidRPr="00E64BF7" w:rsidRDefault="00905B80" w:rsidP="00E64BF7">
            <w:pPr>
              <w:tabs>
                <w:tab w:val="left" w:pos="288"/>
                <w:tab w:val="left" w:pos="576"/>
                <w:tab w:val="left" w:pos="864"/>
                <w:tab w:val="left" w:pos="1152"/>
              </w:tabs>
              <w:spacing w:before="40" w:after="40" w:line="300" w:lineRule="exact"/>
              <w:ind w:left="57" w:right="170"/>
              <w:jc w:val="left"/>
              <w:rPr>
                <w:rFonts w:ascii="Times New Roman Italic" w:hAnsi="Times New Roman Italic"/>
                <w:i/>
                <w:iCs/>
                <w:spacing w:val="-4"/>
                <w:szCs w:val="20"/>
                <w:rtl/>
                <w:lang w:val="fr-CH" w:bidi="ar-EG"/>
              </w:rPr>
            </w:pPr>
            <w:r w:rsidRPr="00E64BF7">
              <w:rPr>
                <w:rFonts w:ascii="Times New Roman Italic" w:hAnsi="Times New Roman Italic"/>
                <w:i/>
                <w:iCs/>
                <w:spacing w:val="-4"/>
                <w:szCs w:val="20"/>
                <w:rtl/>
                <w:lang w:bidi="ar-EG"/>
              </w:rPr>
              <w:br w:type="page"/>
            </w:r>
            <w:r w:rsidRPr="00E64BF7">
              <w:rPr>
                <w:rFonts w:ascii="Times New Roman Italic" w:hAnsi="Times New Roman Italic" w:hint="cs"/>
                <w:i/>
                <w:iCs/>
                <w:spacing w:val="-4"/>
                <w:szCs w:val="20"/>
                <w:rtl/>
                <w:lang w:bidi="ar-EG"/>
              </w:rPr>
              <w:t>المعاهدات الدولية الأساسية لحقوق الإنسان</w:t>
            </w:r>
          </w:p>
        </w:tc>
        <w:tc>
          <w:tcPr>
            <w:tcW w:w="1853" w:type="dxa"/>
            <w:vAlign w:val="bottom"/>
          </w:tcPr>
          <w:p w14:paraId="1965A6EE" w14:textId="77777777" w:rsidR="00905B80" w:rsidRPr="00E64BF7" w:rsidRDefault="00905B80" w:rsidP="00905B80">
            <w:pPr>
              <w:tabs>
                <w:tab w:val="left" w:pos="288"/>
                <w:tab w:val="left" w:pos="576"/>
                <w:tab w:val="left" w:pos="864"/>
                <w:tab w:val="left" w:pos="1152"/>
              </w:tabs>
              <w:spacing w:before="40" w:after="40" w:line="300" w:lineRule="exact"/>
              <w:jc w:val="left"/>
              <w:rPr>
                <w:rFonts w:ascii="Times New Roman Italic" w:hAnsi="Times New Roman Italic"/>
                <w:i/>
                <w:iCs/>
                <w:spacing w:val="-4"/>
                <w:szCs w:val="20"/>
                <w:rtl/>
                <w:lang w:bidi="ar-EG"/>
              </w:rPr>
            </w:pPr>
            <w:r w:rsidRPr="00E64BF7">
              <w:rPr>
                <w:rFonts w:ascii="Times New Roman Italic" w:hAnsi="Times New Roman Italic" w:hint="cs"/>
                <w:i/>
                <w:iCs/>
                <w:spacing w:val="-4"/>
                <w:szCs w:val="20"/>
                <w:rtl/>
                <w:lang w:bidi="ar-EG"/>
              </w:rPr>
              <w:t>تاريخ التصديق أو الانضمام أو الخلافة</w:t>
            </w:r>
          </w:p>
        </w:tc>
        <w:tc>
          <w:tcPr>
            <w:tcW w:w="2707" w:type="dxa"/>
            <w:vAlign w:val="bottom"/>
          </w:tcPr>
          <w:p w14:paraId="6BC1AAE3" w14:textId="77777777" w:rsidR="00905B80" w:rsidRPr="00E64BF7" w:rsidRDefault="00905B80" w:rsidP="00905B80">
            <w:pPr>
              <w:tabs>
                <w:tab w:val="left" w:pos="288"/>
                <w:tab w:val="left" w:pos="576"/>
                <w:tab w:val="left" w:pos="864"/>
                <w:tab w:val="left" w:pos="1152"/>
              </w:tabs>
              <w:spacing w:before="40" w:after="40" w:line="300" w:lineRule="exact"/>
              <w:rPr>
                <w:rFonts w:ascii="Times New Roman Italic" w:hAnsi="Times New Roman Italic"/>
                <w:i/>
                <w:iCs/>
                <w:spacing w:val="-4"/>
                <w:szCs w:val="20"/>
                <w:rtl/>
                <w:lang w:bidi="ar-EG"/>
              </w:rPr>
            </w:pPr>
            <w:r w:rsidRPr="00E64BF7">
              <w:rPr>
                <w:rFonts w:ascii="Times New Roman Italic" w:hAnsi="Times New Roman Italic" w:hint="cs"/>
                <w:i/>
                <w:iCs/>
                <w:spacing w:val="-4"/>
                <w:szCs w:val="20"/>
                <w:rtl/>
                <w:lang w:bidi="ar-EG"/>
              </w:rPr>
              <w:t>الإعلانات/التحفظات</w:t>
            </w:r>
          </w:p>
        </w:tc>
        <w:tc>
          <w:tcPr>
            <w:tcW w:w="988" w:type="dxa"/>
            <w:vAlign w:val="bottom"/>
          </w:tcPr>
          <w:p w14:paraId="7FC5C0AB" w14:textId="77777777" w:rsidR="00905B80" w:rsidRPr="00E64BF7" w:rsidRDefault="00905B80" w:rsidP="00905B80">
            <w:pPr>
              <w:tabs>
                <w:tab w:val="left" w:pos="288"/>
                <w:tab w:val="left" w:pos="576"/>
                <w:tab w:val="left" w:pos="864"/>
                <w:tab w:val="left" w:pos="1152"/>
              </w:tabs>
              <w:spacing w:before="40" w:after="40" w:line="300" w:lineRule="exact"/>
              <w:rPr>
                <w:rFonts w:ascii="Times New Roman Italic" w:hAnsi="Times New Roman Italic"/>
                <w:i/>
                <w:iCs/>
                <w:spacing w:val="-4"/>
                <w:szCs w:val="20"/>
                <w:rtl/>
                <w:lang w:bidi="ar-EG"/>
              </w:rPr>
            </w:pPr>
            <w:r w:rsidRPr="00E64BF7">
              <w:rPr>
                <w:rFonts w:ascii="Times New Roman Italic" w:hAnsi="Times New Roman Italic" w:hint="cs"/>
                <w:i/>
                <w:iCs/>
                <w:spacing w:val="-4"/>
                <w:szCs w:val="20"/>
                <w:rtl/>
                <w:lang w:bidi="ar-EG"/>
              </w:rPr>
              <w:t>الملاحظات</w:t>
            </w:r>
          </w:p>
        </w:tc>
      </w:tr>
      <w:tr w:rsidR="00905B80" w:rsidRPr="00E64BF7" w14:paraId="2AF0785E" w14:textId="77777777" w:rsidTr="00905B80">
        <w:trPr>
          <w:jc w:val="left"/>
        </w:trPr>
        <w:tc>
          <w:tcPr>
            <w:tcW w:w="2842" w:type="dxa"/>
          </w:tcPr>
          <w:p w14:paraId="466090D4"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r w:rsidRPr="00E64BF7">
              <w:rPr>
                <w:spacing w:val="-4"/>
                <w:szCs w:val="20"/>
                <w:rtl/>
                <w:lang w:val="en-GB" w:eastAsia="zh-TW"/>
              </w:rPr>
              <w:t>اتفاقية القضاء على التمييز العنصري</w:t>
            </w:r>
          </w:p>
        </w:tc>
        <w:tc>
          <w:tcPr>
            <w:tcW w:w="1853" w:type="dxa"/>
          </w:tcPr>
          <w:p w14:paraId="01A0EE7C" w14:textId="37D3A5A3"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7</w:t>
            </w:r>
            <w:r w:rsidR="00905B80" w:rsidRPr="00E64BF7">
              <w:rPr>
                <w:spacing w:val="-4"/>
                <w:szCs w:val="20"/>
                <w:rtl/>
                <w:lang w:val="en-GB" w:eastAsia="zh-TW"/>
              </w:rPr>
              <w:t xml:space="preserve"> آب/أغسطس </w:t>
            </w:r>
            <w:r w:rsidRPr="00E64BF7">
              <w:rPr>
                <w:rFonts w:hint="cs"/>
                <w:spacing w:val="-4"/>
                <w:szCs w:val="20"/>
                <w:rtl/>
                <w:lang w:val="en-GB" w:eastAsia="zh-TW"/>
              </w:rPr>
              <w:t>1975</w:t>
            </w:r>
          </w:p>
        </w:tc>
        <w:tc>
          <w:tcPr>
            <w:tcW w:w="2707" w:type="dxa"/>
          </w:tcPr>
          <w:p w14:paraId="15E9B9E1" w14:textId="6226E149"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 xml:space="preserve">إعلان (المادة </w:t>
            </w:r>
            <w:r w:rsidR="0036633E" w:rsidRPr="00E64BF7">
              <w:rPr>
                <w:spacing w:val="-4"/>
                <w:szCs w:val="20"/>
                <w:rtl/>
                <w:lang w:bidi="ar-EG"/>
              </w:rPr>
              <w:t>4</w:t>
            </w:r>
            <w:r w:rsidRPr="00E64BF7">
              <w:rPr>
                <w:spacing w:val="-4"/>
                <w:szCs w:val="20"/>
                <w:rtl/>
                <w:lang w:bidi="ar-EG"/>
              </w:rPr>
              <w:t>)</w:t>
            </w:r>
          </w:p>
        </w:tc>
        <w:tc>
          <w:tcPr>
            <w:tcW w:w="988" w:type="dxa"/>
          </w:tcPr>
          <w:p w14:paraId="428CB45F"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3FBDD0FD" w14:textId="77777777" w:rsidTr="00905B80">
        <w:trPr>
          <w:jc w:val="left"/>
        </w:trPr>
        <w:tc>
          <w:tcPr>
            <w:tcW w:w="2842" w:type="dxa"/>
          </w:tcPr>
          <w:p w14:paraId="664673D4"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r w:rsidRPr="00E64BF7">
              <w:rPr>
                <w:spacing w:val="-4"/>
                <w:szCs w:val="20"/>
                <w:rtl/>
                <w:lang w:val="en-GB" w:eastAsia="zh-TW"/>
              </w:rPr>
              <w:t>العهد الخاص بالحقوق الاقتصادية والاجتماعية والثقافية</w:t>
            </w:r>
          </w:p>
        </w:tc>
        <w:tc>
          <w:tcPr>
            <w:tcW w:w="1853" w:type="dxa"/>
          </w:tcPr>
          <w:p w14:paraId="37D6895F" w14:textId="118BD38D"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21</w:t>
            </w:r>
            <w:r w:rsidR="00905B80" w:rsidRPr="00E64BF7">
              <w:rPr>
                <w:spacing w:val="-4"/>
                <w:szCs w:val="20"/>
                <w:rtl/>
                <w:lang w:val="en-GB" w:eastAsia="zh-TW"/>
              </w:rPr>
              <w:t xml:space="preserve"> نيسان/أبريل </w:t>
            </w:r>
            <w:r w:rsidRPr="00E64BF7">
              <w:rPr>
                <w:rFonts w:hint="cs"/>
                <w:spacing w:val="-4"/>
                <w:szCs w:val="20"/>
                <w:rtl/>
                <w:lang w:val="en-GB" w:eastAsia="zh-TW"/>
              </w:rPr>
              <w:t>1983</w:t>
            </w:r>
          </w:p>
        </w:tc>
        <w:tc>
          <w:tcPr>
            <w:tcW w:w="2707" w:type="dxa"/>
          </w:tcPr>
          <w:p w14:paraId="3C60D6EE"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إعلان (المادة 2)</w:t>
            </w:r>
          </w:p>
        </w:tc>
        <w:tc>
          <w:tcPr>
            <w:tcW w:w="988" w:type="dxa"/>
          </w:tcPr>
          <w:p w14:paraId="6A2244FF"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7BF61752" w14:textId="77777777" w:rsidTr="00905B80">
        <w:trPr>
          <w:jc w:val="left"/>
        </w:trPr>
        <w:tc>
          <w:tcPr>
            <w:tcW w:w="2842" w:type="dxa"/>
          </w:tcPr>
          <w:p w14:paraId="70075864" w14:textId="77777777" w:rsidR="00905B80" w:rsidRPr="00E64BF7" w:rsidRDefault="00905B80" w:rsidP="00E64BF7">
            <w:pPr>
              <w:tabs>
                <w:tab w:val="left" w:pos="288"/>
                <w:tab w:val="left" w:pos="576"/>
                <w:tab w:val="left" w:pos="864"/>
                <w:tab w:val="left" w:pos="1152"/>
              </w:tabs>
              <w:spacing w:before="40" w:after="40" w:line="300" w:lineRule="exact"/>
              <w:ind w:left="57" w:right="170"/>
              <w:rPr>
                <w:rFonts w:hint="cs"/>
                <w:spacing w:val="-4"/>
                <w:szCs w:val="20"/>
                <w:rtl/>
              </w:rPr>
            </w:pPr>
            <w:bookmarkStart w:id="9" w:name="_Hlk899870"/>
            <w:r w:rsidRPr="00E64BF7">
              <w:rPr>
                <w:spacing w:val="-4"/>
                <w:szCs w:val="20"/>
                <w:rtl/>
                <w:lang w:val="en-GB" w:eastAsia="zh-TW"/>
              </w:rPr>
              <w:t>البروتوكول الاختياري الملحق بالعهد الخاص بالحقوق الاقتصادية والاجتماعية والثقافية</w:t>
            </w:r>
            <w:bookmarkEnd w:id="9"/>
          </w:p>
        </w:tc>
        <w:tc>
          <w:tcPr>
            <w:tcW w:w="1853" w:type="dxa"/>
          </w:tcPr>
          <w:p w14:paraId="64D6F667" w14:textId="2197A0FB"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20</w:t>
            </w:r>
            <w:r w:rsidR="00905B80" w:rsidRPr="00E64BF7">
              <w:rPr>
                <w:spacing w:val="-4"/>
                <w:szCs w:val="20"/>
                <w:rtl/>
                <w:lang w:val="en-GB" w:eastAsia="zh-TW"/>
              </w:rPr>
              <w:t xml:space="preserve"> أيار/مايو </w:t>
            </w:r>
            <w:r w:rsidRPr="00E64BF7">
              <w:rPr>
                <w:spacing w:val="-4"/>
                <w:szCs w:val="20"/>
                <w:rtl/>
                <w:lang w:val="en-GB" w:eastAsia="zh-TW"/>
              </w:rPr>
              <w:t>2014</w:t>
            </w:r>
          </w:p>
        </w:tc>
        <w:tc>
          <w:tcPr>
            <w:tcW w:w="2707" w:type="dxa"/>
          </w:tcPr>
          <w:p w14:paraId="25B7B3D9"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137B4AED"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3C9372F8" w14:textId="77777777" w:rsidTr="00905B80">
        <w:trPr>
          <w:jc w:val="left"/>
        </w:trPr>
        <w:tc>
          <w:tcPr>
            <w:tcW w:w="2842" w:type="dxa"/>
          </w:tcPr>
          <w:p w14:paraId="2AE9B1F5"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0" w:name="_Hlk899914"/>
            <w:r w:rsidRPr="00E64BF7">
              <w:rPr>
                <w:spacing w:val="-4"/>
                <w:szCs w:val="20"/>
                <w:rtl/>
                <w:lang w:val="en-GB" w:eastAsia="zh-TW"/>
              </w:rPr>
              <w:t>العهد الخاص بالحقوق المدنية والسياسية</w:t>
            </w:r>
            <w:bookmarkEnd w:id="10"/>
          </w:p>
        </w:tc>
        <w:tc>
          <w:tcPr>
            <w:tcW w:w="1853" w:type="dxa"/>
          </w:tcPr>
          <w:p w14:paraId="625CBF92" w14:textId="5F56E343"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21</w:t>
            </w:r>
            <w:r w:rsidR="00905B80" w:rsidRPr="00E64BF7">
              <w:rPr>
                <w:spacing w:val="-4"/>
                <w:szCs w:val="20"/>
                <w:rtl/>
                <w:lang w:val="en-GB" w:eastAsia="zh-TW"/>
              </w:rPr>
              <w:t xml:space="preserve"> نيسان/أبريل </w:t>
            </w:r>
            <w:r w:rsidRPr="00E64BF7">
              <w:rPr>
                <w:spacing w:val="-4"/>
                <w:szCs w:val="20"/>
                <w:rtl/>
                <w:lang w:val="en-GB" w:eastAsia="zh-TW"/>
              </w:rPr>
              <w:t>1</w:t>
            </w:r>
            <w:r w:rsidR="0037597C" w:rsidRPr="00E64BF7">
              <w:rPr>
                <w:spacing w:val="-4"/>
                <w:szCs w:val="20"/>
                <w:rtl/>
                <w:lang w:val="en-GB" w:eastAsia="zh-TW"/>
              </w:rPr>
              <w:t>98</w:t>
            </w:r>
            <w:r w:rsidRPr="00E64BF7">
              <w:rPr>
                <w:spacing w:val="-4"/>
                <w:szCs w:val="20"/>
                <w:rtl/>
                <w:lang w:val="en-GB" w:eastAsia="zh-TW"/>
              </w:rPr>
              <w:t>3</w:t>
            </w:r>
          </w:p>
        </w:tc>
        <w:tc>
          <w:tcPr>
            <w:tcW w:w="2707" w:type="dxa"/>
          </w:tcPr>
          <w:p w14:paraId="1B2E2D64"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التحفظات (المواد 10 و14 و19 و21 و22)</w:t>
            </w:r>
          </w:p>
          <w:p w14:paraId="559017A4" w14:textId="0DF55790"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 xml:space="preserve">الإعلان التفسيري (المادتان </w:t>
            </w:r>
            <w:r w:rsidR="0037597C" w:rsidRPr="00E64BF7">
              <w:rPr>
                <w:rFonts w:hint="cs"/>
                <w:spacing w:val="-4"/>
                <w:szCs w:val="20"/>
                <w:rtl/>
                <w:lang w:bidi="ar-EG"/>
              </w:rPr>
              <w:t>0</w:t>
            </w:r>
            <w:r w:rsidRPr="00E64BF7">
              <w:rPr>
                <w:spacing w:val="-4"/>
                <w:szCs w:val="20"/>
                <w:rtl/>
                <w:lang w:bidi="ar-EG"/>
              </w:rPr>
              <w:t xml:space="preserve"> و23)</w:t>
            </w:r>
          </w:p>
        </w:tc>
        <w:tc>
          <w:tcPr>
            <w:tcW w:w="988" w:type="dxa"/>
          </w:tcPr>
          <w:p w14:paraId="13E7BEE7"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32DEA0F8" w14:textId="77777777" w:rsidTr="00905B80">
        <w:trPr>
          <w:jc w:val="left"/>
        </w:trPr>
        <w:tc>
          <w:tcPr>
            <w:tcW w:w="2842" w:type="dxa"/>
          </w:tcPr>
          <w:p w14:paraId="7FAE5FC5"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1" w:name="_Hlk899928"/>
            <w:r w:rsidRPr="00E64BF7">
              <w:rPr>
                <w:spacing w:val="-4"/>
                <w:szCs w:val="20"/>
                <w:rtl/>
                <w:lang w:val="en-GB" w:eastAsia="zh-TW"/>
              </w:rPr>
              <w:lastRenderedPageBreak/>
              <w:t>البروتوكول الاختياري الأول الملحق بالعهد الخاص بالحقوق المدنية والسياسية</w:t>
            </w:r>
            <w:bookmarkEnd w:id="11"/>
          </w:p>
        </w:tc>
        <w:tc>
          <w:tcPr>
            <w:tcW w:w="1853" w:type="dxa"/>
          </w:tcPr>
          <w:p w14:paraId="5F9CF3F0" w14:textId="69FE166E"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17</w:t>
            </w:r>
            <w:r w:rsidR="00905B80" w:rsidRPr="00E64BF7">
              <w:rPr>
                <w:spacing w:val="-4"/>
                <w:szCs w:val="20"/>
                <w:rtl/>
                <w:lang w:val="en-GB" w:eastAsia="zh-TW"/>
              </w:rPr>
              <w:t xml:space="preserve"> أيار/مايو </w:t>
            </w:r>
            <w:r w:rsidRPr="00E64BF7">
              <w:rPr>
                <w:spacing w:val="-4"/>
                <w:szCs w:val="20"/>
                <w:rtl/>
                <w:lang w:val="en-GB" w:eastAsia="zh-TW"/>
              </w:rPr>
              <w:t>1</w:t>
            </w:r>
            <w:r w:rsidR="0037597C" w:rsidRPr="00E64BF7">
              <w:rPr>
                <w:spacing w:val="-4"/>
                <w:szCs w:val="20"/>
                <w:rtl/>
                <w:lang w:val="en-GB" w:eastAsia="zh-TW"/>
              </w:rPr>
              <w:t>99</w:t>
            </w:r>
            <w:r w:rsidRPr="00E64BF7">
              <w:rPr>
                <w:spacing w:val="-4"/>
                <w:szCs w:val="20"/>
                <w:rtl/>
                <w:lang w:val="en-GB" w:eastAsia="zh-TW"/>
              </w:rPr>
              <w:t>4</w:t>
            </w:r>
          </w:p>
        </w:tc>
        <w:tc>
          <w:tcPr>
            <w:tcW w:w="2707" w:type="dxa"/>
          </w:tcPr>
          <w:p w14:paraId="23472345"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7B20C2D0"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537F78D0" w14:textId="77777777" w:rsidTr="00905B80">
        <w:trPr>
          <w:jc w:val="left"/>
        </w:trPr>
        <w:tc>
          <w:tcPr>
            <w:tcW w:w="2842" w:type="dxa"/>
          </w:tcPr>
          <w:p w14:paraId="21D22A3B"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2" w:name="_Hlk899955"/>
            <w:r w:rsidRPr="00E64BF7">
              <w:rPr>
                <w:spacing w:val="-4"/>
                <w:szCs w:val="20"/>
                <w:rtl/>
                <w:lang w:val="en-GB" w:eastAsia="zh-TW"/>
              </w:rPr>
              <w:t>البروتوكول الاختياري الثاني الملحق بالعهد الخاص بالحقوق المدنية والسياسية</w:t>
            </w:r>
            <w:bookmarkEnd w:id="12"/>
          </w:p>
        </w:tc>
        <w:tc>
          <w:tcPr>
            <w:tcW w:w="1853" w:type="dxa"/>
          </w:tcPr>
          <w:p w14:paraId="16AACEA3" w14:textId="10FFA57A"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8</w:t>
            </w:r>
            <w:r w:rsidR="00905B80" w:rsidRPr="00E64BF7">
              <w:rPr>
                <w:spacing w:val="-4"/>
                <w:szCs w:val="20"/>
                <w:rtl/>
                <w:lang w:val="en-GB" w:eastAsia="zh-TW"/>
              </w:rPr>
              <w:t xml:space="preserve"> كانون الأول/ديسمبر </w:t>
            </w:r>
            <w:r w:rsidRPr="00E64BF7">
              <w:rPr>
                <w:rFonts w:hint="cs"/>
                <w:spacing w:val="-4"/>
                <w:szCs w:val="20"/>
                <w:rtl/>
                <w:lang w:val="en-GB" w:eastAsia="zh-TW"/>
              </w:rPr>
              <w:t>1998</w:t>
            </w:r>
          </w:p>
        </w:tc>
        <w:tc>
          <w:tcPr>
            <w:tcW w:w="2707" w:type="dxa"/>
          </w:tcPr>
          <w:p w14:paraId="31C5F558"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1261F84E"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70B3E04F" w14:textId="77777777" w:rsidTr="00905B80">
        <w:trPr>
          <w:jc w:val="left"/>
        </w:trPr>
        <w:tc>
          <w:tcPr>
            <w:tcW w:w="2842" w:type="dxa"/>
          </w:tcPr>
          <w:p w14:paraId="5C4AB168"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3" w:name="_Hlk899976"/>
            <w:r w:rsidRPr="00E64BF7">
              <w:rPr>
                <w:spacing w:val="-4"/>
                <w:szCs w:val="20"/>
                <w:rtl/>
                <w:lang w:val="en-GB" w:eastAsia="zh-TW"/>
              </w:rPr>
              <w:t>اتفاقية القضاء على التمييز ضد المرأة</w:t>
            </w:r>
            <w:bookmarkEnd w:id="13"/>
          </w:p>
        </w:tc>
        <w:tc>
          <w:tcPr>
            <w:tcW w:w="1853" w:type="dxa"/>
          </w:tcPr>
          <w:p w14:paraId="3884C790" w14:textId="7D5D9DF9"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10 </w:t>
            </w:r>
            <w:r w:rsidR="00905B80" w:rsidRPr="00E64BF7">
              <w:rPr>
                <w:spacing w:val="-4"/>
                <w:szCs w:val="20"/>
                <w:rtl/>
                <w:lang w:val="en-GB" w:eastAsia="zh-TW"/>
              </w:rPr>
              <w:t xml:space="preserve">تموز/يوليه </w:t>
            </w:r>
            <w:r w:rsidRPr="00E64BF7">
              <w:rPr>
                <w:rFonts w:hint="cs"/>
                <w:spacing w:val="-4"/>
                <w:szCs w:val="20"/>
                <w:rtl/>
                <w:lang w:val="en-GB" w:eastAsia="zh-TW"/>
              </w:rPr>
              <w:t>1985</w:t>
            </w:r>
          </w:p>
        </w:tc>
        <w:tc>
          <w:tcPr>
            <w:tcW w:w="2707" w:type="dxa"/>
          </w:tcPr>
          <w:p w14:paraId="58E89E8D"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6F176CBF"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427B99D8" w14:textId="77777777" w:rsidTr="00905B80">
        <w:trPr>
          <w:jc w:val="left"/>
        </w:trPr>
        <w:tc>
          <w:tcPr>
            <w:tcW w:w="2842" w:type="dxa"/>
          </w:tcPr>
          <w:p w14:paraId="3FB11988"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4" w:name="_Hlk900004"/>
            <w:r w:rsidRPr="00E64BF7">
              <w:rPr>
                <w:spacing w:val="-4"/>
                <w:szCs w:val="20"/>
                <w:rtl/>
                <w:lang w:val="en-GB" w:eastAsia="zh-TW"/>
              </w:rPr>
              <w:t>البروتوكول الاختياري لاتفاقية القضاء على التمييز ضد المرأة</w:t>
            </w:r>
            <w:bookmarkEnd w:id="14"/>
          </w:p>
        </w:tc>
        <w:tc>
          <w:tcPr>
            <w:tcW w:w="1853" w:type="dxa"/>
          </w:tcPr>
          <w:p w14:paraId="082D405D" w14:textId="40C9B5C2"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17 </w:t>
            </w:r>
            <w:r w:rsidR="00905B80" w:rsidRPr="00E64BF7">
              <w:rPr>
                <w:spacing w:val="-4"/>
                <w:szCs w:val="20"/>
                <w:rtl/>
                <w:lang w:val="en-GB" w:eastAsia="zh-TW"/>
              </w:rPr>
              <w:t>حزيران/</w:t>
            </w:r>
            <w:proofErr w:type="gramStart"/>
            <w:r w:rsidR="00905B80" w:rsidRPr="00E64BF7">
              <w:rPr>
                <w:spacing w:val="-4"/>
                <w:szCs w:val="20"/>
                <w:rtl/>
                <w:lang w:val="en-GB" w:eastAsia="zh-TW"/>
              </w:rPr>
              <w:t>يونيه</w:t>
            </w:r>
            <w:proofErr w:type="gramEnd"/>
            <w:r w:rsidR="00905B80" w:rsidRPr="00E64BF7">
              <w:rPr>
                <w:spacing w:val="-4"/>
                <w:szCs w:val="20"/>
                <w:rtl/>
                <w:lang w:val="en-GB" w:eastAsia="zh-TW"/>
              </w:rPr>
              <w:t xml:space="preserve"> </w:t>
            </w:r>
            <w:r w:rsidRPr="00E64BF7">
              <w:rPr>
                <w:rFonts w:hint="cs"/>
                <w:spacing w:val="-4"/>
                <w:szCs w:val="20"/>
                <w:rtl/>
                <w:lang w:val="en-GB" w:eastAsia="zh-TW"/>
              </w:rPr>
              <w:t>2004</w:t>
            </w:r>
          </w:p>
        </w:tc>
        <w:tc>
          <w:tcPr>
            <w:tcW w:w="2707" w:type="dxa"/>
          </w:tcPr>
          <w:p w14:paraId="4B0AEDFA"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bidi="ar-EG"/>
              </w:rPr>
              <w:t>إعلان</w:t>
            </w:r>
          </w:p>
        </w:tc>
        <w:tc>
          <w:tcPr>
            <w:tcW w:w="988" w:type="dxa"/>
          </w:tcPr>
          <w:p w14:paraId="7D586084"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283816E8" w14:textId="77777777" w:rsidTr="00905B80">
        <w:trPr>
          <w:jc w:val="left"/>
        </w:trPr>
        <w:tc>
          <w:tcPr>
            <w:tcW w:w="2842" w:type="dxa"/>
          </w:tcPr>
          <w:p w14:paraId="1AC9D0E8"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5" w:name="_Hlk900017"/>
            <w:r w:rsidRPr="00E64BF7">
              <w:rPr>
                <w:spacing w:val="-4"/>
                <w:szCs w:val="20"/>
                <w:rtl/>
                <w:lang w:val="en-GB" w:eastAsia="zh-TW"/>
              </w:rPr>
              <w:t>اتفاقية مناهضة التعذيب</w:t>
            </w:r>
            <w:bookmarkEnd w:id="15"/>
          </w:p>
        </w:tc>
        <w:tc>
          <w:tcPr>
            <w:tcW w:w="1853" w:type="dxa"/>
          </w:tcPr>
          <w:p w14:paraId="4B601B2A" w14:textId="74DFBD28"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25 </w:t>
            </w:r>
            <w:r w:rsidR="00905B80" w:rsidRPr="00E64BF7">
              <w:rPr>
                <w:spacing w:val="-4"/>
                <w:szCs w:val="20"/>
                <w:rtl/>
                <w:lang w:val="en-GB" w:eastAsia="zh-TW"/>
              </w:rPr>
              <w:t>حزيران/</w:t>
            </w:r>
            <w:proofErr w:type="gramStart"/>
            <w:r w:rsidR="00905B80" w:rsidRPr="00E64BF7">
              <w:rPr>
                <w:spacing w:val="-4"/>
                <w:szCs w:val="20"/>
                <w:rtl/>
                <w:lang w:val="en-GB" w:eastAsia="zh-TW"/>
              </w:rPr>
              <w:t>يونيه</w:t>
            </w:r>
            <w:proofErr w:type="gramEnd"/>
            <w:r w:rsidR="00905B80" w:rsidRPr="00E64BF7">
              <w:rPr>
                <w:spacing w:val="-4"/>
                <w:szCs w:val="20"/>
                <w:rtl/>
                <w:lang w:val="en-GB" w:eastAsia="zh-TW"/>
              </w:rPr>
              <w:t xml:space="preserve"> </w:t>
            </w:r>
            <w:r w:rsidRPr="00E64BF7">
              <w:rPr>
                <w:rFonts w:hint="cs"/>
                <w:spacing w:val="-4"/>
                <w:szCs w:val="20"/>
                <w:rtl/>
                <w:lang w:val="en-GB" w:eastAsia="zh-TW"/>
              </w:rPr>
              <w:t>1999</w:t>
            </w:r>
          </w:p>
        </w:tc>
        <w:tc>
          <w:tcPr>
            <w:tcW w:w="2707" w:type="dxa"/>
          </w:tcPr>
          <w:p w14:paraId="40FEEDA7"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0EEFFFE1"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3269D312" w14:textId="77777777" w:rsidTr="00905B80">
        <w:trPr>
          <w:jc w:val="left"/>
        </w:trPr>
        <w:tc>
          <w:tcPr>
            <w:tcW w:w="2842" w:type="dxa"/>
          </w:tcPr>
          <w:p w14:paraId="0AD396A7"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6" w:name="_Hlk900031"/>
            <w:r w:rsidRPr="00E64BF7">
              <w:rPr>
                <w:spacing w:val="-4"/>
                <w:szCs w:val="20"/>
                <w:rtl/>
                <w:lang w:val="en-GB" w:eastAsia="zh-TW"/>
              </w:rPr>
              <w:t>البروتوكول الاختياري لاتفاقية مناهضة التعذيب</w:t>
            </w:r>
            <w:bookmarkEnd w:id="16"/>
          </w:p>
        </w:tc>
        <w:tc>
          <w:tcPr>
            <w:tcW w:w="1853" w:type="dxa"/>
          </w:tcPr>
          <w:p w14:paraId="72474C5F"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2707" w:type="dxa"/>
          </w:tcPr>
          <w:p w14:paraId="3449D232"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0F11A168" w14:textId="77777777" w:rsidR="00905B80" w:rsidRPr="00E64BF7" w:rsidRDefault="00905B80" w:rsidP="0037597C">
            <w:pPr>
              <w:tabs>
                <w:tab w:val="left" w:pos="288"/>
                <w:tab w:val="left" w:pos="576"/>
                <w:tab w:val="left" w:pos="864"/>
                <w:tab w:val="left" w:pos="1152"/>
              </w:tabs>
              <w:spacing w:before="40" w:after="40" w:line="300" w:lineRule="exact"/>
              <w:ind w:right="0"/>
              <w:rPr>
                <w:spacing w:val="-4"/>
                <w:szCs w:val="20"/>
                <w:rtl/>
                <w:lang w:bidi="ar-EG"/>
              </w:rPr>
            </w:pPr>
            <w:r w:rsidRPr="00E64BF7">
              <w:rPr>
                <w:rFonts w:hint="cs"/>
                <w:spacing w:val="-4"/>
                <w:szCs w:val="20"/>
                <w:rtl/>
                <w:lang w:bidi="ar-EG"/>
              </w:rPr>
              <w:t>توقيع، 2005</w:t>
            </w:r>
          </w:p>
        </w:tc>
      </w:tr>
      <w:tr w:rsidR="00905B80" w:rsidRPr="00E64BF7" w14:paraId="160BA91C" w14:textId="77777777" w:rsidTr="00905B80">
        <w:trPr>
          <w:jc w:val="left"/>
        </w:trPr>
        <w:tc>
          <w:tcPr>
            <w:tcW w:w="2842" w:type="dxa"/>
          </w:tcPr>
          <w:p w14:paraId="20D32D89"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7" w:name="_Hlk900050"/>
            <w:r w:rsidRPr="00E64BF7">
              <w:rPr>
                <w:spacing w:val="-4"/>
                <w:szCs w:val="20"/>
                <w:rtl/>
                <w:lang w:val="en-GB" w:eastAsia="zh-TW"/>
              </w:rPr>
              <w:t>اتفاقية حقوق الطفل</w:t>
            </w:r>
            <w:bookmarkEnd w:id="17"/>
          </w:p>
        </w:tc>
        <w:tc>
          <w:tcPr>
            <w:tcW w:w="1853" w:type="dxa"/>
          </w:tcPr>
          <w:p w14:paraId="6086ABFF" w14:textId="71841C98"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16 </w:t>
            </w:r>
            <w:r w:rsidR="00905B80" w:rsidRPr="00E64BF7">
              <w:rPr>
                <w:spacing w:val="-4"/>
                <w:szCs w:val="20"/>
                <w:rtl/>
                <w:lang w:val="en-GB" w:eastAsia="zh-TW"/>
              </w:rPr>
              <w:t>كانون الأول</w:t>
            </w:r>
            <w:r w:rsidR="00905B80" w:rsidRPr="00E64BF7">
              <w:rPr>
                <w:rFonts w:hint="cs"/>
                <w:spacing w:val="-4"/>
                <w:szCs w:val="20"/>
                <w:rtl/>
                <w:lang w:val="en-GB" w:eastAsia="zh-TW"/>
              </w:rPr>
              <w:t>/</w:t>
            </w:r>
            <w:r w:rsidR="00905B80" w:rsidRPr="00E64BF7">
              <w:rPr>
                <w:spacing w:val="-4"/>
                <w:szCs w:val="20"/>
                <w:rtl/>
                <w:lang w:val="en-GB" w:eastAsia="zh-TW"/>
              </w:rPr>
              <w:t xml:space="preserve">ديسمبر </w:t>
            </w:r>
            <w:r w:rsidRPr="00E64BF7">
              <w:rPr>
                <w:rFonts w:hint="cs"/>
                <w:spacing w:val="-4"/>
                <w:szCs w:val="20"/>
                <w:rtl/>
                <w:lang w:val="en-GB" w:eastAsia="zh-TW"/>
              </w:rPr>
              <w:t>1991</w:t>
            </w:r>
          </w:p>
        </w:tc>
        <w:tc>
          <w:tcPr>
            <w:tcW w:w="2707" w:type="dxa"/>
          </w:tcPr>
          <w:p w14:paraId="29813D90"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إعلان (المواد 2 و13 و15 و40 و14)</w:t>
            </w:r>
          </w:p>
        </w:tc>
        <w:tc>
          <w:tcPr>
            <w:tcW w:w="988" w:type="dxa"/>
          </w:tcPr>
          <w:p w14:paraId="5E2394AD"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05B875B4" w14:textId="77777777" w:rsidTr="00905B80">
        <w:trPr>
          <w:jc w:val="left"/>
        </w:trPr>
        <w:tc>
          <w:tcPr>
            <w:tcW w:w="2842" w:type="dxa"/>
          </w:tcPr>
          <w:p w14:paraId="58635F1A"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8" w:name="_Hlk900075"/>
            <w:r w:rsidRPr="00E64BF7">
              <w:rPr>
                <w:spacing w:val="-4"/>
                <w:szCs w:val="20"/>
                <w:rtl/>
                <w:lang w:val="en-GB" w:eastAsia="zh-TW"/>
              </w:rPr>
              <w:t>البروتوكول الاختيـاري لاتفاقية حقوق الطفل المتعلق بإشراك الأطفال في النزاعات المسلحة</w:t>
            </w:r>
            <w:bookmarkEnd w:id="18"/>
          </w:p>
        </w:tc>
        <w:tc>
          <w:tcPr>
            <w:tcW w:w="1853" w:type="dxa"/>
          </w:tcPr>
          <w:p w14:paraId="774450AB" w14:textId="50EEB5EA"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6 </w:t>
            </w:r>
            <w:r w:rsidR="00905B80" w:rsidRPr="00E64BF7">
              <w:rPr>
                <w:spacing w:val="-4"/>
                <w:szCs w:val="20"/>
                <w:rtl/>
                <w:lang w:val="en-GB" w:eastAsia="zh-TW"/>
              </w:rPr>
              <w:t xml:space="preserve">أيار/مايو </w:t>
            </w:r>
            <w:r w:rsidRPr="00E64BF7">
              <w:rPr>
                <w:rFonts w:hint="cs"/>
                <w:spacing w:val="-4"/>
                <w:szCs w:val="20"/>
                <w:rtl/>
                <w:lang w:val="en-GB" w:eastAsia="zh-TW"/>
              </w:rPr>
              <w:t>2002</w:t>
            </w:r>
          </w:p>
        </w:tc>
        <w:tc>
          <w:tcPr>
            <w:tcW w:w="2707" w:type="dxa"/>
          </w:tcPr>
          <w:p w14:paraId="12D7A35D"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bidi="ar-EG"/>
              </w:rPr>
              <w:t>إعلان ملزم بموجب المادة 3: 18 سنة</w:t>
            </w:r>
          </w:p>
        </w:tc>
        <w:tc>
          <w:tcPr>
            <w:tcW w:w="988" w:type="dxa"/>
          </w:tcPr>
          <w:p w14:paraId="75A2E858"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335E9491" w14:textId="77777777" w:rsidTr="00905B80">
        <w:trPr>
          <w:jc w:val="left"/>
        </w:trPr>
        <w:tc>
          <w:tcPr>
            <w:tcW w:w="2842" w:type="dxa"/>
          </w:tcPr>
          <w:p w14:paraId="10882614"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19" w:name="_Hlk900119"/>
            <w:r w:rsidRPr="00E64BF7">
              <w:rPr>
                <w:spacing w:val="-4"/>
                <w:szCs w:val="20"/>
                <w:rtl/>
                <w:lang w:val="en-GB" w:eastAsia="zh-TW"/>
              </w:rPr>
              <w:t>البروتوكول الاختيـاري لاتفاقية حقوق الطفل المتعلق ببيع الأطفال واستغلال الأطفال في البغاء وفي المواد الإباحية</w:t>
            </w:r>
            <w:bookmarkEnd w:id="19"/>
          </w:p>
        </w:tc>
        <w:tc>
          <w:tcPr>
            <w:tcW w:w="1853" w:type="dxa"/>
          </w:tcPr>
          <w:p w14:paraId="52297CC5" w14:textId="6EEB4D54"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val="en-GB" w:eastAsia="zh-TW"/>
              </w:rPr>
              <w:t xml:space="preserve">17 </w:t>
            </w:r>
            <w:r w:rsidR="00905B80" w:rsidRPr="00E64BF7">
              <w:rPr>
                <w:spacing w:val="-4"/>
                <w:szCs w:val="20"/>
                <w:rtl/>
                <w:lang w:val="en-GB" w:eastAsia="zh-TW"/>
              </w:rPr>
              <w:t xml:space="preserve">آذار/مارس </w:t>
            </w:r>
            <w:r w:rsidRPr="00E64BF7">
              <w:rPr>
                <w:rFonts w:hint="cs"/>
                <w:spacing w:val="-4"/>
                <w:szCs w:val="20"/>
                <w:rtl/>
                <w:lang w:val="en-GB" w:eastAsia="zh-TW"/>
              </w:rPr>
              <w:t>2006</w:t>
            </w:r>
          </w:p>
        </w:tc>
        <w:tc>
          <w:tcPr>
            <w:tcW w:w="2707" w:type="dxa"/>
          </w:tcPr>
          <w:p w14:paraId="1CA4718D"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bidi="ar-EG"/>
              </w:rPr>
              <w:t>إعلان</w:t>
            </w:r>
          </w:p>
        </w:tc>
        <w:tc>
          <w:tcPr>
            <w:tcW w:w="988" w:type="dxa"/>
          </w:tcPr>
          <w:p w14:paraId="6BA4FBD9"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5E385000" w14:textId="77777777" w:rsidTr="00905B80">
        <w:trPr>
          <w:jc w:val="left"/>
        </w:trPr>
        <w:tc>
          <w:tcPr>
            <w:tcW w:w="2842" w:type="dxa"/>
          </w:tcPr>
          <w:p w14:paraId="4E764555"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20" w:name="_Hlk900132"/>
            <w:r w:rsidRPr="00E64BF7">
              <w:rPr>
                <w:spacing w:val="-4"/>
                <w:szCs w:val="20"/>
                <w:rtl/>
                <w:lang w:val="en-GB" w:eastAsia="zh-TW"/>
              </w:rPr>
              <w:t>الاتفاقية الدولية لحماية حقوق جميع العمال المهاجرين وأفراد أسرهم</w:t>
            </w:r>
            <w:bookmarkEnd w:id="20"/>
          </w:p>
        </w:tc>
        <w:tc>
          <w:tcPr>
            <w:tcW w:w="1853" w:type="dxa"/>
          </w:tcPr>
          <w:p w14:paraId="2A4EB2BC"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2707" w:type="dxa"/>
          </w:tcPr>
          <w:p w14:paraId="282B9C82"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2C1FE246"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7B55736C" w14:textId="77777777" w:rsidTr="00905B80">
        <w:trPr>
          <w:jc w:val="left"/>
        </w:trPr>
        <w:tc>
          <w:tcPr>
            <w:tcW w:w="2842" w:type="dxa"/>
          </w:tcPr>
          <w:p w14:paraId="3161EF29"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21" w:name="_Hlk900146"/>
            <w:r w:rsidRPr="00E64BF7">
              <w:rPr>
                <w:spacing w:val="-4"/>
                <w:szCs w:val="20"/>
                <w:rtl/>
                <w:lang w:val="en-GB" w:eastAsia="zh-TW"/>
              </w:rPr>
              <w:t>اتفاقية حقوق الأشخاص ذوي الإعاقة</w:t>
            </w:r>
            <w:bookmarkEnd w:id="21"/>
          </w:p>
        </w:tc>
        <w:tc>
          <w:tcPr>
            <w:tcW w:w="1853" w:type="dxa"/>
          </w:tcPr>
          <w:p w14:paraId="1520C599" w14:textId="08B00B54"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val="en-GB" w:eastAsia="zh-TW"/>
              </w:rPr>
              <w:t>2</w:t>
            </w:r>
            <w:r w:rsidR="00905B80" w:rsidRPr="00E64BF7">
              <w:rPr>
                <w:spacing w:val="-4"/>
                <w:szCs w:val="20"/>
                <w:rtl/>
                <w:lang w:val="en-GB" w:eastAsia="zh-TW"/>
              </w:rPr>
              <w:t xml:space="preserve"> تموز/يوليه </w:t>
            </w:r>
            <w:r w:rsidRPr="00E64BF7">
              <w:rPr>
                <w:spacing w:val="-4"/>
                <w:szCs w:val="20"/>
                <w:rtl/>
                <w:lang w:val="en-GB" w:eastAsia="zh-TW"/>
              </w:rPr>
              <w:t>200</w:t>
            </w:r>
            <w:r w:rsidR="0037597C" w:rsidRPr="00E64BF7">
              <w:rPr>
                <w:spacing w:val="-4"/>
                <w:szCs w:val="20"/>
                <w:rtl/>
                <w:lang w:val="en-GB" w:eastAsia="zh-TW"/>
              </w:rPr>
              <w:t>9</w:t>
            </w:r>
          </w:p>
        </w:tc>
        <w:tc>
          <w:tcPr>
            <w:tcW w:w="2707" w:type="dxa"/>
          </w:tcPr>
          <w:p w14:paraId="25493FEC"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r w:rsidRPr="00E64BF7">
              <w:rPr>
                <w:rFonts w:hint="cs"/>
                <w:spacing w:val="-4"/>
                <w:szCs w:val="20"/>
                <w:rtl/>
                <w:lang w:bidi="ar-EG"/>
              </w:rPr>
              <w:t>إعلان</w:t>
            </w:r>
          </w:p>
        </w:tc>
        <w:tc>
          <w:tcPr>
            <w:tcW w:w="988" w:type="dxa"/>
          </w:tcPr>
          <w:p w14:paraId="06260333"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2F84309D" w14:textId="77777777" w:rsidTr="00905B80">
        <w:trPr>
          <w:jc w:val="left"/>
        </w:trPr>
        <w:tc>
          <w:tcPr>
            <w:tcW w:w="2842" w:type="dxa"/>
          </w:tcPr>
          <w:p w14:paraId="1839E368"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22" w:name="_Hlk900161"/>
            <w:r w:rsidRPr="00E64BF7">
              <w:rPr>
                <w:spacing w:val="-4"/>
                <w:szCs w:val="20"/>
                <w:rtl/>
                <w:lang w:val="en-GB" w:eastAsia="zh-TW"/>
              </w:rPr>
              <w:t>البروتوكول الاختياري لاتفاقية حقوق الأشخاص ذوي الإعاقة</w:t>
            </w:r>
            <w:bookmarkEnd w:id="22"/>
          </w:p>
        </w:tc>
        <w:tc>
          <w:tcPr>
            <w:tcW w:w="1853" w:type="dxa"/>
          </w:tcPr>
          <w:p w14:paraId="7FD5D948" w14:textId="34731FBB"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val="en-GB" w:eastAsia="zh-TW"/>
              </w:rPr>
              <w:t>2</w:t>
            </w:r>
            <w:r w:rsidR="00905B80" w:rsidRPr="00E64BF7">
              <w:rPr>
                <w:spacing w:val="-4"/>
                <w:szCs w:val="20"/>
                <w:rtl/>
                <w:lang w:val="en-GB" w:eastAsia="zh-TW"/>
              </w:rPr>
              <w:t xml:space="preserve"> تموز/يوليه </w:t>
            </w:r>
            <w:r w:rsidRPr="00E64BF7">
              <w:rPr>
                <w:spacing w:val="-4"/>
                <w:szCs w:val="20"/>
                <w:rtl/>
                <w:lang w:val="en-GB" w:eastAsia="zh-TW"/>
              </w:rPr>
              <w:t>200</w:t>
            </w:r>
            <w:r w:rsidR="0037597C" w:rsidRPr="00E64BF7">
              <w:rPr>
                <w:spacing w:val="-4"/>
                <w:szCs w:val="20"/>
                <w:rtl/>
                <w:lang w:val="en-GB" w:eastAsia="zh-TW"/>
              </w:rPr>
              <w:t>9</w:t>
            </w:r>
          </w:p>
        </w:tc>
        <w:tc>
          <w:tcPr>
            <w:tcW w:w="2707" w:type="dxa"/>
          </w:tcPr>
          <w:p w14:paraId="49FD8A74"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1EB5622E"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r w:rsidR="00905B80" w:rsidRPr="00E64BF7" w14:paraId="4BD62E68" w14:textId="77777777" w:rsidTr="00905B80">
        <w:trPr>
          <w:cnfStyle w:val="010000000000" w:firstRow="0" w:lastRow="1" w:firstColumn="0" w:lastColumn="0" w:oddVBand="0" w:evenVBand="0" w:oddHBand="0" w:evenHBand="0" w:firstRowFirstColumn="0" w:firstRowLastColumn="0" w:lastRowFirstColumn="0" w:lastRowLastColumn="0"/>
          <w:jc w:val="left"/>
        </w:trPr>
        <w:tc>
          <w:tcPr>
            <w:tcW w:w="2842" w:type="dxa"/>
          </w:tcPr>
          <w:p w14:paraId="7D49CFD2" w14:textId="77777777" w:rsidR="00905B80" w:rsidRPr="00E64BF7" w:rsidRDefault="00905B80" w:rsidP="00E64BF7">
            <w:pPr>
              <w:tabs>
                <w:tab w:val="left" w:pos="288"/>
                <w:tab w:val="left" w:pos="576"/>
                <w:tab w:val="left" w:pos="864"/>
                <w:tab w:val="left" w:pos="1152"/>
              </w:tabs>
              <w:spacing w:before="40" w:after="40" w:line="300" w:lineRule="exact"/>
              <w:ind w:left="57" w:right="170"/>
              <w:rPr>
                <w:spacing w:val="-4"/>
                <w:szCs w:val="20"/>
                <w:rtl/>
                <w:lang w:bidi="ar-EG"/>
              </w:rPr>
            </w:pPr>
            <w:bookmarkStart w:id="23" w:name="_Hlk900178"/>
            <w:r w:rsidRPr="00E64BF7">
              <w:rPr>
                <w:spacing w:val="-4"/>
                <w:szCs w:val="20"/>
                <w:rtl/>
                <w:lang w:val="en-GB" w:eastAsia="zh-TW"/>
              </w:rPr>
              <w:t>الاتفاقية الدولية لحماية جميع الأشخاص من الاختفاء القسري</w:t>
            </w:r>
            <w:bookmarkEnd w:id="23"/>
          </w:p>
        </w:tc>
        <w:tc>
          <w:tcPr>
            <w:tcW w:w="1853" w:type="dxa"/>
          </w:tcPr>
          <w:p w14:paraId="13B6B4DC" w14:textId="2862403C" w:rsidR="00905B80" w:rsidRPr="00E64BF7" w:rsidRDefault="0036633E" w:rsidP="00905B80">
            <w:pPr>
              <w:tabs>
                <w:tab w:val="left" w:pos="288"/>
                <w:tab w:val="left" w:pos="576"/>
                <w:tab w:val="left" w:pos="864"/>
                <w:tab w:val="left" w:pos="1152"/>
              </w:tabs>
              <w:spacing w:before="40" w:after="40" w:line="300" w:lineRule="exact"/>
              <w:rPr>
                <w:spacing w:val="-4"/>
                <w:szCs w:val="20"/>
                <w:rtl/>
                <w:lang w:bidi="ar-EG"/>
              </w:rPr>
            </w:pPr>
            <w:r w:rsidRPr="00E64BF7">
              <w:rPr>
                <w:spacing w:val="-4"/>
                <w:szCs w:val="20"/>
                <w:rtl/>
                <w:lang w:val="en-GB" w:eastAsia="zh-TW"/>
              </w:rPr>
              <w:t>2</w:t>
            </w:r>
            <w:r w:rsidR="00905B80" w:rsidRPr="00E64BF7">
              <w:rPr>
                <w:spacing w:val="-4"/>
                <w:szCs w:val="20"/>
                <w:rtl/>
                <w:lang w:val="en-GB" w:eastAsia="zh-TW"/>
              </w:rPr>
              <w:t xml:space="preserve"> حزيران/</w:t>
            </w:r>
            <w:proofErr w:type="gramStart"/>
            <w:r w:rsidR="00905B80" w:rsidRPr="00E64BF7">
              <w:rPr>
                <w:spacing w:val="-4"/>
                <w:szCs w:val="20"/>
                <w:rtl/>
                <w:lang w:val="en-GB" w:eastAsia="zh-TW"/>
              </w:rPr>
              <w:t>يونيه</w:t>
            </w:r>
            <w:proofErr w:type="gramEnd"/>
            <w:r w:rsidR="00905B80" w:rsidRPr="00E64BF7">
              <w:rPr>
                <w:spacing w:val="-4"/>
                <w:szCs w:val="20"/>
                <w:rtl/>
                <w:lang w:val="en-GB" w:eastAsia="zh-TW"/>
              </w:rPr>
              <w:t xml:space="preserve"> </w:t>
            </w:r>
            <w:r w:rsidRPr="00E64BF7">
              <w:rPr>
                <w:spacing w:val="-4"/>
                <w:szCs w:val="20"/>
                <w:rtl/>
                <w:lang w:val="en-GB" w:eastAsia="zh-TW"/>
              </w:rPr>
              <w:t>2011</w:t>
            </w:r>
          </w:p>
        </w:tc>
        <w:tc>
          <w:tcPr>
            <w:tcW w:w="2707" w:type="dxa"/>
          </w:tcPr>
          <w:p w14:paraId="63452247"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c>
          <w:tcPr>
            <w:tcW w:w="988" w:type="dxa"/>
          </w:tcPr>
          <w:p w14:paraId="6E40ED22" w14:textId="77777777" w:rsidR="00905B80" w:rsidRPr="00E64BF7" w:rsidRDefault="00905B80" w:rsidP="00905B80">
            <w:pPr>
              <w:tabs>
                <w:tab w:val="left" w:pos="288"/>
                <w:tab w:val="left" w:pos="576"/>
                <w:tab w:val="left" w:pos="864"/>
                <w:tab w:val="left" w:pos="1152"/>
              </w:tabs>
              <w:spacing w:before="40" w:after="40" w:line="300" w:lineRule="exact"/>
              <w:rPr>
                <w:spacing w:val="-4"/>
                <w:szCs w:val="20"/>
                <w:rtl/>
                <w:lang w:bidi="ar-EG"/>
              </w:rPr>
            </w:pPr>
          </w:p>
        </w:tc>
      </w:tr>
    </w:tbl>
    <w:p w14:paraId="7DFC8273" w14:textId="5B52514F" w:rsidR="00D424DC" w:rsidRPr="00350F98" w:rsidRDefault="00D424DC" w:rsidP="00B319E3">
      <w:pPr>
        <w:pStyle w:val="H23GA"/>
        <w:rPr>
          <w:rtl/>
          <w:lang w:bidi="ar-EG"/>
        </w:rPr>
      </w:pPr>
      <w:r w:rsidRPr="00350F98">
        <w:rPr>
          <w:rtl/>
          <w:lang w:bidi="ar-EG"/>
        </w:rPr>
        <w:tab/>
        <w:t>2-</w:t>
      </w:r>
      <w:r w:rsidRPr="00350F98">
        <w:rPr>
          <w:rtl/>
          <w:lang w:bidi="ar-EG"/>
        </w:rPr>
        <w:tab/>
        <w:t>التصديق على صكوك الأمم المتحدة الأخرى المتعلقة بحقوق الإنسان</w:t>
      </w:r>
    </w:p>
    <w:tbl>
      <w:tblPr>
        <w:tblStyle w:val="TABLEA"/>
        <w:bidiVisual/>
        <w:tblW w:w="8390" w:type="dxa"/>
        <w:jc w:val="left"/>
        <w:tblInd w:w="1247" w:type="dxa"/>
        <w:tblLook w:val="04E0" w:firstRow="1" w:lastRow="1" w:firstColumn="1" w:lastColumn="0" w:noHBand="0" w:noVBand="1"/>
      </w:tblPr>
      <w:tblGrid>
        <w:gridCol w:w="5686"/>
        <w:gridCol w:w="2704"/>
      </w:tblGrid>
      <w:tr w:rsidR="001E4659" w:rsidRPr="00350F98" w14:paraId="3DC613F5" w14:textId="77777777" w:rsidTr="001E4659">
        <w:trPr>
          <w:cnfStyle w:val="100000000000" w:firstRow="1" w:lastRow="0" w:firstColumn="0" w:lastColumn="0" w:oddVBand="0" w:evenVBand="0" w:oddHBand="0" w:evenHBand="0" w:firstRowFirstColumn="0" w:firstRowLastColumn="0" w:lastRowFirstColumn="0" w:lastRowLastColumn="0"/>
          <w:tblHeader/>
          <w:jc w:val="left"/>
        </w:trPr>
        <w:tc>
          <w:tcPr>
            <w:tcW w:w="5686" w:type="dxa"/>
            <w:vAlign w:val="bottom"/>
          </w:tcPr>
          <w:p w14:paraId="307CC8C8"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i/>
                <w:iCs/>
                <w:sz w:val="20"/>
                <w:szCs w:val="20"/>
                <w:rtl/>
                <w:lang w:bidi="ar-EG"/>
              </w:rPr>
            </w:pPr>
            <w:r w:rsidRPr="00350F98">
              <w:rPr>
                <w:i/>
                <w:iCs/>
                <w:sz w:val="20"/>
                <w:szCs w:val="20"/>
                <w:rtl/>
                <w:lang w:bidi="ar-EG"/>
              </w:rPr>
              <w:t>معاهدات أخرى تابعة للأمم المتحدة ذات صلة بحقوق الإنسان</w:t>
            </w:r>
          </w:p>
        </w:tc>
        <w:tc>
          <w:tcPr>
            <w:tcW w:w="2704" w:type="dxa"/>
            <w:vAlign w:val="bottom"/>
          </w:tcPr>
          <w:p w14:paraId="3E2F75C6"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i/>
                <w:iCs/>
                <w:sz w:val="20"/>
                <w:szCs w:val="20"/>
                <w:rtl/>
                <w:lang w:bidi="ar-EG"/>
              </w:rPr>
            </w:pPr>
            <w:r w:rsidRPr="00350F98">
              <w:rPr>
                <w:i/>
                <w:iCs/>
                <w:sz w:val="20"/>
                <w:szCs w:val="20"/>
                <w:rtl/>
                <w:lang w:bidi="ar-EG"/>
              </w:rPr>
              <w:t>تاريخ التصديق أو الانضمام أو الخلافة</w:t>
            </w:r>
          </w:p>
        </w:tc>
      </w:tr>
      <w:tr w:rsidR="00B319E3" w:rsidRPr="001E4659" w14:paraId="552B6935" w14:textId="77777777" w:rsidTr="001E4659">
        <w:trPr>
          <w:jc w:val="left"/>
        </w:trPr>
        <w:tc>
          <w:tcPr>
            <w:tcW w:w="5686" w:type="dxa"/>
          </w:tcPr>
          <w:p w14:paraId="72F86E79"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lang w:bidi="ar-EG"/>
              </w:rPr>
              <w:t xml:space="preserve">اتفاقية منع جريمة الإبادة الجماعية والمعاقبة عليها لعام </w:t>
            </w:r>
            <w:r w:rsidRPr="00350F98">
              <w:rPr>
                <w:sz w:val="20"/>
                <w:szCs w:val="20"/>
                <w:rtl/>
                <w:lang w:bidi="ar-EG"/>
              </w:rPr>
              <w:t>1948</w:t>
            </w:r>
          </w:p>
        </w:tc>
        <w:tc>
          <w:tcPr>
            <w:tcW w:w="2704" w:type="dxa"/>
          </w:tcPr>
          <w:p w14:paraId="3FB31B4F"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5</w:t>
            </w:r>
            <w:r w:rsidRPr="001E4659">
              <w:rPr>
                <w:sz w:val="20"/>
                <w:szCs w:val="20"/>
                <w:rtl/>
                <w:lang w:bidi="ar-EG"/>
              </w:rPr>
              <w:t xml:space="preserve"> أيلول/سبتمبر </w:t>
            </w:r>
            <w:r w:rsidRPr="00350F98">
              <w:rPr>
                <w:sz w:val="20"/>
                <w:szCs w:val="20"/>
                <w:rtl/>
                <w:lang w:bidi="ar-EG"/>
              </w:rPr>
              <w:t>1951</w:t>
            </w:r>
          </w:p>
        </w:tc>
      </w:tr>
      <w:tr w:rsidR="00B319E3" w:rsidRPr="001E4659" w14:paraId="3B932CF2" w14:textId="77777777" w:rsidTr="001E4659">
        <w:trPr>
          <w:jc w:val="left"/>
        </w:trPr>
        <w:tc>
          <w:tcPr>
            <w:tcW w:w="5686" w:type="dxa"/>
          </w:tcPr>
          <w:p w14:paraId="7D700957"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lang w:bidi="ar-EG"/>
              </w:rPr>
              <w:t xml:space="preserve">اتفاقية الرق لعام </w:t>
            </w:r>
            <w:r w:rsidRPr="00350F98">
              <w:rPr>
                <w:sz w:val="20"/>
                <w:szCs w:val="20"/>
                <w:rtl/>
                <w:lang w:bidi="ar-EG"/>
              </w:rPr>
              <w:t>1926</w:t>
            </w:r>
            <w:r w:rsidRPr="001E4659">
              <w:rPr>
                <w:sz w:val="20"/>
                <w:szCs w:val="20"/>
                <w:rtl/>
                <w:lang w:bidi="ar-EG"/>
              </w:rPr>
              <w:t xml:space="preserve">، بصيغتها المعدلة في عام </w:t>
            </w:r>
            <w:r w:rsidRPr="00350F98">
              <w:rPr>
                <w:sz w:val="20"/>
                <w:szCs w:val="20"/>
                <w:rtl/>
                <w:lang w:bidi="ar-EG"/>
              </w:rPr>
              <w:t>1955</w:t>
            </w:r>
          </w:p>
        </w:tc>
        <w:tc>
          <w:tcPr>
            <w:tcW w:w="2704" w:type="dxa"/>
          </w:tcPr>
          <w:p w14:paraId="4E234ECF"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23</w:t>
            </w:r>
            <w:r w:rsidRPr="001E4659">
              <w:rPr>
                <w:sz w:val="20"/>
                <w:szCs w:val="20"/>
                <w:rtl/>
                <w:lang w:bidi="ar-EG"/>
              </w:rPr>
              <w:t xml:space="preserve"> أيلول/سبتمبر </w:t>
            </w:r>
            <w:r w:rsidRPr="00350F98">
              <w:rPr>
                <w:sz w:val="20"/>
                <w:szCs w:val="20"/>
                <w:rtl/>
                <w:lang w:bidi="ar-EG"/>
              </w:rPr>
              <w:t>1923</w:t>
            </w:r>
          </w:p>
        </w:tc>
      </w:tr>
      <w:tr w:rsidR="00B319E3" w:rsidRPr="001E4659" w14:paraId="4C893EE5" w14:textId="77777777" w:rsidTr="001E4659">
        <w:trPr>
          <w:jc w:val="left"/>
        </w:trPr>
        <w:tc>
          <w:tcPr>
            <w:tcW w:w="5686" w:type="dxa"/>
          </w:tcPr>
          <w:p w14:paraId="18302046"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rFonts w:hint="cs"/>
                <w:sz w:val="20"/>
                <w:szCs w:val="20"/>
                <w:rtl/>
                <w:lang w:bidi="ar-EG"/>
              </w:rPr>
              <w:t>اتفاقية</w:t>
            </w:r>
            <w:r w:rsidRPr="001E4659">
              <w:rPr>
                <w:sz w:val="20"/>
                <w:szCs w:val="20"/>
                <w:rtl/>
                <w:lang w:bidi="ar-EG"/>
              </w:rPr>
              <w:t xml:space="preserve"> قمع الاتجار بالأشخاص واستغلال دعارة الغير لعام </w:t>
            </w:r>
            <w:r w:rsidRPr="00350F98">
              <w:rPr>
                <w:sz w:val="20"/>
                <w:szCs w:val="20"/>
                <w:rtl/>
                <w:lang w:bidi="ar-EG"/>
              </w:rPr>
              <w:t>1949</w:t>
            </w:r>
          </w:p>
        </w:tc>
        <w:tc>
          <w:tcPr>
            <w:tcW w:w="2704" w:type="dxa"/>
          </w:tcPr>
          <w:p w14:paraId="0952E78A"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22</w:t>
            </w:r>
            <w:r w:rsidRPr="001E4659">
              <w:rPr>
                <w:sz w:val="20"/>
                <w:szCs w:val="20"/>
                <w:rtl/>
                <w:lang w:bidi="ar-EG"/>
              </w:rPr>
              <w:t xml:space="preserve"> حزيران/</w:t>
            </w:r>
            <w:proofErr w:type="gramStart"/>
            <w:r w:rsidRPr="001E4659">
              <w:rPr>
                <w:sz w:val="20"/>
                <w:szCs w:val="20"/>
                <w:rtl/>
                <w:lang w:bidi="ar-EG"/>
              </w:rPr>
              <w:t>يونيه</w:t>
            </w:r>
            <w:proofErr w:type="gramEnd"/>
            <w:r w:rsidRPr="001E4659">
              <w:rPr>
                <w:sz w:val="20"/>
                <w:szCs w:val="20"/>
                <w:rtl/>
                <w:lang w:bidi="ar-EG"/>
              </w:rPr>
              <w:t xml:space="preserve"> </w:t>
            </w:r>
            <w:r w:rsidRPr="00350F98">
              <w:rPr>
                <w:sz w:val="20"/>
                <w:szCs w:val="20"/>
                <w:rtl/>
                <w:lang w:bidi="ar-EG"/>
              </w:rPr>
              <w:t>1965</w:t>
            </w:r>
          </w:p>
        </w:tc>
      </w:tr>
      <w:tr w:rsidR="00B319E3" w:rsidRPr="001E4659" w14:paraId="31BC458B" w14:textId="77777777" w:rsidTr="001E4659">
        <w:trPr>
          <w:jc w:val="left"/>
        </w:trPr>
        <w:tc>
          <w:tcPr>
            <w:tcW w:w="5686" w:type="dxa"/>
          </w:tcPr>
          <w:p w14:paraId="483EC603"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rFonts w:hint="cs"/>
                <w:sz w:val="20"/>
                <w:szCs w:val="20"/>
                <w:rtl/>
                <w:lang w:bidi="ar-EG"/>
              </w:rPr>
              <w:t>اتفاقية</w:t>
            </w:r>
            <w:r w:rsidRPr="001E4659">
              <w:rPr>
                <w:sz w:val="20"/>
                <w:szCs w:val="20"/>
                <w:rtl/>
                <w:lang w:bidi="ar-EG"/>
              </w:rPr>
              <w:t xml:space="preserve"> عام </w:t>
            </w:r>
            <w:r w:rsidRPr="00350F98">
              <w:rPr>
                <w:sz w:val="20"/>
                <w:szCs w:val="20"/>
                <w:rtl/>
                <w:lang w:bidi="ar-EG"/>
              </w:rPr>
              <w:t>1951</w:t>
            </w:r>
            <w:r w:rsidRPr="001E4659">
              <w:rPr>
                <w:sz w:val="20"/>
                <w:szCs w:val="20"/>
                <w:rtl/>
                <w:lang w:bidi="ar-EG"/>
              </w:rPr>
              <w:t xml:space="preserve"> المتعلقة بمركز اللاجئين</w:t>
            </w:r>
          </w:p>
        </w:tc>
        <w:tc>
          <w:tcPr>
            <w:tcW w:w="2704" w:type="dxa"/>
          </w:tcPr>
          <w:p w14:paraId="2B3F2D5E"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22</w:t>
            </w:r>
            <w:r w:rsidRPr="001E4659">
              <w:rPr>
                <w:sz w:val="20"/>
                <w:szCs w:val="20"/>
                <w:rtl/>
                <w:lang w:bidi="ar-EG"/>
              </w:rPr>
              <w:t xml:space="preserve"> تموز/يوليه </w:t>
            </w:r>
            <w:r w:rsidRPr="00350F98">
              <w:rPr>
                <w:sz w:val="20"/>
                <w:szCs w:val="20"/>
                <w:rtl/>
                <w:lang w:bidi="ar-EG"/>
              </w:rPr>
              <w:t>1953</w:t>
            </w:r>
          </w:p>
        </w:tc>
      </w:tr>
      <w:tr w:rsidR="00B319E3" w:rsidRPr="001E4659" w14:paraId="54B0E737" w14:textId="77777777" w:rsidTr="001E4659">
        <w:trPr>
          <w:jc w:val="left"/>
        </w:trPr>
        <w:tc>
          <w:tcPr>
            <w:tcW w:w="5686" w:type="dxa"/>
          </w:tcPr>
          <w:p w14:paraId="1EC4A989"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rFonts w:hint="cs"/>
                <w:sz w:val="20"/>
                <w:szCs w:val="20"/>
                <w:rtl/>
                <w:lang w:bidi="ar-EG"/>
              </w:rPr>
              <w:t>البروتوكول</w:t>
            </w:r>
            <w:r w:rsidRPr="001E4659">
              <w:rPr>
                <w:sz w:val="20"/>
                <w:szCs w:val="20"/>
                <w:rtl/>
                <w:lang w:bidi="ar-EG"/>
              </w:rPr>
              <w:t xml:space="preserve"> المتعلق بمركز اللاجئين لعام </w:t>
            </w:r>
            <w:r w:rsidRPr="00350F98">
              <w:rPr>
                <w:sz w:val="20"/>
                <w:szCs w:val="20"/>
                <w:rtl/>
                <w:lang w:bidi="ar-EG"/>
              </w:rPr>
              <w:t>1967</w:t>
            </w:r>
          </w:p>
        </w:tc>
        <w:tc>
          <w:tcPr>
            <w:tcW w:w="2704" w:type="dxa"/>
          </w:tcPr>
          <w:p w14:paraId="79A89D8B"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8</w:t>
            </w:r>
            <w:r w:rsidRPr="001E4659">
              <w:rPr>
                <w:sz w:val="20"/>
                <w:szCs w:val="20"/>
                <w:rtl/>
                <w:lang w:bidi="ar-EG"/>
              </w:rPr>
              <w:t xml:space="preserve"> نيسان/أبريل </w:t>
            </w:r>
            <w:r w:rsidRPr="00350F98">
              <w:rPr>
                <w:sz w:val="20"/>
                <w:szCs w:val="20"/>
                <w:rtl/>
                <w:lang w:bidi="ar-EG"/>
              </w:rPr>
              <w:t>1969</w:t>
            </w:r>
          </w:p>
        </w:tc>
      </w:tr>
      <w:tr w:rsidR="00B319E3" w:rsidRPr="001E4659" w14:paraId="48C705A1" w14:textId="77777777" w:rsidTr="001E4659">
        <w:trPr>
          <w:jc w:val="left"/>
        </w:trPr>
        <w:tc>
          <w:tcPr>
            <w:tcW w:w="5686" w:type="dxa"/>
          </w:tcPr>
          <w:p w14:paraId="21A2FD6D"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lang w:bidi="ar-EG"/>
              </w:rPr>
              <w:t xml:space="preserve">الاتفاقية المتعلقة بمركز الأشخاص عديمي الجنسية لعام </w:t>
            </w:r>
            <w:r w:rsidRPr="00350F98">
              <w:rPr>
                <w:sz w:val="20"/>
                <w:szCs w:val="20"/>
                <w:rtl/>
                <w:lang w:bidi="ar-EG"/>
              </w:rPr>
              <w:t>1954</w:t>
            </w:r>
          </w:p>
        </w:tc>
        <w:tc>
          <w:tcPr>
            <w:tcW w:w="2704" w:type="dxa"/>
          </w:tcPr>
          <w:p w14:paraId="04E10D47"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27</w:t>
            </w:r>
            <w:r w:rsidRPr="001E4659">
              <w:rPr>
                <w:sz w:val="20"/>
                <w:szCs w:val="20"/>
                <w:rtl/>
                <w:lang w:bidi="ar-EG"/>
              </w:rPr>
              <w:t xml:space="preserve"> أيار/مايو </w:t>
            </w:r>
            <w:r w:rsidRPr="00350F98">
              <w:rPr>
                <w:sz w:val="20"/>
                <w:szCs w:val="20"/>
                <w:rtl/>
                <w:lang w:bidi="ar-EG"/>
              </w:rPr>
              <w:t>1960</w:t>
            </w:r>
          </w:p>
        </w:tc>
      </w:tr>
      <w:tr w:rsidR="00B319E3" w:rsidRPr="001E4659" w14:paraId="1750F828" w14:textId="77777777" w:rsidTr="001E4659">
        <w:trPr>
          <w:jc w:val="left"/>
        </w:trPr>
        <w:tc>
          <w:tcPr>
            <w:tcW w:w="5686" w:type="dxa"/>
          </w:tcPr>
          <w:p w14:paraId="162FCB1B"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lang w:bidi="ar-EG"/>
              </w:rPr>
              <w:t xml:space="preserve">اتفاقية خفض حالات انعدام الجنسية لعام </w:t>
            </w:r>
            <w:r w:rsidRPr="00350F98">
              <w:rPr>
                <w:sz w:val="20"/>
                <w:szCs w:val="20"/>
                <w:rtl/>
                <w:lang w:bidi="ar-EG"/>
              </w:rPr>
              <w:t>1961</w:t>
            </w:r>
          </w:p>
        </w:tc>
        <w:tc>
          <w:tcPr>
            <w:tcW w:w="2704" w:type="dxa"/>
          </w:tcPr>
          <w:p w14:paraId="428F8793"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sz w:val="20"/>
                <w:szCs w:val="20"/>
                <w:rtl/>
                <w:lang w:bidi="ar-EG"/>
              </w:rPr>
              <w:t>لا</w:t>
            </w:r>
          </w:p>
        </w:tc>
      </w:tr>
      <w:tr w:rsidR="00B319E3" w:rsidRPr="001E4659" w14:paraId="2ED2190D" w14:textId="77777777" w:rsidTr="001E4659">
        <w:trPr>
          <w:jc w:val="left"/>
        </w:trPr>
        <w:tc>
          <w:tcPr>
            <w:tcW w:w="5686" w:type="dxa"/>
          </w:tcPr>
          <w:p w14:paraId="184CE3A3"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rFonts w:hint="cs"/>
                <w:sz w:val="20"/>
                <w:szCs w:val="20"/>
                <w:rtl/>
                <w:lang w:bidi="ar-EG"/>
              </w:rPr>
              <w:t>نظام</w:t>
            </w:r>
            <w:r w:rsidRPr="001E4659">
              <w:rPr>
                <w:sz w:val="20"/>
                <w:szCs w:val="20"/>
                <w:rtl/>
                <w:lang w:bidi="ar-EG"/>
              </w:rPr>
              <w:t xml:space="preserve"> روما الأساسي للمحكمة الجنائية الدولية لعام </w:t>
            </w:r>
            <w:r w:rsidRPr="00350F98">
              <w:rPr>
                <w:sz w:val="20"/>
                <w:szCs w:val="20"/>
                <w:rtl/>
                <w:lang w:bidi="ar-EG"/>
              </w:rPr>
              <w:t>1998</w:t>
            </w:r>
          </w:p>
        </w:tc>
        <w:tc>
          <w:tcPr>
            <w:tcW w:w="2704" w:type="dxa"/>
          </w:tcPr>
          <w:p w14:paraId="58C5942B"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28</w:t>
            </w:r>
            <w:r w:rsidRPr="001E4659">
              <w:rPr>
                <w:sz w:val="20"/>
                <w:szCs w:val="20"/>
                <w:rtl/>
                <w:lang w:bidi="ar-EG"/>
              </w:rPr>
              <w:t xml:space="preserve"> حزيران/</w:t>
            </w:r>
            <w:proofErr w:type="gramStart"/>
            <w:r w:rsidRPr="001E4659">
              <w:rPr>
                <w:sz w:val="20"/>
                <w:szCs w:val="20"/>
                <w:rtl/>
                <w:lang w:bidi="ar-EG"/>
              </w:rPr>
              <w:t>يونيه</w:t>
            </w:r>
            <w:proofErr w:type="gramEnd"/>
            <w:r w:rsidRPr="001E4659">
              <w:rPr>
                <w:sz w:val="20"/>
                <w:szCs w:val="20"/>
                <w:rtl/>
                <w:lang w:bidi="ar-EG"/>
              </w:rPr>
              <w:t xml:space="preserve"> </w:t>
            </w:r>
            <w:r w:rsidRPr="00350F98">
              <w:rPr>
                <w:sz w:val="20"/>
                <w:szCs w:val="20"/>
                <w:rtl/>
                <w:lang w:bidi="ar-EG"/>
              </w:rPr>
              <w:t>2000</w:t>
            </w:r>
          </w:p>
        </w:tc>
      </w:tr>
      <w:tr w:rsidR="00B319E3" w:rsidRPr="001E4659" w14:paraId="48C5D2DC" w14:textId="77777777" w:rsidTr="001E4659">
        <w:trPr>
          <w:cnfStyle w:val="010000000000" w:firstRow="0" w:lastRow="1" w:firstColumn="0" w:lastColumn="0" w:oddVBand="0" w:evenVBand="0" w:oddHBand="0" w:evenHBand="0" w:firstRowFirstColumn="0" w:firstRowLastColumn="0" w:lastRowFirstColumn="0" w:lastRowLastColumn="0"/>
          <w:jc w:val="left"/>
        </w:trPr>
        <w:tc>
          <w:tcPr>
            <w:tcW w:w="5686" w:type="dxa"/>
          </w:tcPr>
          <w:p w14:paraId="4D17E2FC" w14:textId="77777777" w:rsidR="00B319E3" w:rsidRPr="001E4659" w:rsidRDefault="00B319E3"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rFonts w:hint="cs"/>
                <w:sz w:val="20"/>
                <w:szCs w:val="20"/>
                <w:rtl/>
                <w:lang w:bidi="ar-EG"/>
              </w:rPr>
              <w:t>اتفاقية</w:t>
            </w:r>
            <w:r w:rsidRPr="001E4659">
              <w:rPr>
                <w:sz w:val="20"/>
                <w:szCs w:val="20"/>
                <w:rtl/>
                <w:lang w:bidi="ar-EG"/>
              </w:rPr>
              <w:t xml:space="preserve"> الأمم المتحدة لمكافحة الجريمة المنظمة عبر الوطنية، </w:t>
            </w:r>
            <w:r w:rsidRPr="00350F98">
              <w:rPr>
                <w:sz w:val="20"/>
                <w:szCs w:val="20"/>
                <w:rtl/>
                <w:lang w:bidi="ar-EG"/>
              </w:rPr>
              <w:t>2000</w:t>
            </w:r>
            <w:r w:rsidRPr="001E4659">
              <w:rPr>
                <w:sz w:val="20"/>
                <w:szCs w:val="20"/>
                <w:rtl/>
                <w:lang w:bidi="ar-EG"/>
              </w:rPr>
              <w:t xml:space="preserve"> وبروتوكولاها </w:t>
            </w:r>
            <w:r w:rsidRPr="0037597C">
              <w:rPr>
                <w:spacing w:val="-4"/>
                <w:sz w:val="20"/>
                <w:szCs w:val="20"/>
                <w:rtl/>
                <w:lang w:bidi="ar-EG"/>
              </w:rPr>
              <w:t>المتعلقان بمكافحة تهريب المهاجرين عن طريق البر والبحر والجو، وبمنع الاتجار بالأشخاص،</w:t>
            </w:r>
            <w:r w:rsidRPr="001E4659">
              <w:rPr>
                <w:sz w:val="20"/>
                <w:szCs w:val="20"/>
                <w:rtl/>
                <w:lang w:bidi="ar-EG"/>
              </w:rPr>
              <w:t xml:space="preserve"> وبخاصة النساء والأطفال، وقمعه والمعاقبة عليه</w:t>
            </w:r>
          </w:p>
        </w:tc>
        <w:tc>
          <w:tcPr>
            <w:tcW w:w="2704" w:type="dxa"/>
          </w:tcPr>
          <w:p w14:paraId="286BC087" w14:textId="77777777" w:rsidR="00B319E3" w:rsidRPr="001E4659" w:rsidRDefault="00B319E3"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11</w:t>
            </w:r>
            <w:r w:rsidRPr="001E4659">
              <w:rPr>
                <w:sz w:val="20"/>
                <w:szCs w:val="20"/>
                <w:rtl/>
                <w:lang w:bidi="ar-EG"/>
              </w:rPr>
              <w:t xml:space="preserve"> آب/أغسطس </w:t>
            </w:r>
            <w:r w:rsidRPr="00350F98">
              <w:rPr>
                <w:sz w:val="20"/>
                <w:szCs w:val="20"/>
                <w:rtl/>
                <w:lang w:bidi="ar-EG"/>
              </w:rPr>
              <w:t>2004</w:t>
            </w:r>
          </w:p>
        </w:tc>
      </w:tr>
    </w:tbl>
    <w:p w14:paraId="3EF25BCE" w14:textId="1F90768E" w:rsidR="00D424DC" w:rsidRPr="00350F98" w:rsidRDefault="00D424DC" w:rsidP="00711690">
      <w:pPr>
        <w:pStyle w:val="H23GA"/>
        <w:rPr>
          <w:rtl/>
          <w:lang w:bidi="ar-EG"/>
        </w:rPr>
      </w:pPr>
      <w:r w:rsidRPr="00350F98">
        <w:rPr>
          <w:rtl/>
          <w:lang w:bidi="ar-EG"/>
        </w:rPr>
        <w:lastRenderedPageBreak/>
        <w:tab/>
        <w:t>3-</w:t>
      </w:r>
      <w:r w:rsidRPr="00350F98">
        <w:rPr>
          <w:rtl/>
          <w:lang w:bidi="ar-EG"/>
        </w:rPr>
        <w:tab/>
        <w:t>اتفاقيات منظمة العمل الدولية</w:t>
      </w:r>
    </w:p>
    <w:tbl>
      <w:tblPr>
        <w:tblStyle w:val="TABLEA"/>
        <w:bidiVisual/>
        <w:tblW w:w="8390" w:type="dxa"/>
        <w:jc w:val="left"/>
        <w:tblInd w:w="1247" w:type="dxa"/>
        <w:tblLook w:val="04E0" w:firstRow="1" w:lastRow="1" w:firstColumn="1" w:lastColumn="0" w:noHBand="0" w:noVBand="1"/>
      </w:tblPr>
      <w:tblGrid>
        <w:gridCol w:w="5705"/>
        <w:gridCol w:w="2685"/>
      </w:tblGrid>
      <w:tr w:rsidR="00711690" w:rsidRPr="00350F98" w14:paraId="0B65A92F" w14:textId="77777777" w:rsidTr="001E4659">
        <w:trPr>
          <w:cnfStyle w:val="100000000000" w:firstRow="1" w:lastRow="0" w:firstColumn="0" w:lastColumn="0" w:oddVBand="0" w:evenVBand="0" w:oddHBand="0" w:evenHBand="0" w:firstRowFirstColumn="0" w:firstRowLastColumn="0" w:lastRowFirstColumn="0" w:lastRowLastColumn="0"/>
          <w:tblHeader/>
          <w:jc w:val="left"/>
        </w:trPr>
        <w:tc>
          <w:tcPr>
            <w:tcW w:w="5705" w:type="dxa"/>
            <w:vAlign w:val="bottom"/>
          </w:tcPr>
          <w:p w14:paraId="31FDD654"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i/>
                <w:iCs/>
                <w:sz w:val="20"/>
                <w:szCs w:val="20"/>
                <w:rtl/>
                <w:lang w:bidi="ar-EG"/>
              </w:rPr>
            </w:pPr>
            <w:r w:rsidRPr="00350F98">
              <w:rPr>
                <w:i/>
                <w:iCs/>
                <w:sz w:val="20"/>
                <w:szCs w:val="20"/>
                <w:rtl/>
                <w:lang w:bidi="ar-EG"/>
              </w:rPr>
              <w:t>اتفاقيات منظمة العمل الدولية</w:t>
            </w:r>
          </w:p>
        </w:tc>
        <w:tc>
          <w:tcPr>
            <w:tcW w:w="2685" w:type="dxa"/>
            <w:vAlign w:val="bottom"/>
          </w:tcPr>
          <w:p w14:paraId="72142F40"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i/>
                <w:iCs/>
                <w:sz w:val="20"/>
                <w:szCs w:val="20"/>
                <w:rtl/>
                <w:lang w:bidi="ar-EG"/>
              </w:rPr>
            </w:pPr>
            <w:r w:rsidRPr="00350F98">
              <w:rPr>
                <w:i/>
                <w:iCs/>
                <w:sz w:val="20"/>
                <w:szCs w:val="20"/>
                <w:rtl/>
                <w:lang w:bidi="ar-EG"/>
              </w:rPr>
              <w:t>تاريخ التصديق أو الانضمام أو الخلافة</w:t>
            </w:r>
          </w:p>
        </w:tc>
      </w:tr>
      <w:tr w:rsidR="00711690" w:rsidRPr="001E4659" w14:paraId="0E6BB034" w14:textId="77777777" w:rsidTr="001E4659">
        <w:trPr>
          <w:jc w:val="left"/>
        </w:trPr>
        <w:tc>
          <w:tcPr>
            <w:tcW w:w="5705" w:type="dxa"/>
          </w:tcPr>
          <w:p w14:paraId="56181829"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sz w:val="20"/>
                <w:szCs w:val="20"/>
                <w:rtl/>
                <w:lang w:bidi="ar-EG"/>
              </w:rPr>
              <w:t xml:space="preserve">الاتفاقية المتعلقة بالراحة الأسبوعية (الصناعة)، </w:t>
            </w:r>
            <w:r w:rsidRPr="00350F98">
              <w:rPr>
                <w:sz w:val="20"/>
                <w:szCs w:val="20"/>
                <w:rtl/>
                <w:lang w:bidi="ar-EG"/>
              </w:rPr>
              <w:t>1921</w:t>
            </w:r>
            <w:r w:rsidRPr="001E4659">
              <w:rPr>
                <w:sz w:val="20"/>
                <w:szCs w:val="20"/>
                <w:rtl/>
                <w:lang w:bidi="ar-EG"/>
              </w:rPr>
              <w:t xml:space="preserve"> (رقم </w:t>
            </w:r>
            <w:r w:rsidRPr="00350F98">
              <w:rPr>
                <w:sz w:val="20"/>
                <w:szCs w:val="20"/>
                <w:rtl/>
                <w:lang w:bidi="ar-EG"/>
              </w:rPr>
              <w:t>14</w:t>
            </w:r>
            <w:r w:rsidRPr="001E4659">
              <w:rPr>
                <w:sz w:val="20"/>
                <w:szCs w:val="20"/>
                <w:rtl/>
                <w:lang w:bidi="ar-EG"/>
              </w:rPr>
              <w:t>)</w:t>
            </w:r>
          </w:p>
        </w:tc>
        <w:tc>
          <w:tcPr>
            <w:tcW w:w="2685" w:type="dxa"/>
          </w:tcPr>
          <w:p w14:paraId="7563BD8D" w14:textId="3C638444" w:rsidR="00711690" w:rsidRPr="001E4659" w:rsidRDefault="0030688B"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19</w:t>
            </w:r>
            <w:r w:rsidRPr="001E4659">
              <w:rPr>
                <w:sz w:val="20"/>
                <w:szCs w:val="20"/>
                <w:rtl/>
                <w:lang w:bidi="ar-EG"/>
              </w:rPr>
              <w:t xml:space="preserve"> آب/أغسطس </w:t>
            </w:r>
            <w:r w:rsidRPr="00350F98">
              <w:rPr>
                <w:sz w:val="20"/>
                <w:szCs w:val="20"/>
                <w:rtl/>
                <w:lang w:bidi="ar-EG"/>
              </w:rPr>
              <w:t>1926</w:t>
            </w:r>
          </w:p>
        </w:tc>
      </w:tr>
      <w:tr w:rsidR="00711690" w:rsidRPr="001E4659" w14:paraId="317AE9D0" w14:textId="77777777" w:rsidTr="001E4659">
        <w:trPr>
          <w:jc w:val="left"/>
        </w:trPr>
        <w:tc>
          <w:tcPr>
            <w:tcW w:w="5705" w:type="dxa"/>
          </w:tcPr>
          <w:p w14:paraId="744C49BD"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بالعمل الجبري، </w:t>
            </w:r>
            <w:r w:rsidRPr="00350F98">
              <w:rPr>
                <w:sz w:val="20"/>
                <w:szCs w:val="20"/>
                <w:rtl/>
                <w:lang w:bidi="ar-EG"/>
              </w:rPr>
              <w:t>1930</w:t>
            </w:r>
            <w:r w:rsidRPr="001E4659">
              <w:rPr>
                <w:sz w:val="20"/>
                <w:szCs w:val="20"/>
                <w:rtl/>
                <w:lang w:bidi="ar-EG"/>
              </w:rPr>
              <w:t xml:space="preserve"> (رقم </w:t>
            </w:r>
            <w:r w:rsidRPr="00350F98">
              <w:rPr>
                <w:sz w:val="20"/>
                <w:szCs w:val="20"/>
                <w:rtl/>
                <w:lang w:bidi="ar-EG"/>
              </w:rPr>
              <w:t>29</w:t>
            </w:r>
            <w:r w:rsidRPr="001E4659">
              <w:rPr>
                <w:sz w:val="20"/>
                <w:szCs w:val="20"/>
                <w:rtl/>
                <w:lang w:bidi="ar-EG"/>
              </w:rPr>
              <w:t>)</w:t>
            </w:r>
          </w:p>
        </w:tc>
        <w:tc>
          <w:tcPr>
            <w:tcW w:w="2685" w:type="dxa"/>
          </w:tcPr>
          <w:p w14:paraId="2DB5C608"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20</w:t>
            </w:r>
            <w:r w:rsidRPr="001E4659">
              <w:rPr>
                <w:sz w:val="20"/>
                <w:szCs w:val="20"/>
                <w:rtl/>
                <w:lang w:bidi="ar-EG"/>
              </w:rPr>
              <w:t xml:space="preserve"> كانون الثاني/يناير </w:t>
            </w:r>
            <w:r w:rsidRPr="00350F98">
              <w:rPr>
                <w:sz w:val="20"/>
                <w:szCs w:val="20"/>
                <w:rtl/>
                <w:lang w:bidi="ar-EG"/>
              </w:rPr>
              <w:t>1944</w:t>
            </w:r>
          </w:p>
        </w:tc>
      </w:tr>
      <w:tr w:rsidR="00711690" w:rsidRPr="001E4659" w14:paraId="17878B82" w14:textId="77777777" w:rsidTr="001E4659">
        <w:trPr>
          <w:jc w:val="left"/>
        </w:trPr>
        <w:tc>
          <w:tcPr>
            <w:tcW w:w="5705" w:type="dxa"/>
          </w:tcPr>
          <w:p w14:paraId="5368A049"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بتفتيش العمل، </w:t>
            </w:r>
            <w:r w:rsidRPr="00350F98">
              <w:rPr>
                <w:sz w:val="20"/>
                <w:szCs w:val="20"/>
                <w:rtl/>
                <w:lang w:bidi="ar-EG"/>
              </w:rPr>
              <w:t>1947</w:t>
            </w:r>
            <w:r w:rsidRPr="001E4659">
              <w:rPr>
                <w:sz w:val="20"/>
                <w:szCs w:val="20"/>
                <w:rtl/>
                <w:lang w:bidi="ar-EG"/>
              </w:rPr>
              <w:t xml:space="preserve"> (رقم </w:t>
            </w:r>
            <w:r w:rsidRPr="00350F98">
              <w:rPr>
                <w:sz w:val="20"/>
                <w:szCs w:val="20"/>
                <w:rtl/>
                <w:lang w:bidi="ar-EG"/>
              </w:rPr>
              <w:t>81</w:t>
            </w:r>
            <w:r w:rsidRPr="001E4659">
              <w:rPr>
                <w:sz w:val="20"/>
                <w:szCs w:val="20"/>
                <w:rtl/>
                <w:lang w:bidi="ar-EG"/>
              </w:rPr>
              <w:t>)</w:t>
            </w:r>
          </w:p>
        </w:tc>
        <w:tc>
          <w:tcPr>
            <w:tcW w:w="2685" w:type="dxa"/>
          </w:tcPr>
          <w:p w14:paraId="6FD9F48C"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5</w:t>
            </w:r>
            <w:r w:rsidRPr="001E4659">
              <w:rPr>
                <w:sz w:val="20"/>
                <w:szCs w:val="20"/>
                <w:rtl/>
                <w:lang w:bidi="ar-EG"/>
              </w:rPr>
              <w:t xml:space="preserve"> نيسان/أبريل </w:t>
            </w:r>
            <w:r w:rsidRPr="00350F98">
              <w:rPr>
                <w:sz w:val="20"/>
                <w:szCs w:val="20"/>
                <w:rtl/>
                <w:lang w:bidi="ar-EG"/>
              </w:rPr>
              <w:t>1957</w:t>
            </w:r>
          </w:p>
        </w:tc>
      </w:tr>
      <w:tr w:rsidR="00711690" w:rsidRPr="001E4659" w14:paraId="1A06E5C6" w14:textId="77777777" w:rsidTr="001E4659">
        <w:trPr>
          <w:jc w:val="left"/>
        </w:trPr>
        <w:tc>
          <w:tcPr>
            <w:tcW w:w="5705" w:type="dxa"/>
          </w:tcPr>
          <w:p w14:paraId="45FFBC63"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sz w:val="20"/>
                <w:szCs w:val="20"/>
                <w:rtl/>
                <w:lang w:bidi="ar-EG"/>
              </w:rPr>
              <w:t xml:space="preserve">الاتفاقية المتعلقة بالحرية النقابية وحماية حق التنظيم، </w:t>
            </w:r>
            <w:r w:rsidRPr="00350F98">
              <w:rPr>
                <w:sz w:val="20"/>
                <w:szCs w:val="20"/>
                <w:rtl/>
                <w:lang w:bidi="ar-EG"/>
              </w:rPr>
              <w:t>1948</w:t>
            </w:r>
            <w:r w:rsidRPr="001E4659">
              <w:rPr>
                <w:sz w:val="20"/>
                <w:szCs w:val="20"/>
                <w:rtl/>
                <w:lang w:bidi="ar-EG"/>
              </w:rPr>
              <w:t xml:space="preserve"> (رقم </w:t>
            </w:r>
            <w:r w:rsidRPr="00350F98">
              <w:rPr>
                <w:sz w:val="20"/>
                <w:szCs w:val="20"/>
                <w:rtl/>
                <w:lang w:bidi="ar-EG"/>
              </w:rPr>
              <w:t>87</w:t>
            </w:r>
            <w:r w:rsidRPr="001E4659">
              <w:rPr>
                <w:sz w:val="20"/>
                <w:szCs w:val="20"/>
                <w:rtl/>
                <w:lang w:bidi="ar-EG"/>
              </w:rPr>
              <w:t>)</w:t>
            </w:r>
          </w:p>
        </w:tc>
        <w:tc>
          <w:tcPr>
            <w:tcW w:w="2685" w:type="dxa"/>
          </w:tcPr>
          <w:p w14:paraId="7EEB0AB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23</w:t>
            </w:r>
            <w:r w:rsidRPr="001E4659">
              <w:rPr>
                <w:sz w:val="20"/>
                <w:szCs w:val="20"/>
                <w:rtl/>
                <w:lang w:bidi="ar-EG"/>
              </w:rPr>
              <w:t xml:space="preserve"> تشرين الأول/أكتوبر </w:t>
            </w:r>
            <w:r w:rsidRPr="00350F98">
              <w:rPr>
                <w:sz w:val="20"/>
                <w:szCs w:val="20"/>
                <w:rtl/>
                <w:lang w:bidi="ar-EG"/>
              </w:rPr>
              <w:t>1951</w:t>
            </w:r>
          </w:p>
        </w:tc>
      </w:tr>
      <w:tr w:rsidR="00711690" w:rsidRPr="001E4659" w14:paraId="0F899834" w14:textId="77777777" w:rsidTr="001E4659">
        <w:trPr>
          <w:jc w:val="left"/>
        </w:trPr>
        <w:tc>
          <w:tcPr>
            <w:tcW w:w="5705" w:type="dxa"/>
          </w:tcPr>
          <w:p w14:paraId="15A9A7F0"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بالعمال المهاجرين، </w:t>
            </w:r>
            <w:r w:rsidRPr="00350F98">
              <w:rPr>
                <w:sz w:val="20"/>
                <w:szCs w:val="20"/>
                <w:rtl/>
                <w:lang w:bidi="ar-EG"/>
              </w:rPr>
              <w:t>1949</w:t>
            </w:r>
            <w:r w:rsidRPr="001E4659">
              <w:rPr>
                <w:sz w:val="20"/>
                <w:szCs w:val="20"/>
                <w:rtl/>
                <w:lang w:bidi="ar-EG"/>
              </w:rPr>
              <w:t xml:space="preserve"> (رقم </w:t>
            </w:r>
            <w:r w:rsidRPr="00350F98">
              <w:rPr>
                <w:sz w:val="20"/>
                <w:szCs w:val="20"/>
                <w:rtl/>
                <w:lang w:bidi="ar-EG"/>
              </w:rPr>
              <w:t>97</w:t>
            </w:r>
            <w:r w:rsidRPr="001E4659">
              <w:rPr>
                <w:sz w:val="20"/>
                <w:szCs w:val="20"/>
                <w:rtl/>
                <w:lang w:bidi="ar-EG"/>
              </w:rPr>
              <w:t>)</w:t>
            </w:r>
          </w:p>
        </w:tc>
        <w:tc>
          <w:tcPr>
            <w:tcW w:w="2685" w:type="dxa"/>
          </w:tcPr>
          <w:p w14:paraId="289C4ED9"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27</w:t>
            </w:r>
            <w:r w:rsidRPr="001E4659">
              <w:rPr>
                <w:sz w:val="20"/>
                <w:szCs w:val="20"/>
                <w:rtl/>
                <w:lang w:bidi="ar-EG"/>
              </w:rPr>
              <w:t xml:space="preserve"> تموز/يوليه </w:t>
            </w:r>
            <w:r w:rsidRPr="00350F98">
              <w:rPr>
                <w:sz w:val="20"/>
                <w:szCs w:val="20"/>
                <w:rtl/>
                <w:lang w:bidi="ar-EG"/>
              </w:rPr>
              <w:t>1953</w:t>
            </w:r>
          </w:p>
        </w:tc>
      </w:tr>
      <w:tr w:rsidR="00711690" w:rsidRPr="001E4659" w14:paraId="4D8115E8" w14:textId="77777777" w:rsidTr="001E4659">
        <w:trPr>
          <w:jc w:val="left"/>
        </w:trPr>
        <w:tc>
          <w:tcPr>
            <w:tcW w:w="5705" w:type="dxa"/>
          </w:tcPr>
          <w:p w14:paraId="2CA0AD4D"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بالحق في التنظيم والمفاوضة الجماعية، </w:t>
            </w:r>
            <w:r w:rsidRPr="00350F98">
              <w:rPr>
                <w:sz w:val="20"/>
                <w:szCs w:val="20"/>
                <w:rtl/>
                <w:lang w:bidi="ar-EG"/>
              </w:rPr>
              <w:t>1949</w:t>
            </w:r>
            <w:r w:rsidRPr="001E4659">
              <w:rPr>
                <w:sz w:val="20"/>
                <w:szCs w:val="20"/>
                <w:rtl/>
                <w:lang w:bidi="ar-EG"/>
              </w:rPr>
              <w:t xml:space="preserve"> (رقم </w:t>
            </w:r>
            <w:r w:rsidRPr="00350F98">
              <w:rPr>
                <w:sz w:val="20"/>
                <w:szCs w:val="20"/>
                <w:rtl/>
                <w:lang w:bidi="ar-EG"/>
              </w:rPr>
              <w:t>98</w:t>
            </w:r>
            <w:r w:rsidRPr="001E4659">
              <w:rPr>
                <w:sz w:val="20"/>
                <w:szCs w:val="20"/>
                <w:rtl/>
                <w:lang w:bidi="ar-EG"/>
              </w:rPr>
              <w:t>)</w:t>
            </w:r>
          </w:p>
        </w:tc>
        <w:tc>
          <w:tcPr>
            <w:tcW w:w="2685" w:type="dxa"/>
          </w:tcPr>
          <w:p w14:paraId="2B253578"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10</w:t>
            </w:r>
            <w:r w:rsidRPr="001E4659">
              <w:rPr>
                <w:sz w:val="20"/>
                <w:szCs w:val="20"/>
                <w:rtl/>
                <w:lang w:bidi="ar-EG"/>
              </w:rPr>
              <w:t xml:space="preserve"> كانون الأول/ديسمبر </w:t>
            </w:r>
            <w:r w:rsidRPr="00350F98">
              <w:rPr>
                <w:sz w:val="20"/>
                <w:szCs w:val="20"/>
                <w:rtl/>
                <w:lang w:bidi="ar-EG"/>
              </w:rPr>
              <w:t>1953</w:t>
            </w:r>
            <w:r w:rsidRPr="001E4659">
              <w:rPr>
                <w:sz w:val="20"/>
                <w:szCs w:val="20"/>
                <w:rtl/>
                <w:lang w:bidi="ar-EG"/>
              </w:rPr>
              <w:t xml:space="preserve"> </w:t>
            </w:r>
          </w:p>
        </w:tc>
      </w:tr>
      <w:tr w:rsidR="00711690" w:rsidRPr="001E4659" w14:paraId="4DA03280" w14:textId="77777777" w:rsidTr="001E4659">
        <w:trPr>
          <w:jc w:val="left"/>
        </w:trPr>
        <w:tc>
          <w:tcPr>
            <w:tcW w:w="5705" w:type="dxa"/>
          </w:tcPr>
          <w:p w14:paraId="6C3252E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بالمساواة في الأجور، </w:t>
            </w:r>
            <w:r w:rsidRPr="00350F98">
              <w:rPr>
                <w:sz w:val="20"/>
                <w:szCs w:val="20"/>
                <w:rtl/>
                <w:lang w:bidi="ar-EG"/>
              </w:rPr>
              <w:t>1951</w:t>
            </w:r>
            <w:r w:rsidRPr="001E4659">
              <w:rPr>
                <w:sz w:val="20"/>
                <w:szCs w:val="20"/>
                <w:rtl/>
                <w:lang w:bidi="ar-EG"/>
              </w:rPr>
              <w:t xml:space="preserve"> (رقم </w:t>
            </w:r>
            <w:r w:rsidRPr="00350F98">
              <w:rPr>
                <w:sz w:val="20"/>
                <w:szCs w:val="20"/>
                <w:rtl/>
                <w:lang w:bidi="ar-EG"/>
              </w:rPr>
              <w:t>100</w:t>
            </w:r>
            <w:r w:rsidRPr="001E4659">
              <w:rPr>
                <w:sz w:val="20"/>
                <w:szCs w:val="20"/>
                <w:rtl/>
                <w:lang w:bidi="ar-EG"/>
              </w:rPr>
              <w:t>)</w:t>
            </w:r>
          </w:p>
        </w:tc>
        <w:tc>
          <w:tcPr>
            <w:tcW w:w="2685" w:type="dxa"/>
          </w:tcPr>
          <w:p w14:paraId="61A337CA"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23</w:t>
            </w:r>
            <w:r w:rsidRPr="001E4659">
              <w:rPr>
                <w:sz w:val="20"/>
                <w:szCs w:val="20"/>
                <w:rtl/>
                <w:lang w:bidi="ar-EG"/>
              </w:rPr>
              <w:t xml:space="preserve"> أيار/مايو </w:t>
            </w:r>
            <w:r w:rsidRPr="00350F98">
              <w:rPr>
                <w:sz w:val="20"/>
                <w:szCs w:val="20"/>
                <w:rtl/>
                <w:lang w:bidi="ar-EG"/>
              </w:rPr>
              <w:t>1952</w:t>
            </w:r>
          </w:p>
        </w:tc>
      </w:tr>
      <w:tr w:rsidR="00711690" w:rsidRPr="001E4659" w14:paraId="645AC868" w14:textId="77777777" w:rsidTr="001E4659">
        <w:trPr>
          <w:jc w:val="left"/>
        </w:trPr>
        <w:tc>
          <w:tcPr>
            <w:tcW w:w="5705" w:type="dxa"/>
          </w:tcPr>
          <w:p w14:paraId="15BE247B" w14:textId="77777777" w:rsidR="00711690" w:rsidRPr="001E4659" w:rsidRDefault="00711690" w:rsidP="0030688B">
            <w:pPr>
              <w:pStyle w:val="SingleTxtGA"/>
              <w:tabs>
                <w:tab w:val="clear" w:pos="1928"/>
                <w:tab w:val="clear" w:pos="2608"/>
                <w:tab w:val="clear" w:pos="3289"/>
                <w:tab w:val="clear" w:pos="3969"/>
                <w:tab w:val="clear" w:pos="4649"/>
                <w:tab w:val="clear" w:pos="5330"/>
              </w:tabs>
              <w:spacing w:before="40" w:after="40" w:line="280" w:lineRule="exact"/>
              <w:ind w:left="113" w:right="113"/>
              <w:jc w:val="left"/>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بالضمان الاجتماعي (المعايير الدنيا)، </w:t>
            </w:r>
            <w:r w:rsidRPr="00350F98">
              <w:rPr>
                <w:sz w:val="20"/>
                <w:szCs w:val="20"/>
                <w:rtl/>
                <w:lang w:bidi="ar-EG"/>
              </w:rPr>
              <w:t>1952</w:t>
            </w:r>
            <w:r w:rsidRPr="001E4659">
              <w:rPr>
                <w:sz w:val="20"/>
                <w:szCs w:val="20"/>
                <w:rtl/>
                <w:lang w:bidi="ar-EG"/>
              </w:rPr>
              <w:t xml:space="preserve"> (رقم </w:t>
            </w:r>
            <w:r w:rsidRPr="00350F98">
              <w:rPr>
                <w:sz w:val="20"/>
                <w:szCs w:val="20"/>
                <w:rtl/>
                <w:lang w:bidi="ar-EG"/>
              </w:rPr>
              <w:t>102</w:t>
            </w:r>
            <w:r w:rsidRPr="001E4659">
              <w:rPr>
                <w:sz w:val="20"/>
                <w:szCs w:val="20"/>
                <w:rtl/>
                <w:lang w:bidi="ar-EG"/>
              </w:rPr>
              <w:t>)</w:t>
            </w:r>
          </w:p>
        </w:tc>
        <w:tc>
          <w:tcPr>
            <w:tcW w:w="2685" w:type="dxa"/>
          </w:tcPr>
          <w:p w14:paraId="3A8A3D34"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26</w:t>
            </w:r>
            <w:r w:rsidRPr="001E4659">
              <w:rPr>
                <w:sz w:val="20"/>
                <w:szCs w:val="20"/>
                <w:rtl/>
                <w:lang w:bidi="ar-EG"/>
              </w:rPr>
              <w:t xml:space="preserve"> تشرين الثاني/نوفمبر </w:t>
            </w:r>
            <w:r w:rsidRPr="00350F98">
              <w:rPr>
                <w:sz w:val="20"/>
                <w:szCs w:val="20"/>
                <w:rtl/>
                <w:lang w:bidi="ar-EG"/>
              </w:rPr>
              <w:t>1959</w:t>
            </w:r>
          </w:p>
        </w:tc>
      </w:tr>
      <w:tr w:rsidR="00711690" w:rsidRPr="001E4659" w14:paraId="27A419DC" w14:textId="77777777" w:rsidTr="001E4659">
        <w:trPr>
          <w:jc w:val="left"/>
        </w:trPr>
        <w:tc>
          <w:tcPr>
            <w:tcW w:w="5705" w:type="dxa"/>
          </w:tcPr>
          <w:p w14:paraId="09C739CB"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بإلغاء العمل الجبري، </w:t>
            </w:r>
            <w:r w:rsidRPr="00350F98">
              <w:rPr>
                <w:sz w:val="20"/>
                <w:szCs w:val="20"/>
                <w:rtl/>
                <w:lang w:bidi="ar-EG"/>
              </w:rPr>
              <w:t>1957</w:t>
            </w:r>
            <w:r w:rsidRPr="001E4659">
              <w:rPr>
                <w:sz w:val="20"/>
                <w:szCs w:val="20"/>
                <w:rtl/>
                <w:lang w:bidi="ar-EG"/>
              </w:rPr>
              <w:t xml:space="preserve"> (رقم </w:t>
            </w:r>
            <w:r w:rsidRPr="00350F98">
              <w:rPr>
                <w:sz w:val="20"/>
                <w:szCs w:val="20"/>
                <w:rtl/>
                <w:lang w:bidi="ar-EG"/>
              </w:rPr>
              <w:t>105</w:t>
            </w:r>
            <w:r w:rsidRPr="001E4659">
              <w:rPr>
                <w:sz w:val="20"/>
                <w:szCs w:val="20"/>
                <w:rtl/>
                <w:lang w:bidi="ar-EG"/>
              </w:rPr>
              <w:t>)</w:t>
            </w:r>
          </w:p>
        </w:tc>
        <w:tc>
          <w:tcPr>
            <w:tcW w:w="2685" w:type="dxa"/>
          </w:tcPr>
          <w:p w14:paraId="3B00C57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23</w:t>
            </w:r>
            <w:r w:rsidRPr="001E4659">
              <w:rPr>
                <w:sz w:val="20"/>
                <w:szCs w:val="20"/>
                <w:rtl/>
                <w:lang w:bidi="ar-EG"/>
              </w:rPr>
              <w:t xml:space="preserve"> كانون الثاني/يناير </w:t>
            </w:r>
            <w:r w:rsidRPr="00350F98">
              <w:rPr>
                <w:sz w:val="20"/>
                <w:szCs w:val="20"/>
                <w:rtl/>
                <w:lang w:bidi="ar-EG"/>
              </w:rPr>
              <w:t>1961</w:t>
            </w:r>
          </w:p>
        </w:tc>
      </w:tr>
      <w:tr w:rsidR="00711690" w:rsidRPr="001E4659" w14:paraId="033EC48B" w14:textId="77777777" w:rsidTr="001E4659">
        <w:trPr>
          <w:jc w:val="left"/>
        </w:trPr>
        <w:tc>
          <w:tcPr>
            <w:tcW w:w="5705" w:type="dxa"/>
          </w:tcPr>
          <w:p w14:paraId="5D80C62A"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بالتمييز (في العمالة والمهن)، </w:t>
            </w:r>
            <w:r w:rsidRPr="00350F98">
              <w:rPr>
                <w:sz w:val="20"/>
                <w:szCs w:val="20"/>
                <w:rtl/>
                <w:lang w:bidi="ar-EG"/>
              </w:rPr>
              <w:t>1958</w:t>
            </w:r>
            <w:r w:rsidRPr="001E4659">
              <w:rPr>
                <w:sz w:val="20"/>
                <w:szCs w:val="20"/>
                <w:rtl/>
                <w:lang w:bidi="ar-EG"/>
              </w:rPr>
              <w:t xml:space="preserve"> (رقم </w:t>
            </w:r>
            <w:r w:rsidRPr="00350F98">
              <w:rPr>
                <w:sz w:val="20"/>
                <w:szCs w:val="20"/>
                <w:rtl/>
                <w:lang w:bidi="ar-EG"/>
              </w:rPr>
              <w:t>111</w:t>
            </w:r>
            <w:r w:rsidRPr="001E4659">
              <w:rPr>
                <w:sz w:val="20"/>
                <w:szCs w:val="20"/>
                <w:rtl/>
                <w:lang w:bidi="ar-EG"/>
              </w:rPr>
              <w:t>)</w:t>
            </w:r>
          </w:p>
        </w:tc>
        <w:tc>
          <w:tcPr>
            <w:tcW w:w="2685" w:type="dxa"/>
          </w:tcPr>
          <w:p w14:paraId="303F30C5"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23</w:t>
            </w:r>
            <w:r w:rsidRPr="001E4659">
              <w:rPr>
                <w:sz w:val="20"/>
                <w:szCs w:val="20"/>
                <w:rtl/>
                <w:lang w:bidi="ar-EG"/>
              </w:rPr>
              <w:t xml:space="preserve"> آذار/مارس </w:t>
            </w:r>
            <w:r w:rsidRPr="00350F98">
              <w:rPr>
                <w:sz w:val="20"/>
                <w:szCs w:val="20"/>
                <w:rtl/>
                <w:lang w:bidi="ar-EG"/>
              </w:rPr>
              <w:t>1977</w:t>
            </w:r>
          </w:p>
        </w:tc>
      </w:tr>
      <w:tr w:rsidR="00711690" w:rsidRPr="001E4659" w14:paraId="6CEF323B" w14:textId="77777777" w:rsidTr="001E4659">
        <w:trPr>
          <w:jc w:val="left"/>
        </w:trPr>
        <w:tc>
          <w:tcPr>
            <w:tcW w:w="5705" w:type="dxa"/>
          </w:tcPr>
          <w:p w14:paraId="1A06CD35"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بسياسة العمالة، </w:t>
            </w:r>
            <w:r w:rsidRPr="00350F98">
              <w:rPr>
                <w:sz w:val="20"/>
                <w:szCs w:val="20"/>
                <w:rtl/>
                <w:lang w:bidi="ar-EG"/>
              </w:rPr>
              <w:t>1964</w:t>
            </w:r>
            <w:r w:rsidRPr="001E4659">
              <w:rPr>
                <w:sz w:val="20"/>
                <w:szCs w:val="20"/>
                <w:rtl/>
                <w:lang w:bidi="ar-EG"/>
              </w:rPr>
              <w:t xml:space="preserve"> (رقم </w:t>
            </w:r>
            <w:r w:rsidRPr="00350F98">
              <w:rPr>
                <w:sz w:val="20"/>
                <w:szCs w:val="20"/>
                <w:rtl/>
                <w:lang w:bidi="ar-EG"/>
              </w:rPr>
              <w:t>122</w:t>
            </w:r>
            <w:r w:rsidRPr="001E4659">
              <w:rPr>
                <w:sz w:val="20"/>
                <w:szCs w:val="20"/>
                <w:rtl/>
                <w:lang w:bidi="ar-EG"/>
              </w:rPr>
              <w:t>)</w:t>
            </w:r>
          </w:p>
        </w:tc>
        <w:tc>
          <w:tcPr>
            <w:tcW w:w="2685" w:type="dxa"/>
          </w:tcPr>
          <w:p w14:paraId="11FB3364"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8</w:t>
            </w:r>
            <w:r w:rsidRPr="001E4659">
              <w:rPr>
                <w:sz w:val="20"/>
                <w:szCs w:val="20"/>
                <w:rtl/>
                <w:lang w:bidi="ar-EG"/>
              </w:rPr>
              <w:t xml:space="preserve"> تموز/يوليه </w:t>
            </w:r>
            <w:r w:rsidRPr="00350F98">
              <w:rPr>
                <w:sz w:val="20"/>
                <w:szCs w:val="20"/>
                <w:rtl/>
                <w:lang w:bidi="ar-EG"/>
              </w:rPr>
              <w:t>1969</w:t>
            </w:r>
          </w:p>
        </w:tc>
      </w:tr>
      <w:tr w:rsidR="00711690" w:rsidRPr="001E4659" w14:paraId="64480120" w14:textId="77777777" w:rsidTr="001E4659">
        <w:trPr>
          <w:jc w:val="left"/>
        </w:trPr>
        <w:tc>
          <w:tcPr>
            <w:tcW w:w="5705" w:type="dxa"/>
          </w:tcPr>
          <w:p w14:paraId="2F66F66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بتفتيش العمل (الزراعة)، </w:t>
            </w:r>
            <w:r w:rsidRPr="00350F98">
              <w:rPr>
                <w:sz w:val="20"/>
                <w:szCs w:val="20"/>
                <w:rtl/>
                <w:lang w:bidi="ar-EG"/>
              </w:rPr>
              <w:t>1969</w:t>
            </w:r>
            <w:r w:rsidRPr="001E4659">
              <w:rPr>
                <w:sz w:val="20"/>
                <w:szCs w:val="20"/>
                <w:rtl/>
                <w:lang w:bidi="ar-EG"/>
              </w:rPr>
              <w:t xml:space="preserve"> (رقم </w:t>
            </w:r>
            <w:r w:rsidRPr="00350F98">
              <w:rPr>
                <w:sz w:val="20"/>
                <w:szCs w:val="20"/>
                <w:rtl/>
                <w:lang w:bidi="ar-EG"/>
              </w:rPr>
              <w:t>129</w:t>
            </w:r>
            <w:r w:rsidRPr="001E4659">
              <w:rPr>
                <w:sz w:val="20"/>
                <w:szCs w:val="20"/>
                <w:rtl/>
                <w:lang w:bidi="ar-EG"/>
              </w:rPr>
              <w:t>)</w:t>
            </w:r>
          </w:p>
        </w:tc>
        <w:tc>
          <w:tcPr>
            <w:tcW w:w="2685" w:type="dxa"/>
          </w:tcPr>
          <w:p w14:paraId="1C076F5D"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8</w:t>
            </w:r>
            <w:r w:rsidRPr="001E4659">
              <w:rPr>
                <w:sz w:val="20"/>
                <w:szCs w:val="20"/>
                <w:rtl/>
                <w:lang w:bidi="ar-EG"/>
              </w:rPr>
              <w:t xml:space="preserve"> أيلول/سبتمبر </w:t>
            </w:r>
            <w:r w:rsidRPr="00350F98">
              <w:rPr>
                <w:sz w:val="20"/>
                <w:szCs w:val="20"/>
                <w:rtl/>
                <w:lang w:bidi="ar-EG"/>
              </w:rPr>
              <w:t>1997</w:t>
            </w:r>
          </w:p>
        </w:tc>
      </w:tr>
      <w:tr w:rsidR="00711690" w:rsidRPr="001E4659" w14:paraId="7F6BD04E" w14:textId="77777777" w:rsidTr="001E4659">
        <w:trPr>
          <w:jc w:val="left"/>
        </w:trPr>
        <w:tc>
          <w:tcPr>
            <w:tcW w:w="5705" w:type="dxa"/>
          </w:tcPr>
          <w:p w14:paraId="39600743"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بالإجازات السنوية المدفوعة الأجر، (مراجعة)، </w:t>
            </w:r>
            <w:r w:rsidRPr="00350F98">
              <w:rPr>
                <w:sz w:val="20"/>
                <w:szCs w:val="20"/>
                <w:rtl/>
                <w:lang w:bidi="ar-EG"/>
              </w:rPr>
              <w:t>1970</w:t>
            </w:r>
            <w:r w:rsidRPr="001E4659">
              <w:rPr>
                <w:sz w:val="20"/>
                <w:szCs w:val="20"/>
                <w:rtl/>
                <w:lang w:bidi="ar-EG"/>
              </w:rPr>
              <w:t xml:space="preserve"> (رقم </w:t>
            </w:r>
            <w:r w:rsidRPr="00350F98">
              <w:rPr>
                <w:sz w:val="20"/>
                <w:szCs w:val="20"/>
                <w:rtl/>
                <w:lang w:bidi="ar-EG"/>
              </w:rPr>
              <w:t>132</w:t>
            </w:r>
            <w:r w:rsidRPr="001E4659">
              <w:rPr>
                <w:sz w:val="20"/>
                <w:szCs w:val="20"/>
                <w:rtl/>
                <w:lang w:bidi="ar-EG"/>
              </w:rPr>
              <w:t>)</w:t>
            </w:r>
          </w:p>
        </w:tc>
        <w:tc>
          <w:tcPr>
            <w:tcW w:w="2685" w:type="dxa"/>
          </w:tcPr>
          <w:p w14:paraId="340358A0"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w:t>
            </w:r>
            <w:r w:rsidRPr="001E4659">
              <w:rPr>
                <w:sz w:val="20"/>
                <w:szCs w:val="20"/>
                <w:rtl/>
                <w:lang w:bidi="ar-EG"/>
              </w:rPr>
              <w:t xml:space="preserve"> حزيران/</w:t>
            </w:r>
            <w:proofErr w:type="gramStart"/>
            <w:r w:rsidRPr="001E4659">
              <w:rPr>
                <w:sz w:val="20"/>
                <w:szCs w:val="20"/>
                <w:rtl/>
                <w:lang w:bidi="ar-EG"/>
              </w:rPr>
              <w:t>يونيه</w:t>
            </w:r>
            <w:proofErr w:type="gramEnd"/>
            <w:r w:rsidRPr="001E4659">
              <w:rPr>
                <w:sz w:val="20"/>
                <w:szCs w:val="20"/>
                <w:rtl/>
                <w:lang w:bidi="ar-EG"/>
              </w:rPr>
              <w:t xml:space="preserve"> </w:t>
            </w:r>
            <w:r w:rsidRPr="00350F98">
              <w:rPr>
                <w:sz w:val="20"/>
                <w:szCs w:val="20"/>
                <w:rtl/>
                <w:lang w:bidi="ar-EG"/>
              </w:rPr>
              <w:t>2003</w:t>
            </w:r>
          </w:p>
        </w:tc>
      </w:tr>
      <w:tr w:rsidR="00711690" w:rsidRPr="001E4659" w14:paraId="7A805B2E" w14:textId="77777777" w:rsidTr="001E4659">
        <w:trPr>
          <w:jc w:val="left"/>
        </w:trPr>
        <w:tc>
          <w:tcPr>
            <w:tcW w:w="5705" w:type="dxa"/>
          </w:tcPr>
          <w:p w14:paraId="66234CE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بالحد الأدنى لسن الاستخدام، </w:t>
            </w:r>
            <w:r w:rsidRPr="00350F98">
              <w:rPr>
                <w:sz w:val="20"/>
                <w:szCs w:val="20"/>
                <w:rtl/>
                <w:lang w:bidi="ar-EG"/>
              </w:rPr>
              <w:t>1973</w:t>
            </w:r>
            <w:r w:rsidRPr="001E4659">
              <w:rPr>
                <w:sz w:val="20"/>
                <w:szCs w:val="20"/>
                <w:rtl/>
                <w:lang w:bidi="ar-EG"/>
              </w:rPr>
              <w:t xml:space="preserve"> (رقم </w:t>
            </w:r>
            <w:r w:rsidRPr="00350F98">
              <w:rPr>
                <w:sz w:val="20"/>
                <w:szCs w:val="20"/>
                <w:rtl/>
                <w:lang w:bidi="ar-EG"/>
              </w:rPr>
              <w:t>138</w:t>
            </w:r>
            <w:r w:rsidRPr="001E4659">
              <w:rPr>
                <w:sz w:val="20"/>
                <w:szCs w:val="20"/>
                <w:rtl/>
                <w:lang w:bidi="ar-EG"/>
              </w:rPr>
              <w:t>)</w:t>
            </w:r>
          </w:p>
        </w:tc>
        <w:tc>
          <w:tcPr>
            <w:tcW w:w="2685" w:type="dxa"/>
          </w:tcPr>
          <w:p w14:paraId="734A0A77"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19</w:t>
            </w:r>
            <w:r w:rsidRPr="001E4659">
              <w:rPr>
                <w:sz w:val="20"/>
                <w:szCs w:val="20"/>
                <w:rtl/>
                <w:lang w:bidi="ar-EG"/>
              </w:rPr>
              <w:t xml:space="preserve"> نيسان/أبريل </w:t>
            </w:r>
            <w:r w:rsidRPr="00350F98">
              <w:rPr>
                <w:sz w:val="20"/>
                <w:szCs w:val="20"/>
                <w:rtl/>
                <w:lang w:bidi="ar-EG"/>
              </w:rPr>
              <w:t>1988</w:t>
            </w:r>
          </w:p>
        </w:tc>
      </w:tr>
      <w:tr w:rsidR="00711690" w:rsidRPr="001E4659" w14:paraId="3DA8DFFA" w14:textId="77777777" w:rsidTr="001E4659">
        <w:trPr>
          <w:jc w:val="left"/>
        </w:trPr>
        <w:tc>
          <w:tcPr>
            <w:tcW w:w="5705" w:type="dxa"/>
          </w:tcPr>
          <w:p w14:paraId="2936FFE7"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بعلاقات العمل في الخدمة العامة، </w:t>
            </w:r>
            <w:r w:rsidRPr="00350F98">
              <w:rPr>
                <w:sz w:val="20"/>
                <w:szCs w:val="20"/>
                <w:rtl/>
                <w:lang w:bidi="ar-EG"/>
              </w:rPr>
              <w:t>1978</w:t>
            </w:r>
            <w:r w:rsidRPr="001E4659">
              <w:rPr>
                <w:sz w:val="20"/>
                <w:szCs w:val="20"/>
                <w:rtl/>
                <w:lang w:bidi="ar-EG"/>
              </w:rPr>
              <w:t xml:space="preserve"> (رقم </w:t>
            </w:r>
            <w:r w:rsidRPr="00350F98">
              <w:rPr>
                <w:sz w:val="20"/>
                <w:szCs w:val="20"/>
                <w:rtl/>
                <w:lang w:bidi="ar-EG"/>
              </w:rPr>
              <w:t>151</w:t>
            </w:r>
            <w:r w:rsidRPr="001E4659">
              <w:rPr>
                <w:sz w:val="20"/>
                <w:szCs w:val="20"/>
                <w:rtl/>
                <w:lang w:bidi="ar-EG"/>
              </w:rPr>
              <w:t>)</w:t>
            </w:r>
          </w:p>
        </w:tc>
        <w:tc>
          <w:tcPr>
            <w:tcW w:w="2685" w:type="dxa"/>
          </w:tcPr>
          <w:p w14:paraId="3E041510"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21</w:t>
            </w:r>
            <w:r w:rsidRPr="001E4659">
              <w:rPr>
                <w:sz w:val="20"/>
                <w:szCs w:val="20"/>
                <w:rtl/>
                <w:lang w:bidi="ar-EG"/>
              </w:rPr>
              <w:t xml:space="preserve"> أيار/مايو </w:t>
            </w:r>
            <w:r w:rsidRPr="00350F98">
              <w:rPr>
                <w:sz w:val="20"/>
                <w:szCs w:val="20"/>
                <w:rtl/>
                <w:lang w:bidi="ar-EG"/>
              </w:rPr>
              <w:t>1991</w:t>
            </w:r>
          </w:p>
        </w:tc>
      </w:tr>
      <w:tr w:rsidR="00711690" w:rsidRPr="001E4659" w14:paraId="59F24509" w14:textId="77777777" w:rsidTr="001E4659">
        <w:trPr>
          <w:jc w:val="left"/>
        </w:trPr>
        <w:tc>
          <w:tcPr>
            <w:tcW w:w="5705" w:type="dxa"/>
          </w:tcPr>
          <w:p w14:paraId="12A55982"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بالسلامة والصحة المهنيتين، </w:t>
            </w:r>
            <w:r w:rsidRPr="00350F98">
              <w:rPr>
                <w:sz w:val="20"/>
                <w:szCs w:val="20"/>
                <w:rtl/>
                <w:lang w:bidi="ar-EG"/>
              </w:rPr>
              <w:t>1981</w:t>
            </w:r>
            <w:r w:rsidRPr="001E4659">
              <w:rPr>
                <w:sz w:val="20"/>
                <w:szCs w:val="20"/>
                <w:rtl/>
                <w:lang w:bidi="ar-EG"/>
              </w:rPr>
              <w:t xml:space="preserve"> (رقم </w:t>
            </w:r>
            <w:r w:rsidRPr="00350F98">
              <w:rPr>
                <w:sz w:val="20"/>
                <w:szCs w:val="20"/>
                <w:rtl/>
                <w:lang w:bidi="ar-EG"/>
              </w:rPr>
              <w:t>155</w:t>
            </w:r>
            <w:r w:rsidRPr="001E4659">
              <w:rPr>
                <w:sz w:val="20"/>
                <w:szCs w:val="20"/>
                <w:rtl/>
                <w:lang w:bidi="ar-EG"/>
              </w:rPr>
              <w:t>)</w:t>
            </w:r>
          </w:p>
        </w:tc>
        <w:tc>
          <w:tcPr>
            <w:tcW w:w="2685" w:type="dxa"/>
          </w:tcPr>
          <w:p w14:paraId="6C6781FA"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28</w:t>
            </w:r>
            <w:r w:rsidRPr="001E4659">
              <w:rPr>
                <w:sz w:val="20"/>
                <w:szCs w:val="20"/>
                <w:rtl/>
                <w:lang w:bidi="ar-EG"/>
              </w:rPr>
              <w:t xml:space="preserve"> شباط/فبراير </w:t>
            </w:r>
            <w:r w:rsidRPr="00350F98">
              <w:rPr>
                <w:sz w:val="20"/>
                <w:szCs w:val="20"/>
                <w:rtl/>
                <w:lang w:bidi="ar-EG"/>
              </w:rPr>
              <w:t>2011</w:t>
            </w:r>
          </w:p>
        </w:tc>
      </w:tr>
      <w:tr w:rsidR="00711690" w:rsidRPr="001E4659" w14:paraId="4D27510E" w14:textId="77777777" w:rsidTr="001E4659">
        <w:trPr>
          <w:cnfStyle w:val="010000000000" w:firstRow="0" w:lastRow="1" w:firstColumn="0" w:lastColumn="0" w:oddVBand="0" w:evenVBand="0" w:oddHBand="0" w:evenHBand="0" w:firstRowFirstColumn="0" w:firstRowLastColumn="0" w:lastRowFirstColumn="0" w:lastRowLastColumn="0"/>
          <w:jc w:val="left"/>
        </w:trPr>
        <w:tc>
          <w:tcPr>
            <w:tcW w:w="5705" w:type="dxa"/>
          </w:tcPr>
          <w:p w14:paraId="3E4F55CB"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1E4659">
              <w:rPr>
                <w:rFonts w:hint="cs"/>
                <w:sz w:val="20"/>
                <w:szCs w:val="20"/>
                <w:rtl/>
                <w:lang w:bidi="ar-EG"/>
              </w:rPr>
              <w:t>الاتفاقية</w:t>
            </w:r>
            <w:r w:rsidRPr="001E4659">
              <w:rPr>
                <w:sz w:val="20"/>
                <w:szCs w:val="20"/>
                <w:rtl/>
                <w:lang w:bidi="ar-EG"/>
              </w:rPr>
              <w:t xml:space="preserve"> المتعلقة بأسوأ أشكال عمل الأطفال، </w:t>
            </w:r>
            <w:r w:rsidRPr="00350F98">
              <w:rPr>
                <w:sz w:val="20"/>
                <w:szCs w:val="20"/>
                <w:rtl/>
                <w:lang w:bidi="ar-EG"/>
              </w:rPr>
              <w:t>1999</w:t>
            </w:r>
            <w:r w:rsidRPr="001E4659">
              <w:rPr>
                <w:sz w:val="20"/>
                <w:szCs w:val="20"/>
                <w:rtl/>
                <w:lang w:bidi="ar-EG"/>
              </w:rPr>
              <w:t xml:space="preserve"> (رقم </w:t>
            </w:r>
            <w:r w:rsidRPr="00350F98">
              <w:rPr>
                <w:sz w:val="20"/>
                <w:szCs w:val="20"/>
                <w:rtl/>
                <w:lang w:bidi="ar-EG"/>
              </w:rPr>
              <w:t>182</w:t>
            </w:r>
            <w:r w:rsidRPr="001E4659">
              <w:rPr>
                <w:sz w:val="20"/>
                <w:szCs w:val="20"/>
                <w:rtl/>
                <w:lang w:bidi="ar-EG"/>
              </w:rPr>
              <w:t>)</w:t>
            </w:r>
          </w:p>
        </w:tc>
        <w:tc>
          <w:tcPr>
            <w:tcW w:w="2685" w:type="dxa"/>
          </w:tcPr>
          <w:p w14:paraId="049B1954"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lang w:bidi="ar-EG"/>
              </w:rPr>
              <w:t>8</w:t>
            </w:r>
            <w:r w:rsidRPr="001E4659">
              <w:rPr>
                <w:sz w:val="20"/>
                <w:szCs w:val="20"/>
                <w:rtl/>
                <w:lang w:bidi="ar-EG"/>
              </w:rPr>
              <w:t xml:space="preserve"> أيار/مايو </w:t>
            </w:r>
            <w:r w:rsidRPr="00350F98">
              <w:rPr>
                <w:sz w:val="20"/>
                <w:szCs w:val="20"/>
                <w:rtl/>
                <w:lang w:bidi="ar-EG"/>
              </w:rPr>
              <w:t>2002</w:t>
            </w:r>
          </w:p>
        </w:tc>
      </w:tr>
    </w:tbl>
    <w:p w14:paraId="27D0A76F" w14:textId="77777777" w:rsidR="00D424DC" w:rsidRPr="00350F98" w:rsidRDefault="00D424DC" w:rsidP="00711690">
      <w:pPr>
        <w:pStyle w:val="H23GA"/>
        <w:rPr>
          <w:rtl/>
          <w:lang w:bidi="ar-EG"/>
        </w:rPr>
      </w:pPr>
      <w:r w:rsidRPr="00350F98">
        <w:rPr>
          <w:rtl/>
          <w:lang w:bidi="ar-EG"/>
        </w:rPr>
        <w:tab/>
        <w:t>4-</w:t>
      </w:r>
      <w:r w:rsidRPr="00350F98">
        <w:rPr>
          <w:rtl/>
          <w:lang w:bidi="ar-EG"/>
        </w:rPr>
        <w:tab/>
        <w:t>اتفاقيات منظمة الأمم المتحدة للتربية والعلم والثقافة</w:t>
      </w:r>
    </w:p>
    <w:tbl>
      <w:tblPr>
        <w:tblStyle w:val="TABLEA"/>
        <w:bidiVisual/>
        <w:tblW w:w="8390" w:type="dxa"/>
        <w:jc w:val="left"/>
        <w:tblInd w:w="1247" w:type="dxa"/>
        <w:tblLook w:val="04E0" w:firstRow="1" w:lastRow="1" w:firstColumn="1" w:lastColumn="0" w:noHBand="0" w:noVBand="1"/>
      </w:tblPr>
      <w:tblGrid>
        <w:gridCol w:w="5705"/>
        <w:gridCol w:w="2685"/>
      </w:tblGrid>
      <w:tr w:rsidR="001E4659" w:rsidRPr="00350F98" w14:paraId="193B652F" w14:textId="77777777" w:rsidTr="001E4659">
        <w:trPr>
          <w:cnfStyle w:val="100000000000" w:firstRow="1" w:lastRow="0" w:firstColumn="0" w:lastColumn="0" w:oddVBand="0" w:evenVBand="0" w:oddHBand="0" w:evenHBand="0" w:firstRowFirstColumn="0" w:firstRowLastColumn="0" w:lastRowFirstColumn="0" w:lastRowLastColumn="0"/>
          <w:tblHeader/>
          <w:jc w:val="left"/>
        </w:trPr>
        <w:tc>
          <w:tcPr>
            <w:tcW w:w="5705" w:type="dxa"/>
            <w:vAlign w:val="bottom"/>
          </w:tcPr>
          <w:p w14:paraId="408BF32B" w14:textId="38A7D08C" w:rsidR="00711690" w:rsidRPr="001E4659" w:rsidRDefault="00711690" w:rsidP="0030688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20"/>
                <w:szCs w:val="20"/>
                <w:rtl/>
                <w:lang w:bidi="ar-EG"/>
              </w:rPr>
            </w:pPr>
            <w:r w:rsidRPr="00350F98">
              <w:rPr>
                <w:i/>
                <w:iCs/>
                <w:sz w:val="20"/>
                <w:szCs w:val="20"/>
                <w:rtl/>
                <w:lang w:bidi="ar-EG"/>
              </w:rPr>
              <w:t>اتفاقيات منظمة الأمم المتحدة للتربية والعلم والثقافة</w:t>
            </w:r>
          </w:p>
        </w:tc>
        <w:tc>
          <w:tcPr>
            <w:tcW w:w="2685" w:type="dxa"/>
            <w:vAlign w:val="bottom"/>
          </w:tcPr>
          <w:p w14:paraId="53FC8306" w14:textId="77777777" w:rsidR="00711690" w:rsidRPr="001E4659" w:rsidRDefault="00711690" w:rsidP="0030688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20"/>
                <w:szCs w:val="20"/>
                <w:rtl/>
                <w:lang w:bidi="ar-EG"/>
              </w:rPr>
            </w:pPr>
            <w:r w:rsidRPr="00350F98">
              <w:rPr>
                <w:i/>
                <w:iCs/>
                <w:sz w:val="20"/>
                <w:szCs w:val="20"/>
                <w:rtl/>
                <w:lang w:bidi="ar-EG"/>
              </w:rPr>
              <w:t>تاريخ التصديق أو الانضمام أو الخلافة</w:t>
            </w:r>
          </w:p>
        </w:tc>
      </w:tr>
      <w:tr w:rsidR="001E4659" w:rsidRPr="001E4659" w14:paraId="14C80D06" w14:textId="77777777" w:rsidTr="001E4659">
        <w:trPr>
          <w:cnfStyle w:val="010000000000" w:firstRow="0" w:lastRow="1" w:firstColumn="0" w:lastColumn="0" w:oddVBand="0" w:evenVBand="0" w:oddHBand="0" w:evenHBand="0" w:firstRowFirstColumn="0" w:firstRowLastColumn="0" w:lastRowFirstColumn="0" w:lastRowLastColumn="0"/>
          <w:jc w:val="left"/>
        </w:trPr>
        <w:tc>
          <w:tcPr>
            <w:tcW w:w="5705" w:type="dxa"/>
          </w:tcPr>
          <w:p w14:paraId="16A5740C" w14:textId="1ED8729B" w:rsidR="00711690" w:rsidRPr="001E4659" w:rsidRDefault="00711690" w:rsidP="0030688B">
            <w:pPr>
              <w:pStyle w:val="SingleTxtGA"/>
              <w:tabs>
                <w:tab w:val="clear" w:pos="1928"/>
                <w:tab w:val="clear" w:pos="2608"/>
                <w:tab w:val="clear" w:pos="3289"/>
                <w:tab w:val="clear" w:pos="3969"/>
                <w:tab w:val="clear" w:pos="4649"/>
                <w:tab w:val="clear" w:pos="5330"/>
              </w:tabs>
              <w:spacing w:before="40" w:after="40" w:line="300" w:lineRule="exact"/>
              <w:ind w:left="113" w:right="113"/>
              <w:rPr>
                <w:sz w:val="20"/>
                <w:szCs w:val="20"/>
                <w:rtl/>
                <w:lang w:bidi="ar-EG"/>
              </w:rPr>
            </w:pPr>
            <w:r w:rsidRPr="001E4659">
              <w:rPr>
                <w:sz w:val="20"/>
                <w:szCs w:val="20"/>
                <w:rtl/>
                <w:lang w:bidi="ar-EG"/>
              </w:rPr>
              <w:t xml:space="preserve">اتفاقية مكافحة التمييز في مجال التعليم، </w:t>
            </w:r>
            <w:r w:rsidRPr="00350F98">
              <w:rPr>
                <w:sz w:val="20"/>
                <w:szCs w:val="20"/>
                <w:rtl/>
                <w:lang w:bidi="ar-EG"/>
              </w:rPr>
              <w:t>1960</w:t>
            </w:r>
          </w:p>
        </w:tc>
        <w:tc>
          <w:tcPr>
            <w:tcW w:w="2685" w:type="dxa"/>
          </w:tcPr>
          <w:p w14:paraId="6461BE22" w14:textId="62C8BA6B" w:rsidR="00711690" w:rsidRPr="001E4659" w:rsidRDefault="00711690" w:rsidP="0030688B">
            <w:pPr>
              <w:pStyle w:val="SingleTxtGA"/>
              <w:tabs>
                <w:tab w:val="clear" w:pos="1928"/>
                <w:tab w:val="clear" w:pos="2608"/>
                <w:tab w:val="clear" w:pos="3289"/>
                <w:tab w:val="clear" w:pos="3969"/>
                <w:tab w:val="clear" w:pos="4649"/>
                <w:tab w:val="clear" w:pos="5330"/>
              </w:tabs>
              <w:spacing w:before="40" w:after="40" w:line="300" w:lineRule="exact"/>
              <w:ind w:left="113" w:right="113"/>
              <w:rPr>
                <w:sz w:val="20"/>
                <w:szCs w:val="20"/>
                <w:rtl/>
                <w:lang w:bidi="ar-EG"/>
              </w:rPr>
            </w:pPr>
            <w:r w:rsidRPr="001E4659">
              <w:rPr>
                <w:rFonts w:hint="cs"/>
                <w:sz w:val="20"/>
                <w:szCs w:val="20"/>
                <w:rtl/>
                <w:lang w:bidi="ar-EG"/>
              </w:rPr>
              <w:t>لا</w:t>
            </w:r>
          </w:p>
        </w:tc>
      </w:tr>
    </w:tbl>
    <w:p w14:paraId="1FE9C9B1" w14:textId="77777777" w:rsidR="00D424DC" w:rsidRPr="00350F98" w:rsidRDefault="00D424DC" w:rsidP="00711690">
      <w:pPr>
        <w:pStyle w:val="H23GA"/>
        <w:rPr>
          <w:rtl/>
          <w:lang w:bidi="ar-EG"/>
        </w:rPr>
      </w:pPr>
      <w:r w:rsidRPr="00350F98">
        <w:rPr>
          <w:rtl/>
          <w:lang w:bidi="ar-EG"/>
        </w:rPr>
        <w:tab/>
        <w:t>5-</w:t>
      </w:r>
      <w:r w:rsidRPr="00350F98">
        <w:rPr>
          <w:rtl/>
          <w:lang w:bidi="ar-EG"/>
        </w:rPr>
        <w:tab/>
        <w:t>اتفاقيات مؤتمر لاهاي للقانون الدولي الخاص</w:t>
      </w:r>
    </w:p>
    <w:tbl>
      <w:tblPr>
        <w:tblStyle w:val="TABLEA"/>
        <w:bidiVisual/>
        <w:tblW w:w="8390" w:type="dxa"/>
        <w:jc w:val="left"/>
        <w:tblInd w:w="1247" w:type="dxa"/>
        <w:tblLook w:val="04E0" w:firstRow="1" w:lastRow="1" w:firstColumn="1" w:lastColumn="0" w:noHBand="0" w:noVBand="1"/>
      </w:tblPr>
      <w:tblGrid>
        <w:gridCol w:w="5705"/>
        <w:gridCol w:w="2685"/>
      </w:tblGrid>
      <w:tr w:rsidR="001E4659" w:rsidRPr="00350F98" w14:paraId="36DC457E" w14:textId="77777777" w:rsidTr="001E4659">
        <w:trPr>
          <w:cnfStyle w:val="100000000000" w:firstRow="1" w:lastRow="0" w:firstColumn="0" w:lastColumn="0" w:oddVBand="0" w:evenVBand="0" w:oddHBand="0" w:evenHBand="0" w:firstRowFirstColumn="0" w:firstRowLastColumn="0" w:lastRowFirstColumn="0" w:lastRowLastColumn="0"/>
          <w:tblHeader/>
          <w:jc w:val="left"/>
        </w:trPr>
        <w:tc>
          <w:tcPr>
            <w:tcW w:w="5705" w:type="dxa"/>
            <w:vAlign w:val="bottom"/>
          </w:tcPr>
          <w:p w14:paraId="43397232" w14:textId="428D2936"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i/>
                <w:iCs/>
                <w:sz w:val="20"/>
                <w:szCs w:val="20"/>
                <w:rtl/>
                <w:lang w:bidi="ar-EG"/>
              </w:rPr>
            </w:pPr>
            <w:r w:rsidRPr="00350F98">
              <w:rPr>
                <w:i/>
                <w:iCs/>
                <w:sz w:val="20"/>
                <w:szCs w:val="20"/>
                <w:rtl/>
                <w:lang w:bidi="ar-EG"/>
              </w:rPr>
              <w:t>اتفاقيات مؤتمر لاهاي للقانون الدولي الخاص</w:t>
            </w:r>
          </w:p>
        </w:tc>
        <w:tc>
          <w:tcPr>
            <w:tcW w:w="2685" w:type="dxa"/>
            <w:vAlign w:val="bottom"/>
          </w:tcPr>
          <w:p w14:paraId="0DDEC946" w14:textId="7777777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i/>
                <w:iCs/>
                <w:sz w:val="20"/>
                <w:szCs w:val="20"/>
                <w:rtl/>
                <w:lang w:bidi="ar-EG"/>
              </w:rPr>
            </w:pPr>
            <w:r w:rsidRPr="00350F98">
              <w:rPr>
                <w:i/>
                <w:iCs/>
                <w:sz w:val="20"/>
                <w:szCs w:val="20"/>
                <w:rtl/>
                <w:lang w:bidi="ar-EG"/>
              </w:rPr>
              <w:t>تاريخ التصديق أو الانضمام أو الخلافة</w:t>
            </w:r>
          </w:p>
        </w:tc>
      </w:tr>
      <w:tr w:rsidR="001E4659" w:rsidRPr="001E4659" w14:paraId="2A108887" w14:textId="77777777" w:rsidTr="001E4659">
        <w:trPr>
          <w:jc w:val="left"/>
        </w:trPr>
        <w:tc>
          <w:tcPr>
            <w:tcW w:w="5705" w:type="dxa"/>
          </w:tcPr>
          <w:p w14:paraId="51BFA266" w14:textId="3003BE31"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rPr>
              <w:t xml:space="preserve">الاتفاقية المتعلقة بتسوية التنازع بين قانون الجنسية وقانون الإقامة، </w:t>
            </w:r>
            <w:r w:rsidRPr="00350F98">
              <w:rPr>
                <w:sz w:val="20"/>
                <w:szCs w:val="20"/>
                <w:rtl/>
              </w:rPr>
              <w:t>1955</w:t>
            </w:r>
          </w:p>
        </w:tc>
        <w:tc>
          <w:tcPr>
            <w:tcW w:w="2685" w:type="dxa"/>
          </w:tcPr>
          <w:p w14:paraId="3FC60091" w14:textId="261BBA2A"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rPr>
              <w:t>2</w:t>
            </w:r>
            <w:r w:rsidRPr="001E4659">
              <w:rPr>
                <w:sz w:val="20"/>
                <w:szCs w:val="20"/>
                <w:rtl/>
              </w:rPr>
              <w:t xml:space="preserve"> أيار/مايو </w:t>
            </w:r>
            <w:r w:rsidRPr="00350F98">
              <w:rPr>
                <w:sz w:val="20"/>
                <w:szCs w:val="20"/>
                <w:rtl/>
              </w:rPr>
              <w:t>1962</w:t>
            </w:r>
          </w:p>
        </w:tc>
      </w:tr>
      <w:tr w:rsidR="001E4659" w:rsidRPr="001E4659" w14:paraId="25A121BD" w14:textId="77777777" w:rsidTr="001E4659">
        <w:trPr>
          <w:jc w:val="left"/>
        </w:trPr>
        <w:tc>
          <w:tcPr>
            <w:tcW w:w="5705" w:type="dxa"/>
          </w:tcPr>
          <w:p w14:paraId="57527251" w14:textId="6D37B9C3"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rPr>
              <w:t xml:space="preserve">الاتفاقية المتعلقة بالقانون المنطبق على التزامات النفقة تجاه الأطفال، </w:t>
            </w:r>
            <w:r w:rsidRPr="00350F98">
              <w:rPr>
                <w:sz w:val="20"/>
                <w:szCs w:val="20"/>
                <w:rtl/>
              </w:rPr>
              <w:t>1956</w:t>
            </w:r>
          </w:p>
        </w:tc>
        <w:tc>
          <w:tcPr>
            <w:tcW w:w="2685" w:type="dxa"/>
          </w:tcPr>
          <w:p w14:paraId="10F86E03" w14:textId="292C1DE7"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rPr>
              <w:t>26</w:t>
            </w:r>
            <w:r w:rsidRPr="001E4659">
              <w:rPr>
                <w:sz w:val="20"/>
                <w:szCs w:val="20"/>
                <w:rtl/>
              </w:rPr>
              <w:t xml:space="preserve"> آب/أغسطس </w:t>
            </w:r>
            <w:r w:rsidRPr="00350F98">
              <w:rPr>
                <w:sz w:val="20"/>
                <w:szCs w:val="20"/>
                <w:rtl/>
              </w:rPr>
              <w:t>1970</w:t>
            </w:r>
          </w:p>
        </w:tc>
      </w:tr>
      <w:tr w:rsidR="001E4659" w:rsidRPr="001E4659" w14:paraId="2BB8B06D" w14:textId="77777777" w:rsidTr="001E4659">
        <w:trPr>
          <w:jc w:val="left"/>
        </w:trPr>
        <w:tc>
          <w:tcPr>
            <w:tcW w:w="5705" w:type="dxa"/>
          </w:tcPr>
          <w:p w14:paraId="31980F6D" w14:textId="0ABFB676"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pacing w:val="-4"/>
                <w:sz w:val="20"/>
                <w:szCs w:val="20"/>
                <w:rtl/>
                <w:lang w:bidi="ar-EG"/>
              </w:rPr>
            </w:pPr>
            <w:r w:rsidRPr="001E4659">
              <w:rPr>
                <w:spacing w:val="-4"/>
                <w:sz w:val="20"/>
                <w:szCs w:val="20"/>
                <w:rtl/>
              </w:rPr>
              <w:t xml:space="preserve">الاتفاقية المتعلقة بالاعتراف بالأحكام المتصلة بالتزامات النفقة إزاء الأطفال وتنفيذها، </w:t>
            </w:r>
            <w:r w:rsidRPr="00350F98">
              <w:rPr>
                <w:spacing w:val="-4"/>
                <w:sz w:val="20"/>
                <w:szCs w:val="20"/>
                <w:rtl/>
              </w:rPr>
              <w:t>1958</w:t>
            </w:r>
          </w:p>
        </w:tc>
        <w:tc>
          <w:tcPr>
            <w:tcW w:w="2685" w:type="dxa"/>
          </w:tcPr>
          <w:p w14:paraId="3194922E" w14:textId="3A48F084"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rPr>
              <w:t>19</w:t>
            </w:r>
            <w:r w:rsidRPr="001E4659">
              <w:rPr>
                <w:sz w:val="20"/>
                <w:szCs w:val="20"/>
                <w:rtl/>
              </w:rPr>
              <w:t xml:space="preserve"> تشرين الثاني/نوفمبر </w:t>
            </w:r>
            <w:r w:rsidRPr="00350F98">
              <w:rPr>
                <w:sz w:val="20"/>
                <w:szCs w:val="20"/>
                <w:rtl/>
              </w:rPr>
              <w:t>1961</w:t>
            </w:r>
          </w:p>
        </w:tc>
      </w:tr>
      <w:tr w:rsidR="001E4659" w:rsidRPr="001E4659" w14:paraId="4FB16D10" w14:textId="77777777" w:rsidTr="001E4659">
        <w:trPr>
          <w:jc w:val="left"/>
        </w:trPr>
        <w:tc>
          <w:tcPr>
            <w:tcW w:w="5705" w:type="dxa"/>
          </w:tcPr>
          <w:p w14:paraId="67550489" w14:textId="769A55DE"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rPr>
              <w:t xml:space="preserve">الاتفاقية المتعلقة بالجوانب المدنية لاختطاف الأطفال على الصعيد الدولي، </w:t>
            </w:r>
            <w:r w:rsidRPr="00350F98">
              <w:rPr>
                <w:sz w:val="20"/>
                <w:szCs w:val="20"/>
                <w:rtl/>
              </w:rPr>
              <w:t>1980</w:t>
            </w:r>
          </w:p>
        </w:tc>
        <w:tc>
          <w:tcPr>
            <w:tcW w:w="2685" w:type="dxa"/>
          </w:tcPr>
          <w:p w14:paraId="439BEBCA" w14:textId="0BBB93BE"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rPr>
              <w:t>9</w:t>
            </w:r>
            <w:r w:rsidR="001E4659">
              <w:rPr>
                <w:rFonts w:hint="cs"/>
                <w:sz w:val="20"/>
                <w:szCs w:val="20"/>
                <w:rtl/>
              </w:rPr>
              <w:t xml:space="preserve"> شباط/فبراير </w:t>
            </w:r>
            <w:r w:rsidR="001E4659" w:rsidRPr="00350F98">
              <w:rPr>
                <w:rFonts w:hint="cs"/>
                <w:sz w:val="20"/>
                <w:szCs w:val="20"/>
                <w:rtl/>
              </w:rPr>
              <w:t>1999</w:t>
            </w:r>
          </w:p>
        </w:tc>
      </w:tr>
      <w:tr w:rsidR="001E4659" w:rsidRPr="001E4659" w14:paraId="50F87C47" w14:textId="77777777" w:rsidTr="001E4659">
        <w:trPr>
          <w:cnfStyle w:val="010000000000" w:firstRow="0" w:lastRow="1" w:firstColumn="0" w:lastColumn="0" w:oddVBand="0" w:evenVBand="0" w:oddHBand="0" w:evenHBand="0" w:firstRowFirstColumn="0" w:firstRowLastColumn="0" w:lastRowFirstColumn="0" w:lastRowLastColumn="0"/>
          <w:jc w:val="left"/>
        </w:trPr>
        <w:tc>
          <w:tcPr>
            <w:tcW w:w="5705" w:type="dxa"/>
          </w:tcPr>
          <w:p w14:paraId="64B1DFFE" w14:textId="008ADB45" w:rsidR="00711690" w:rsidRPr="001E4659" w:rsidRDefault="00711690"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lang w:bidi="ar-EG"/>
              </w:rPr>
            </w:pPr>
            <w:r w:rsidRPr="001E4659">
              <w:rPr>
                <w:sz w:val="20"/>
                <w:szCs w:val="20"/>
                <w:rtl/>
              </w:rPr>
              <w:t xml:space="preserve">الاتفاقية المتعلقة بحماية الأطفال والتعاون في مجال التبني على الصعيد الدولي، </w:t>
            </w:r>
            <w:r w:rsidRPr="00350F98">
              <w:rPr>
                <w:sz w:val="20"/>
                <w:szCs w:val="20"/>
                <w:rtl/>
              </w:rPr>
              <w:t>1993</w:t>
            </w:r>
          </w:p>
        </w:tc>
        <w:tc>
          <w:tcPr>
            <w:tcW w:w="2685" w:type="dxa"/>
          </w:tcPr>
          <w:p w14:paraId="16EB03AB" w14:textId="3277F4C4" w:rsidR="00711690" w:rsidRPr="001E4659" w:rsidRDefault="00711690"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lang w:bidi="ar-EG"/>
              </w:rPr>
            </w:pPr>
            <w:r w:rsidRPr="00350F98">
              <w:rPr>
                <w:sz w:val="20"/>
                <w:szCs w:val="20"/>
                <w:rtl/>
              </w:rPr>
              <w:t>26</w:t>
            </w:r>
            <w:r w:rsidRPr="001E4659">
              <w:rPr>
                <w:sz w:val="20"/>
                <w:szCs w:val="20"/>
                <w:rtl/>
              </w:rPr>
              <w:t xml:space="preserve"> أيار/مايو </w:t>
            </w:r>
            <w:r w:rsidRPr="00350F98">
              <w:rPr>
                <w:sz w:val="20"/>
                <w:szCs w:val="20"/>
                <w:rtl/>
              </w:rPr>
              <w:t>2005</w:t>
            </w:r>
          </w:p>
        </w:tc>
      </w:tr>
    </w:tbl>
    <w:p w14:paraId="6F654770" w14:textId="72E771AA" w:rsidR="00D424DC" w:rsidRPr="00350F98" w:rsidRDefault="00D424DC" w:rsidP="00905B80">
      <w:pPr>
        <w:pStyle w:val="H23GA"/>
        <w:rPr>
          <w:rtl/>
          <w:lang w:bidi="ar-EG"/>
        </w:rPr>
      </w:pPr>
      <w:r w:rsidRPr="00350F98">
        <w:rPr>
          <w:rtl/>
          <w:lang w:bidi="ar-EG"/>
        </w:rPr>
        <w:tab/>
        <w:t>6-</w:t>
      </w:r>
      <w:r w:rsidRPr="00350F98">
        <w:rPr>
          <w:rtl/>
          <w:lang w:bidi="ar-EG"/>
        </w:rPr>
        <w:tab/>
        <w:t>اتفاقيات جنيف وغيرها من المعاهدات المتعلقة بالقانون الإنساني الدولي</w:t>
      </w:r>
    </w:p>
    <w:tbl>
      <w:tblPr>
        <w:tblStyle w:val="TABLEA"/>
        <w:bidiVisual/>
        <w:tblW w:w="8390" w:type="dxa"/>
        <w:jc w:val="left"/>
        <w:tblInd w:w="1247" w:type="dxa"/>
        <w:tblLook w:val="04E0" w:firstRow="1" w:lastRow="1" w:firstColumn="1" w:lastColumn="0" w:noHBand="0" w:noVBand="1"/>
      </w:tblPr>
      <w:tblGrid>
        <w:gridCol w:w="5699"/>
        <w:gridCol w:w="2691"/>
      </w:tblGrid>
      <w:tr w:rsidR="001E4659" w:rsidRPr="00350F98" w14:paraId="7D793969" w14:textId="77777777" w:rsidTr="001E4659">
        <w:trPr>
          <w:cnfStyle w:val="100000000000" w:firstRow="1" w:lastRow="0" w:firstColumn="0" w:lastColumn="0" w:oddVBand="0" w:evenVBand="0" w:oddHBand="0" w:evenHBand="0" w:firstRowFirstColumn="0" w:firstRowLastColumn="0" w:lastRowFirstColumn="0" w:lastRowLastColumn="0"/>
          <w:tblHeader/>
          <w:jc w:val="left"/>
        </w:trPr>
        <w:tc>
          <w:tcPr>
            <w:tcW w:w="5699" w:type="dxa"/>
            <w:vAlign w:val="bottom"/>
          </w:tcPr>
          <w:p w14:paraId="1167C807"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i/>
                <w:iCs/>
                <w:sz w:val="20"/>
                <w:szCs w:val="20"/>
                <w:rtl/>
              </w:rPr>
            </w:pPr>
            <w:r w:rsidRPr="00350F98">
              <w:rPr>
                <w:i/>
                <w:iCs/>
                <w:sz w:val="20"/>
                <w:szCs w:val="20"/>
                <w:rtl/>
              </w:rPr>
              <w:t>اتفاقيات جنيف وغيرها من المعاهدات المتعلقة بالقانون الإنساني الدولي</w:t>
            </w:r>
          </w:p>
        </w:tc>
        <w:tc>
          <w:tcPr>
            <w:tcW w:w="2691" w:type="dxa"/>
            <w:vAlign w:val="bottom"/>
          </w:tcPr>
          <w:p w14:paraId="55717A9A"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i/>
                <w:iCs/>
                <w:sz w:val="20"/>
                <w:szCs w:val="20"/>
                <w:rtl/>
              </w:rPr>
            </w:pPr>
            <w:r w:rsidRPr="00350F98">
              <w:rPr>
                <w:i/>
                <w:iCs/>
                <w:sz w:val="20"/>
                <w:szCs w:val="20"/>
                <w:rtl/>
              </w:rPr>
              <w:t>تاريخ التصديق أو الانضمام أو الخلافة</w:t>
            </w:r>
          </w:p>
        </w:tc>
      </w:tr>
      <w:tr w:rsidR="001E4659" w:rsidRPr="001E4659" w14:paraId="69B7C129" w14:textId="77777777" w:rsidTr="001E4659">
        <w:trPr>
          <w:jc w:val="left"/>
        </w:trPr>
        <w:tc>
          <w:tcPr>
            <w:tcW w:w="5699" w:type="dxa"/>
          </w:tcPr>
          <w:p w14:paraId="2E9C7EAF"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اتفاقية</w:t>
            </w:r>
            <w:r w:rsidRPr="001E4659">
              <w:rPr>
                <w:sz w:val="20"/>
                <w:szCs w:val="20"/>
                <w:rtl/>
              </w:rPr>
              <w:t xml:space="preserve"> جنيف (الأولى) لتحسين حال الجرحى والمرضى من أفراد القوات المسلحة في الميدان، </w:t>
            </w:r>
            <w:r w:rsidRPr="00350F98">
              <w:rPr>
                <w:sz w:val="20"/>
                <w:szCs w:val="20"/>
                <w:rtl/>
              </w:rPr>
              <w:t>1949</w:t>
            </w:r>
          </w:p>
        </w:tc>
        <w:tc>
          <w:tcPr>
            <w:tcW w:w="2691" w:type="dxa"/>
          </w:tcPr>
          <w:p w14:paraId="44B4DE0F"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3</w:t>
            </w:r>
            <w:r w:rsidRPr="001E4659">
              <w:rPr>
                <w:sz w:val="20"/>
                <w:szCs w:val="20"/>
                <w:rtl/>
              </w:rPr>
              <w:t xml:space="preserve"> أيلول/سبتمبر </w:t>
            </w:r>
            <w:r w:rsidRPr="00350F98">
              <w:rPr>
                <w:sz w:val="20"/>
                <w:szCs w:val="20"/>
                <w:rtl/>
              </w:rPr>
              <w:t>1952</w:t>
            </w:r>
          </w:p>
        </w:tc>
      </w:tr>
      <w:tr w:rsidR="001E4659" w:rsidRPr="001E4659" w14:paraId="68A79D1D" w14:textId="77777777" w:rsidTr="001E4659">
        <w:trPr>
          <w:jc w:val="left"/>
        </w:trPr>
        <w:tc>
          <w:tcPr>
            <w:tcW w:w="5699" w:type="dxa"/>
          </w:tcPr>
          <w:p w14:paraId="497A2852"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اتفاقية</w:t>
            </w:r>
            <w:r w:rsidRPr="001E4659">
              <w:rPr>
                <w:sz w:val="20"/>
                <w:szCs w:val="20"/>
                <w:rtl/>
              </w:rPr>
              <w:t xml:space="preserve"> جنيف (الثانية) لتحسين حال الجرحى والمرضى والغرقى من أفراد القوات المسلحة في البحار، </w:t>
            </w:r>
            <w:r w:rsidRPr="00350F98">
              <w:rPr>
                <w:sz w:val="20"/>
                <w:szCs w:val="20"/>
                <w:rtl/>
              </w:rPr>
              <w:t>1949</w:t>
            </w:r>
          </w:p>
        </w:tc>
        <w:tc>
          <w:tcPr>
            <w:tcW w:w="2691" w:type="dxa"/>
          </w:tcPr>
          <w:p w14:paraId="6E69B73D"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9</w:t>
            </w:r>
            <w:r w:rsidRPr="001E4659">
              <w:rPr>
                <w:sz w:val="20"/>
                <w:szCs w:val="20"/>
                <w:rtl/>
              </w:rPr>
              <w:t xml:space="preserve"> أيلول/سبتمبر </w:t>
            </w:r>
            <w:r w:rsidRPr="00350F98">
              <w:rPr>
                <w:sz w:val="20"/>
                <w:szCs w:val="20"/>
                <w:rtl/>
              </w:rPr>
              <w:t>1952</w:t>
            </w:r>
          </w:p>
        </w:tc>
      </w:tr>
      <w:tr w:rsidR="001E4659" w:rsidRPr="001E4659" w14:paraId="16F0043A" w14:textId="77777777" w:rsidTr="001E4659">
        <w:trPr>
          <w:jc w:val="left"/>
        </w:trPr>
        <w:tc>
          <w:tcPr>
            <w:tcW w:w="5699" w:type="dxa"/>
          </w:tcPr>
          <w:p w14:paraId="0143486A"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lastRenderedPageBreak/>
              <w:t>اتفاقية</w:t>
            </w:r>
            <w:r w:rsidRPr="001E4659">
              <w:rPr>
                <w:sz w:val="20"/>
                <w:szCs w:val="20"/>
                <w:rtl/>
              </w:rPr>
              <w:t xml:space="preserve"> جنيف (الثالثة) المتعلقة بمعاملة أسرى الحرب، </w:t>
            </w:r>
            <w:r w:rsidRPr="00350F98">
              <w:rPr>
                <w:sz w:val="20"/>
                <w:szCs w:val="20"/>
                <w:rtl/>
              </w:rPr>
              <w:t>1949</w:t>
            </w:r>
          </w:p>
        </w:tc>
        <w:tc>
          <w:tcPr>
            <w:tcW w:w="2691" w:type="dxa"/>
          </w:tcPr>
          <w:p w14:paraId="0D3DCD0C"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9</w:t>
            </w:r>
            <w:r w:rsidRPr="001E4659">
              <w:rPr>
                <w:sz w:val="20"/>
                <w:szCs w:val="20"/>
                <w:rtl/>
              </w:rPr>
              <w:t xml:space="preserve"> أيلول/سبتمبر </w:t>
            </w:r>
            <w:r w:rsidRPr="00350F98">
              <w:rPr>
                <w:sz w:val="20"/>
                <w:szCs w:val="20"/>
                <w:rtl/>
              </w:rPr>
              <w:t>1952</w:t>
            </w:r>
          </w:p>
        </w:tc>
      </w:tr>
      <w:tr w:rsidR="001E4659" w:rsidRPr="001E4659" w14:paraId="782E64D0" w14:textId="77777777" w:rsidTr="001E4659">
        <w:trPr>
          <w:jc w:val="left"/>
        </w:trPr>
        <w:tc>
          <w:tcPr>
            <w:tcW w:w="5699" w:type="dxa"/>
          </w:tcPr>
          <w:p w14:paraId="10DEF343"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اتفاقية</w:t>
            </w:r>
            <w:r w:rsidRPr="001E4659">
              <w:rPr>
                <w:sz w:val="20"/>
                <w:szCs w:val="20"/>
                <w:rtl/>
              </w:rPr>
              <w:t xml:space="preserve"> جنيف (الرابعة) المتعلقة بحماية الأشخاص المدنيين في وقت الحرب، </w:t>
            </w:r>
            <w:r w:rsidRPr="00350F98">
              <w:rPr>
                <w:sz w:val="20"/>
                <w:szCs w:val="20"/>
                <w:rtl/>
              </w:rPr>
              <w:t>1949</w:t>
            </w:r>
          </w:p>
        </w:tc>
        <w:tc>
          <w:tcPr>
            <w:tcW w:w="2691" w:type="dxa"/>
          </w:tcPr>
          <w:p w14:paraId="5427066D"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9</w:t>
            </w:r>
            <w:r w:rsidRPr="001E4659">
              <w:rPr>
                <w:sz w:val="20"/>
                <w:szCs w:val="20"/>
                <w:rtl/>
              </w:rPr>
              <w:t xml:space="preserve"> أيلول/سبتمبر </w:t>
            </w:r>
            <w:r w:rsidRPr="00350F98">
              <w:rPr>
                <w:sz w:val="20"/>
                <w:szCs w:val="20"/>
                <w:rtl/>
              </w:rPr>
              <w:t>1952</w:t>
            </w:r>
          </w:p>
        </w:tc>
      </w:tr>
      <w:tr w:rsidR="001E4659" w:rsidRPr="001E4659" w14:paraId="7923F58E" w14:textId="77777777" w:rsidTr="001E4659">
        <w:trPr>
          <w:jc w:val="left"/>
        </w:trPr>
        <w:tc>
          <w:tcPr>
            <w:tcW w:w="5699" w:type="dxa"/>
          </w:tcPr>
          <w:p w14:paraId="26DE8696"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البروتوكول</w:t>
            </w:r>
            <w:r w:rsidRPr="001E4659">
              <w:rPr>
                <w:sz w:val="20"/>
                <w:szCs w:val="20"/>
                <w:rtl/>
              </w:rPr>
              <w:t xml:space="preserve"> الإضافي الملحق باتفاقيات جنيف المؤرخة </w:t>
            </w:r>
            <w:r w:rsidRPr="00350F98">
              <w:rPr>
                <w:sz w:val="20"/>
                <w:szCs w:val="20"/>
                <w:rtl/>
              </w:rPr>
              <w:t>12</w:t>
            </w:r>
            <w:r w:rsidRPr="001E4659">
              <w:rPr>
                <w:sz w:val="20"/>
                <w:szCs w:val="20"/>
                <w:rtl/>
              </w:rPr>
              <w:t xml:space="preserve"> آب/أغسطس </w:t>
            </w:r>
            <w:r w:rsidRPr="00350F98">
              <w:rPr>
                <w:sz w:val="20"/>
                <w:szCs w:val="20"/>
                <w:rtl/>
              </w:rPr>
              <w:t>1949</w:t>
            </w:r>
            <w:r w:rsidRPr="001E4659">
              <w:rPr>
                <w:sz w:val="20"/>
                <w:szCs w:val="20"/>
                <w:rtl/>
              </w:rPr>
              <w:t xml:space="preserve"> المتعلق بحماية ضحايا المنازعات المسلحة الدولية (البروتوكول الأول)، </w:t>
            </w:r>
            <w:r w:rsidRPr="00350F98">
              <w:rPr>
                <w:sz w:val="20"/>
                <w:szCs w:val="20"/>
                <w:rtl/>
              </w:rPr>
              <w:t>1977</w:t>
            </w:r>
          </w:p>
        </w:tc>
        <w:tc>
          <w:tcPr>
            <w:tcW w:w="2691" w:type="dxa"/>
          </w:tcPr>
          <w:p w14:paraId="41DDE842"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20</w:t>
            </w:r>
            <w:r w:rsidRPr="001E4659">
              <w:rPr>
                <w:sz w:val="20"/>
                <w:szCs w:val="20"/>
                <w:rtl/>
              </w:rPr>
              <w:t xml:space="preserve"> أيار/مايو </w:t>
            </w:r>
            <w:r w:rsidRPr="00350F98">
              <w:rPr>
                <w:sz w:val="20"/>
                <w:szCs w:val="20"/>
                <w:rtl/>
              </w:rPr>
              <w:t>1986</w:t>
            </w:r>
          </w:p>
        </w:tc>
      </w:tr>
      <w:tr w:rsidR="001E4659" w:rsidRPr="001E4659" w14:paraId="240284A1" w14:textId="77777777" w:rsidTr="001E4659">
        <w:trPr>
          <w:jc w:val="left"/>
        </w:trPr>
        <w:tc>
          <w:tcPr>
            <w:tcW w:w="5699" w:type="dxa"/>
          </w:tcPr>
          <w:p w14:paraId="739030A9"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البروتوكول</w:t>
            </w:r>
            <w:r w:rsidRPr="001E4659">
              <w:rPr>
                <w:sz w:val="20"/>
                <w:szCs w:val="20"/>
                <w:rtl/>
              </w:rPr>
              <w:t xml:space="preserve"> الإضافي الملحق باتفاقيات جنيف المؤرخة </w:t>
            </w:r>
            <w:r w:rsidRPr="00350F98">
              <w:rPr>
                <w:sz w:val="20"/>
                <w:szCs w:val="20"/>
                <w:rtl/>
              </w:rPr>
              <w:t>12</w:t>
            </w:r>
            <w:r w:rsidRPr="001E4659">
              <w:rPr>
                <w:sz w:val="20"/>
                <w:szCs w:val="20"/>
                <w:rtl/>
              </w:rPr>
              <w:t xml:space="preserve"> آب/أغسطس </w:t>
            </w:r>
            <w:r w:rsidRPr="00350F98">
              <w:rPr>
                <w:sz w:val="20"/>
                <w:szCs w:val="20"/>
                <w:rtl/>
              </w:rPr>
              <w:t>1949</w:t>
            </w:r>
            <w:r w:rsidRPr="001E4659">
              <w:rPr>
                <w:sz w:val="20"/>
                <w:szCs w:val="20"/>
                <w:rtl/>
              </w:rPr>
              <w:t xml:space="preserve"> المتعلق بحماية ضحايا المنازعات المسلحة غير الدولية (البروتوكول الثاني)، </w:t>
            </w:r>
            <w:r w:rsidRPr="00350F98">
              <w:rPr>
                <w:sz w:val="20"/>
                <w:szCs w:val="20"/>
                <w:rtl/>
              </w:rPr>
              <w:t>1977</w:t>
            </w:r>
          </w:p>
        </w:tc>
        <w:tc>
          <w:tcPr>
            <w:tcW w:w="2691" w:type="dxa"/>
          </w:tcPr>
          <w:p w14:paraId="7DA7A8C5" w14:textId="5A82FEF1"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20</w:t>
            </w:r>
            <w:r w:rsidRPr="001E4659">
              <w:rPr>
                <w:sz w:val="20"/>
                <w:szCs w:val="20"/>
                <w:rtl/>
              </w:rPr>
              <w:t xml:space="preserve"> أيار/مايو </w:t>
            </w:r>
            <w:r w:rsidRPr="00350F98">
              <w:rPr>
                <w:sz w:val="20"/>
                <w:szCs w:val="20"/>
                <w:rtl/>
              </w:rPr>
              <w:t>1986</w:t>
            </w:r>
          </w:p>
        </w:tc>
      </w:tr>
      <w:tr w:rsidR="001E4659" w:rsidRPr="001E4659" w14:paraId="0724605E" w14:textId="77777777" w:rsidTr="001E4659">
        <w:trPr>
          <w:cnfStyle w:val="010000000000" w:firstRow="0" w:lastRow="1" w:firstColumn="0" w:lastColumn="0" w:oddVBand="0" w:evenVBand="0" w:oddHBand="0" w:evenHBand="0" w:firstRowFirstColumn="0" w:firstRowLastColumn="0" w:lastRowFirstColumn="0" w:lastRowLastColumn="0"/>
          <w:jc w:val="left"/>
        </w:trPr>
        <w:tc>
          <w:tcPr>
            <w:tcW w:w="5699" w:type="dxa"/>
          </w:tcPr>
          <w:p w14:paraId="7B39FCB6" w14:textId="77777777" w:rsidR="001E4659" w:rsidRPr="001E4659" w:rsidRDefault="001E4659" w:rsidP="00E64BF7">
            <w:pPr>
              <w:pStyle w:val="SingleTxtGA"/>
              <w:tabs>
                <w:tab w:val="clear" w:pos="1928"/>
                <w:tab w:val="clear" w:pos="2608"/>
                <w:tab w:val="clear" w:pos="3289"/>
                <w:tab w:val="clear" w:pos="3969"/>
                <w:tab w:val="clear" w:pos="4649"/>
                <w:tab w:val="clear" w:pos="5330"/>
              </w:tabs>
              <w:spacing w:before="40" w:after="40" w:line="280" w:lineRule="exact"/>
              <w:ind w:left="57" w:right="227"/>
              <w:rPr>
                <w:sz w:val="20"/>
                <w:szCs w:val="20"/>
                <w:rtl/>
              </w:rPr>
            </w:pPr>
            <w:r w:rsidRPr="001E4659">
              <w:rPr>
                <w:rFonts w:hint="cs"/>
                <w:sz w:val="20"/>
                <w:szCs w:val="20"/>
                <w:rtl/>
              </w:rPr>
              <w:t>اتفاقية</w:t>
            </w:r>
            <w:r w:rsidRPr="001E4659">
              <w:rPr>
                <w:sz w:val="20"/>
                <w:szCs w:val="20"/>
                <w:rtl/>
              </w:rPr>
              <w:t xml:space="preserve"> أوتاوا المتعلقة بحظر استعمال وتكديس وإنتاج ونقل الألغام المضادة للأفراد وتدمير تلك الألغام، </w:t>
            </w:r>
            <w:r w:rsidRPr="00350F98">
              <w:rPr>
                <w:sz w:val="20"/>
                <w:szCs w:val="20"/>
                <w:rtl/>
              </w:rPr>
              <w:t>1987</w:t>
            </w:r>
          </w:p>
        </w:tc>
        <w:tc>
          <w:tcPr>
            <w:tcW w:w="2691" w:type="dxa"/>
          </w:tcPr>
          <w:p w14:paraId="7AA0D550" w14:textId="77777777" w:rsidR="001E4659" w:rsidRPr="001E4659" w:rsidRDefault="001E4659" w:rsidP="001E4659">
            <w:pPr>
              <w:pStyle w:val="SingleTxtGA"/>
              <w:tabs>
                <w:tab w:val="clear" w:pos="1928"/>
                <w:tab w:val="clear" w:pos="2608"/>
                <w:tab w:val="clear" w:pos="3289"/>
                <w:tab w:val="clear" w:pos="3969"/>
                <w:tab w:val="clear" w:pos="4649"/>
                <w:tab w:val="clear" w:pos="5330"/>
              </w:tabs>
              <w:spacing w:before="40" w:after="40" w:line="280" w:lineRule="exact"/>
              <w:ind w:left="113" w:right="113"/>
              <w:rPr>
                <w:sz w:val="20"/>
                <w:szCs w:val="20"/>
                <w:rtl/>
              </w:rPr>
            </w:pPr>
            <w:r w:rsidRPr="00350F98">
              <w:rPr>
                <w:sz w:val="20"/>
                <w:szCs w:val="20"/>
                <w:rtl/>
              </w:rPr>
              <w:t>4</w:t>
            </w:r>
            <w:r w:rsidRPr="001E4659">
              <w:rPr>
                <w:sz w:val="20"/>
                <w:szCs w:val="20"/>
                <w:rtl/>
              </w:rPr>
              <w:t xml:space="preserve"> أيلول/سبتمبر </w:t>
            </w:r>
            <w:r w:rsidRPr="00350F98">
              <w:rPr>
                <w:sz w:val="20"/>
                <w:szCs w:val="20"/>
                <w:rtl/>
              </w:rPr>
              <w:t>1998</w:t>
            </w:r>
          </w:p>
        </w:tc>
      </w:tr>
    </w:tbl>
    <w:p w14:paraId="6CA0186A" w14:textId="77777777" w:rsidR="00D424DC" w:rsidRPr="00350F98" w:rsidRDefault="00D424DC" w:rsidP="00905B80">
      <w:pPr>
        <w:pStyle w:val="H23GA"/>
        <w:rPr>
          <w:rtl/>
          <w:lang w:bidi="ar-EG"/>
        </w:rPr>
      </w:pPr>
      <w:r w:rsidRPr="00350F98">
        <w:rPr>
          <w:rtl/>
          <w:lang w:bidi="ar-EG"/>
        </w:rPr>
        <w:tab/>
        <w:t>7-</w:t>
      </w:r>
      <w:r w:rsidRPr="00350F98">
        <w:rPr>
          <w:rtl/>
          <w:lang w:bidi="ar-EG"/>
        </w:rPr>
        <w:tab/>
        <w:t>التصديق على الصكوك الإقليمية المتعلقة بحقوق الإنسان</w:t>
      </w:r>
    </w:p>
    <w:tbl>
      <w:tblPr>
        <w:tblStyle w:val="TABLEA"/>
        <w:bidiVisual/>
        <w:tblW w:w="8390" w:type="dxa"/>
        <w:jc w:val="left"/>
        <w:tblInd w:w="1247" w:type="dxa"/>
        <w:tblLook w:val="04E0" w:firstRow="1" w:lastRow="1" w:firstColumn="1" w:lastColumn="0" w:noHBand="0" w:noVBand="1"/>
      </w:tblPr>
      <w:tblGrid>
        <w:gridCol w:w="5701"/>
        <w:gridCol w:w="2689"/>
      </w:tblGrid>
      <w:tr w:rsidR="00905B80" w:rsidRPr="00350F98" w14:paraId="58B1455C" w14:textId="77777777" w:rsidTr="00905B80">
        <w:trPr>
          <w:cnfStyle w:val="100000000000" w:firstRow="1" w:lastRow="0" w:firstColumn="0" w:lastColumn="0" w:oddVBand="0" w:evenVBand="0" w:oddHBand="0" w:evenHBand="0" w:firstRowFirstColumn="0" w:firstRowLastColumn="0" w:lastRowFirstColumn="0" w:lastRowLastColumn="0"/>
          <w:tblHeader/>
          <w:jc w:val="left"/>
        </w:trPr>
        <w:tc>
          <w:tcPr>
            <w:tcW w:w="5701" w:type="dxa"/>
            <w:vAlign w:val="bottom"/>
          </w:tcPr>
          <w:p w14:paraId="53A6F70C"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i/>
                <w:iCs/>
                <w:sz w:val="20"/>
                <w:szCs w:val="20"/>
                <w:rtl/>
                <w:lang w:bidi="ar-EG"/>
              </w:rPr>
            </w:pPr>
            <w:r w:rsidRPr="00350F98">
              <w:rPr>
                <w:i/>
                <w:iCs/>
                <w:sz w:val="20"/>
                <w:szCs w:val="20"/>
                <w:rtl/>
                <w:lang w:bidi="ar-EG"/>
              </w:rPr>
              <w:t>اتفاقيات مجلس أوروبا</w:t>
            </w:r>
          </w:p>
        </w:tc>
        <w:tc>
          <w:tcPr>
            <w:tcW w:w="2689" w:type="dxa"/>
            <w:vAlign w:val="bottom"/>
          </w:tcPr>
          <w:p w14:paraId="47606937"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i/>
                <w:iCs/>
                <w:sz w:val="20"/>
                <w:szCs w:val="20"/>
                <w:rtl/>
                <w:lang w:bidi="ar-EG"/>
              </w:rPr>
            </w:pPr>
            <w:r w:rsidRPr="00350F98">
              <w:rPr>
                <w:i/>
                <w:iCs/>
                <w:sz w:val="20"/>
                <w:szCs w:val="20"/>
                <w:rtl/>
                <w:lang w:bidi="ar-EG"/>
              </w:rPr>
              <w:t>تاريخ التصديق أو الانضمام أو الخلافة</w:t>
            </w:r>
          </w:p>
        </w:tc>
      </w:tr>
      <w:tr w:rsidR="00905B80" w:rsidRPr="00905B80" w14:paraId="7A3932D0" w14:textId="77777777" w:rsidTr="00905B80">
        <w:trPr>
          <w:jc w:val="left"/>
        </w:trPr>
        <w:tc>
          <w:tcPr>
            <w:tcW w:w="5701" w:type="dxa"/>
          </w:tcPr>
          <w:p w14:paraId="23BEC738" w14:textId="0D000CA4"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pacing w:val="-4"/>
                <w:sz w:val="20"/>
                <w:szCs w:val="20"/>
                <w:rtl/>
                <w:lang w:bidi="ar-EG"/>
              </w:rPr>
            </w:pPr>
            <w:r w:rsidRPr="00905B80">
              <w:rPr>
                <w:rFonts w:hint="cs"/>
                <w:spacing w:val="-4"/>
                <w:sz w:val="20"/>
                <w:szCs w:val="20"/>
                <w:rtl/>
                <w:lang w:bidi="ar-EG"/>
              </w:rPr>
              <w:t>اتفاقية</w:t>
            </w:r>
            <w:r w:rsidRPr="00905B80">
              <w:rPr>
                <w:spacing w:val="-4"/>
                <w:sz w:val="20"/>
                <w:szCs w:val="20"/>
                <w:rtl/>
                <w:lang w:bidi="ar-EG"/>
              </w:rPr>
              <w:t xml:space="preserve"> حماية حقوق الإنسان والحريات الأساسية </w:t>
            </w:r>
            <w:r w:rsidRPr="00350F98">
              <w:rPr>
                <w:spacing w:val="-4"/>
                <w:sz w:val="20"/>
                <w:szCs w:val="20"/>
                <w:rtl/>
                <w:lang w:bidi="ar-EG"/>
              </w:rPr>
              <w:t>1950</w:t>
            </w:r>
            <w:r w:rsidRPr="00905B80">
              <w:rPr>
                <w:spacing w:val="-4"/>
                <w:sz w:val="20"/>
                <w:szCs w:val="20"/>
                <w:rtl/>
                <w:lang w:bidi="ar-EG"/>
              </w:rPr>
              <w:t xml:space="preserve">، وجميع بروتوكولاتها </w:t>
            </w:r>
            <w:proofErr w:type="gramStart"/>
            <w:r w:rsidRPr="00905B80">
              <w:rPr>
                <w:spacing w:val="-4"/>
                <w:sz w:val="20"/>
                <w:szCs w:val="20"/>
                <w:rtl/>
                <w:lang w:bidi="ar-EG"/>
              </w:rPr>
              <w:t>ال</w:t>
            </w:r>
            <w:r>
              <w:rPr>
                <w:rFonts w:hint="cs"/>
                <w:spacing w:val="-4"/>
                <w:sz w:val="20"/>
                <w:szCs w:val="20"/>
                <w:rtl/>
                <w:lang w:bidi="ar-EG"/>
              </w:rPr>
              <w:t>إ</w:t>
            </w:r>
            <w:r w:rsidRPr="00905B80">
              <w:rPr>
                <w:spacing w:val="-4"/>
                <w:sz w:val="20"/>
                <w:szCs w:val="20"/>
                <w:rtl/>
                <w:lang w:bidi="ar-EG"/>
              </w:rPr>
              <w:t>ضافية</w:t>
            </w:r>
            <w:r w:rsidRPr="00905B80">
              <w:rPr>
                <w:spacing w:val="-4"/>
                <w:sz w:val="20"/>
                <w:szCs w:val="20"/>
                <w:vertAlign w:val="superscript"/>
                <w:rtl/>
              </w:rPr>
              <w:t>(</w:t>
            </w:r>
            <w:proofErr w:type="gramEnd"/>
            <w:r w:rsidRPr="00350F98">
              <w:rPr>
                <w:rStyle w:val="FootnoteReference"/>
                <w:spacing w:val="-4"/>
                <w:sz w:val="20"/>
                <w:szCs w:val="20"/>
                <w:lang w:val="en-US"/>
              </w:rPr>
              <w:footnoteReference w:id="5"/>
            </w:r>
            <w:r w:rsidRPr="00905B80">
              <w:rPr>
                <w:spacing w:val="-4"/>
                <w:sz w:val="20"/>
                <w:szCs w:val="20"/>
                <w:vertAlign w:val="superscript"/>
                <w:rtl/>
              </w:rPr>
              <w:t>)</w:t>
            </w:r>
          </w:p>
        </w:tc>
        <w:tc>
          <w:tcPr>
            <w:tcW w:w="2689" w:type="dxa"/>
          </w:tcPr>
          <w:p w14:paraId="68ED7F4A"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14</w:t>
            </w:r>
            <w:r w:rsidRPr="00905B80">
              <w:rPr>
                <w:sz w:val="20"/>
                <w:szCs w:val="20"/>
                <w:rtl/>
                <w:lang w:bidi="ar-EG"/>
              </w:rPr>
              <w:t xml:space="preserve"> حزيران/</w:t>
            </w:r>
            <w:proofErr w:type="gramStart"/>
            <w:r w:rsidRPr="00905B80">
              <w:rPr>
                <w:sz w:val="20"/>
                <w:szCs w:val="20"/>
                <w:rtl/>
                <w:lang w:bidi="ar-EG"/>
              </w:rPr>
              <w:t>يونيه</w:t>
            </w:r>
            <w:proofErr w:type="gramEnd"/>
            <w:r w:rsidRPr="00905B80">
              <w:rPr>
                <w:sz w:val="20"/>
                <w:szCs w:val="20"/>
                <w:rtl/>
                <w:lang w:bidi="ar-EG"/>
              </w:rPr>
              <w:t xml:space="preserve"> </w:t>
            </w:r>
            <w:r w:rsidRPr="00350F98">
              <w:rPr>
                <w:sz w:val="20"/>
                <w:szCs w:val="20"/>
                <w:rtl/>
                <w:lang w:bidi="ar-EG"/>
              </w:rPr>
              <w:t>1955</w:t>
            </w:r>
          </w:p>
        </w:tc>
      </w:tr>
      <w:tr w:rsidR="00905B80" w:rsidRPr="00905B80" w14:paraId="16E70A4F" w14:textId="77777777" w:rsidTr="00905B80">
        <w:trPr>
          <w:jc w:val="left"/>
        </w:trPr>
        <w:tc>
          <w:tcPr>
            <w:tcW w:w="5701" w:type="dxa"/>
          </w:tcPr>
          <w:p w14:paraId="7F5F5C35"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البروتوكول</w:t>
            </w:r>
            <w:r w:rsidRPr="00905B80">
              <w:rPr>
                <w:sz w:val="20"/>
                <w:szCs w:val="20"/>
                <w:rtl/>
                <w:lang w:bidi="ar-EG"/>
              </w:rPr>
              <w:t xml:space="preserve"> الملحق باتفاقية حماية حقوق الإنسان والحريات الأساسية، </w:t>
            </w:r>
            <w:r w:rsidRPr="00350F98">
              <w:rPr>
                <w:sz w:val="20"/>
                <w:szCs w:val="20"/>
                <w:rtl/>
                <w:lang w:bidi="ar-EG"/>
              </w:rPr>
              <w:t>1952</w:t>
            </w:r>
          </w:p>
        </w:tc>
        <w:tc>
          <w:tcPr>
            <w:tcW w:w="2689" w:type="dxa"/>
          </w:tcPr>
          <w:p w14:paraId="086146D5"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14</w:t>
            </w:r>
            <w:r w:rsidRPr="00905B80">
              <w:rPr>
                <w:sz w:val="20"/>
                <w:szCs w:val="20"/>
                <w:rtl/>
                <w:lang w:bidi="ar-EG"/>
              </w:rPr>
              <w:t xml:space="preserve"> حزيران/</w:t>
            </w:r>
            <w:proofErr w:type="gramStart"/>
            <w:r w:rsidRPr="00905B80">
              <w:rPr>
                <w:sz w:val="20"/>
                <w:szCs w:val="20"/>
                <w:rtl/>
                <w:lang w:bidi="ar-EG"/>
              </w:rPr>
              <w:t>يونيه</w:t>
            </w:r>
            <w:proofErr w:type="gramEnd"/>
            <w:r w:rsidRPr="00905B80">
              <w:rPr>
                <w:sz w:val="20"/>
                <w:szCs w:val="20"/>
                <w:rtl/>
                <w:lang w:bidi="ar-EG"/>
              </w:rPr>
              <w:t xml:space="preserve"> </w:t>
            </w:r>
            <w:r w:rsidRPr="00350F98">
              <w:rPr>
                <w:sz w:val="20"/>
                <w:szCs w:val="20"/>
                <w:rtl/>
                <w:lang w:bidi="ar-EG"/>
              </w:rPr>
              <w:t>1955</w:t>
            </w:r>
          </w:p>
        </w:tc>
      </w:tr>
      <w:tr w:rsidR="00905B80" w:rsidRPr="00905B80" w14:paraId="3719ECFC" w14:textId="77777777" w:rsidTr="00905B80">
        <w:trPr>
          <w:jc w:val="left"/>
        </w:trPr>
        <w:tc>
          <w:tcPr>
            <w:tcW w:w="5701" w:type="dxa"/>
          </w:tcPr>
          <w:p w14:paraId="388343A1"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pacing w:val="-2"/>
                <w:sz w:val="20"/>
                <w:szCs w:val="20"/>
                <w:rtl/>
                <w:lang w:bidi="ar-EG"/>
              </w:rPr>
              <w:t>الميثاق</w:t>
            </w:r>
            <w:r w:rsidRPr="00905B80">
              <w:rPr>
                <w:spacing w:val="-2"/>
                <w:sz w:val="20"/>
                <w:szCs w:val="20"/>
                <w:rtl/>
                <w:lang w:bidi="ar-EG"/>
              </w:rPr>
              <w:t xml:space="preserve"> الاجتماعي الأوروبي، </w:t>
            </w:r>
            <w:r w:rsidRPr="00350F98">
              <w:rPr>
                <w:spacing w:val="-2"/>
                <w:sz w:val="20"/>
                <w:szCs w:val="20"/>
                <w:rtl/>
                <w:lang w:bidi="ar-EG"/>
              </w:rPr>
              <w:t>1961</w:t>
            </w:r>
            <w:r w:rsidRPr="00905B80">
              <w:rPr>
                <w:spacing w:val="-2"/>
                <w:sz w:val="20"/>
                <w:szCs w:val="20"/>
                <w:rtl/>
                <w:lang w:bidi="ar-EG"/>
              </w:rPr>
              <w:t xml:space="preserve"> (والبروتوكول الإضافي لعام </w:t>
            </w:r>
            <w:r w:rsidRPr="00350F98">
              <w:rPr>
                <w:spacing w:val="-2"/>
                <w:sz w:val="20"/>
                <w:szCs w:val="20"/>
                <w:rtl/>
                <w:lang w:bidi="ar-EG"/>
              </w:rPr>
              <w:t>1995</w:t>
            </w:r>
            <w:r w:rsidRPr="00905B80">
              <w:rPr>
                <w:spacing w:val="-2"/>
                <w:sz w:val="20"/>
                <w:szCs w:val="20"/>
                <w:rtl/>
                <w:lang w:bidi="ar-EG"/>
              </w:rPr>
              <w:t xml:space="preserve"> الذي يوفر نظاماً</w:t>
            </w:r>
            <w:r w:rsidRPr="00905B80">
              <w:rPr>
                <w:sz w:val="20"/>
                <w:szCs w:val="20"/>
                <w:rtl/>
                <w:lang w:bidi="ar-EG"/>
              </w:rPr>
              <w:t xml:space="preserve"> للشكاوى الجماعية</w:t>
            </w:r>
          </w:p>
        </w:tc>
        <w:tc>
          <w:tcPr>
            <w:tcW w:w="2689" w:type="dxa"/>
          </w:tcPr>
          <w:p w14:paraId="1EC6438B"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16</w:t>
            </w:r>
            <w:r w:rsidRPr="00905B80">
              <w:rPr>
                <w:sz w:val="20"/>
                <w:szCs w:val="20"/>
                <w:rtl/>
                <w:lang w:bidi="ar-EG"/>
              </w:rPr>
              <w:t xml:space="preserve"> تشرين الأول/أكتوبر </w:t>
            </w:r>
            <w:r w:rsidRPr="00350F98">
              <w:rPr>
                <w:sz w:val="20"/>
                <w:szCs w:val="20"/>
                <w:rtl/>
                <w:lang w:bidi="ar-EG"/>
              </w:rPr>
              <w:t>1990</w:t>
            </w:r>
          </w:p>
        </w:tc>
      </w:tr>
      <w:tr w:rsidR="00905B80" w:rsidRPr="00905B80" w14:paraId="7BDAB461" w14:textId="77777777" w:rsidTr="00905B80">
        <w:trPr>
          <w:jc w:val="left"/>
        </w:trPr>
        <w:tc>
          <w:tcPr>
            <w:tcW w:w="5701" w:type="dxa"/>
          </w:tcPr>
          <w:p w14:paraId="78A54FF1"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pacing w:val="-4"/>
                <w:sz w:val="20"/>
                <w:szCs w:val="20"/>
                <w:rtl/>
                <w:lang w:bidi="ar-EG"/>
              </w:rPr>
            </w:pPr>
            <w:r w:rsidRPr="00905B80">
              <w:rPr>
                <w:rFonts w:hint="cs"/>
                <w:spacing w:val="-4"/>
                <w:sz w:val="20"/>
                <w:szCs w:val="20"/>
                <w:rtl/>
                <w:lang w:bidi="ar-EG"/>
              </w:rPr>
              <w:t>الاتفاقية</w:t>
            </w:r>
            <w:r w:rsidRPr="00905B80">
              <w:rPr>
                <w:spacing w:val="-4"/>
                <w:sz w:val="20"/>
                <w:szCs w:val="20"/>
                <w:rtl/>
                <w:lang w:bidi="ar-EG"/>
              </w:rPr>
              <w:t xml:space="preserve"> الأوروبية لمنع التعذيب والمعاملة أو العقوبة القاسية أو اللاإنسانية أو المهينة، </w:t>
            </w:r>
            <w:r w:rsidRPr="00350F98">
              <w:rPr>
                <w:spacing w:val="-4"/>
                <w:sz w:val="20"/>
                <w:szCs w:val="20"/>
                <w:rtl/>
                <w:lang w:bidi="ar-EG"/>
              </w:rPr>
              <w:t>1987</w:t>
            </w:r>
          </w:p>
        </w:tc>
        <w:tc>
          <w:tcPr>
            <w:tcW w:w="2689" w:type="dxa"/>
          </w:tcPr>
          <w:p w14:paraId="78F8CCEE"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23</w:t>
            </w:r>
            <w:r w:rsidRPr="00905B80">
              <w:rPr>
                <w:sz w:val="20"/>
                <w:szCs w:val="20"/>
                <w:rtl/>
                <w:lang w:bidi="ar-EG"/>
              </w:rPr>
              <w:t xml:space="preserve"> تموز/يوليه </w:t>
            </w:r>
            <w:r w:rsidRPr="00350F98">
              <w:rPr>
                <w:sz w:val="20"/>
                <w:szCs w:val="20"/>
                <w:rtl/>
                <w:lang w:bidi="ar-EG"/>
              </w:rPr>
              <w:t>1991</w:t>
            </w:r>
          </w:p>
        </w:tc>
      </w:tr>
      <w:tr w:rsidR="00905B80" w:rsidRPr="00905B80" w14:paraId="2C52C535" w14:textId="77777777" w:rsidTr="00905B80">
        <w:trPr>
          <w:jc w:val="left"/>
        </w:trPr>
        <w:tc>
          <w:tcPr>
            <w:tcW w:w="5701" w:type="dxa"/>
          </w:tcPr>
          <w:p w14:paraId="1046D910"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اتفاقية</w:t>
            </w:r>
            <w:r w:rsidRPr="00905B80">
              <w:rPr>
                <w:sz w:val="20"/>
                <w:szCs w:val="20"/>
                <w:rtl/>
                <w:lang w:bidi="ar-EG"/>
              </w:rPr>
              <w:t xml:space="preserve"> حماية الأفراد فيما يتعلق بالمعالجة الآلية للبيانات الشخصية، </w:t>
            </w:r>
            <w:r w:rsidRPr="00350F98">
              <w:rPr>
                <w:sz w:val="20"/>
                <w:szCs w:val="20"/>
                <w:rtl/>
                <w:lang w:bidi="ar-EG"/>
              </w:rPr>
              <w:t>1981</w:t>
            </w:r>
          </w:p>
        </w:tc>
        <w:tc>
          <w:tcPr>
            <w:tcW w:w="2689" w:type="dxa"/>
          </w:tcPr>
          <w:p w14:paraId="0901FCFA"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28</w:t>
            </w:r>
            <w:r w:rsidRPr="00905B80">
              <w:rPr>
                <w:sz w:val="20"/>
                <w:szCs w:val="20"/>
                <w:rtl/>
                <w:lang w:bidi="ar-EG"/>
              </w:rPr>
              <w:t xml:space="preserve"> أيار/مايو </w:t>
            </w:r>
            <w:r w:rsidRPr="00350F98">
              <w:rPr>
                <w:sz w:val="20"/>
                <w:szCs w:val="20"/>
                <w:rtl/>
                <w:lang w:bidi="ar-EG"/>
              </w:rPr>
              <w:t>1993</w:t>
            </w:r>
          </w:p>
        </w:tc>
      </w:tr>
      <w:tr w:rsidR="00905B80" w:rsidRPr="00905B80" w14:paraId="332C8370" w14:textId="77777777" w:rsidTr="00905B80">
        <w:trPr>
          <w:jc w:val="left"/>
        </w:trPr>
        <w:tc>
          <w:tcPr>
            <w:tcW w:w="5701" w:type="dxa"/>
          </w:tcPr>
          <w:p w14:paraId="7E64598B"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pacing w:val="-4"/>
                <w:sz w:val="20"/>
                <w:szCs w:val="20"/>
                <w:rtl/>
                <w:lang w:bidi="ar-EG"/>
              </w:rPr>
            </w:pPr>
            <w:r w:rsidRPr="00905B80">
              <w:rPr>
                <w:rFonts w:hint="cs"/>
                <w:spacing w:val="-4"/>
                <w:sz w:val="20"/>
                <w:szCs w:val="20"/>
                <w:rtl/>
                <w:lang w:bidi="ar-EG"/>
              </w:rPr>
              <w:t>الاتفاقية</w:t>
            </w:r>
            <w:r w:rsidRPr="00905B80">
              <w:rPr>
                <w:spacing w:val="-4"/>
                <w:sz w:val="20"/>
                <w:szCs w:val="20"/>
                <w:rtl/>
                <w:lang w:bidi="ar-EG"/>
              </w:rPr>
              <w:t xml:space="preserve"> الأوروبية المتعلقة بعدم تقادم الجرائم المرتكبة ضد الإنسانية وجرائم الحرب، </w:t>
            </w:r>
            <w:r w:rsidRPr="00350F98">
              <w:rPr>
                <w:spacing w:val="-4"/>
                <w:sz w:val="20"/>
                <w:szCs w:val="20"/>
                <w:rtl/>
                <w:lang w:bidi="ar-EG"/>
              </w:rPr>
              <w:t>1974</w:t>
            </w:r>
          </w:p>
        </w:tc>
        <w:tc>
          <w:tcPr>
            <w:tcW w:w="2689" w:type="dxa"/>
          </w:tcPr>
          <w:p w14:paraId="6ACC1AC9"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26</w:t>
            </w:r>
            <w:r w:rsidRPr="00905B80">
              <w:rPr>
                <w:sz w:val="20"/>
                <w:szCs w:val="20"/>
                <w:rtl/>
                <w:lang w:bidi="ar-EG"/>
              </w:rPr>
              <w:t xml:space="preserve"> آذار/مارس </w:t>
            </w:r>
            <w:r w:rsidRPr="00350F98">
              <w:rPr>
                <w:sz w:val="20"/>
                <w:szCs w:val="20"/>
                <w:rtl/>
                <w:lang w:bidi="ar-EG"/>
              </w:rPr>
              <w:t>2003</w:t>
            </w:r>
          </w:p>
        </w:tc>
      </w:tr>
      <w:tr w:rsidR="00905B80" w:rsidRPr="00905B80" w14:paraId="14E85E4C" w14:textId="77777777" w:rsidTr="00905B80">
        <w:trPr>
          <w:jc w:val="left"/>
        </w:trPr>
        <w:tc>
          <w:tcPr>
            <w:tcW w:w="5701" w:type="dxa"/>
          </w:tcPr>
          <w:p w14:paraId="4DBB2140"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الميثاق</w:t>
            </w:r>
            <w:r w:rsidRPr="00905B80">
              <w:rPr>
                <w:sz w:val="20"/>
                <w:szCs w:val="20"/>
                <w:rtl/>
                <w:lang w:bidi="ar-EG"/>
              </w:rPr>
              <w:t xml:space="preserve"> الاجتماعي الأوروبي (المنقح)، </w:t>
            </w:r>
            <w:r w:rsidRPr="00350F98">
              <w:rPr>
                <w:sz w:val="20"/>
                <w:szCs w:val="20"/>
                <w:rtl/>
                <w:lang w:bidi="ar-EG"/>
              </w:rPr>
              <w:t>1996</w:t>
            </w:r>
          </w:p>
        </w:tc>
        <w:tc>
          <w:tcPr>
            <w:tcW w:w="2689" w:type="dxa"/>
          </w:tcPr>
          <w:p w14:paraId="1EF76B9E"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w:t>
            </w:r>
            <w:r w:rsidRPr="00905B80">
              <w:rPr>
                <w:sz w:val="20"/>
                <w:szCs w:val="20"/>
                <w:rtl/>
                <w:lang w:bidi="ar-EG"/>
              </w:rPr>
              <w:t xml:space="preserve"> آذار/مارس </w:t>
            </w:r>
            <w:r w:rsidRPr="00350F98">
              <w:rPr>
                <w:sz w:val="20"/>
                <w:szCs w:val="20"/>
                <w:rtl/>
                <w:lang w:bidi="ar-EG"/>
              </w:rPr>
              <w:t>2004</w:t>
            </w:r>
          </w:p>
        </w:tc>
      </w:tr>
      <w:tr w:rsidR="00905B80" w:rsidRPr="00905B80" w14:paraId="1144AD4D" w14:textId="77777777" w:rsidTr="00905B80">
        <w:trPr>
          <w:jc w:val="left"/>
        </w:trPr>
        <w:tc>
          <w:tcPr>
            <w:tcW w:w="5701" w:type="dxa"/>
          </w:tcPr>
          <w:p w14:paraId="3176518B"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الاتفاقية</w:t>
            </w:r>
            <w:r w:rsidRPr="00905B80">
              <w:rPr>
                <w:sz w:val="20"/>
                <w:szCs w:val="20"/>
                <w:rtl/>
                <w:lang w:bidi="ar-EG"/>
              </w:rPr>
              <w:t xml:space="preserve"> الأوروبية المتعلقة بتعويض ضحايا جرائم العنف، </w:t>
            </w:r>
            <w:r w:rsidRPr="00350F98">
              <w:rPr>
                <w:sz w:val="20"/>
                <w:szCs w:val="20"/>
                <w:rtl/>
                <w:lang w:bidi="ar-EG"/>
              </w:rPr>
              <w:t>1983</w:t>
            </w:r>
          </w:p>
        </w:tc>
        <w:tc>
          <w:tcPr>
            <w:tcW w:w="2689" w:type="dxa"/>
          </w:tcPr>
          <w:p w14:paraId="2323035C"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23</w:t>
            </w:r>
            <w:r w:rsidRPr="00905B80">
              <w:rPr>
                <w:sz w:val="20"/>
                <w:szCs w:val="20"/>
                <w:rtl/>
                <w:lang w:bidi="ar-EG"/>
              </w:rPr>
              <w:t xml:space="preserve"> آذار/مارس </w:t>
            </w:r>
            <w:r w:rsidRPr="00350F98">
              <w:rPr>
                <w:sz w:val="20"/>
                <w:szCs w:val="20"/>
                <w:rtl/>
                <w:lang w:bidi="ar-EG"/>
              </w:rPr>
              <w:t>2004</w:t>
            </w:r>
          </w:p>
        </w:tc>
      </w:tr>
      <w:tr w:rsidR="00905B80" w:rsidRPr="00905B80" w14:paraId="4CB003D4" w14:textId="77777777" w:rsidTr="00905B80">
        <w:trPr>
          <w:jc w:val="left"/>
        </w:trPr>
        <w:tc>
          <w:tcPr>
            <w:tcW w:w="5701" w:type="dxa"/>
          </w:tcPr>
          <w:p w14:paraId="12B92463"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اتفاقية</w:t>
            </w:r>
            <w:r w:rsidRPr="00905B80">
              <w:rPr>
                <w:sz w:val="20"/>
                <w:szCs w:val="20"/>
                <w:rtl/>
                <w:lang w:bidi="ar-EG"/>
              </w:rPr>
              <w:t xml:space="preserve"> مجلس أوروبا المتعلقة بإجراءات مكافحة الاتجار بالبشر، </w:t>
            </w:r>
            <w:r w:rsidRPr="00350F98">
              <w:rPr>
                <w:sz w:val="20"/>
                <w:szCs w:val="20"/>
                <w:rtl/>
                <w:lang w:bidi="ar-EG"/>
              </w:rPr>
              <w:t>5</w:t>
            </w:r>
            <w:r w:rsidRPr="00905B80">
              <w:rPr>
                <w:sz w:val="20"/>
                <w:szCs w:val="20"/>
                <w:rtl/>
                <w:lang w:bidi="ar-EG"/>
              </w:rPr>
              <w:t xml:space="preserve"> </w:t>
            </w:r>
            <w:r w:rsidRPr="00350F98">
              <w:rPr>
                <w:sz w:val="20"/>
                <w:szCs w:val="20"/>
                <w:rtl/>
                <w:lang w:bidi="ar-EG"/>
              </w:rPr>
              <w:t>200</w:t>
            </w:r>
          </w:p>
        </w:tc>
        <w:tc>
          <w:tcPr>
            <w:tcW w:w="2689" w:type="dxa"/>
          </w:tcPr>
          <w:p w14:paraId="63B5B365"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27</w:t>
            </w:r>
            <w:r w:rsidRPr="00905B80">
              <w:rPr>
                <w:sz w:val="20"/>
                <w:szCs w:val="20"/>
                <w:rtl/>
                <w:lang w:bidi="ar-EG"/>
              </w:rPr>
              <w:t xml:space="preserve"> نيسان/أبريل </w:t>
            </w:r>
            <w:r w:rsidRPr="00350F98">
              <w:rPr>
                <w:sz w:val="20"/>
                <w:szCs w:val="20"/>
                <w:rtl/>
                <w:lang w:bidi="ar-EG"/>
              </w:rPr>
              <w:t>2009</w:t>
            </w:r>
          </w:p>
        </w:tc>
      </w:tr>
      <w:tr w:rsidR="00905B80" w:rsidRPr="00905B80" w14:paraId="2EA8CE12" w14:textId="77777777" w:rsidTr="00905B80">
        <w:trPr>
          <w:jc w:val="left"/>
        </w:trPr>
        <w:tc>
          <w:tcPr>
            <w:tcW w:w="5701" w:type="dxa"/>
          </w:tcPr>
          <w:p w14:paraId="178FC990" w14:textId="77777777" w:rsidR="00905B80" w:rsidRPr="00F92844"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pacing w:val="-6"/>
                <w:sz w:val="20"/>
                <w:szCs w:val="20"/>
                <w:rtl/>
                <w:lang w:bidi="ar-EG"/>
              </w:rPr>
            </w:pPr>
            <w:r w:rsidRPr="00F92844">
              <w:rPr>
                <w:rFonts w:hint="cs"/>
                <w:spacing w:val="-6"/>
                <w:sz w:val="20"/>
                <w:szCs w:val="20"/>
                <w:rtl/>
                <w:lang w:bidi="ar-EG"/>
              </w:rPr>
              <w:t>اتفاقية</w:t>
            </w:r>
            <w:r w:rsidRPr="00F92844">
              <w:rPr>
                <w:spacing w:val="-6"/>
                <w:sz w:val="20"/>
                <w:szCs w:val="20"/>
                <w:rtl/>
                <w:lang w:bidi="ar-EG"/>
              </w:rPr>
              <w:t xml:space="preserve"> مجلس أوروبا المتعلقة بحماية الأطفال من الاستغلال الجنسي والاعتداء الجنسي، </w:t>
            </w:r>
            <w:r w:rsidRPr="00350F98">
              <w:rPr>
                <w:spacing w:val="-6"/>
                <w:sz w:val="20"/>
                <w:szCs w:val="20"/>
                <w:rtl/>
                <w:lang w:bidi="ar-EG"/>
              </w:rPr>
              <w:t>2007</w:t>
            </w:r>
          </w:p>
        </w:tc>
        <w:tc>
          <w:tcPr>
            <w:tcW w:w="2689" w:type="dxa"/>
          </w:tcPr>
          <w:p w14:paraId="02346239"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8</w:t>
            </w:r>
            <w:r w:rsidRPr="00905B80">
              <w:rPr>
                <w:sz w:val="20"/>
                <w:szCs w:val="20"/>
                <w:rtl/>
                <w:lang w:bidi="ar-EG"/>
              </w:rPr>
              <w:t xml:space="preserve"> آذار/مارس </w:t>
            </w:r>
            <w:r w:rsidRPr="00350F98">
              <w:rPr>
                <w:sz w:val="20"/>
                <w:szCs w:val="20"/>
                <w:rtl/>
                <w:lang w:bidi="ar-EG"/>
              </w:rPr>
              <w:t>2013</w:t>
            </w:r>
          </w:p>
        </w:tc>
      </w:tr>
      <w:tr w:rsidR="00905B80" w:rsidRPr="00905B80" w14:paraId="514F5971" w14:textId="77777777" w:rsidTr="00905B80">
        <w:trPr>
          <w:cnfStyle w:val="010000000000" w:firstRow="0" w:lastRow="1" w:firstColumn="0" w:lastColumn="0" w:oddVBand="0" w:evenVBand="0" w:oddHBand="0" w:evenHBand="0" w:firstRowFirstColumn="0" w:firstRowLastColumn="0" w:lastRowFirstColumn="0" w:lastRowLastColumn="0"/>
          <w:jc w:val="left"/>
        </w:trPr>
        <w:tc>
          <w:tcPr>
            <w:tcW w:w="5701" w:type="dxa"/>
          </w:tcPr>
          <w:p w14:paraId="1CF64636" w14:textId="77777777" w:rsidR="00905B80" w:rsidRPr="00905B80" w:rsidRDefault="00905B80" w:rsidP="00E64BF7">
            <w:pPr>
              <w:pStyle w:val="SingleTxtGA"/>
              <w:tabs>
                <w:tab w:val="clear" w:pos="1928"/>
                <w:tab w:val="clear" w:pos="2608"/>
                <w:tab w:val="clear" w:pos="3289"/>
                <w:tab w:val="clear" w:pos="3969"/>
                <w:tab w:val="clear" w:pos="4649"/>
                <w:tab w:val="clear" w:pos="5330"/>
              </w:tabs>
              <w:spacing w:before="40" w:after="40" w:line="270" w:lineRule="exact"/>
              <w:ind w:left="57" w:right="227"/>
              <w:rPr>
                <w:sz w:val="20"/>
                <w:szCs w:val="20"/>
                <w:rtl/>
                <w:lang w:bidi="ar-EG"/>
              </w:rPr>
            </w:pPr>
            <w:r w:rsidRPr="00905B80">
              <w:rPr>
                <w:rFonts w:hint="cs"/>
                <w:sz w:val="20"/>
                <w:szCs w:val="20"/>
                <w:rtl/>
                <w:lang w:bidi="ar-EG"/>
              </w:rPr>
              <w:t>اتفاقية</w:t>
            </w:r>
            <w:r w:rsidRPr="00905B80">
              <w:rPr>
                <w:sz w:val="20"/>
                <w:szCs w:val="20"/>
                <w:rtl/>
                <w:lang w:bidi="ar-EG"/>
              </w:rPr>
              <w:t xml:space="preserve"> مجلس أوروبا للوقاية من العنف ضد النساء والعنف المنزلي ومكافحتهما ("اتفاقية إسطنبول")، </w:t>
            </w:r>
            <w:r w:rsidRPr="00350F98">
              <w:rPr>
                <w:sz w:val="20"/>
                <w:szCs w:val="20"/>
                <w:rtl/>
                <w:lang w:bidi="ar-EG"/>
              </w:rPr>
              <w:t>2014</w:t>
            </w:r>
          </w:p>
        </w:tc>
        <w:tc>
          <w:tcPr>
            <w:tcW w:w="2689" w:type="dxa"/>
          </w:tcPr>
          <w:p w14:paraId="2EF03C8A" w14:textId="77777777" w:rsidR="00905B80" w:rsidRPr="00905B80" w:rsidRDefault="00905B80" w:rsidP="00905B80">
            <w:pPr>
              <w:pStyle w:val="SingleTxtGA"/>
              <w:tabs>
                <w:tab w:val="clear" w:pos="1928"/>
                <w:tab w:val="clear" w:pos="2608"/>
                <w:tab w:val="clear" w:pos="3289"/>
                <w:tab w:val="clear" w:pos="3969"/>
                <w:tab w:val="clear" w:pos="4649"/>
                <w:tab w:val="clear" w:pos="5330"/>
              </w:tabs>
              <w:spacing w:before="40" w:after="40" w:line="270" w:lineRule="exact"/>
              <w:ind w:left="113" w:right="113"/>
              <w:rPr>
                <w:sz w:val="20"/>
                <w:szCs w:val="20"/>
                <w:rtl/>
                <w:lang w:bidi="ar-EG"/>
              </w:rPr>
            </w:pPr>
            <w:r w:rsidRPr="00350F98">
              <w:rPr>
                <w:sz w:val="20"/>
                <w:szCs w:val="20"/>
                <w:rtl/>
                <w:lang w:bidi="ar-EG"/>
              </w:rPr>
              <w:t>1</w:t>
            </w:r>
            <w:r w:rsidRPr="00905B80">
              <w:rPr>
                <w:sz w:val="20"/>
                <w:szCs w:val="20"/>
                <w:rtl/>
                <w:lang w:bidi="ar-EG"/>
              </w:rPr>
              <w:t xml:space="preserve"> آذار/مارس </w:t>
            </w:r>
            <w:r w:rsidRPr="00350F98">
              <w:rPr>
                <w:sz w:val="20"/>
                <w:szCs w:val="20"/>
                <w:rtl/>
                <w:lang w:bidi="ar-EG"/>
              </w:rPr>
              <w:t>2016</w:t>
            </w:r>
          </w:p>
        </w:tc>
      </w:tr>
    </w:tbl>
    <w:p w14:paraId="21FE43C7" w14:textId="77777777" w:rsidR="00D424DC" w:rsidRPr="00350F98" w:rsidRDefault="00D424DC" w:rsidP="007501E7">
      <w:pPr>
        <w:pStyle w:val="H1GA"/>
        <w:rPr>
          <w:rtl/>
          <w:lang w:bidi="ar-EG"/>
        </w:rPr>
      </w:pPr>
      <w:r w:rsidRPr="00350F98">
        <w:rPr>
          <w:rtl/>
          <w:lang w:bidi="ar-EG"/>
        </w:rPr>
        <w:tab/>
      </w:r>
      <w:bookmarkStart w:id="24" w:name="_Toc73715643"/>
      <w:r w:rsidRPr="00350F98">
        <w:rPr>
          <w:rtl/>
          <w:lang w:bidi="ar-EG"/>
        </w:rPr>
        <w:t>باء-</w:t>
      </w:r>
      <w:r w:rsidRPr="00350F98">
        <w:rPr>
          <w:rtl/>
          <w:lang w:bidi="ar-EG"/>
        </w:rPr>
        <w:tab/>
        <w:t>الإطار القانوني لحماية حقوق الإنسان على الصعيد الوطني</w:t>
      </w:r>
      <w:bookmarkEnd w:id="24"/>
    </w:p>
    <w:p w14:paraId="327ADEDE" w14:textId="50D2B69D" w:rsidR="00D424DC" w:rsidRPr="00350F98" w:rsidRDefault="00D424DC" w:rsidP="007501E7">
      <w:pPr>
        <w:pStyle w:val="H23GA"/>
        <w:rPr>
          <w:rtl/>
          <w:lang w:bidi="ar-EG"/>
        </w:rPr>
      </w:pPr>
      <w:r w:rsidRPr="00350F98">
        <w:rPr>
          <w:rtl/>
          <w:lang w:bidi="ar-EG"/>
        </w:rPr>
        <w:tab/>
      </w:r>
      <w:r w:rsidR="007501E7" w:rsidRPr="00350F98">
        <w:rPr>
          <w:rFonts w:hint="cs"/>
          <w:rtl/>
          <w:lang w:bidi="ar-EG"/>
        </w:rPr>
        <w:t>1</w:t>
      </w:r>
      <w:r w:rsidRPr="00350F98">
        <w:rPr>
          <w:rtl/>
          <w:lang w:bidi="ar-EG"/>
        </w:rPr>
        <w:t>-</w:t>
      </w:r>
      <w:r w:rsidRPr="00350F98">
        <w:rPr>
          <w:rtl/>
          <w:lang w:bidi="ar-EG"/>
        </w:rPr>
        <w:tab/>
        <w:t>الأحكام الدستورية المتعلقة بحقوق الإنسان</w:t>
      </w:r>
    </w:p>
    <w:p w14:paraId="2EC4BF9E" w14:textId="77777777" w:rsidR="00D424DC" w:rsidRDefault="00D424DC" w:rsidP="00D424DC">
      <w:pPr>
        <w:pStyle w:val="SingleTxtGA"/>
        <w:rPr>
          <w:rtl/>
          <w:lang w:bidi="ar-EG"/>
        </w:rPr>
      </w:pPr>
      <w:r w:rsidRPr="00350F98">
        <w:rPr>
          <w:rtl/>
          <w:lang w:bidi="ar-EG"/>
        </w:rPr>
        <w:t>115</w:t>
      </w:r>
      <w:r>
        <w:rPr>
          <w:rtl/>
          <w:lang w:bidi="ar-EG"/>
        </w:rPr>
        <w:t>-</w:t>
      </w:r>
      <w:r w:rsidRPr="00F92844">
        <w:rPr>
          <w:spacing w:val="-2"/>
          <w:rtl/>
          <w:lang w:bidi="ar-EG"/>
        </w:rPr>
        <w:tab/>
        <w:t xml:space="preserve">يعترف الدستور البلجيكي في بابه الثاني "البلجيكيون وحقوقهم" (المواد من </w:t>
      </w:r>
      <w:r w:rsidRPr="00350F98">
        <w:rPr>
          <w:spacing w:val="-2"/>
          <w:rtl/>
          <w:lang w:bidi="ar-EG"/>
        </w:rPr>
        <w:t>8</w:t>
      </w:r>
      <w:r w:rsidRPr="00F92844">
        <w:rPr>
          <w:spacing w:val="-2"/>
          <w:rtl/>
          <w:lang w:bidi="ar-EG"/>
        </w:rPr>
        <w:t xml:space="preserve"> إلى </w:t>
      </w:r>
      <w:r w:rsidRPr="00350F98">
        <w:rPr>
          <w:spacing w:val="-2"/>
          <w:rtl/>
          <w:lang w:bidi="ar-EG"/>
        </w:rPr>
        <w:t>32</w:t>
      </w:r>
      <w:r w:rsidRPr="00F92844">
        <w:rPr>
          <w:spacing w:val="-2"/>
          <w:rtl/>
          <w:lang w:bidi="ar-EG"/>
        </w:rPr>
        <w:t>) بعدد كبير</w:t>
      </w:r>
      <w:r>
        <w:rPr>
          <w:rtl/>
          <w:lang w:bidi="ar-EG"/>
        </w:rPr>
        <w:t xml:space="preserve"> من الحقوق الأساسية، المدنية والسياسية والاقتصادية والاجتماعية والثقافية.</w:t>
      </w:r>
    </w:p>
    <w:p w14:paraId="4CF7E97D" w14:textId="77777777" w:rsidR="00D424DC" w:rsidRDefault="00D424DC" w:rsidP="00D424DC">
      <w:pPr>
        <w:pStyle w:val="SingleTxtGA"/>
        <w:rPr>
          <w:rtl/>
          <w:lang w:bidi="ar-EG"/>
        </w:rPr>
      </w:pPr>
      <w:r w:rsidRPr="00350F98">
        <w:rPr>
          <w:rtl/>
          <w:lang w:bidi="ar-EG"/>
        </w:rPr>
        <w:t>116</w:t>
      </w:r>
      <w:r>
        <w:rPr>
          <w:rtl/>
          <w:lang w:bidi="ar-EG"/>
        </w:rPr>
        <w:t>-</w:t>
      </w:r>
      <w:r>
        <w:rPr>
          <w:rtl/>
          <w:lang w:bidi="ar-EG"/>
        </w:rPr>
        <w:tab/>
        <w:t>وتتعلق الحقوق التي يكفلها الدستور أساساً بما يلي:</w:t>
      </w:r>
    </w:p>
    <w:p w14:paraId="5DC53920" w14:textId="3EB496C7" w:rsidR="00D424DC" w:rsidRDefault="00D424DC" w:rsidP="007501E7">
      <w:pPr>
        <w:pStyle w:val="Bullet1GA"/>
        <w:rPr>
          <w:rtl/>
          <w:lang w:bidi="ar-EG"/>
        </w:rPr>
      </w:pPr>
      <w:r>
        <w:rPr>
          <w:rtl/>
          <w:lang w:bidi="ar-EG"/>
        </w:rPr>
        <w:t xml:space="preserve">المساواة أمام القانون (المادة </w:t>
      </w:r>
      <w:r w:rsidRPr="00350F98">
        <w:rPr>
          <w:rtl/>
          <w:lang w:bidi="ar-EG"/>
        </w:rPr>
        <w:t>10</w:t>
      </w:r>
      <w:r>
        <w:rPr>
          <w:rtl/>
          <w:lang w:bidi="ar-EG"/>
        </w:rPr>
        <w:t xml:space="preserve">) والتمتع بالحقوق والحريات المعترف بها دونما تمييز (المادة </w:t>
      </w:r>
      <w:r w:rsidRPr="00350F98">
        <w:rPr>
          <w:rtl/>
          <w:lang w:bidi="ar-EG"/>
        </w:rPr>
        <w:t>11</w:t>
      </w:r>
      <w:r>
        <w:rPr>
          <w:rtl/>
          <w:lang w:bidi="ar-EG"/>
        </w:rPr>
        <w:t>)؛</w:t>
      </w:r>
    </w:p>
    <w:p w14:paraId="722D5CDC" w14:textId="418AA6A8" w:rsidR="00D424DC" w:rsidRDefault="00D424DC" w:rsidP="007501E7">
      <w:pPr>
        <w:pStyle w:val="Bullet1GA"/>
        <w:rPr>
          <w:rtl/>
          <w:lang w:bidi="ar-EG"/>
        </w:rPr>
      </w:pPr>
      <w:r>
        <w:rPr>
          <w:rtl/>
          <w:lang w:bidi="ar-EG"/>
        </w:rPr>
        <w:t xml:space="preserve">المساواة بين الرجل والمرأة بما في ذلك بتشجيع تكافؤ الفرص في الولايات الانتخابية والمناصب العامة (المادة </w:t>
      </w:r>
      <w:r w:rsidRPr="00350F98">
        <w:rPr>
          <w:rtl/>
          <w:lang w:bidi="ar-EG"/>
        </w:rPr>
        <w:t>11</w:t>
      </w:r>
      <w:r>
        <w:rPr>
          <w:rtl/>
          <w:lang w:bidi="ar-EG"/>
        </w:rPr>
        <w:t xml:space="preserve"> مكرراً)؛</w:t>
      </w:r>
    </w:p>
    <w:p w14:paraId="515054C3" w14:textId="0A711020" w:rsidR="00D424DC" w:rsidRDefault="00D424DC" w:rsidP="007501E7">
      <w:pPr>
        <w:pStyle w:val="Bullet1GA"/>
        <w:rPr>
          <w:rtl/>
          <w:lang w:bidi="ar-EG"/>
        </w:rPr>
      </w:pPr>
      <w:r>
        <w:rPr>
          <w:rtl/>
          <w:lang w:bidi="ar-EG"/>
        </w:rPr>
        <w:t xml:space="preserve">الحرية الفردية (المادة </w:t>
      </w:r>
      <w:r w:rsidR="007501E7" w:rsidRPr="00350F98">
        <w:rPr>
          <w:rFonts w:hint="cs"/>
          <w:rtl/>
          <w:lang w:bidi="ar-EG"/>
        </w:rPr>
        <w:t>12</w:t>
      </w:r>
      <w:r>
        <w:rPr>
          <w:rtl/>
          <w:lang w:bidi="ar-EG"/>
        </w:rPr>
        <w:t>)؛</w:t>
      </w:r>
    </w:p>
    <w:p w14:paraId="11D0ABF6" w14:textId="45AEB05E" w:rsidR="00D424DC" w:rsidRDefault="00D424DC" w:rsidP="007501E7">
      <w:pPr>
        <w:pStyle w:val="Bullet1GA"/>
        <w:rPr>
          <w:rtl/>
          <w:lang w:bidi="ar-EG"/>
        </w:rPr>
      </w:pPr>
      <w:r>
        <w:rPr>
          <w:rtl/>
          <w:lang w:bidi="ar-EG"/>
        </w:rPr>
        <w:lastRenderedPageBreak/>
        <w:t xml:space="preserve">الحق في المثول أمام القاضي المعين بموجب القانون (المادة </w:t>
      </w:r>
      <w:r w:rsidR="00F92BBC" w:rsidRPr="00350F98">
        <w:rPr>
          <w:rtl/>
          <w:lang w:bidi="ar-EG"/>
        </w:rPr>
        <w:t>13</w:t>
      </w:r>
      <w:r>
        <w:rPr>
          <w:rtl/>
          <w:lang w:bidi="ar-EG"/>
        </w:rPr>
        <w:t>)؛</w:t>
      </w:r>
    </w:p>
    <w:p w14:paraId="0D61BE28" w14:textId="3ADE6DEC" w:rsidR="00D424DC" w:rsidRDefault="00D424DC" w:rsidP="007501E7">
      <w:pPr>
        <w:pStyle w:val="Bullet1GA"/>
        <w:rPr>
          <w:rtl/>
          <w:lang w:bidi="ar-EG"/>
        </w:rPr>
      </w:pPr>
      <w:r>
        <w:rPr>
          <w:rtl/>
          <w:lang w:bidi="ar-EG"/>
        </w:rPr>
        <w:t xml:space="preserve">شرعية العقوبات (المادة </w:t>
      </w:r>
      <w:r w:rsidR="007501E7" w:rsidRPr="00350F98">
        <w:rPr>
          <w:rFonts w:hint="cs"/>
          <w:rtl/>
          <w:lang w:bidi="ar-EG"/>
        </w:rPr>
        <w:t>14</w:t>
      </w:r>
      <w:r>
        <w:rPr>
          <w:rtl/>
          <w:lang w:bidi="ar-EG"/>
        </w:rPr>
        <w:t>)؛</w:t>
      </w:r>
    </w:p>
    <w:p w14:paraId="79C8CA70" w14:textId="022BD945" w:rsidR="00D424DC" w:rsidRDefault="00D424DC" w:rsidP="007501E7">
      <w:pPr>
        <w:pStyle w:val="Bullet1GA"/>
        <w:rPr>
          <w:rtl/>
          <w:lang w:bidi="ar-EG"/>
        </w:rPr>
      </w:pPr>
      <w:r>
        <w:rPr>
          <w:rtl/>
          <w:lang w:bidi="ar-EG"/>
        </w:rPr>
        <w:t xml:space="preserve">إلغاء عقوبة الإعدام (المادة </w:t>
      </w:r>
      <w:r w:rsidR="007501E7" w:rsidRPr="00350F98">
        <w:rPr>
          <w:rtl/>
          <w:lang w:bidi="ar-EG"/>
        </w:rPr>
        <w:t>14</w:t>
      </w:r>
      <w:r w:rsidR="007501E7">
        <w:rPr>
          <w:rtl/>
          <w:lang w:bidi="ar-EG"/>
        </w:rPr>
        <w:t xml:space="preserve"> </w:t>
      </w:r>
      <w:r>
        <w:rPr>
          <w:rtl/>
          <w:lang w:bidi="ar-EG"/>
        </w:rPr>
        <w:t>مكرراً)؛</w:t>
      </w:r>
    </w:p>
    <w:p w14:paraId="270B1696" w14:textId="673ADA12" w:rsidR="00D424DC" w:rsidRDefault="00D424DC" w:rsidP="007501E7">
      <w:pPr>
        <w:pStyle w:val="Bullet1GA"/>
        <w:rPr>
          <w:rtl/>
          <w:lang w:bidi="ar-EG"/>
        </w:rPr>
      </w:pPr>
      <w:r>
        <w:rPr>
          <w:rtl/>
          <w:lang w:bidi="ar-EG"/>
        </w:rPr>
        <w:t xml:space="preserve">حرمة المسكن (المادة </w:t>
      </w:r>
      <w:r w:rsidR="007501E7" w:rsidRPr="00350F98">
        <w:rPr>
          <w:rtl/>
          <w:lang w:bidi="ar-EG"/>
        </w:rPr>
        <w:t>15</w:t>
      </w:r>
      <w:r>
        <w:rPr>
          <w:rtl/>
          <w:lang w:bidi="ar-EG"/>
        </w:rPr>
        <w:t>)؛</w:t>
      </w:r>
    </w:p>
    <w:p w14:paraId="6F6E418B" w14:textId="57CCD29C" w:rsidR="00D424DC" w:rsidRDefault="00D424DC" w:rsidP="007501E7">
      <w:pPr>
        <w:pStyle w:val="Bullet1GA"/>
        <w:rPr>
          <w:rtl/>
          <w:lang w:bidi="ar-EG"/>
        </w:rPr>
      </w:pPr>
      <w:r>
        <w:rPr>
          <w:rtl/>
          <w:lang w:bidi="ar-EG"/>
        </w:rPr>
        <w:t xml:space="preserve">الحق في احترام الممتلكات (المادة </w:t>
      </w:r>
      <w:r w:rsidR="007501E7" w:rsidRPr="00350F98">
        <w:rPr>
          <w:rtl/>
          <w:lang w:bidi="ar-EG"/>
        </w:rPr>
        <w:t>16</w:t>
      </w:r>
      <w:r>
        <w:rPr>
          <w:rtl/>
          <w:lang w:bidi="ar-EG"/>
        </w:rPr>
        <w:t>)؛</w:t>
      </w:r>
    </w:p>
    <w:p w14:paraId="73D57584" w14:textId="67B894FE" w:rsidR="00D424DC" w:rsidRDefault="00D424DC" w:rsidP="007501E7">
      <w:pPr>
        <w:pStyle w:val="Bullet1GA"/>
        <w:rPr>
          <w:rtl/>
          <w:lang w:bidi="ar-EG"/>
        </w:rPr>
      </w:pPr>
      <w:r>
        <w:rPr>
          <w:rtl/>
          <w:lang w:bidi="ar-EG"/>
        </w:rPr>
        <w:t xml:space="preserve">حرية الفكر أو الوجدان أو الدين وحرية التعبير (المادة </w:t>
      </w:r>
      <w:r w:rsidR="007501E7" w:rsidRPr="00350F98">
        <w:rPr>
          <w:rtl/>
          <w:lang w:bidi="ar-EG"/>
        </w:rPr>
        <w:t>19</w:t>
      </w:r>
      <w:r>
        <w:rPr>
          <w:rtl/>
          <w:lang w:bidi="ar-EG"/>
        </w:rPr>
        <w:t xml:space="preserve"> و</w:t>
      </w:r>
      <w:r w:rsidR="007501E7" w:rsidRPr="00350F98">
        <w:rPr>
          <w:rtl/>
          <w:lang w:bidi="ar-EG"/>
        </w:rPr>
        <w:t>20</w:t>
      </w:r>
      <w:r>
        <w:rPr>
          <w:rtl/>
          <w:lang w:bidi="ar-EG"/>
        </w:rPr>
        <w:t>)؛</w:t>
      </w:r>
    </w:p>
    <w:p w14:paraId="5F0A4B40" w14:textId="2F38CAD0" w:rsidR="00D424DC" w:rsidRDefault="00D424DC" w:rsidP="007501E7">
      <w:pPr>
        <w:pStyle w:val="Bullet1GA"/>
        <w:rPr>
          <w:rtl/>
          <w:lang w:bidi="ar-EG"/>
        </w:rPr>
      </w:pPr>
      <w:r>
        <w:rPr>
          <w:rtl/>
          <w:lang w:bidi="ar-EG"/>
        </w:rPr>
        <w:t xml:space="preserve">احترام المصلحة العليا للطفل (المادة </w:t>
      </w:r>
      <w:r w:rsidR="007501E7" w:rsidRPr="00350F98">
        <w:rPr>
          <w:rtl/>
          <w:lang w:bidi="ar-EG"/>
        </w:rPr>
        <w:t>22</w:t>
      </w:r>
      <w:r>
        <w:rPr>
          <w:rtl/>
          <w:lang w:bidi="ar-EG"/>
        </w:rPr>
        <w:t xml:space="preserve"> مكرراً)؛</w:t>
      </w:r>
    </w:p>
    <w:p w14:paraId="28F5D1A9" w14:textId="30C94EAD" w:rsidR="00D424DC" w:rsidRDefault="00D424DC" w:rsidP="007501E7">
      <w:pPr>
        <w:pStyle w:val="Bullet1GA"/>
        <w:rPr>
          <w:rtl/>
          <w:lang w:bidi="ar-EG"/>
        </w:rPr>
      </w:pPr>
      <w:r>
        <w:rPr>
          <w:rtl/>
          <w:lang w:bidi="ar-EG"/>
        </w:rPr>
        <w:t xml:space="preserve">الحق في حياة تكفل الكرامة البشرية، مما يعني ضمناً الحق في العمل وفي الضمان الاجتماعي وفي السكن اللائق وفي الحفاظ على بيئة سليمة وفي الازدهار الثقافي والاجتماعي (المادة </w:t>
      </w:r>
      <w:r w:rsidR="007501E7" w:rsidRPr="00350F98">
        <w:rPr>
          <w:rtl/>
          <w:lang w:bidi="ar-EG"/>
        </w:rPr>
        <w:t>23</w:t>
      </w:r>
      <w:r>
        <w:rPr>
          <w:rtl/>
          <w:lang w:bidi="ar-EG"/>
        </w:rPr>
        <w:t>)؛</w:t>
      </w:r>
    </w:p>
    <w:p w14:paraId="7978FA16" w14:textId="35DC16C5" w:rsidR="00D424DC" w:rsidRDefault="00D424DC" w:rsidP="007501E7">
      <w:pPr>
        <w:pStyle w:val="Bullet1GA"/>
        <w:rPr>
          <w:rtl/>
          <w:lang w:bidi="ar-EG"/>
        </w:rPr>
      </w:pPr>
      <w:r>
        <w:rPr>
          <w:rtl/>
          <w:lang w:bidi="ar-EG"/>
        </w:rPr>
        <w:t xml:space="preserve">حرية التعليم (المادة </w:t>
      </w:r>
      <w:r w:rsidR="007501E7" w:rsidRPr="00350F98">
        <w:rPr>
          <w:rtl/>
          <w:lang w:bidi="ar-EG"/>
        </w:rPr>
        <w:t>24</w:t>
      </w:r>
      <w:r>
        <w:rPr>
          <w:rtl/>
          <w:lang w:bidi="ar-EG"/>
        </w:rPr>
        <w:t>)؛</w:t>
      </w:r>
    </w:p>
    <w:p w14:paraId="311F18F3" w14:textId="576247D3" w:rsidR="00D424DC" w:rsidRDefault="00D424DC" w:rsidP="007501E7">
      <w:pPr>
        <w:pStyle w:val="Bullet1GA"/>
        <w:rPr>
          <w:rtl/>
          <w:lang w:bidi="ar-EG"/>
        </w:rPr>
      </w:pPr>
      <w:r>
        <w:rPr>
          <w:rtl/>
          <w:lang w:bidi="ar-EG"/>
        </w:rPr>
        <w:t xml:space="preserve">حرية الصحافة (المادة </w:t>
      </w:r>
      <w:r w:rsidR="00F92BBC" w:rsidRPr="00350F98">
        <w:rPr>
          <w:rtl/>
          <w:lang w:bidi="ar-EG"/>
        </w:rPr>
        <w:t>25</w:t>
      </w:r>
      <w:r>
        <w:rPr>
          <w:rtl/>
          <w:lang w:bidi="ar-EG"/>
        </w:rPr>
        <w:t>)؛</w:t>
      </w:r>
    </w:p>
    <w:p w14:paraId="110CFEF8" w14:textId="706A55B2" w:rsidR="00D424DC" w:rsidRDefault="00D424DC" w:rsidP="007501E7">
      <w:pPr>
        <w:pStyle w:val="Bullet1GA"/>
        <w:rPr>
          <w:rtl/>
          <w:lang w:bidi="ar-EG"/>
        </w:rPr>
      </w:pPr>
      <w:r>
        <w:rPr>
          <w:rtl/>
          <w:lang w:bidi="ar-EG"/>
        </w:rPr>
        <w:t xml:space="preserve">حق التجمع "سلمياً ودون حمل السلاح" (المادة </w:t>
      </w:r>
      <w:r w:rsidR="007501E7" w:rsidRPr="00350F98">
        <w:rPr>
          <w:rtl/>
          <w:lang w:bidi="ar-EG"/>
        </w:rPr>
        <w:t>26</w:t>
      </w:r>
      <w:r>
        <w:rPr>
          <w:rtl/>
          <w:lang w:bidi="ar-EG"/>
        </w:rPr>
        <w:t>)؛</w:t>
      </w:r>
    </w:p>
    <w:p w14:paraId="3A9E17A8" w14:textId="3A668B05" w:rsidR="00D424DC" w:rsidRDefault="00D424DC" w:rsidP="007501E7">
      <w:pPr>
        <w:pStyle w:val="Bullet1GA"/>
        <w:rPr>
          <w:rtl/>
          <w:lang w:bidi="ar-EG"/>
        </w:rPr>
      </w:pPr>
      <w:r>
        <w:rPr>
          <w:rtl/>
          <w:lang w:bidi="ar-EG"/>
        </w:rPr>
        <w:t xml:space="preserve">الحق في تكوين جمعيات (المادة </w:t>
      </w:r>
      <w:r w:rsidR="007501E7" w:rsidRPr="00350F98">
        <w:rPr>
          <w:rtl/>
          <w:lang w:bidi="ar-EG"/>
        </w:rPr>
        <w:t>27</w:t>
      </w:r>
      <w:r>
        <w:rPr>
          <w:rtl/>
          <w:lang w:bidi="ar-EG"/>
        </w:rPr>
        <w:t>)؛</w:t>
      </w:r>
    </w:p>
    <w:p w14:paraId="5DFE5E46" w14:textId="0AF01450" w:rsidR="00D424DC" w:rsidRDefault="00D424DC" w:rsidP="007501E7">
      <w:pPr>
        <w:pStyle w:val="Bullet1GA"/>
        <w:rPr>
          <w:rtl/>
          <w:lang w:bidi="ar-EG"/>
        </w:rPr>
      </w:pPr>
      <w:r>
        <w:rPr>
          <w:rtl/>
          <w:lang w:bidi="ar-EG"/>
        </w:rPr>
        <w:t xml:space="preserve">الحق في رفع العرائض أمام السلطات السياسية (المادة </w:t>
      </w:r>
      <w:r w:rsidR="007501E7" w:rsidRPr="00350F98">
        <w:rPr>
          <w:rtl/>
          <w:lang w:bidi="ar-EG"/>
        </w:rPr>
        <w:t>28</w:t>
      </w:r>
      <w:r>
        <w:rPr>
          <w:rtl/>
          <w:lang w:bidi="ar-EG"/>
        </w:rPr>
        <w:t>)؛</w:t>
      </w:r>
    </w:p>
    <w:p w14:paraId="02737FE5" w14:textId="3747FE34" w:rsidR="00D424DC" w:rsidRDefault="00D424DC" w:rsidP="007501E7">
      <w:pPr>
        <w:pStyle w:val="Bullet1GA"/>
        <w:rPr>
          <w:rtl/>
          <w:lang w:bidi="ar-EG"/>
        </w:rPr>
      </w:pPr>
      <w:r>
        <w:rPr>
          <w:rtl/>
          <w:lang w:bidi="ar-EG"/>
        </w:rPr>
        <w:t xml:space="preserve">سرية المراسلات (المادة </w:t>
      </w:r>
      <w:r w:rsidR="007501E7" w:rsidRPr="00350F98">
        <w:rPr>
          <w:rtl/>
          <w:lang w:bidi="ar-EG"/>
        </w:rPr>
        <w:t>29</w:t>
      </w:r>
      <w:r>
        <w:rPr>
          <w:rtl/>
          <w:lang w:bidi="ar-EG"/>
        </w:rPr>
        <w:t>)؛</w:t>
      </w:r>
    </w:p>
    <w:p w14:paraId="23FE2D37" w14:textId="5FEFF31F" w:rsidR="00D424DC" w:rsidRDefault="00D424DC" w:rsidP="007501E7">
      <w:pPr>
        <w:pStyle w:val="Bullet1GA"/>
        <w:rPr>
          <w:rtl/>
          <w:lang w:bidi="ar-EG"/>
        </w:rPr>
      </w:pPr>
      <w:r>
        <w:rPr>
          <w:rtl/>
          <w:lang w:bidi="ar-EG"/>
        </w:rPr>
        <w:t xml:space="preserve">حرية استخدام اللغات (المادة </w:t>
      </w:r>
      <w:r w:rsidR="007501E7" w:rsidRPr="00350F98">
        <w:rPr>
          <w:rtl/>
          <w:lang w:bidi="ar-EG"/>
        </w:rPr>
        <w:t>30</w:t>
      </w:r>
      <w:r>
        <w:rPr>
          <w:rtl/>
          <w:lang w:bidi="ar-EG"/>
        </w:rPr>
        <w:t>)؛</w:t>
      </w:r>
    </w:p>
    <w:p w14:paraId="69195339" w14:textId="134ECB20" w:rsidR="00D424DC" w:rsidRDefault="00D424DC" w:rsidP="007501E7">
      <w:pPr>
        <w:pStyle w:val="Bullet1GA"/>
        <w:rPr>
          <w:rtl/>
          <w:lang w:bidi="ar-EG"/>
        </w:rPr>
      </w:pPr>
      <w:r>
        <w:rPr>
          <w:rtl/>
          <w:lang w:bidi="ar-EG"/>
        </w:rPr>
        <w:t xml:space="preserve">المساواة في الحماية بين الأجانب والمواطنين (المادة </w:t>
      </w:r>
      <w:r w:rsidR="007501E7" w:rsidRPr="00350F98">
        <w:rPr>
          <w:rtl/>
          <w:lang w:bidi="ar-EG"/>
        </w:rPr>
        <w:t>191</w:t>
      </w:r>
      <w:r>
        <w:rPr>
          <w:rtl/>
          <w:lang w:bidi="ar-EG"/>
        </w:rPr>
        <w:t>).</w:t>
      </w:r>
    </w:p>
    <w:p w14:paraId="0B9AA40D" w14:textId="61740D56" w:rsidR="00D424DC" w:rsidRPr="00350F98" w:rsidRDefault="00D424DC" w:rsidP="00BC3DBA">
      <w:pPr>
        <w:pStyle w:val="H23GA"/>
        <w:rPr>
          <w:rtl/>
          <w:lang w:bidi="ar-EG"/>
        </w:rPr>
      </w:pPr>
      <w:r w:rsidRPr="00350F98">
        <w:rPr>
          <w:rtl/>
          <w:lang w:bidi="ar-EG"/>
        </w:rPr>
        <w:tab/>
      </w:r>
      <w:r w:rsidR="007501E7" w:rsidRPr="00350F98">
        <w:rPr>
          <w:rtl/>
          <w:lang w:bidi="ar-EG"/>
        </w:rPr>
        <w:t>2</w:t>
      </w:r>
      <w:r w:rsidRPr="00350F98">
        <w:rPr>
          <w:rtl/>
          <w:lang w:bidi="ar-EG"/>
        </w:rPr>
        <w:t>-</w:t>
      </w:r>
      <w:r w:rsidRPr="00350F98">
        <w:rPr>
          <w:rtl/>
          <w:lang w:bidi="ar-EG"/>
        </w:rPr>
        <w:tab/>
        <w:t>إدراج الصكوك الدولية المتعلقة بحقوق الإنسان في القانون الداخلي</w:t>
      </w:r>
    </w:p>
    <w:p w14:paraId="4694413E" w14:textId="77777777" w:rsidR="00D424DC" w:rsidRDefault="00D424DC" w:rsidP="00D424DC">
      <w:pPr>
        <w:pStyle w:val="SingleTxtGA"/>
        <w:rPr>
          <w:rtl/>
          <w:lang w:bidi="ar-EG"/>
        </w:rPr>
      </w:pPr>
      <w:r w:rsidRPr="00350F98">
        <w:rPr>
          <w:rtl/>
          <w:lang w:bidi="ar-EG"/>
        </w:rPr>
        <w:t>117</w:t>
      </w:r>
      <w:r>
        <w:rPr>
          <w:rtl/>
          <w:lang w:bidi="ar-EG"/>
        </w:rPr>
        <w:t>-</w:t>
      </w:r>
      <w:r>
        <w:rPr>
          <w:rtl/>
          <w:lang w:bidi="ar-EG"/>
        </w:rPr>
        <w:tab/>
        <w:t xml:space="preserve">يرتبط الأثر القانوني لقواعد معاهدة دولية أيضاً بالمرتبة المعترف بها لتلك القواعد في الهيكل الهرمي للنظام القضائي الداخلي في حال تعارضها مع القواعد الوطنية. وقد شهدت بلجيكا، خلال إجراءات </w:t>
      </w:r>
      <w:r w:rsidRPr="0030688B">
        <w:rPr>
          <w:spacing w:val="-4"/>
          <w:rtl/>
          <w:lang w:bidi="ar-EG"/>
        </w:rPr>
        <w:t>مراجعة الدستور، محاولات عديدة تهدف إلى تضمين القانون مبدأً عاماً يتعلق بمواءمة حجية أحكام المعاهدات</w:t>
      </w:r>
      <w:r>
        <w:rPr>
          <w:rtl/>
          <w:lang w:bidi="ar-EG"/>
        </w:rPr>
        <w:t xml:space="preserve"> مع حجية أحكام القانون الداخلي. غير أن هذه المحاولات لم يحالفها النجاح حتى اليوم. وقد جاء الحل في </w:t>
      </w:r>
      <w:r w:rsidRPr="0030688B">
        <w:rPr>
          <w:spacing w:val="-4"/>
          <w:rtl/>
          <w:lang w:bidi="ar-EG"/>
        </w:rPr>
        <w:t xml:space="preserve">قرار صادر عن محكمة النقض في </w:t>
      </w:r>
      <w:r w:rsidRPr="00350F98">
        <w:rPr>
          <w:spacing w:val="-4"/>
          <w:rtl/>
          <w:lang w:bidi="ar-EG"/>
        </w:rPr>
        <w:t>27</w:t>
      </w:r>
      <w:r w:rsidRPr="0030688B">
        <w:rPr>
          <w:spacing w:val="-4"/>
          <w:rtl/>
          <w:lang w:bidi="ar-EG"/>
        </w:rPr>
        <w:t xml:space="preserve"> أيار/مايو </w:t>
      </w:r>
      <w:r w:rsidRPr="00350F98">
        <w:rPr>
          <w:spacing w:val="-4"/>
          <w:rtl/>
          <w:lang w:bidi="ar-EG"/>
        </w:rPr>
        <w:t>1971</w:t>
      </w:r>
      <w:r w:rsidRPr="0030688B">
        <w:rPr>
          <w:spacing w:val="-4"/>
          <w:rtl/>
          <w:lang w:bidi="ar-EG"/>
        </w:rPr>
        <w:t xml:space="preserve"> في قضية شركة مصانع الجبن الفرنسية - السويسرية</w:t>
      </w:r>
      <w:r>
        <w:rPr>
          <w:rtl/>
          <w:lang w:bidi="ar-EG"/>
        </w:rPr>
        <w:t xml:space="preserve"> </w:t>
      </w:r>
      <w:r w:rsidRPr="0030688B">
        <w:rPr>
          <w:spacing w:val="-4"/>
          <w:rtl/>
          <w:lang w:bidi="ar-EG"/>
        </w:rPr>
        <w:t>"</w:t>
      </w:r>
      <w:r w:rsidRPr="0030688B">
        <w:rPr>
          <w:spacing w:val="-4"/>
          <w:lang w:bidi="ar-EG"/>
        </w:rPr>
        <w:t>Le Ski</w:t>
      </w:r>
      <w:r w:rsidRPr="0030688B">
        <w:rPr>
          <w:spacing w:val="-4"/>
          <w:rtl/>
          <w:lang w:bidi="ar-EG"/>
        </w:rPr>
        <w:t>". فقد أكدت المحكمة في قرارها ذاك علوَّ قواعد المعاهدات الدولية التي تُحدث آثاراً مباشرة في القانون</w:t>
      </w:r>
      <w:r>
        <w:rPr>
          <w:rtl/>
          <w:lang w:bidi="ar-EG"/>
        </w:rPr>
        <w:t xml:space="preserve"> </w:t>
      </w:r>
      <w:r w:rsidRPr="0030688B">
        <w:rPr>
          <w:spacing w:val="-4"/>
          <w:rtl/>
          <w:lang w:bidi="ar-EG"/>
        </w:rPr>
        <w:t>الداخلي على القواعد القانونية الوطنية، حتى وإن صدرت هذه القواعد القانونية بعد التصديق على المعاهدات</w:t>
      </w:r>
      <w:r>
        <w:rPr>
          <w:rtl/>
          <w:lang w:bidi="ar-EG"/>
        </w:rPr>
        <w:t xml:space="preserve"> الدولية. وبناءً عليه، لا يمكن للقاضي البلجيكي أن يُطبّق القواعد الوطنية إلا إذا كانت متماشية مع أحكام المعاهدات الدولية الواجبة التطبيق بشكل مباشر في النظام القانوني الداخلي.</w:t>
      </w:r>
    </w:p>
    <w:p w14:paraId="4097BC0B" w14:textId="79CBFC9F" w:rsidR="00D424DC" w:rsidRPr="00350F98" w:rsidRDefault="00D424DC" w:rsidP="00BC3DBA">
      <w:pPr>
        <w:pStyle w:val="H23GA"/>
        <w:rPr>
          <w:rtl/>
          <w:lang w:bidi="ar-EG"/>
        </w:rPr>
      </w:pPr>
      <w:r w:rsidRPr="00350F98">
        <w:rPr>
          <w:rtl/>
          <w:lang w:bidi="ar-EG"/>
        </w:rPr>
        <w:tab/>
      </w:r>
      <w:r w:rsidR="007501E7" w:rsidRPr="00350F98">
        <w:rPr>
          <w:rtl/>
          <w:lang w:bidi="ar-EG"/>
        </w:rPr>
        <w:t>3</w:t>
      </w:r>
      <w:r w:rsidRPr="00350F98">
        <w:rPr>
          <w:rtl/>
          <w:lang w:bidi="ar-EG"/>
        </w:rPr>
        <w:t>-</w:t>
      </w:r>
      <w:r w:rsidRPr="00350F98">
        <w:rPr>
          <w:rtl/>
          <w:lang w:bidi="ar-EG"/>
        </w:rPr>
        <w:tab/>
        <w:t>الهيئات المختصة في مجال حقوق الإنسان</w:t>
      </w:r>
    </w:p>
    <w:p w14:paraId="1815C7A4" w14:textId="77777777" w:rsidR="00D424DC" w:rsidRPr="00C918AE" w:rsidRDefault="00D424DC" w:rsidP="00D424DC">
      <w:pPr>
        <w:pStyle w:val="SingleTxtGA"/>
        <w:rPr>
          <w:spacing w:val="-4"/>
          <w:rtl/>
          <w:lang w:bidi="ar-EG"/>
        </w:rPr>
      </w:pPr>
      <w:r w:rsidRPr="00350F98">
        <w:rPr>
          <w:rtl/>
          <w:lang w:bidi="ar-EG"/>
        </w:rPr>
        <w:t>118</w:t>
      </w:r>
      <w:r>
        <w:rPr>
          <w:rtl/>
          <w:lang w:bidi="ar-EG"/>
        </w:rPr>
        <w:t>-</w:t>
      </w:r>
      <w:r>
        <w:rPr>
          <w:rtl/>
          <w:lang w:bidi="ar-EG"/>
        </w:rPr>
        <w:tab/>
        <w:t xml:space="preserve">تختص جميع السلطات البلجيكية، في إطار ممارسة مهامها، بإعمال حقوق الإنسان الواردة في </w:t>
      </w:r>
      <w:r w:rsidRPr="00C918AE">
        <w:rPr>
          <w:spacing w:val="-4"/>
          <w:rtl/>
          <w:lang w:bidi="ar-EG"/>
        </w:rPr>
        <w:t>الصكوك الدولية التي صدّقت عليها بلجيكا وكذلك حقوق الإنسان المضمّنة في الدستور وفي القوانين البلجيكية.</w:t>
      </w:r>
    </w:p>
    <w:p w14:paraId="1698A9A9" w14:textId="77777777" w:rsidR="00D424DC" w:rsidRDefault="00D424DC" w:rsidP="00D424DC">
      <w:pPr>
        <w:pStyle w:val="SingleTxtGA"/>
        <w:rPr>
          <w:rtl/>
          <w:lang w:bidi="ar-EG"/>
        </w:rPr>
      </w:pPr>
      <w:r w:rsidRPr="00350F98">
        <w:rPr>
          <w:rtl/>
          <w:lang w:bidi="ar-EG"/>
        </w:rPr>
        <w:t>119</w:t>
      </w:r>
      <w:r>
        <w:rPr>
          <w:rtl/>
          <w:lang w:bidi="ar-EG"/>
        </w:rPr>
        <w:t>-</w:t>
      </w:r>
      <w:r>
        <w:rPr>
          <w:rtl/>
          <w:lang w:bidi="ar-EG"/>
        </w:rPr>
        <w:tab/>
        <w:t>وتُعنى سلطاتٌ قضائية معينة برصد احترام حقوق الإنسان:</w:t>
      </w:r>
    </w:p>
    <w:p w14:paraId="79B16C04" w14:textId="77777777" w:rsidR="00D424DC" w:rsidRDefault="00D424DC" w:rsidP="00E64BF7">
      <w:pPr>
        <w:pStyle w:val="H4GA"/>
        <w:rPr>
          <w:rtl/>
          <w:lang w:bidi="ar-EG"/>
        </w:rPr>
      </w:pPr>
      <w:r>
        <w:rPr>
          <w:rtl/>
          <w:lang w:bidi="ar-EG"/>
        </w:rPr>
        <w:lastRenderedPageBreak/>
        <w:tab/>
        <w:t>(أ)</w:t>
      </w:r>
      <w:r>
        <w:rPr>
          <w:rtl/>
          <w:lang w:bidi="ar-EG"/>
        </w:rPr>
        <w:tab/>
        <w:t>المحكمة الدستورية</w:t>
      </w:r>
    </w:p>
    <w:p w14:paraId="2689DB6D" w14:textId="77777777" w:rsidR="00D424DC" w:rsidRDefault="00D424DC" w:rsidP="00D424DC">
      <w:pPr>
        <w:pStyle w:val="SingleTxtGA"/>
        <w:rPr>
          <w:rtl/>
          <w:lang w:bidi="ar-EG"/>
        </w:rPr>
      </w:pPr>
      <w:r w:rsidRPr="00350F98">
        <w:rPr>
          <w:rtl/>
          <w:lang w:bidi="ar-EG"/>
        </w:rPr>
        <w:t>120</w:t>
      </w:r>
      <w:r>
        <w:rPr>
          <w:rtl/>
          <w:lang w:bidi="ar-EG"/>
        </w:rPr>
        <w:t>-</w:t>
      </w:r>
      <w:r>
        <w:rPr>
          <w:rtl/>
          <w:lang w:bidi="ar-EG"/>
        </w:rPr>
        <w:tab/>
        <w:t xml:space="preserve">عدّل القانون الخاص المؤرخ </w:t>
      </w:r>
      <w:r w:rsidRPr="00350F98">
        <w:rPr>
          <w:rtl/>
          <w:lang w:bidi="ar-EG"/>
        </w:rPr>
        <w:t>9</w:t>
      </w:r>
      <w:r>
        <w:rPr>
          <w:rtl/>
          <w:lang w:bidi="ar-EG"/>
        </w:rPr>
        <w:t xml:space="preserve"> آذار/مارس </w:t>
      </w:r>
      <w:r w:rsidRPr="00350F98">
        <w:rPr>
          <w:rtl/>
          <w:lang w:bidi="ar-EG"/>
        </w:rPr>
        <w:t>2003</w:t>
      </w:r>
      <w:r>
        <w:rPr>
          <w:rtl/>
          <w:lang w:bidi="ar-EG"/>
        </w:rPr>
        <w:t xml:space="preserve"> المعدِّل للقانون الخاص المؤرخ </w:t>
      </w:r>
      <w:r w:rsidRPr="00350F98">
        <w:rPr>
          <w:rtl/>
          <w:lang w:bidi="ar-EG"/>
        </w:rPr>
        <w:t>6</w:t>
      </w:r>
      <w:r>
        <w:rPr>
          <w:rtl/>
          <w:lang w:bidi="ar-EG"/>
        </w:rPr>
        <w:t xml:space="preserve"> كانون الثاني/يناير </w:t>
      </w:r>
      <w:r w:rsidRPr="00350F98">
        <w:rPr>
          <w:rtl/>
          <w:lang w:bidi="ar-EG"/>
        </w:rPr>
        <w:t>1989</w:t>
      </w:r>
      <w:r>
        <w:rPr>
          <w:rtl/>
          <w:lang w:bidi="ar-EG"/>
        </w:rPr>
        <w:t xml:space="preserve"> المتعلق بهيئة التحكيم (</w:t>
      </w:r>
      <w:r>
        <w:rPr>
          <w:lang w:bidi="ar-EG"/>
        </w:rPr>
        <w:t>M.B.</w:t>
      </w:r>
      <w:r w:rsidRPr="00350F98">
        <w:rPr>
          <w:lang w:bidi="ar-EG"/>
        </w:rPr>
        <w:t>11</w:t>
      </w:r>
      <w:r>
        <w:rPr>
          <w:lang w:bidi="ar-EG"/>
        </w:rPr>
        <w:t>/</w:t>
      </w:r>
      <w:r w:rsidRPr="00350F98">
        <w:rPr>
          <w:lang w:bidi="ar-EG"/>
        </w:rPr>
        <w:t>04</w:t>
      </w:r>
      <w:r>
        <w:rPr>
          <w:lang w:bidi="ar-EG"/>
        </w:rPr>
        <w:t>/</w:t>
      </w:r>
      <w:r w:rsidRPr="00350F98">
        <w:rPr>
          <w:lang w:bidi="ar-EG"/>
        </w:rPr>
        <w:t>2003</w:t>
      </w:r>
      <w:r>
        <w:rPr>
          <w:rtl/>
          <w:lang w:bidi="ar-EG"/>
        </w:rPr>
        <w:t xml:space="preserve">) اختصاصات هيئة التحكيم التي تحوّلت إلى محكمة دستورية منذ تنقيح الدستور في </w:t>
      </w:r>
      <w:r w:rsidRPr="00350F98">
        <w:rPr>
          <w:rtl/>
          <w:lang w:bidi="ar-EG"/>
        </w:rPr>
        <w:t>7</w:t>
      </w:r>
      <w:r>
        <w:rPr>
          <w:rtl/>
          <w:lang w:bidi="ar-EG"/>
        </w:rPr>
        <w:t xml:space="preserve"> أيار/مايو </w:t>
      </w:r>
      <w:r w:rsidRPr="00350F98">
        <w:rPr>
          <w:rtl/>
          <w:lang w:bidi="ar-EG"/>
        </w:rPr>
        <w:t>2007</w:t>
      </w:r>
      <w:r>
        <w:rPr>
          <w:rtl/>
          <w:lang w:bidi="ar-EG"/>
        </w:rPr>
        <w:t>.</w:t>
      </w:r>
    </w:p>
    <w:p w14:paraId="11B3B5C0" w14:textId="77777777" w:rsidR="00D424DC" w:rsidRDefault="00D424DC" w:rsidP="00D424DC">
      <w:pPr>
        <w:pStyle w:val="SingleTxtGA"/>
        <w:rPr>
          <w:rtl/>
          <w:lang w:bidi="ar-EG"/>
        </w:rPr>
      </w:pPr>
      <w:r w:rsidRPr="00350F98">
        <w:rPr>
          <w:rtl/>
          <w:lang w:bidi="ar-EG"/>
        </w:rPr>
        <w:t>121</w:t>
      </w:r>
      <w:r>
        <w:rPr>
          <w:rtl/>
          <w:lang w:bidi="ar-EG"/>
        </w:rPr>
        <w:t>-</w:t>
      </w:r>
      <w:r>
        <w:rPr>
          <w:rtl/>
          <w:lang w:bidi="ar-EG"/>
        </w:rPr>
        <w:tab/>
        <w:t xml:space="preserve">وتبت المحكمة الدستورية في الطعون المقدمة لطلب إلغاء قوانين معيّنة، كما تبت في مسائل </w:t>
      </w:r>
      <w:r w:rsidRPr="00BC3DBA">
        <w:rPr>
          <w:spacing w:val="-4"/>
          <w:rtl/>
          <w:lang w:bidi="ar-EG"/>
        </w:rPr>
        <w:t>أولية تتعلق خصوصاً بتطابق الأحكام التشريعية (من قوانين ومراسيم وأوامر) مع أحكام معينة من</w:t>
      </w:r>
      <w:r>
        <w:rPr>
          <w:rtl/>
          <w:lang w:bidi="ar-EG"/>
        </w:rPr>
        <w:t xml:space="preserve"> </w:t>
      </w:r>
      <w:proofErr w:type="gramStart"/>
      <w:r>
        <w:rPr>
          <w:rtl/>
          <w:lang w:bidi="ar-EG"/>
        </w:rPr>
        <w:t>الدستور</w:t>
      </w:r>
      <w:r w:rsidRPr="00B70B24">
        <w:rPr>
          <w:vertAlign w:val="superscript"/>
          <w:rtl/>
        </w:rPr>
        <w:t>(</w:t>
      </w:r>
      <w:proofErr w:type="gramEnd"/>
      <w:r w:rsidRPr="00350F98">
        <w:rPr>
          <w:rStyle w:val="FootnoteReference"/>
          <w:lang w:val="en-US"/>
        </w:rPr>
        <w:footnoteReference w:id="6"/>
      </w:r>
      <w:r w:rsidRPr="00B70B24">
        <w:rPr>
          <w:vertAlign w:val="superscript"/>
          <w:rtl/>
        </w:rPr>
        <w:t>)</w:t>
      </w:r>
      <w:r>
        <w:rPr>
          <w:rtl/>
          <w:lang w:bidi="ar-EG"/>
        </w:rPr>
        <w:t>.</w:t>
      </w:r>
    </w:p>
    <w:p w14:paraId="36502F5D" w14:textId="77777777" w:rsidR="00D424DC" w:rsidRDefault="00D424DC" w:rsidP="00D424DC">
      <w:pPr>
        <w:pStyle w:val="SingleTxtGA"/>
        <w:rPr>
          <w:rFonts w:hint="cs"/>
          <w:rtl/>
        </w:rPr>
      </w:pPr>
      <w:r w:rsidRPr="00350F98">
        <w:rPr>
          <w:rtl/>
          <w:lang w:bidi="ar-EG"/>
        </w:rPr>
        <w:t>122</w:t>
      </w:r>
      <w:r>
        <w:rPr>
          <w:rtl/>
          <w:lang w:bidi="ar-EG"/>
        </w:rPr>
        <w:t>-</w:t>
      </w:r>
      <w:r>
        <w:rPr>
          <w:rtl/>
          <w:lang w:bidi="ar-EG"/>
        </w:rPr>
        <w:tab/>
        <w:t xml:space="preserve">وفي حين لم تكن عملية مراقبة التطابق هذه تشمل في السابق سوى المواد </w:t>
      </w:r>
      <w:r w:rsidRPr="00350F98">
        <w:rPr>
          <w:rtl/>
          <w:lang w:bidi="ar-EG"/>
        </w:rPr>
        <w:t>10</w:t>
      </w:r>
      <w:r>
        <w:rPr>
          <w:rtl/>
          <w:lang w:bidi="ar-EG"/>
        </w:rPr>
        <w:t xml:space="preserve"> و</w:t>
      </w:r>
      <w:r w:rsidRPr="00350F98">
        <w:rPr>
          <w:rtl/>
          <w:lang w:bidi="ar-EG"/>
        </w:rPr>
        <w:t>11</w:t>
      </w:r>
      <w:r>
        <w:rPr>
          <w:rtl/>
          <w:lang w:bidi="ar-EG"/>
        </w:rPr>
        <w:t xml:space="preserve"> و</w:t>
      </w:r>
      <w:r w:rsidRPr="00350F98">
        <w:rPr>
          <w:rtl/>
          <w:lang w:bidi="ar-EG"/>
        </w:rPr>
        <w:t>24</w:t>
      </w:r>
      <w:r>
        <w:rPr>
          <w:rtl/>
          <w:lang w:bidi="ar-EG"/>
        </w:rPr>
        <w:t xml:space="preserve"> من الدستور، فقد تم توسيع نطاقها لتشمل ما يلي:</w:t>
      </w:r>
    </w:p>
    <w:p w14:paraId="3D35C77F" w14:textId="13C2364B" w:rsidR="00D424DC" w:rsidRPr="00F92844" w:rsidRDefault="00D424DC" w:rsidP="00F92844">
      <w:pPr>
        <w:pStyle w:val="Bullet1GA"/>
        <w:rPr>
          <w:spacing w:val="-4"/>
          <w:rtl/>
          <w:lang w:bidi="ar-EG"/>
        </w:rPr>
      </w:pPr>
      <w:r>
        <w:rPr>
          <w:rtl/>
          <w:lang w:bidi="ar-EG"/>
        </w:rPr>
        <w:t xml:space="preserve">مجمل الباب الثاني (المواد من </w:t>
      </w:r>
      <w:r w:rsidRPr="00350F98">
        <w:rPr>
          <w:rtl/>
          <w:lang w:bidi="ar-EG"/>
        </w:rPr>
        <w:t>8</w:t>
      </w:r>
      <w:r>
        <w:rPr>
          <w:rtl/>
          <w:lang w:bidi="ar-EG"/>
        </w:rPr>
        <w:t xml:space="preserve"> إلى </w:t>
      </w:r>
      <w:r w:rsidRPr="00350F98">
        <w:rPr>
          <w:rtl/>
          <w:lang w:bidi="ar-EG"/>
        </w:rPr>
        <w:t>32</w:t>
      </w:r>
      <w:r>
        <w:rPr>
          <w:rtl/>
          <w:lang w:bidi="ar-EG"/>
        </w:rPr>
        <w:t xml:space="preserve">) "البلجيكيون وحقوقهم"، الذي يتناول حقوقاً وحريات أساسية عديدة: مبدأ المساواة وعدم التمييز (المادتان </w:t>
      </w:r>
      <w:r w:rsidRPr="00350F98">
        <w:rPr>
          <w:rtl/>
          <w:lang w:bidi="ar-EG"/>
        </w:rPr>
        <w:t>10</w:t>
      </w:r>
      <w:r>
        <w:rPr>
          <w:rtl/>
          <w:lang w:bidi="ar-EG"/>
        </w:rPr>
        <w:t xml:space="preserve"> و</w:t>
      </w:r>
      <w:r w:rsidRPr="00350F98">
        <w:rPr>
          <w:rtl/>
          <w:lang w:bidi="ar-EG"/>
        </w:rPr>
        <w:t>11</w:t>
      </w:r>
      <w:r>
        <w:rPr>
          <w:rtl/>
          <w:lang w:bidi="ar-EG"/>
        </w:rPr>
        <w:t xml:space="preserve">)، والمساواة بين الرجل والمرأة (المادة </w:t>
      </w:r>
      <w:r w:rsidRPr="00350F98">
        <w:rPr>
          <w:rtl/>
          <w:lang w:bidi="ar-EG"/>
        </w:rPr>
        <w:t>11</w:t>
      </w:r>
      <w:r>
        <w:rPr>
          <w:rtl/>
          <w:lang w:bidi="ar-EG"/>
        </w:rPr>
        <w:t xml:space="preserve"> مكرراً)، والحرية الفردية (المادة </w:t>
      </w:r>
      <w:r w:rsidRPr="00350F98">
        <w:rPr>
          <w:rtl/>
          <w:lang w:bidi="ar-EG"/>
        </w:rPr>
        <w:t>12</w:t>
      </w:r>
      <w:r>
        <w:rPr>
          <w:rtl/>
          <w:lang w:bidi="ar-EG"/>
        </w:rPr>
        <w:t xml:space="preserve">)، والمثول أمام القاضي (المادة </w:t>
      </w:r>
      <w:r w:rsidRPr="00350F98">
        <w:rPr>
          <w:rtl/>
          <w:lang w:bidi="ar-EG"/>
        </w:rPr>
        <w:t>13</w:t>
      </w:r>
      <w:r>
        <w:rPr>
          <w:rtl/>
          <w:lang w:bidi="ar-EG"/>
        </w:rPr>
        <w:t xml:space="preserve">)، ومبدأ "لا عقوبة إلا بنص" (المادة </w:t>
      </w:r>
      <w:r w:rsidRPr="00350F98">
        <w:rPr>
          <w:rtl/>
          <w:lang w:bidi="ar-EG"/>
        </w:rPr>
        <w:t>14</w:t>
      </w:r>
      <w:r>
        <w:rPr>
          <w:rtl/>
          <w:lang w:bidi="ar-EG"/>
        </w:rPr>
        <w:t xml:space="preserve">)، وإلغاء عقوبة الإعدام (المادة </w:t>
      </w:r>
      <w:r w:rsidRPr="00350F98">
        <w:rPr>
          <w:rtl/>
          <w:lang w:bidi="ar-EG"/>
        </w:rPr>
        <w:t>14</w:t>
      </w:r>
      <w:r>
        <w:rPr>
          <w:rtl/>
          <w:lang w:bidi="ar-EG"/>
        </w:rPr>
        <w:t xml:space="preserve"> </w:t>
      </w:r>
      <w:r w:rsidRPr="0030688B">
        <w:rPr>
          <w:spacing w:val="-4"/>
          <w:rtl/>
          <w:lang w:bidi="ar-EG"/>
        </w:rPr>
        <w:t xml:space="preserve">مكرراً)؛ وحرمة المسكن (المادة </w:t>
      </w:r>
      <w:r w:rsidR="007501E7" w:rsidRPr="00350F98">
        <w:rPr>
          <w:spacing w:val="-4"/>
          <w:rtl/>
          <w:lang w:bidi="ar-EG"/>
        </w:rPr>
        <w:t>15</w:t>
      </w:r>
      <w:r w:rsidRPr="0030688B">
        <w:rPr>
          <w:spacing w:val="-4"/>
          <w:rtl/>
          <w:lang w:bidi="ar-EG"/>
        </w:rPr>
        <w:t xml:space="preserve">)، وشروط المصادرة من أجل فائدة عامة (المادة </w:t>
      </w:r>
      <w:r w:rsidRPr="00350F98">
        <w:rPr>
          <w:spacing w:val="-4"/>
          <w:rtl/>
          <w:lang w:bidi="ar-EG"/>
        </w:rPr>
        <w:t>16</w:t>
      </w:r>
      <w:r w:rsidRPr="0030688B">
        <w:rPr>
          <w:spacing w:val="-4"/>
          <w:rtl/>
          <w:lang w:bidi="ar-EG"/>
        </w:rPr>
        <w:t>)،</w:t>
      </w:r>
      <w:r>
        <w:rPr>
          <w:rtl/>
          <w:lang w:bidi="ar-EG"/>
        </w:rPr>
        <w:t xml:space="preserve"> وحظر عقوبة مصادرة الممتلكات (المادة </w:t>
      </w:r>
      <w:r w:rsidRPr="00350F98">
        <w:rPr>
          <w:rtl/>
          <w:lang w:bidi="ar-EG"/>
        </w:rPr>
        <w:t>17</w:t>
      </w:r>
      <w:r>
        <w:rPr>
          <w:rtl/>
          <w:lang w:bidi="ar-EG"/>
        </w:rPr>
        <w:t xml:space="preserve">)، وإلغاء عقوبة الوفاة المدنية (المادة </w:t>
      </w:r>
      <w:r w:rsidRPr="00350F98">
        <w:rPr>
          <w:rtl/>
          <w:lang w:bidi="ar-EG"/>
        </w:rPr>
        <w:t>18</w:t>
      </w:r>
      <w:r>
        <w:rPr>
          <w:rtl/>
          <w:lang w:bidi="ar-EG"/>
        </w:rPr>
        <w:t xml:space="preserve">)، </w:t>
      </w:r>
      <w:r w:rsidRPr="0030688B">
        <w:rPr>
          <w:spacing w:val="-4"/>
          <w:rtl/>
          <w:lang w:bidi="ar-EG"/>
        </w:rPr>
        <w:t xml:space="preserve">وحرية العبادة وحرية التعبير عن الآراء (المادة </w:t>
      </w:r>
      <w:r w:rsidRPr="00350F98">
        <w:rPr>
          <w:spacing w:val="-4"/>
          <w:rtl/>
          <w:lang w:bidi="ar-EG"/>
        </w:rPr>
        <w:t>19</w:t>
      </w:r>
      <w:r w:rsidRPr="0030688B">
        <w:rPr>
          <w:spacing w:val="-4"/>
          <w:rtl/>
          <w:lang w:bidi="ar-EG"/>
        </w:rPr>
        <w:t xml:space="preserve">)، وحرية المرء في ألا يجبر على </w:t>
      </w:r>
      <w:r w:rsidRPr="0030688B">
        <w:rPr>
          <w:spacing w:val="-6"/>
          <w:rtl/>
          <w:lang w:bidi="ar-EG"/>
        </w:rPr>
        <w:t xml:space="preserve">المشاركة في شعائر وطقوس عبادة ما (المادة </w:t>
      </w:r>
      <w:r w:rsidRPr="00350F98">
        <w:rPr>
          <w:spacing w:val="-6"/>
          <w:rtl/>
          <w:lang w:bidi="ar-EG"/>
        </w:rPr>
        <w:t>20</w:t>
      </w:r>
      <w:r w:rsidRPr="0030688B">
        <w:rPr>
          <w:spacing w:val="-6"/>
          <w:rtl/>
          <w:lang w:bidi="ar-EG"/>
        </w:rPr>
        <w:t xml:space="preserve">)، والفصل بين الدولة والكنيسة (المادة </w:t>
      </w:r>
      <w:r w:rsidRPr="00350F98">
        <w:rPr>
          <w:spacing w:val="-6"/>
          <w:rtl/>
          <w:lang w:bidi="ar-EG"/>
        </w:rPr>
        <w:t>21</w:t>
      </w:r>
      <w:r w:rsidRPr="0030688B">
        <w:rPr>
          <w:spacing w:val="-6"/>
          <w:rtl/>
          <w:lang w:bidi="ar-EG"/>
        </w:rPr>
        <w:t>)،</w:t>
      </w:r>
      <w:r>
        <w:rPr>
          <w:rtl/>
          <w:lang w:bidi="ar-EG"/>
        </w:rPr>
        <w:t xml:space="preserve"> واحترام الحياة الخاصة (المادة </w:t>
      </w:r>
      <w:r w:rsidRPr="00350F98">
        <w:rPr>
          <w:rtl/>
          <w:lang w:bidi="ar-EG"/>
        </w:rPr>
        <w:t>22</w:t>
      </w:r>
      <w:r>
        <w:rPr>
          <w:rtl/>
          <w:lang w:bidi="ar-EG"/>
        </w:rPr>
        <w:t xml:space="preserve">)، وحقوق الطفل (المادة </w:t>
      </w:r>
      <w:r w:rsidRPr="00350F98">
        <w:rPr>
          <w:rtl/>
          <w:lang w:bidi="ar-EG"/>
        </w:rPr>
        <w:t>22</w:t>
      </w:r>
      <w:r>
        <w:rPr>
          <w:rtl/>
          <w:lang w:bidi="ar-EG"/>
        </w:rPr>
        <w:t xml:space="preserve"> مكرراً) </w:t>
      </w:r>
      <w:r w:rsidRPr="00F92844">
        <w:rPr>
          <w:spacing w:val="-4"/>
          <w:rtl/>
          <w:lang w:bidi="ar-EG"/>
        </w:rPr>
        <w:t xml:space="preserve">والحقوق الاجتماعية </w:t>
      </w:r>
      <w:r w:rsidRPr="0030688B">
        <w:rPr>
          <w:spacing w:val="-2"/>
          <w:rtl/>
          <w:lang w:bidi="ar-EG"/>
        </w:rPr>
        <w:t xml:space="preserve">(المادة </w:t>
      </w:r>
      <w:r w:rsidRPr="00350F98">
        <w:rPr>
          <w:spacing w:val="-2"/>
          <w:rtl/>
          <w:lang w:bidi="ar-EG"/>
        </w:rPr>
        <w:t>23</w:t>
      </w:r>
      <w:r w:rsidRPr="0030688B">
        <w:rPr>
          <w:spacing w:val="-2"/>
          <w:rtl/>
          <w:lang w:bidi="ar-EG"/>
        </w:rPr>
        <w:t xml:space="preserve">)، والحرية والمساواة في التعليم (المادة </w:t>
      </w:r>
      <w:r w:rsidRPr="00350F98">
        <w:rPr>
          <w:spacing w:val="-2"/>
          <w:rtl/>
          <w:lang w:bidi="ar-EG"/>
        </w:rPr>
        <w:t>24</w:t>
      </w:r>
      <w:r w:rsidRPr="0030688B">
        <w:rPr>
          <w:spacing w:val="-2"/>
          <w:rtl/>
          <w:lang w:bidi="ar-EG"/>
        </w:rPr>
        <w:t xml:space="preserve">)، وحرية الصحافة (المادة </w:t>
      </w:r>
      <w:r w:rsidRPr="00350F98">
        <w:rPr>
          <w:spacing w:val="-2"/>
          <w:rtl/>
          <w:lang w:bidi="ar-EG"/>
        </w:rPr>
        <w:t>25</w:t>
      </w:r>
      <w:r w:rsidRPr="0030688B">
        <w:rPr>
          <w:spacing w:val="-2"/>
          <w:rtl/>
          <w:lang w:bidi="ar-EG"/>
        </w:rPr>
        <w:t>)، وحرية</w:t>
      </w:r>
      <w:r>
        <w:rPr>
          <w:rtl/>
          <w:lang w:bidi="ar-EG"/>
        </w:rPr>
        <w:t xml:space="preserve"> التجمع سلمياً (المادة </w:t>
      </w:r>
      <w:r w:rsidRPr="00350F98">
        <w:rPr>
          <w:rtl/>
          <w:lang w:bidi="ar-EG"/>
        </w:rPr>
        <w:t>26</w:t>
      </w:r>
      <w:r>
        <w:rPr>
          <w:rtl/>
          <w:lang w:bidi="ar-EG"/>
        </w:rPr>
        <w:t xml:space="preserve">)، وحرية تكوين الجمعيات (المادة </w:t>
      </w:r>
      <w:r w:rsidRPr="00350F98">
        <w:rPr>
          <w:rtl/>
          <w:lang w:bidi="ar-EG"/>
        </w:rPr>
        <w:t>27</w:t>
      </w:r>
      <w:r>
        <w:rPr>
          <w:rtl/>
          <w:lang w:bidi="ar-EG"/>
        </w:rPr>
        <w:t xml:space="preserve">)، وحق رفع </w:t>
      </w:r>
      <w:r w:rsidRPr="0030688B">
        <w:rPr>
          <w:spacing w:val="-4"/>
          <w:rtl/>
          <w:lang w:bidi="ar-EG"/>
        </w:rPr>
        <w:t xml:space="preserve">العرائض الموقعة إلى السلطات السياسية (المادة </w:t>
      </w:r>
      <w:r w:rsidRPr="00350F98">
        <w:rPr>
          <w:spacing w:val="-4"/>
          <w:rtl/>
          <w:lang w:bidi="ar-EG"/>
        </w:rPr>
        <w:t>28</w:t>
      </w:r>
      <w:r w:rsidRPr="0030688B">
        <w:rPr>
          <w:spacing w:val="-4"/>
          <w:rtl/>
          <w:lang w:bidi="ar-EG"/>
        </w:rPr>
        <w:t xml:space="preserve">)، وحرمة سرية الرسائل (المادة </w:t>
      </w:r>
      <w:r w:rsidRPr="00350F98">
        <w:rPr>
          <w:spacing w:val="-4"/>
          <w:rtl/>
          <w:lang w:bidi="ar-EG"/>
        </w:rPr>
        <w:t>29</w:t>
      </w:r>
      <w:r w:rsidRPr="0030688B">
        <w:rPr>
          <w:spacing w:val="-4"/>
          <w:rtl/>
          <w:lang w:bidi="ar-EG"/>
        </w:rPr>
        <w:t>)،</w:t>
      </w:r>
      <w:r w:rsidRPr="00F92844">
        <w:rPr>
          <w:spacing w:val="-4"/>
          <w:rtl/>
          <w:lang w:bidi="ar-EG"/>
        </w:rPr>
        <w:t xml:space="preserve"> والحرية اللغوية (المادة </w:t>
      </w:r>
      <w:r w:rsidRPr="00350F98">
        <w:rPr>
          <w:spacing w:val="-4"/>
          <w:rtl/>
          <w:lang w:bidi="ar-EG"/>
        </w:rPr>
        <w:t>30</w:t>
      </w:r>
      <w:r w:rsidRPr="00F92844">
        <w:rPr>
          <w:spacing w:val="-4"/>
          <w:rtl/>
          <w:lang w:bidi="ar-EG"/>
        </w:rPr>
        <w:t xml:space="preserve">)، وحق الاطلاع على كل وثيقة إدارية (المادة </w:t>
      </w:r>
      <w:r w:rsidRPr="00350F98">
        <w:rPr>
          <w:spacing w:val="-4"/>
          <w:rtl/>
          <w:lang w:bidi="ar-EG"/>
        </w:rPr>
        <w:t>32</w:t>
      </w:r>
      <w:r w:rsidRPr="00F92844">
        <w:rPr>
          <w:spacing w:val="-4"/>
          <w:rtl/>
          <w:lang w:bidi="ar-EG"/>
        </w:rPr>
        <w:t>)؛</w:t>
      </w:r>
    </w:p>
    <w:p w14:paraId="53331C44" w14:textId="50D33C74" w:rsidR="00D424DC" w:rsidRDefault="00D424DC" w:rsidP="00F92844">
      <w:pPr>
        <w:pStyle w:val="Bullet1GA"/>
        <w:spacing w:line="346" w:lineRule="exact"/>
        <w:rPr>
          <w:rtl/>
          <w:lang w:bidi="ar-EG"/>
        </w:rPr>
      </w:pPr>
      <w:r>
        <w:rPr>
          <w:rtl/>
          <w:lang w:bidi="ar-EG"/>
        </w:rPr>
        <w:t xml:space="preserve">الفقرة الأولى من المادة </w:t>
      </w:r>
      <w:r w:rsidR="007501E7" w:rsidRPr="00350F98">
        <w:rPr>
          <w:rtl/>
          <w:lang w:bidi="ar-EG"/>
        </w:rPr>
        <w:t>143</w:t>
      </w:r>
      <w:r>
        <w:rPr>
          <w:rtl/>
          <w:lang w:bidi="ar-EG"/>
        </w:rPr>
        <w:t xml:space="preserve"> المتعلقة بمبدأ الولاء الاتحادي؛</w:t>
      </w:r>
    </w:p>
    <w:p w14:paraId="6AD04154" w14:textId="52C2FFF6" w:rsidR="00D424DC" w:rsidRDefault="00D424DC" w:rsidP="00F92844">
      <w:pPr>
        <w:pStyle w:val="Bullet1GA"/>
        <w:spacing w:line="346" w:lineRule="exact"/>
        <w:rPr>
          <w:rtl/>
          <w:lang w:bidi="ar-EG"/>
        </w:rPr>
      </w:pPr>
      <w:r>
        <w:rPr>
          <w:rtl/>
          <w:lang w:bidi="ar-EG"/>
        </w:rPr>
        <w:t xml:space="preserve">المادة </w:t>
      </w:r>
      <w:r w:rsidRPr="00350F98">
        <w:rPr>
          <w:rtl/>
          <w:lang w:bidi="ar-EG"/>
        </w:rPr>
        <w:t>170</w:t>
      </w:r>
      <w:r>
        <w:rPr>
          <w:rtl/>
          <w:lang w:bidi="ar-EG"/>
        </w:rPr>
        <w:t xml:space="preserve"> التي تُكرِّس مبدأ قانونية الضريبة؛</w:t>
      </w:r>
    </w:p>
    <w:p w14:paraId="5267318B" w14:textId="1DE267B2" w:rsidR="00D424DC" w:rsidRDefault="00D424DC" w:rsidP="00F92844">
      <w:pPr>
        <w:pStyle w:val="Bullet1GA"/>
        <w:spacing w:line="346" w:lineRule="exact"/>
        <w:rPr>
          <w:rtl/>
          <w:lang w:bidi="ar-EG"/>
        </w:rPr>
      </w:pPr>
      <w:r w:rsidRPr="00F92844">
        <w:rPr>
          <w:spacing w:val="-2"/>
          <w:rtl/>
          <w:lang w:bidi="ar-EG"/>
        </w:rPr>
        <w:t xml:space="preserve">المادة </w:t>
      </w:r>
      <w:r w:rsidR="007501E7" w:rsidRPr="00350F98">
        <w:rPr>
          <w:spacing w:val="-2"/>
          <w:rtl/>
          <w:lang w:bidi="ar-EG"/>
        </w:rPr>
        <w:t>172</w:t>
      </w:r>
      <w:r w:rsidRPr="00F92844">
        <w:rPr>
          <w:spacing w:val="-2"/>
          <w:rtl/>
          <w:lang w:bidi="ar-EG"/>
        </w:rPr>
        <w:t xml:space="preserve"> التي تنص على عدم جواز منح أي امتياز فيما يتعلق بالضريبة أو أي إعفاء</w:t>
      </w:r>
      <w:r>
        <w:rPr>
          <w:rtl/>
          <w:lang w:bidi="ar-EG"/>
        </w:rPr>
        <w:t xml:space="preserve"> أو تخفيف في قيمتها إلا بموجب قانون؛</w:t>
      </w:r>
    </w:p>
    <w:p w14:paraId="5BE48F6A" w14:textId="11B0DDA6" w:rsidR="00D424DC" w:rsidRDefault="00D424DC" w:rsidP="00F92844">
      <w:pPr>
        <w:pStyle w:val="Bullet1GA"/>
        <w:spacing w:line="346" w:lineRule="exact"/>
        <w:rPr>
          <w:rtl/>
          <w:lang w:bidi="ar-EG"/>
        </w:rPr>
      </w:pPr>
      <w:r w:rsidRPr="00F92844">
        <w:rPr>
          <w:spacing w:val="-4"/>
          <w:rtl/>
          <w:lang w:bidi="ar-EG"/>
        </w:rPr>
        <w:t xml:space="preserve">المادة </w:t>
      </w:r>
      <w:r w:rsidR="007501E7" w:rsidRPr="00350F98">
        <w:rPr>
          <w:spacing w:val="-4"/>
          <w:rtl/>
          <w:lang w:bidi="ar-EG"/>
        </w:rPr>
        <w:t>191</w:t>
      </w:r>
      <w:r w:rsidRPr="00F92844">
        <w:rPr>
          <w:spacing w:val="-4"/>
          <w:rtl/>
          <w:lang w:bidi="ar-EG"/>
        </w:rPr>
        <w:t xml:space="preserve"> التي تكفل تمتع الأجانب الموجودين على الأراضي البلجيكية بالحماية الممنوحة</w:t>
      </w:r>
      <w:r>
        <w:rPr>
          <w:rtl/>
          <w:lang w:bidi="ar-EG"/>
        </w:rPr>
        <w:t xml:space="preserve"> للأشخاص والممتلكات، إلا في الاستثناءات التي ينص عليها القانون.</w:t>
      </w:r>
    </w:p>
    <w:p w14:paraId="6A5EC141" w14:textId="77777777" w:rsidR="00D424DC" w:rsidRDefault="00D424DC" w:rsidP="00F92844">
      <w:pPr>
        <w:pStyle w:val="SingleTxtGA"/>
        <w:spacing w:line="346" w:lineRule="exact"/>
        <w:rPr>
          <w:rtl/>
          <w:lang w:bidi="ar-EG"/>
        </w:rPr>
      </w:pPr>
      <w:r w:rsidRPr="00350F98">
        <w:rPr>
          <w:rtl/>
          <w:lang w:bidi="ar-EG"/>
        </w:rPr>
        <w:t>123</w:t>
      </w:r>
      <w:r>
        <w:rPr>
          <w:rtl/>
          <w:lang w:bidi="ar-EG"/>
        </w:rPr>
        <w:t>-</w:t>
      </w:r>
      <w:r>
        <w:rPr>
          <w:rtl/>
          <w:lang w:bidi="ar-EG"/>
        </w:rPr>
        <w:tab/>
        <w:t xml:space="preserve">وتجدر الإشارة إلى أن الاجتهاد الثابت للمحكمة الدستورية يُقر بأن الحريات والحقوق الأساسية </w:t>
      </w:r>
      <w:r w:rsidRPr="00F92844">
        <w:rPr>
          <w:spacing w:val="-4"/>
          <w:rtl/>
          <w:lang w:bidi="ar-EG"/>
        </w:rPr>
        <w:t>الواردة في الدستور وكذلك الحقوق الأساسية المنصوص عليها في المعاهدات الدولية التي تُحدِث آثاراً مباشرة</w:t>
      </w:r>
      <w:r>
        <w:rPr>
          <w:rtl/>
          <w:lang w:bidi="ar-EG"/>
        </w:rPr>
        <w:t xml:space="preserve"> في القانون البلجيكي، هي حقوق مكفولة في بلجيكا دونما تمييز. وتراقب المحكمة الدستورية التشريعات بصورة غير مباشرة في ضوء الاتفاقيات الدولية.</w:t>
      </w:r>
    </w:p>
    <w:p w14:paraId="5028BC18" w14:textId="77777777" w:rsidR="00D424DC" w:rsidRDefault="00D424DC" w:rsidP="00E64BF7">
      <w:pPr>
        <w:pStyle w:val="H4GA"/>
        <w:rPr>
          <w:rtl/>
          <w:lang w:bidi="ar-EG"/>
        </w:rPr>
      </w:pPr>
      <w:r>
        <w:rPr>
          <w:rtl/>
          <w:lang w:bidi="ar-EG"/>
        </w:rPr>
        <w:lastRenderedPageBreak/>
        <w:tab/>
        <w:t>(ب)</w:t>
      </w:r>
      <w:r>
        <w:rPr>
          <w:rtl/>
          <w:lang w:bidi="ar-EG"/>
        </w:rPr>
        <w:tab/>
        <w:t>هيئات القضاء الإداري</w:t>
      </w:r>
    </w:p>
    <w:p w14:paraId="45C4CA9F" w14:textId="77777777" w:rsidR="00D424DC" w:rsidRDefault="00D424DC" w:rsidP="00F92844">
      <w:pPr>
        <w:pStyle w:val="SingleTxtGA"/>
        <w:spacing w:line="346" w:lineRule="exact"/>
        <w:rPr>
          <w:rtl/>
          <w:lang w:bidi="ar-EG"/>
        </w:rPr>
      </w:pPr>
      <w:r w:rsidRPr="00350F98">
        <w:rPr>
          <w:rtl/>
          <w:lang w:bidi="ar-EG"/>
        </w:rPr>
        <w:t>124</w:t>
      </w:r>
      <w:r>
        <w:rPr>
          <w:rtl/>
          <w:lang w:bidi="ar-EG"/>
        </w:rPr>
        <w:t>-</w:t>
      </w:r>
      <w:r>
        <w:rPr>
          <w:rtl/>
          <w:lang w:bidi="ar-EG"/>
        </w:rPr>
        <w:tab/>
        <w:t xml:space="preserve">يعود الفضل في إنشاء مجلس الدولة، وهو مؤسسة استشارية وقضائية في آن واحد تلتقي فيه </w:t>
      </w:r>
      <w:r w:rsidRPr="00F92844">
        <w:rPr>
          <w:spacing w:val="-4"/>
          <w:rtl/>
          <w:lang w:bidi="ar-EG"/>
        </w:rPr>
        <w:t>السلطات التشريعية والتنفيذية والقضائية، إلى رغبة المشرّع في منح جميع الأشخاص الطبيعيين أو</w:t>
      </w:r>
      <w:r>
        <w:rPr>
          <w:rtl/>
          <w:lang w:bidi="ar-EG"/>
        </w:rPr>
        <w:t xml:space="preserve"> الاعتباريين سبيل انتصاف فعالاً ضد الإجراءات الإدارية غير القانونية التي قد تُلحق بهم ضررا.</w:t>
      </w:r>
    </w:p>
    <w:p w14:paraId="299E10CD" w14:textId="77777777" w:rsidR="00D424DC" w:rsidRDefault="00D424DC" w:rsidP="00F92844">
      <w:pPr>
        <w:pStyle w:val="SingleTxtGA"/>
        <w:spacing w:line="346" w:lineRule="exact"/>
        <w:rPr>
          <w:rtl/>
          <w:lang w:bidi="ar-EG"/>
        </w:rPr>
      </w:pPr>
      <w:r w:rsidRPr="00350F98">
        <w:rPr>
          <w:rtl/>
          <w:lang w:bidi="ar-EG"/>
        </w:rPr>
        <w:t>125</w:t>
      </w:r>
      <w:r>
        <w:rPr>
          <w:rtl/>
          <w:lang w:bidi="ar-EG"/>
        </w:rPr>
        <w:t>-</w:t>
      </w:r>
      <w:r w:rsidRPr="00F92844">
        <w:rPr>
          <w:spacing w:val="-2"/>
          <w:rtl/>
          <w:lang w:bidi="ar-EG"/>
        </w:rPr>
        <w:tab/>
        <w:t>لذلك فإن الاختصاصات الرئيسية لمجلس الدولة هي تعليق أو إلغاء الإجراءات الإدارية (الإجراءات</w:t>
      </w:r>
      <w:r>
        <w:rPr>
          <w:rtl/>
          <w:lang w:bidi="ar-EG"/>
        </w:rPr>
        <w:t xml:space="preserve"> </w:t>
      </w:r>
      <w:r w:rsidRPr="00F92844">
        <w:rPr>
          <w:spacing w:val="-4"/>
          <w:rtl/>
          <w:lang w:bidi="ar-EG"/>
        </w:rPr>
        <w:t>الفردية أو القواعد التنظيمية) التي تخالف قواعد القانون الجاري به العمل. ويفصل مجلس الدولة، بما يتخذه من</w:t>
      </w:r>
      <w:r>
        <w:rPr>
          <w:rtl/>
          <w:lang w:bidi="ar-EG"/>
        </w:rPr>
        <w:t xml:space="preserve"> قرارات ويُصدره من أوامر، في الطلبات التي تُحال إليه.</w:t>
      </w:r>
    </w:p>
    <w:p w14:paraId="2FF7568D" w14:textId="77777777" w:rsidR="00D424DC" w:rsidRDefault="00D424DC" w:rsidP="00F92844">
      <w:pPr>
        <w:pStyle w:val="SingleTxtGA"/>
        <w:spacing w:line="346" w:lineRule="exact"/>
        <w:rPr>
          <w:rtl/>
          <w:lang w:bidi="ar-EG"/>
        </w:rPr>
      </w:pPr>
      <w:r w:rsidRPr="00350F98">
        <w:rPr>
          <w:rtl/>
          <w:lang w:bidi="ar-EG"/>
        </w:rPr>
        <w:t>126</w:t>
      </w:r>
      <w:r>
        <w:rPr>
          <w:rtl/>
          <w:lang w:bidi="ar-EG"/>
        </w:rPr>
        <w:t>-</w:t>
      </w:r>
      <w:r w:rsidRPr="00F92844">
        <w:rPr>
          <w:spacing w:val="-2"/>
          <w:rtl/>
          <w:lang w:bidi="ar-EG"/>
        </w:rPr>
        <w:tab/>
        <w:t>إلا أن مهام المجلس لا تقتصر على توفير الحماية من تعسف الإدارة. فهو يضطلع أيضاً بوظيفة</w:t>
      </w:r>
      <w:r>
        <w:rPr>
          <w:rtl/>
          <w:lang w:bidi="ar-EG"/>
        </w:rPr>
        <w:t xml:space="preserve"> استشارية في المجالات التشريعية والتنظيمية.</w:t>
      </w:r>
    </w:p>
    <w:p w14:paraId="3EC01D0A" w14:textId="77777777" w:rsidR="00D424DC" w:rsidRDefault="00D424DC" w:rsidP="00F92844">
      <w:pPr>
        <w:pStyle w:val="SingleTxtGA"/>
        <w:spacing w:line="346" w:lineRule="exact"/>
        <w:rPr>
          <w:rtl/>
          <w:lang w:bidi="ar-EG"/>
        </w:rPr>
      </w:pPr>
      <w:r w:rsidRPr="00350F98">
        <w:rPr>
          <w:rtl/>
          <w:lang w:bidi="ar-EG"/>
        </w:rPr>
        <w:t>127</w:t>
      </w:r>
      <w:r>
        <w:rPr>
          <w:rtl/>
          <w:lang w:bidi="ar-EG"/>
        </w:rPr>
        <w:t>-</w:t>
      </w:r>
      <w:r>
        <w:rPr>
          <w:rtl/>
          <w:lang w:bidi="ar-EG"/>
        </w:rPr>
        <w:tab/>
        <w:t>ويضطلع مجلس الدولة أيضاً بدور محكمة النقض، فينظر في الطعون المرفوعة ضد القرارات التي تتخذها هيئات القضاء الإداري الأدنى درجة.</w:t>
      </w:r>
    </w:p>
    <w:p w14:paraId="6B26DCDA" w14:textId="5F6023AC" w:rsidR="00D424DC" w:rsidRDefault="00D424DC" w:rsidP="00F92844">
      <w:pPr>
        <w:pStyle w:val="SingleTxtGA"/>
        <w:spacing w:line="346" w:lineRule="exact"/>
        <w:rPr>
          <w:rtl/>
          <w:lang w:bidi="ar-EG"/>
        </w:rPr>
      </w:pPr>
      <w:r w:rsidRPr="00350F98">
        <w:rPr>
          <w:rtl/>
          <w:lang w:bidi="ar-EG"/>
        </w:rPr>
        <w:t>128</w:t>
      </w:r>
      <w:r>
        <w:rPr>
          <w:rtl/>
          <w:lang w:bidi="ar-EG"/>
        </w:rPr>
        <w:t>-</w:t>
      </w:r>
      <w:r>
        <w:rPr>
          <w:rtl/>
          <w:lang w:bidi="ar-EG"/>
        </w:rPr>
        <w:tab/>
        <w:t xml:space="preserve">وتجدر الإشارة أيضاً إلى هيئة قضائية إدارية أخرى، هي مجلس المنازعات الخاصة بالأجانب. وقد أنشئ بموجب قانون </w:t>
      </w:r>
      <w:r w:rsidR="007501E7" w:rsidRPr="00350F98">
        <w:rPr>
          <w:rtl/>
          <w:lang w:bidi="ar-EG"/>
        </w:rPr>
        <w:t>15</w:t>
      </w:r>
      <w:r>
        <w:rPr>
          <w:rtl/>
          <w:lang w:bidi="ar-EG"/>
        </w:rPr>
        <w:t xml:space="preserve"> أيلول/سبتمبر </w:t>
      </w:r>
      <w:r w:rsidR="007501E7" w:rsidRPr="00350F98">
        <w:rPr>
          <w:rtl/>
          <w:lang w:bidi="ar-EG"/>
        </w:rPr>
        <w:t>2006</w:t>
      </w:r>
      <w:r>
        <w:rPr>
          <w:rtl/>
          <w:lang w:bidi="ar-EG"/>
        </w:rPr>
        <w:t xml:space="preserve"> المتعلق بإصلاح مجلس الدولة وبدأ عمله رسمياً في </w:t>
      </w:r>
      <w:r w:rsidR="007501E7" w:rsidRPr="00350F98">
        <w:rPr>
          <w:rtl/>
          <w:lang w:bidi="ar-EG"/>
        </w:rPr>
        <w:t>1</w:t>
      </w:r>
      <w:r>
        <w:rPr>
          <w:rtl/>
          <w:lang w:bidi="ar-EG"/>
        </w:rPr>
        <w:t xml:space="preserve"> حزيران/</w:t>
      </w:r>
      <w:proofErr w:type="gramStart"/>
      <w:r>
        <w:rPr>
          <w:rtl/>
          <w:lang w:bidi="ar-EG"/>
        </w:rPr>
        <w:t>يونيه</w:t>
      </w:r>
      <w:proofErr w:type="gramEnd"/>
      <w:r>
        <w:rPr>
          <w:rtl/>
          <w:lang w:bidi="ar-EG"/>
        </w:rPr>
        <w:t xml:space="preserve"> </w:t>
      </w:r>
      <w:r w:rsidR="007501E7" w:rsidRPr="00350F98">
        <w:rPr>
          <w:rtl/>
          <w:lang w:bidi="ar-EG"/>
        </w:rPr>
        <w:t>2007</w:t>
      </w:r>
      <w:r>
        <w:rPr>
          <w:rtl/>
          <w:lang w:bidi="ar-EG"/>
        </w:rPr>
        <w:t>.</w:t>
      </w:r>
    </w:p>
    <w:p w14:paraId="4CF37754" w14:textId="77777777" w:rsidR="00D424DC" w:rsidRDefault="00D424DC" w:rsidP="00F92844">
      <w:pPr>
        <w:pStyle w:val="SingleTxtGA"/>
        <w:spacing w:line="346" w:lineRule="exact"/>
        <w:rPr>
          <w:rtl/>
          <w:lang w:bidi="ar-EG"/>
        </w:rPr>
      </w:pPr>
      <w:r w:rsidRPr="00350F98">
        <w:rPr>
          <w:rtl/>
          <w:lang w:bidi="ar-EG"/>
        </w:rPr>
        <w:t>129</w:t>
      </w:r>
      <w:r>
        <w:rPr>
          <w:rtl/>
          <w:lang w:bidi="ar-EG"/>
        </w:rPr>
        <w:t>-</w:t>
      </w:r>
      <w:r>
        <w:rPr>
          <w:rtl/>
          <w:lang w:bidi="ar-EG"/>
        </w:rPr>
        <w:tab/>
      </w:r>
      <w:r w:rsidRPr="00F92844">
        <w:rPr>
          <w:spacing w:val="-2"/>
          <w:rtl/>
          <w:lang w:bidi="ar-EG"/>
        </w:rPr>
        <w:t>ويختص هذا المجلس بالنظر في الطعون التي تُرفع ضد قرارات فردية تُتّخذ عملاً بالقوانين المتعلقة بشروط دخول الأجانب إلى أراضي البلد، وإقامتهم فيها، واستقرارهم بها، وإبعادهم منها، بما في ذلك القرارات</w:t>
      </w:r>
      <w:r>
        <w:rPr>
          <w:rtl/>
          <w:lang w:bidi="ar-EG"/>
        </w:rPr>
        <w:t xml:space="preserve"> التي تتخذها المفوضية العامة لشؤون اللاجئين وعديمي الجنسية فيما يتعلق بطلبات اللجوء، </w:t>
      </w:r>
      <w:r w:rsidRPr="00C918AE">
        <w:rPr>
          <w:spacing w:val="-2"/>
          <w:rtl/>
          <w:lang w:bidi="ar-EG"/>
        </w:rPr>
        <w:t>ويتصرف كهيئة ذات اختصاص قضائي كامل، أي أنه يجوز للمجلس أن يعدّل القرار أو يؤكده. وينظر المجلس أيضاً في الطعون التي تطلب إلغاء قرارات اتخذتها هيئات أو سلطات أخرى غير المفوضية العامة</w:t>
      </w:r>
      <w:r>
        <w:rPr>
          <w:rtl/>
          <w:lang w:bidi="ar-EG"/>
        </w:rPr>
        <w:t xml:space="preserve"> لشؤون اللاجئين وعديمي الجنسية من أجل انتهاك بعض الشروط الإجرائية الأساسية.</w:t>
      </w:r>
    </w:p>
    <w:p w14:paraId="3335AD27" w14:textId="77777777" w:rsidR="00D424DC" w:rsidRDefault="00D424DC" w:rsidP="00F92844">
      <w:pPr>
        <w:pStyle w:val="SingleTxtGA"/>
        <w:spacing w:line="346" w:lineRule="exact"/>
        <w:rPr>
          <w:rtl/>
          <w:lang w:bidi="ar-EG"/>
        </w:rPr>
      </w:pPr>
      <w:r w:rsidRPr="00350F98">
        <w:rPr>
          <w:rtl/>
          <w:lang w:bidi="ar-EG"/>
        </w:rPr>
        <w:t>130</w:t>
      </w:r>
      <w:r>
        <w:rPr>
          <w:rtl/>
          <w:lang w:bidi="ar-EG"/>
        </w:rPr>
        <w:t>-</w:t>
      </w:r>
      <w:r>
        <w:rPr>
          <w:rtl/>
          <w:lang w:bidi="ar-EG"/>
        </w:rPr>
        <w:tab/>
        <w:t>وتخضع القرارات التي يتخذها مجلس المنازعات الخاصة بالأجانب للنقض الإداري أمام مجلس الدولة.</w:t>
      </w:r>
    </w:p>
    <w:p w14:paraId="2D4090A1" w14:textId="77777777" w:rsidR="00D424DC" w:rsidRDefault="00D424DC" w:rsidP="00E64BF7">
      <w:pPr>
        <w:pStyle w:val="H4GA"/>
        <w:rPr>
          <w:rtl/>
          <w:lang w:bidi="ar-EG"/>
        </w:rPr>
      </w:pPr>
      <w:r>
        <w:rPr>
          <w:rtl/>
          <w:lang w:bidi="ar-EG"/>
        </w:rPr>
        <w:tab/>
        <w:t>(ج)</w:t>
      </w:r>
      <w:r>
        <w:rPr>
          <w:rtl/>
          <w:lang w:bidi="ar-EG"/>
        </w:rPr>
        <w:tab/>
        <w:t>إمكانية الاحتجاج بالمعاهدات أمام الهيئات القضائية الوطنية</w:t>
      </w:r>
    </w:p>
    <w:p w14:paraId="20F933B4" w14:textId="77777777" w:rsidR="00D424DC" w:rsidRDefault="00D424DC" w:rsidP="00D424DC">
      <w:pPr>
        <w:pStyle w:val="SingleTxtGA"/>
        <w:rPr>
          <w:rtl/>
          <w:lang w:bidi="ar-EG"/>
        </w:rPr>
      </w:pPr>
      <w:r w:rsidRPr="00350F98">
        <w:rPr>
          <w:rtl/>
          <w:lang w:bidi="ar-EG"/>
        </w:rPr>
        <w:t>131</w:t>
      </w:r>
      <w:r>
        <w:rPr>
          <w:rtl/>
          <w:lang w:bidi="ar-EG"/>
        </w:rPr>
        <w:t>-</w:t>
      </w:r>
      <w:r w:rsidRPr="00C918AE">
        <w:rPr>
          <w:spacing w:val="-2"/>
          <w:rtl/>
          <w:lang w:bidi="ar-EG"/>
        </w:rPr>
        <w:tab/>
        <w:t>إذا لم تتضمن معاهدة دولية بنداً ينص صراحةً على أن جميع القواعد الواردة فيها، أو جزءاً منها،</w:t>
      </w:r>
      <w:r>
        <w:rPr>
          <w:rtl/>
          <w:lang w:bidi="ar-EG"/>
        </w:rPr>
        <w:t xml:space="preserve"> يُحدِث أثراً مباشراً في النظام الداخلي للدول المتعاقدة، فإن القاضي هو من يُقرر بموجب القانون البلجيكي ما إذا كانت قاعدة من قواعد معاهدة دولية تنطبق مباشرةً. وهذه مشكلةُ تفسيرٍ يتعيّن على القاضي أن يجد </w:t>
      </w:r>
      <w:r w:rsidRPr="00C918AE">
        <w:rPr>
          <w:spacing w:val="-2"/>
          <w:rtl/>
          <w:lang w:bidi="ar-EG"/>
        </w:rPr>
        <w:t xml:space="preserve">حلاً لها بالاسترشاد على وجه الخصوص بالمواد من </w:t>
      </w:r>
      <w:r w:rsidRPr="00350F98">
        <w:rPr>
          <w:spacing w:val="-2"/>
          <w:rtl/>
          <w:lang w:bidi="ar-EG"/>
        </w:rPr>
        <w:t>31</w:t>
      </w:r>
      <w:r w:rsidRPr="00C918AE">
        <w:rPr>
          <w:spacing w:val="-2"/>
          <w:rtl/>
          <w:lang w:bidi="ar-EG"/>
        </w:rPr>
        <w:t xml:space="preserve"> إلى </w:t>
      </w:r>
      <w:r w:rsidRPr="00350F98">
        <w:rPr>
          <w:spacing w:val="-2"/>
          <w:rtl/>
          <w:lang w:bidi="ar-EG"/>
        </w:rPr>
        <w:t>33</w:t>
      </w:r>
      <w:r w:rsidRPr="00C918AE">
        <w:rPr>
          <w:spacing w:val="-2"/>
          <w:rtl/>
          <w:lang w:bidi="ar-EG"/>
        </w:rPr>
        <w:t xml:space="preserve"> من اتفاقية فيينا المتعلقة بقانون المعاهدات</w:t>
      </w:r>
      <w:r>
        <w:rPr>
          <w:rtl/>
          <w:lang w:bidi="ar-EG"/>
        </w:rPr>
        <w:t xml:space="preserve"> </w:t>
      </w:r>
      <w:r w:rsidRPr="00C918AE">
        <w:rPr>
          <w:spacing w:val="-2"/>
          <w:rtl/>
          <w:lang w:bidi="ar-EG"/>
        </w:rPr>
        <w:t xml:space="preserve">المؤرخة </w:t>
      </w:r>
      <w:r w:rsidRPr="00350F98">
        <w:rPr>
          <w:spacing w:val="-2"/>
          <w:rtl/>
          <w:lang w:bidi="ar-EG"/>
        </w:rPr>
        <w:t>23</w:t>
      </w:r>
      <w:r w:rsidRPr="00C918AE">
        <w:rPr>
          <w:spacing w:val="-2"/>
          <w:rtl/>
          <w:lang w:bidi="ar-EG"/>
        </w:rPr>
        <w:t xml:space="preserve"> أيار/مايو </w:t>
      </w:r>
      <w:r w:rsidRPr="00350F98">
        <w:rPr>
          <w:spacing w:val="-2"/>
          <w:rtl/>
          <w:lang w:bidi="ar-EG"/>
        </w:rPr>
        <w:t>1969</w:t>
      </w:r>
      <w:r w:rsidRPr="00C918AE">
        <w:rPr>
          <w:spacing w:val="-2"/>
          <w:rtl/>
          <w:lang w:bidi="ar-EG"/>
        </w:rPr>
        <w:t>. ومن المسلم به عموماً في بلجيكا أن أي قاعدة من القواعد الدولية تحدث آثاراً</w:t>
      </w:r>
      <w:r>
        <w:rPr>
          <w:rtl/>
          <w:lang w:bidi="ar-EG"/>
        </w:rPr>
        <w:t xml:space="preserve"> مباشرة عندما تكون واضحة وكاملة، وتفرض على الدولة البلجيكية إما أن تمتنع عن القيام بفعل ما أو أن تتصرف بطريقة محددة، ويمكن أن يحتج بها كمصدر من مصادر القانون دون الحاجة إلى تشريع داخلي تكميلي يتيح تطبيقها.</w:t>
      </w:r>
    </w:p>
    <w:p w14:paraId="1341313F" w14:textId="77777777" w:rsidR="00D424DC" w:rsidRDefault="00D424DC" w:rsidP="00D424DC">
      <w:pPr>
        <w:pStyle w:val="SingleTxtGA"/>
        <w:rPr>
          <w:rtl/>
          <w:lang w:bidi="ar-EG"/>
        </w:rPr>
      </w:pPr>
      <w:r w:rsidRPr="00350F98">
        <w:rPr>
          <w:rtl/>
          <w:lang w:bidi="ar-EG"/>
        </w:rPr>
        <w:t>132</w:t>
      </w:r>
      <w:r>
        <w:rPr>
          <w:rtl/>
          <w:lang w:bidi="ar-EG"/>
        </w:rPr>
        <w:t>-</w:t>
      </w:r>
      <w:r>
        <w:rPr>
          <w:rtl/>
          <w:lang w:bidi="ar-EG"/>
        </w:rPr>
        <w:tab/>
      </w:r>
      <w:r w:rsidRPr="00C918AE">
        <w:rPr>
          <w:spacing w:val="-4"/>
          <w:rtl/>
          <w:lang w:bidi="ar-EG"/>
        </w:rPr>
        <w:t>ويُشار في هذا الصدد، على سبيل المثال، إلى أن العهد الخاص بالحقوق المدنية والسياسية لا يُحدد</w:t>
      </w:r>
      <w:r>
        <w:rPr>
          <w:rtl/>
          <w:lang w:bidi="ar-EG"/>
        </w:rPr>
        <w:t xml:space="preserve"> صراحةً ما إذا كانت القواعد الواردة فيه ذات طابع يجعلها واجبة التطبيق بشكل مباشر. وبناءً عليه، ووفقاً للمبادئ المبيّنة آنفاً، فإن الحسم في مسألة انطباق القواعد الدولية انطباقاً مباشراً يعود إلى القاضي. وهذا ما فعلته محكمة النقض في بلجيكا في قرارها الصادر في </w:t>
      </w:r>
      <w:r w:rsidRPr="00350F98">
        <w:rPr>
          <w:rtl/>
          <w:lang w:bidi="ar-EG"/>
        </w:rPr>
        <w:t>17</w:t>
      </w:r>
      <w:r>
        <w:rPr>
          <w:rtl/>
          <w:lang w:bidi="ar-EG"/>
        </w:rPr>
        <w:t xml:space="preserve"> كانون الثاني/يناير </w:t>
      </w:r>
      <w:r w:rsidRPr="00350F98">
        <w:rPr>
          <w:rtl/>
          <w:lang w:bidi="ar-EG"/>
        </w:rPr>
        <w:t>1984</w:t>
      </w:r>
      <w:r>
        <w:rPr>
          <w:rtl/>
          <w:lang w:bidi="ar-EG"/>
        </w:rPr>
        <w:t xml:space="preserve"> عندما أكدت أن </w:t>
      </w:r>
      <w:r>
        <w:rPr>
          <w:rtl/>
          <w:lang w:bidi="ar-EG"/>
        </w:rPr>
        <w:lastRenderedPageBreak/>
        <w:t xml:space="preserve">الفقرة </w:t>
      </w:r>
      <w:r w:rsidRPr="00350F98">
        <w:rPr>
          <w:rtl/>
          <w:lang w:bidi="ar-EG"/>
        </w:rPr>
        <w:t>2</w:t>
      </w:r>
      <w:r>
        <w:rPr>
          <w:rtl/>
          <w:lang w:bidi="ar-EG"/>
        </w:rPr>
        <w:t xml:space="preserve"> من المادة </w:t>
      </w:r>
      <w:r w:rsidRPr="00350F98">
        <w:rPr>
          <w:rtl/>
          <w:lang w:bidi="ar-EG"/>
        </w:rPr>
        <w:t>9</w:t>
      </w:r>
      <w:r>
        <w:rPr>
          <w:rtl/>
          <w:lang w:bidi="ar-EG"/>
        </w:rPr>
        <w:t xml:space="preserve"> من العهد تُحدِث آثاراً مباشرة في النظام القانوني الداخلي بالنسبة إلى الأفراد. ومنذ ذلك التاريخ، أكدت محكمة النقض طابع الانطباق المباشر هذا فيما يتصل بأحكام أخرى من أحكام العهد.</w:t>
      </w:r>
    </w:p>
    <w:p w14:paraId="470B01D9" w14:textId="6983DAEF" w:rsidR="00D424DC" w:rsidRPr="00350F98" w:rsidRDefault="00D424DC" w:rsidP="00BC3DBA">
      <w:pPr>
        <w:pStyle w:val="H23GA"/>
        <w:rPr>
          <w:rtl/>
          <w:lang w:bidi="ar-EG"/>
        </w:rPr>
      </w:pPr>
      <w:r w:rsidRPr="00350F98">
        <w:rPr>
          <w:rtl/>
          <w:lang w:bidi="ar-EG"/>
        </w:rPr>
        <w:tab/>
      </w:r>
      <w:r w:rsidR="007501E7" w:rsidRPr="00350F98">
        <w:rPr>
          <w:rtl/>
          <w:lang w:bidi="ar-EG"/>
        </w:rPr>
        <w:t>4</w:t>
      </w:r>
      <w:r w:rsidRPr="00350F98">
        <w:rPr>
          <w:rtl/>
          <w:lang w:bidi="ar-EG"/>
        </w:rPr>
        <w:t>-</w:t>
      </w:r>
      <w:r w:rsidRPr="00350F98">
        <w:rPr>
          <w:rtl/>
          <w:lang w:bidi="ar-EG"/>
        </w:rPr>
        <w:tab/>
        <w:t>سبل الانتصاف المتاحة للشخص المتضرِّر</w:t>
      </w:r>
    </w:p>
    <w:p w14:paraId="0C52B202" w14:textId="77777777" w:rsidR="00D424DC" w:rsidRDefault="00D424DC" w:rsidP="00E64BF7">
      <w:pPr>
        <w:pStyle w:val="H4GA"/>
        <w:rPr>
          <w:rtl/>
          <w:lang w:bidi="ar-EG"/>
        </w:rPr>
      </w:pPr>
      <w:r>
        <w:rPr>
          <w:rtl/>
          <w:lang w:bidi="ar-EG"/>
        </w:rPr>
        <w:tab/>
        <w:t>(أ)</w:t>
      </w:r>
      <w:r>
        <w:rPr>
          <w:rtl/>
          <w:lang w:bidi="ar-EG"/>
        </w:rPr>
        <w:tab/>
        <w:t>السبل المتاحة للمتضررين من الجرائم للمطالبة بحقوقهم</w:t>
      </w:r>
    </w:p>
    <w:p w14:paraId="5B83B7D7" w14:textId="623F7895" w:rsidR="00D424DC" w:rsidRDefault="00D424DC" w:rsidP="00D424DC">
      <w:pPr>
        <w:pStyle w:val="SingleTxtGA"/>
        <w:rPr>
          <w:rtl/>
          <w:lang w:bidi="ar-EG"/>
        </w:rPr>
      </w:pPr>
      <w:r w:rsidRPr="00350F98">
        <w:rPr>
          <w:rtl/>
          <w:lang w:bidi="ar-EG"/>
        </w:rPr>
        <w:t>133</w:t>
      </w:r>
      <w:r>
        <w:rPr>
          <w:rtl/>
          <w:lang w:bidi="ar-EG"/>
        </w:rPr>
        <w:t>-</w:t>
      </w:r>
      <w:r>
        <w:rPr>
          <w:rtl/>
          <w:lang w:bidi="ar-EG"/>
        </w:rPr>
        <w:tab/>
      </w:r>
      <w:r w:rsidRPr="00F92844">
        <w:rPr>
          <w:spacing w:val="-2"/>
          <w:rtl/>
          <w:lang w:bidi="ar-EG"/>
        </w:rPr>
        <w:t xml:space="preserve">تتيح المادة </w:t>
      </w:r>
      <w:r w:rsidRPr="00350F98">
        <w:rPr>
          <w:spacing w:val="-2"/>
          <w:rtl/>
          <w:lang w:bidi="ar-EG"/>
        </w:rPr>
        <w:t>4</w:t>
      </w:r>
      <w:r w:rsidRPr="00F92844">
        <w:rPr>
          <w:spacing w:val="-2"/>
          <w:rtl/>
          <w:lang w:bidi="ar-EG"/>
        </w:rPr>
        <w:t xml:space="preserve"> من الباب التمهيدي من قانون التحقيقات الجنائية لضحية أي جريمة خيار رفع دعواه</w:t>
      </w:r>
      <w:r>
        <w:rPr>
          <w:rtl/>
          <w:lang w:bidi="ar-EG"/>
        </w:rPr>
        <w:t xml:space="preserve"> </w:t>
      </w:r>
      <w:r w:rsidRPr="00F92844">
        <w:rPr>
          <w:spacing w:val="-2"/>
          <w:rtl/>
          <w:lang w:bidi="ar-EG"/>
        </w:rPr>
        <w:t>أمام القضاء الجنائي أو أمام القضاء المدني. وللضحية الحرية المُطلقة في الاختيار بينهما. وتختلف الدعوى</w:t>
      </w:r>
      <w:r>
        <w:rPr>
          <w:rtl/>
          <w:lang w:bidi="ar-EG"/>
        </w:rPr>
        <w:t xml:space="preserve"> المدنية اختلافاً تاماً عن الدعوى العمومية: فيمكن تحريك الدعوى العمومية حتى إن لم تُسبّب الجريمة أي</w:t>
      </w:r>
      <w:r w:rsidR="00F92844">
        <w:rPr>
          <w:rFonts w:hint="cs"/>
          <w:rtl/>
          <w:lang w:bidi="ar-EG"/>
        </w:rPr>
        <w:t> </w:t>
      </w:r>
      <w:r>
        <w:rPr>
          <w:rtl/>
          <w:lang w:bidi="ar-EG"/>
        </w:rPr>
        <w:t>ضرر أو إذا لم تطالب الضحية بالتعويض وبجبر الضرر؛ أما الدعوى المدنية، فيمكن تحريكها دون دعوى عمومية.</w:t>
      </w:r>
    </w:p>
    <w:p w14:paraId="67308706" w14:textId="77777777" w:rsidR="00D424DC" w:rsidRDefault="00D424DC" w:rsidP="00D424DC">
      <w:pPr>
        <w:pStyle w:val="SingleTxtGA"/>
        <w:rPr>
          <w:rtl/>
          <w:lang w:bidi="ar-EG"/>
        </w:rPr>
      </w:pPr>
      <w:r w:rsidRPr="00350F98">
        <w:rPr>
          <w:rtl/>
          <w:lang w:bidi="ar-EG"/>
        </w:rPr>
        <w:t>134</w:t>
      </w:r>
      <w:r>
        <w:rPr>
          <w:rtl/>
          <w:lang w:bidi="ar-EG"/>
        </w:rPr>
        <w:t>-</w:t>
      </w:r>
      <w:r>
        <w:rPr>
          <w:rtl/>
          <w:lang w:bidi="ar-EG"/>
        </w:rPr>
        <w:tab/>
        <w:t>ويمكن من حيث المبدأ رفع الدعوى المدنية أمام المحاكم الجنائية شريطة أن ترفع النيابة العامة الدعوى العمومية أمام هذه المحاكم "في نفس الوقت وأمام نفس القضاة". وتكون الدعوى المدنية، بالنسبة إلى القاضي الجنائي، تابعة للدعوى العمومية.</w:t>
      </w:r>
    </w:p>
    <w:p w14:paraId="4BB8DBCD" w14:textId="77777777" w:rsidR="00D424DC" w:rsidRDefault="00D424DC" w:rsidP="00E64BF7">
      <w:pPr>
        <w:pStyle w:val="H4GA"/>
        <w:rPr>
          <w:rtl/>
          <w:lang w:bidi="ar-EG"/>
        </w:rPr>
      </w:pPr>
      <w:r>
        <w:rPr>
          <w:rtl/>
          <w:lang w:bidi="ar-EG"/>
        </w:rPr>
        <w:tab/>
        <w:t>(ب)</w:t>
      </w:r>
      <w:r>
        <w:rPr>
          <w:rtl/>
          <w:lang w:bidi="ar-EG"/>
        </w:rPr>
        <w:tab/>
        <w:t>في إطار الإجراءات الجنائية</w:t>
      </w:r>
    </w:p>
    <w:p w14:paraId="0DD53386" w14:textId="77777777" w:rsidR="00D424DC" w:rsidRDefault="00D424DC" w:rsidP="00D424DC">
      <w:pPr>
        <w:pStyle w:val="SingleTxtGA"/>
        <w:rPr>
          <w:rtl/>
          <w:lang w:bidi="ar-EG"/>
        </w:rPr>
      </w:pPr>
      <w:r w:rsidRPr="00350F98">
        <w:rPr>
          <w:rtl/>
          <w:lang w:bidi="ar-EG"/>
        </w:rPr>
        <w:t>135</w:t>
      </w:r>
      <w:r>
        <w:rPr>
          <w:rtl/>
          <w:lang w:bidi="ar-EG"/>
        </w:rPr>
        <w:t>-</w:t>
      </w:r>
      <w:r>
        <w:rPr>
          <w:rtl/>
          <w:lang w:bidi="ar-EG"/>
        </w:rPr>
        <w:tab/>
        <w:t>تتاح لضحية جريمة من الجرائم سبل متعددة للتدخّل في الإجراءات الجنائية. وفيما يلي فكرة موجزة عن هذه السبل.</w:t>
      </w:r>
    </w:p>
    <w:p w14:paraId="47264C4F" w14:textId="77777777" w:rsidR="00D424DC" w:rsidRDefault="00D424DC" w:rsidP="00E64BF7">
      <w:pPr>
        <w:pStyle w:val="H4GA"/>
        <w:rPr>
          <w:rtl/>
          <w:lang w:bidi="ar-EG"/>
        </w:rPr>
      </w:pPr>
      <w:r>
        <w:rPr>
          <w:rtl/>
          <w:lang w:bidi="ar-EG"/>
        </w:rPr>
        <w:tab/>
        <w:t>(ج)</w:t>
      </w:r>
      <w:r>
        <w:rPr>
          <w:rtl/>
          <w:lang w:bidi="ar-EG"/>
        </w:rPr>
        <w:tab/>
        <w:t>صفة الشخص المتضرِّر</w:t>
      </w:r>
    </w:p>
    <w:p w14:paraId="234A481F" w14:textId="3A870510" w:rsidR="00D424DC" w:rsidRDefault="00D424DC" w:rsidP="00E64BF7">
      <w:pPr>
        <w:pStyle w:val="SingleTxtGA"/>
        <w:spacing w:line="350" w:lineRule="exact"/>
        <w:rPr>
          <w:rtl/>
          <w:lang w:bidi="ar-EG"/>
        </w:rPr>
      </w:pPr>
      <w:r w:rsidRPr="00350F98">
        <w:rPr>
          <w:rtl/>
          <w:lang w:bidi="ar-EG"/>
        </w:rPr>
        <w:t>136</w:t>
      </w:r>
      <w:r>
        <w:rPr>
          <w:rtl/>
          <w:lang w:bidi="ar-EG"/>
        </w:rPr>
        <w:t>-</w:t>
      </w:r>
      <w:r>
        <w:rPr>
          <w:rtl/>
          <w:lang w:bidi="ar-EG"/>
        </w:rPr>
        <w:tab/>
        <w:t>يمكن اكتساب صفة الشخص المتضرر إما بتقديم استمارة نموذجية يتم ملؤها عند الاستماع إليه لدى الشرطة، أو بتسليم هذه الاستمارة في وقت لاحق في أحد مكاتب الشرطة أو بمكتب النيابة العامة، أو</w:t>
      </w:r>
      <w:r w:rsidR="00F92844">
        <w:rPr>
          <w:rFonts w:hint="cs"/>
          <w:rtl/>
          <w:lang w:bidi="ar-EG"/>
        </w:rPr>
        <w:t> </w:t>
      </w:r>
      <w:r>
        <w:rPr>
          <w:rtl/>
          <w:lang w:bidi="ar-EG"/>
        </w:rPr>
        <w:t xml:space="preserve">بإرسال هذه الاستمارة في رسالة مسجلة إلى مكتب النيابة (المادة </w:t>
      </w:r>
      <w:r w:rsidRPr="00350F98">
        <w:rPr>
          <w:rtl/>
          <w:lang w:bidi="ar-EG"/>
        </w:rPr>
        <w:t>5</w:t>
      </w:r>
      <w:r>
        <w:rPr>
          <w:rtl/>
          <w:lang w:bidi="ar-EG"/>
        </w:rPr>
        <w:t xml:space="preserve"> مكرراً من الباب التمهيدي من قانون التحقيقات الجنائية). ويحق للشخص المتضرِّر أن يُبلَّغ بأي قرار بحفظ الدعوى وبتعليله، أو بفتح تحقيق في الدعوى وتحديد موعد لجلسة استماع أمام قاضي التحقيق أو المحكمة التي ستنطق بالحكم. </w:t>
      </w:r>
      <w:r w:rsidRPr="0030688B">
        <w:rPr>
          <w:spacing w:val="-2"/>
          <w:rtl/>
          <w:lang w:bidi="ar-EG"/>
        </w:rPr>
        <w:t>ويمكن للشخص المتضرِّر أيضاً أن يودع في ملف الدعوى أية وثائق يراها مفيدة. ويحق للشخص المتضرر</w:t>
      </w:r>
      <w:r>
        <w:rPr>
          <w:rtl/>
          <w:lang w:bidi="ar-EG"/>
        </w:rPr>
        <w:t xml:space="preserve"> أيضاً طلب الإذن بالاطلاع على الملف والحصول على نسخة منه. وإذا كان الملف في مرحلة التقصي، يجوز توجيه طلب إلى وكيل الملك. وإذا كان الملف في مرحلة التحقيق، فإنه يمكن توجيه الطلب إلى </w:t>
      </w:r>
      <w:r w:rsidRPr="00D37282">
        <w:rPr>
          <w:spacing w:val="-2"/>
          <w:rtl/>
          <w:lang w:bidi="ar-EG"/>
        </w:rPr>
        <w:t>قاضي التحقيق. وفي نهاية التحقيق، وعندما يجري النظر في القضية من قبل محكمة التحقيق، يُبلَّغ الشخص</w:t>
      </w:r>
      <w:r>
        <w:rPr>
          <w:rtl/>
          <w:lang w:bidi="ar-EG"/>
        </w:rPr>
        <w:t xml:space="preserve"> المتضرر بأن الملف متاح لدى السجل (للاطلاع عليه و/أو الحصول على نسخة منه).</w:t>
      </w:r>
    </w:p>
    <w:p w14:paraId="73BD836F" w14:textId="77777777" w:rsidR="00D424DC" w:rsidRDefault="00D424DC" w:rsidP="00E64BF7">
      <w:pPr>
        <w:pStyle w:val="SingleTxtGA"/>
        <w:spacing w:line="350" w:lineRule="exact"/>
        <w:rPr>
          <w:rtl/>
          <w:lang w:bidi="ar-EG"/>
        </w:rPr>
      </w:pPr>
      <w:r w:rsidRPr="00350F98">
        <w:rPr>
          <w:rtl/>
          <w:lang w:bidi="ar-EG"/>
        </w:rPr>
        <w:t>137</w:t>
      </w:r>
      <w:r>
        <w:rPr>
          <w:rtl/>
          <w:lang w:bidi="ar-EG"/>
        </w:rPr>
        <w:t>-</w:t>
      </w:r>
      <w:r>
        <w:rPr>
          <w:rtl/>
          <w:lang w:bidi="ar-EG"/>
        </w:rPr>
        <w:tab/>
        <w:t>وإذا أُحيلت القضية إلى المحكمة التي ستنطق بالحكم، لا يكفي أن يقدم المدَّعي شكواه أو أن يضفي على نفسه صفة الشخص المتضرِّر كي يحصل على تعويض عما تكبّده من ضرر.</w:t>
      </w:r>
    </w:p>
    <w:p w14:paraId="48681FAD" w14:textId="77777777" w:rsidR="00D424DC" w:rsidRDefault="00D424DC" w:rsidP="00E64BF7">
      <w:pPr>
        <w:pStyle w:val="SingleTxtGA"/>
        <w:spacing w:line="350" w:lineRule="exact"/>
        <w:rPr>
          <w:rtl/>
          <w:lang w:bidi="ar-EG"/>
        </w:rPr>
      </w:pPr>
      <w:r w:rsidRPr="00350F98">
        <w:rPr>
          <w:rtl/>
          <w:lang w:bidi="ar-EG"/>
        </w:rPr>
        <w:t>138</w:t>
      </w:r>
      <w:r>
        <w:rPr>
          <w:rtl/>
          <w:lang w:bidi="ar-EG"/>
        </w:rPr>
        <w:t>-</w:t>
      </w:r>
      <w:r>
        <w:rPr>
          <w:rtl/>
          <w:lang w:bidi="ar-EG"/>
        </w:rPr>
        <w:tab/>
        <w:t>ويجب على الشخص المتضرِّر أن يتوجه إلى المحكمة عن طريق رفع دعوى مدنية - تُسمى "دعوى المطالبة بالحق المدني" - ويمكنه أيضاً أن يختار إجراء الدعوى المدنية الصرف بإحالة قضيته إلى القاضي المدني (انظر أعلاه).</w:t>
      </w:r>
    </w:p>
    <w:p w14:paraId="5D940E7B" w14:textId="77777777" w:rsidR="00D424DC" w:rsidRDefault="00D424DC" w:rsidP="00E64BF7">
      <w:pPr>
        <w:pStyle w:val="H4GA"/>
        <w:rPr>
          <w:rtl/>
          <w:lang w:bidi="ar-EG"/>
        </w:rPr>
      </w:pPr>
      <w:r>
        <w:rPr>
          <w:rtl/>
          <w:lang w:bidi="ar-EG"/>
        </w:rPr>
        <w:tab/>
        <w:t>(د)</w:t>
      </w:r>
      <w:r>
        <w:rPr>
          <w:rtl/>
          <w:lang w:bidi="ar-EG"/>
        </w:rPr>
        <w:tab/>
        <w:t>الضرر والدعوى المدنية</w:t>
      </w:r>
    </w:p>
    <w:p w14:paraId="13FC6E56" w14:textId="77777777" w:rsidR="00D424DC" w:rsidRDefault="00D424DC" w:rsidP="00F92844">
      <w:pPr>
        <w:pStyle w:val="SingleTxtGA"/>
        <w:spacing w:line="350" w:lineRule="exact"/>
        <w:rPr>
          <w:rtl/>
          <w:lang w:bidi="ar-EG"/>
        </w:rPr>
      </w:pPr>
      <w:r w:rsidRPr="00350F98">
        <w:rPr>
          <w:rtl/>
          <w:lang w:bidi="ar-EG"/>
        </w:rPr>
        <w:t>139</w:t>
      </w:r>
      <w:r>
        <w:rPr>
          <w:rtl/>
          <w:lang w:bidi="ar-EG"/>
        </w:rPr>
        <w:t>-</w:t>
      </w:r>
      <w:r>
        <w:rPr>
          <w:rtl/>
          <w:lang w:bidi="ar-EG"/>
        </w:rPr>
        <w:tab/>
      </w:r>
      <w:r w:rsidRPr="00D37282">
        <w:rPr>
          <w:spacing w:val="-2"/>
          <w:rtl/>
          <w:lang w:bidi="ar-EG"/>
        </w:rPr>
        <w:t>يمكن للضحية، عن طريق رفع دعوى للمطالبة بالحق المدني، لا أن تطلب الحصول على تعويض</w:t>
      </w:r>
      <w:r>
        <w:rPr>
          <w:rtl/>
          <w:lang w:bidi="ar-EG"/>
        </w:rPr>
        <w:t xml:space="preserve"> عن الضرر فحسب، وإنما أن تتمتع أيضاً بعدد من الحقوق في إطار الإجراءات الجنائية:</w:t>
      </w:r>
    </w:p>
    <w:p w14:paraId="56219110" w14:textId="788980B0" w:rsidR="00D424DC" w:rsidRDefault="00D424DC" w:rsidP="00F92844">
      <w:pPr>
        <w:pStyle w:val="Bullet1GA"/>
        <w:spacing w:line="350" w:lineRule="exact"/>
        <w:rPr>
          <w:rtl/>
          <w:lang w:bidi="ar-EG"/>
        </w:rPr>
      </w:pPr>
      <w:r>
        <w:rPr>
          <w:rtl/>
          <w:lang w:bidi="ar-EG"/>
        </w:rPr>
        <w:lastRenderedPageBreak/>
        <w:t>يمكن للضحية، حسب شروط معيّنة وفي أوقات محدّدة، أن تطلب إلى قاضي التحقيق النظر في الملف الجنائي، وعلى وجه التحديد الجزء من الملف المتعلق بالوقائع التي أفضت إلى رفع دعوى المطالبة بالحق المدني؛</w:t>
      </w:r>
    </w:p>
    <w:p w14:paraId="60C6F903" w14:textId="4E1AC6F7" w:rsidR="00D424DC" w:rsidRDefault="00D424DC" w:rsidP="00F92844">
      <w:pPr>
        <w:pStyle w:val="Bullet1GA"/>
        <w:spacing w:line="350" w:lineRule="exact"/>
        <w:rPr>
          <w:rtl/>
          <w:lang w:bidi="ar-EG"/>
        </w:rPr>
      </w:pPr>
      <w:r>
        <w:rPr>
          <w:rtl/>
          <w:lang w:bidi="ar-EG"/>
        </w:rPr>
        <w:t>يمكن للضحية، حسب شروط معينة أيضاً، أن تطلب إلى قاضي التحقيق إجراء تحقيقات إضافية.</w:t>
      </w:r>
    </w:p>
    <w:p w14:paraId="4C4BDF00" w14:textId="77777777" w:rsidR="00D424DC" w:rsidRDefault="00D424DC" w:rsidP="00F92844">
      <w:pPr>
        <w:pStyle w:val="SingleTxtGA"/>
        <w:spacing w:line="350" w:lineRule="exact"/>
        <w:rPr>
          <w:rtl/>
          <w:lang w:bidi="ar-EG"/>
        </w:rPr>
      </w:pPr>
      <w:r w:rsidRPr="00350F98">
        <w:rPr>
          <w:rtl/>
          <w:lang w:bidi="ar-EG"/>
        </w:rPr>
        <w:t>140</w:t>
      </w:r>
      <w:r>
        <w:rPr>
          <w:rtl/>
          <w:lang w:bidi="ar-EG"/>
        </w:rPr>
        <w:t>-</w:t>
      </w:r>
      <w:r>
        <w:rPr>
          <w:rtl/>
          <w:lang w:bidi="ar-EG"/>
        </w:rPr>
        <w:tab/>
        <w:t>وإذا أعلنت المحكمة الناطقة بالحكم أن الدعوى المدنية مقبولة وقائمة على أسس صحيحة، يمكن للضحية أيضاً أن تمارس عدداً من الحقوق خلال مرحلة تنفيذ العقوبة.</w:t>
      </w:r>
    </w:p>
    <w:p w14:paraId="15B6E6F5" w14:textId="77777777" w:rsidR="00D424DC" w:rsidRDefault="00D424DC" w:rsidP="00F92844">
      <w:pPr>
        <w:pStyle w:val="SingleTxtGA"/>
        <w:spacing w:line="350" w:lineRule="exact"/>
        <w:rPr>
          <w:rtl/>
          <w:lang w:bidi="ar-EG"/>
        </w:rPr>
      </w:pPr>
      <w:r w:rsidRPr="00350F98">
        <w:rPr>
          <w:rtl/>
          <w:lang w:bidi="ar-EG"/>
        </w:rPr>
        <w:t>141</w:t>
      </w:r>
      <w:r>
        <w:rPr>
          <w:rtl/>
          <w:lang w:bidi="ar-EG"/>
        </w:rPr>
        <w:t>-</w:t>
      </w:r>
      <w:r>
        <w:rPr>
          <w:rtl/>
          <w:lang w:bidi="ar-EG"/>
        </w:rPr>
        <w:tab/>
        <w:t>ويجوز للضحية أن ترفع دعوى للمطالبة بالحق المدني بطرق مختلفة وفي أوقات مختلفة.</w:t>
      </w:r>
    </w:p>
    <w:p w14:paraId="24C70452" w14:textId="77777777" w:rsidR="00D424DC" w:rsidRDefault="00D424DC" w:rsidP="00F92844">
      <w:pPr>
        <w:pStyle w:val="SingleTxtGA"/>
        <w:spacing w:line="350" w:lineRule="exact"/>
        <w:rPr>
          <w:rtl/>
          <w:lang w:bidi="ar-EG"/>
        </w:rPr>
      </w:pPr>
      <w:r w:rsidRPr="00350F98">
        <w:rPr>
          <w:rtl/>
          <w:lang w:bidi="ar-EG"/>
        </w:rPr>
        <w:t>142</w:t>
      </w:r>
      <w:r>
        <w:rPr>
          <w:rtl/>
          <w:lang w:bidi="ar-EG"/>
        </w:rPr>
        <w:t>-</w:t>
      </w:r>
      <w:r>
        <w:rPr>
          <w:rtl/>
          <w:lang w:bidi="ar-EG"/>
        </w:rPr>
        <w:tab/>
        <w:t xml:space="preserve">فيمكنها القيام بذلك بمجرد تصريح أمام قاضي التحقيق. وفي غياب أية تحقيقات جارية، يجب على الضحية التي ترغب في المطالبة بالحق المدني أن تودع مبلغاً مالياً معيّناً (إيداع). أما إذا كان التحقيق جارياً، فإن المدعي بالحق المدني ينضم إلى الدعوى العمومية. ويمكن للضحية أيضاً رفع دعوى للمطالبة بالحق المدني عندما تكون القضية قيد نظر قاضي التحقيق أو خلال جلسة الاستماع أمام </w:t>
      </w:r>
      <w:r w:rsidRPr="00F92844">
        <w:rPr>
          <w:spacing w:val="-4"/>
          <w:rtl/>
          <w:lang w:bidi="ar-EG"/>
        </w:rPr>
        <w:t>المحكمة التي ستنطق بالحكم، لكن ذلك لا يصبح ممكنا عندما تكون القضية قد بلغت بالفعل درجة الاستئناف.</w:t>
      </w:r>
    </w:p>
    <w:p w14:paraId="01FD83ED" w14:textId="77777777" w:rsidR="00D424DC" w:rsidRDefault="00D424DC" w:rsidP="00E64BF7">
      <w:pPr>
        <w:pStyle w:val="H4GA"/>
        <w:rPr>
          <w:rtl/>
          <w:lang w:bidi="ar-EG"/>
        </w:rPr>
      </w:pPr>
      <w:r>
        <w:rPr>
          <w:rtl/>
          <w:lang w:bidi="ar-EG"/>
        </w:rPr>
        <w:tab/>
        <w:t>(هـ)</w:t>
      </w:r>
      <w:r>
        <w:rPr>
          <w:rtl/>
          <w:lang w:bidi="ar-EG"/>
        </w:rPr>
        <w:tab/>
        <w:t>التكليف المباشر بالحضور</w:t>
      </w:r>
    </w:p>
    <w:p w14:paraId="75BACF2B" w14:textId="77777777" w:rsidR="00D424DC" w:rsidRPr="00F92844" w:rsidRDefault="00D424DC" w:rsidP="00F92844">
      <w:pPr>
        <w:pStyle w:val="SingleTxtGA"/>
        <w:spacing w:line="350" w:lineRule="exact"/>
        <w:rPr>
          <w:spacing w:val="-6"/>
          <w:rtl/>
          <w:lang w:bidi="ar-EG"/>
        </w:rPr>
      </w:pPr>
      <w:r w:rsidRPr="00350F98">
        <w:rPr>
          <w:spacing w:val="-6"/>
          <w:rtl/>
          <w:lang w:bidi="ar-EG"/>
        </w:rPr>
        <w:t>143</w:t>
      </w:r>
      <w:r w:rsidRPr="00F92844">
        <w:rPr>
          <w:spacing w:val="-6"/>
          <w:rtl/>
          <w:lang w:bidi="ar-EG"/>
        </w:rPr>
        <w:t>-</w:t>
      </w:r>
      <w:r w:rsidRPr="00F92844">
        <w:rPr>
          <w:spacing w:val="-6"/>
          <w:rtl/>
          <w:lang w:bidi="ar-EG"/>
        </w:rPr>
        <w:tab/>
      </w:r>
      <w:r w:rsidRPr="00D37282">
        <w:rPr>
          <w:rtl/>
          <w:lang w:bidi="ar-EG"/>
        </w:rPr>
        <w:t>في حالات المخالفات والجُنح، يمكن للضحية أن تختار إجراء التكليف المباشر بالحضور. ولهذا الغرض، يجب أن يُكلّف المدعى عليه بالحضور عن طريق مُحضر، ويتعين على الضحية أن</w:t>
      </w:r>
      <w:r w:rsidRPr="00F92844">
        <w:rPr>
          <w:spacing w:val="-6"/>
          <w:rtl/>
          <w:lang w:bidi="ar-EG"/>
        </w:rPr>
        <w:t xml:space="preserve"> ترفع دعوى المطالبة بالحق المدني خلال جلسة الاستماع. ولا يمكن اتباع إجراء التكليف المباشر بالحضور في حالة القُصّر.</w:t>
      </w:r>
    </w:p>
    <w:p w14:paraId="1AAAAE0B" w14:textId="77777777" w:rsidR="00D424DC" w:rsidRDefault="00D424DC" w:rsidP="00E64BF7">
      <w:pPr>
        <w:pStyle w:val="H4GA"/>
        <w:rPr>
          <w:rtl/>
          <w:lang w:bidi="ar-EG"/>
        </w:rPr>
      </w:pPr>
      <w:r>
        <w:rPr>
          <w:rtl/>
          <w:lang w:bidi="ar-EG"/>
        </w:rPr>
        <w:tab/>
        <w:t>(و)</w:t>
      </w:r>
      <w:r>
        <w:rPr>
          <w:rtl/>
          <w:lang w:bidi="ar-EG"/>
        </w:rPr>
        <w:tab/>
        <w:t>الطعون</w:t>
      </w:r>
    </w:p>
    <w:p w14:paraId="20E3AB7F" w14:textId="77777777" w:rsidR="00D424DC" w:rsidRDefault="00D424DC" w:rsidP="00F92844">
      <w:pPr>
        <w:pStyle w:val="SingleTxtGA"/>
        <w:spacing w:line="350" w:lineRule="exact"/>
        <w:rPr>
          <w:rtl/>
          <w:lang w:bidi="ar-EG"/>
        </w:rPr>
      </w:pPr>
      <w:r w:rsidRPr="00350F98">
        <w:rPr>
          <w:rtl/>
          <w:lang w:bidi="ar-EG"/>
        </w:rPr>
        <w:t>144</w:t>
      </w:r>
      <w:r>
        <w:rPr>
          <w:rtl/>
          <w:lang w:bidi="ar-EG"/>
        </w:rPr>
        <w:t>-</w:t>
      </w:r>
      <w:r>
        <w:rPr>
          <w:rtl/>
          <w:lang w:bidi="ar-EG"/>
        </w:rPr>
        <w:tab/>
        <w:t>هناك إمكانية للطعن. فيمكن للضحية أن تطعن بالاستئناف للأسباب التالية:</w:t>
      </w:r>
    </w:p>
    <w:p w14:paraId="5936F643" w14:textId="3422E530" w:rsidR="00D424DC" w:rsidRDefault="00D424DC" w:rsidP="00F92844">
      <w:pPr>
        <w:pStyle w:val="Bullet1GA"/>
        <w:spacing w:line="350" w:lineRule="exact"/>
        <w:rPr>
          <w:rtl/>
          <w:lang w:bidi="ar-EG"/>
        </w:rPr>
      </w:pPr>
      <w:r>
        <w:rPr>
          <w:rtl/>
          <w:lang w:bidi="ar-EG"/>
        </w:rPr>
        <w:t>إذا ردّت المحكمة التي ستنطق بالحكم طلب التعويض؛</w:t>
      </w:r>
    </w:p>
    <w:p w14:paraId="2C923AFD" w14:textId="39BF3CBA" w:rsidR="00D424DC" w:rsidRDefault="00D424DC" w:rsidP="00F92844">
      <w:pPr>
        <w:pStyle w:val="Bullet1GA"/>
        <w:spacing w:line="350" w:lineRule="exact"/>
        <w:rPr>
          <w:rtl/>
          <w:lang w:bidi="ar-EG"/>
        </w:rPr>
      </w:pPr>
      <w:r>
        <w:rPr>
          <w:rtl/>
          <w:lang w:bidi="ar-EG"/>
        </w:rPr>
        <w:t>إذا اعتبرت الضحية أن المبلغ</w:t>
      </w:r>
      <w:r w:rsidR="00A26F14">
        <w:rPr>
          <w:rFonts w:hint="cs"/>
          <w:rtl/>
          <w:lang w:bidi="ar-EG"/>
        </w:rPr>
        <w:t xml:space="preserve"> </w:t>
      </w:r>
      <w:r>
        <w:rPr>
          <w:rtl/>
          <w:lang w:bidi="ar-EG"/>
        </w:rPr>
        <w:t>المحكوم به غير كافٍ.</w:t>
      </w:r>
    </w:p>
    <w:p w14:paraId="00EDBCCD" w14:textId="77777777" w:rsidR="00D424DC" w:rsidRDefault="00D424DC" w:rsidP="00D424DC">
      <w:pPr>
        <w:pStyle w:val="SingleTxtGA"/>
        <w:rPr>
          <w:rtl/>
          <w:lang w:bidi="ar-EG"/>
        </w:rPr>
      </w:pPr>
      <w:r w:rsidRPr="00350F98">
        <w:rPr>
          <w:rtl/>
          <w:lang w:bidi="ar-EG"/>
        </w:rPr>
        <w:t>145</w:t>
      </w:r>
      <w:r>
        <w:rPr>
          <w:rtl/>
          <w:lang w:bidi="ar-EG"/>
        </w:rPr>
        <w:t>-</w:t>
      </w:r>
      <w:r>
        <w:rPr>
          <w:rtl/>
          <w:lang w:bidi="ar-EG"/>
        </w:rPr>
        <w:tab/>
        <w:t>غير أنه لا يحق للضحية أن تطعن بالاستئناف لأنها لا توافق على العقوبة التي أُنزلت بالمدعى عليه. فالنيابة العامة وحدها مخوّلة القيام بذلك. ويؤدي الاستئناف إلى إعادة النظر في القضية من جانب هيئة قضائية أعلى درجة.</w:t>
      </w:r>
    </w:p>
    <w:p w14:paraId="3B70C37D" w14:textId="77777777" w:rsidR="00D424DC" w:rsidRDefault="00D424DC" w:rsidP="00E64BF7">
      <w:pPr>
        <w:pStyle w:val="H4GA"/>
        <w:rPr>
          <w:rtl/>
          <w:lang w:bidi="ar-EG"/>
        </w:rPr>
      </w:pPr>
      <w:r>
        <w:rPr>
          <w:rtl/>
          <w:lang w:bidi="ar-EG"/>
        </w:rPr>
        <w:tab/>
        <w:t>(ز)</w:t>
      </w:r>
      <w:r>
        <w:rPr>
          <w:rtl/>
          <w:lang w:bidi="ar-EG"/>
        </w:rPr>
        <w:tab/>
        <w:t>في إطار الإجراءات المدنية</w:t>
      </w:r>
    </w:p>
    <w:p w14:paraId="70086308" w14:textId="2185807E" w:rsidR="00D424DC" w:rsidRDefault="00D424DC" w:rsidP="00D424DC">
      <w:pPr>
        <w:pStyle w:val="SingleTxtGA"/>
        <w:rPr>
          <w:rtl/>
          <w:lang w:bidi="ar-EG"/>
        </w:rPr>
      </w:pPr>
      <w:r w:rsidRPr="00350F98">
        <w:rPr>
          <w:rtl/>
          <w:lang w:bidi="ar-EG"/>
        </w:rPr>
        <w:t>146</w:t>
      </w:r>
      <w:r>
        <w:rPr>
          <w:rtl/>
          <w:lang w:bidi="ar-EG"/>
        </w:rPr>
        <w:t>-</w:t>
      </w:r>
      <w:r>
        <w:rPr>
          <w:rtl/>
          <w:lang w:bidi="ar-EG"/>
        </w:rPr>
        <w:tab/>
        <w:t>يمكن للضحية أيضاً أن تختار إقامة دعوى مدنية</w:t>
      </w:r>
      <w:r w:rsidR="000C7FF8">
        <w:rPr>
          <w:rFonts w:hint="cs"/>
          <w:rtl/>
          <w:lang w:bidi="ar-EG"/>
        </w:rPr>
        <w:t xml:space="preserve"> </w:t>
      </w:r>
      <w:proofErr w:type="gramStart"/>
      <w:r>
        <w:rPr>
          <w:rtl/>
          <w:lang w:bidi="ar-EG"/>
        </w:rPr>
        <w:t>صرفة</w:t>
      </w:r>
      <w:proofErr w:type="gramEnd"/>
      <w:r>
        <w:rPr>
          <w:rtl/>
          <w:lang w:bidi="ar-EG"/>
        </w:rPr>
        <w:t>، بأن تلجأ إلى القاضي المدني. وفي هذه الحالة، يجب على الضحية أن تقدّم ما يُثبت الخطأ الذي ارتُكب في حقها، وعلى القاضي المدني أن ينتظر إغلاق ملف القضية أمام المحكمة التي ستنطق بالحكم.</w:t>
      </w:r>
    </w:p>
    <w:p w14:paraId="0CCC204C" w14:textId="77777777" w:rsidR="00D424DC" w:rsidRDefault="00D424DC" w:rsidP="00E64BF7">
      <w:pPr>
        <w:pStyle w:val="H4GA"/>
        <w:rPr>
          <w:rtl/>
          <w:lang w:bidi="ar-EG"/>
        </w:rPr>
      </w:pPr>
      <w:r>
        <w:rPr>
          <w:rtl/>
          <w:lang w:bidi="ar-EG"/>
        </w:rPr>
        <w:tab/>
        <w:t>(ح)</w:t>
      </w:r>
      <w:r>
        <w:rPr>
          <w:rtl/>
          <w:lang w:bidi="ar-EG"/>
        </w:rPr>
        <w:tab/>
        <w:t>الاعتراف بمحكمة إقليمية لحقوق الإنسان</w:t>
      </w:r>
    </w:p>
    <w:p w14:paraId="0DFFB6CA" w14:textId="0F56AB97" w:rsidR="00D424DC" w:rsidRPr="00E64BF7" w:rsidRDefault="00D424DC" w:rsidP="00D424DC">
      <w:pPr>
        <w:pStyle w:val="SingleTxtGA"/>
        <w:rPr>
          <w:spacing w:val="-4"/>
          <w:rtl/>
          <w:lang w:bidi="ar-EG"/>
        </w:rPr>
      </w:pPr>
      <w:r w:rsidRPr="00E64BF7">
        <w:rPr>
          <w:spacing w:val="-4"/>
          <w:rtl/>
          <w:lang w:bidi="ar-EG"/>
        </w:rPr>
        <w:t>147-</w:t>
      </w:r>
      <w:r w:rsidRPr="00E64BF7">
        <w:rPr>
          <w:spacing w:val="-4"/>
          <w:rtl/>
          <w:lang w:bidi="ar-EG"/>
        </w:rPr>
        <w:tab/>
        <w:t>وقّعت بلجيكا وصدّقت على الاتفاقية الأوروبية لحقوق الإنسان التي أُنشئت بموجبها المحكمة الأوروبية لحقوق الإنسان المعنية برصد تنفيذ الاتفاقية من جانب الدول التي صدّقت عليها. وقد شهدت المحكمة عملية إصلاح أولى بموجب البروتوكول الحادي عشر، ثم شهدت عملية إصل</w:t>
      </w:r>
      <w:r w:rsidRPr="00E64BF7">
        <w:rPr>
          <w:rFonts w:hint="cs"/>
          <w:spacing w:val="-4"/>
          <w:rtl/>
          <w:lang w:bidi="ar-EG"/>
        </w:rPr>
        <w:t>اح</w:t>
      </w:r>
      <w:r w:rsidRPr="00E64BF7">
        <w:rPr>
          <w:spacing w:val="-4"/>
          <w:rtl/>
          <w:lang w:bidi="ar-EG"/>
        </w:rPr>
        <w:t xml:space="preserve"> ثانية بموجب البروتوكول الرابع عشر الذي يهدف إلى مواكبة</w:t>
      </w:r>
      <w:r w:rsidR="007501E7" w:rsidRPr="00E64BF7">
        <w:rPr>
          <w:rFonts w:hint="cs"/>
          <w:spacing w:val="-4"/>
          <w:rtl/>
          <w:lang w:bidi="ar-EG"/>
        </w:rPr>
        <w:t xml:space="preserve"> </w:t>
      </w:r>
      <w:r w:rsidRPr="00E64BF7">
        <w:rPr>
          <w:spacing w:val="-4"/>
          <w:rtl/>
          <w:lang w:bidi="ar-EG"/>
        </w:rPr>
        <w:t xml:space="preserve">العدد المتزايد من الشكاوى الفردية. وفي </w:t>
      </w:r>
      <w:r w:rsidR="007501E7" w:rsidRPr="00E64BF7">
        <w:rPr>
          <w:spacing w:val="-4"/>
          <w:rtl/>
          <w:lang w:bidi="ar-EG"/>
        </w:rPr>
        <w:t>4</w:t>
      </w:r>
      <w:r w:rsidRPr="00E64BF7">
        <w:rPr>
          <w:spacing w:val="-4"/>
          <w:rtl/>
          <w:lang w:bidi="ar-EG"/>
        </w:rPr>
        <w:t xml:space="preserve"> نيسان/أبريل </w:t>
      </w:r>
      <w:r w:rsidR="00F92BBC" w:rsidRPr="00E64BF7">
        <w:rPr>
          <w:spacing w:val="-4"/>
          <w:rtl/>
          <w:lang w:bidi="ar-EG"/>
        </w:rPr>
        <w:t>2018</w:t>
      </w:r>
      <w:r w:rsidRPr="00E64BF7">
        <w:rPr>
          <w:spacing w:val="-4"/>
          <w:rtl/>
          <w:lang w:bidi="ar-EG"/>
        </w:rPr>
        <w:t xml:space="preserve">، صدقت بلجيكا </w:t>
      </w:r>
      <w:r w:rsidRPr="00E64BF7">
        <w:rPr>
          <w:spacing w:val="-4"/>
          <w:rtl/>
          <w:lang w:bidi="ar-EG"/>
        </w:rPr>
        <w:lastRenderedPageBreak/>
        <w:t>على البروتوكول الخامس عشر الذي يهدف أساساً إلى ضمان الاتساق في سير عمل المحكمة مع الاستمرار في الإصلاحات السابقة. وبالإضافة إلى ذلك، فإن بلجيكا بصدد توقيع البروتوكول السادس عشر، الذي سيتيح للمحاكم</w:t>
      </w:r>
      <w:r w:rsidR="007501E7" w:rsidRPr="00E64BF7">
        <w:rPr>
          <w:rFonts w:hint="cs"/>
          <w:spacing w:val="-4"/>
          <w:rtl/>
          <w:lang w:bidi="ar-EG"/>
        </w:rPr>
        <w:t xml:space="preserve"> </w:t>
      </w:r>
      <w:r w:rsidRPr="00E64BF7">
        <w:rPr>
          <w:spacing w:val="-4"/>
          <w:rtl/>
          <w:lang w:bidi="ar-EG"/>
        </w:rPr>
        <w:t>الأعلى درجة بتوجيه طلبات إلى المحكمة الأوروبية لحقوق الإنسان للحصول على فتاوى بشأن مسائل مبدئية تتعلق بتفسير أو إعمال الحقوق والحريات المنصوص عليها في الاتفاقية أو بروتوكولاتها.</w:t>
      </w:r>
    </w:p>
    <w:p w14:paraId="2614192F" w14:textId="63192590" w:rsidR="00D424DC" w:rsidRDefault="00D424DC" w:rsidP="00E64BF7">
      <w:pPr>
        <w:pStyle w:val="SingleTxtGA"/>
        <w:spacing w:line="340" w:lineRule="exact"/>
        <w:rPr>
          <w:rtl/>
          <w:lang w:bidi="ar-EG"/>
        </w:rPr>
      </w:pPr>
      <w:r w:rsidRPr="00350F98">
        <w:rPr>
          <w:rtl/>
          <w:lang w:bidi="ar-EG"/>
        </w:rPr>
        <w:t>148</w:t>
      </w:r>
      <w:r>
        <w:rPr>
          <w:rtl/>
          <w:lang w:bidi="ar-EG"/>
        </w:rPr>
        <w:t>-</w:t>
      </w:r>
      <w:r>
        <w:rPr>
          <w:rtl/>
          <w:lang w:bidi="ar-EG"/>
        </w:rPr>
        <w:tab/>
        <w:t xml:space="preserve">وقد أفضت القرارات التي أصدرتها المحكمة الأوروبية لحقوق الإنسان ضد بلجيكا إلى إدخال </w:t>
      </w:r>
      <w:r w:rsidRPr="00C918AE">
        <w:rPr>
          <w:spacing w:val="-2"/>
          <w:rtl/>
          <w:lang w:bidi="ar-EG"/>
        </w:rPr>
        <w:t>عدة تعديلات على التشريعات البلجيكية. فعلى سبيل المثال، اعتبرت المحكمة أن في رفض محكمة الجنايات</w:t>
      </w:r>
      <w:r>
        <w:rPr>
          <w:rtl/>
          <w:lang w:bidi="ar-EG"/>
        </w:rPr>
        <w:t xml:space="preserve"> مبدأ طرح أسئلة فردية على أعضاء هيئة المحلفين بشأن وجود ظروف مشدّدة خرقٌ لأحكام المادة </w:t>
      </w:r>
      <w:r w:rsidRPr="00350F98">
        <w:rPr>
          <w:rtl/>
          <w:lang w:bidi="ar-EG"/>
        </w:rPr>
        <w:t>6</w:t>
      </w:r>
      <w:r>
        <w:rPr>
          <w:rtl/>
          <w:lang w:bidi="ar-EG"/>
        </w:rPr>
        <w:t xml:space="preserve"> من </w:t>
      </w:r>
      <w:r w:rsidRPr="00C918AE">
        <w:rPr>
          <w:spacing w:val="-2"/>
          <w:rtl/>
          <w:lang w:bidi="ar-EG"/>
        </w:rPr>
        <w:t xml:space="preserve">الاتفاقية التي تكفل الحق في محاكمة </w:t>
      </w:r>
      <w:proofErr w:type="gramStart"/>
      <w:r w:rsidRPr="00C918AE">
        <w:rPr>
          <w:spacing w:val="-2"/>
          <w:rtl/>
          <w:lang w:bidi="ar-EG"/>
        </w:rPr>
        <w:t>مُنصفة</w:t>
      </w:r>
      <w:r w:rsidRPr="00B70B24">
        <w:rPr>
          <w:vertAlign w:val="superscript"/>
          <w:rtl/>
        </w:rPr>
        <w:t>(</w:t>
      </w:r>
      <w:proofErr w:type="gramEnd"/>
      <w:r w:rsidRPr="00350F98">
        <w:rPr>
          <w:rStyle w:val="FootnoteReference"/>
          <w:lang w:val="en-US"/>
        </w:rPr>
        <w:footnoteReference w:id="7"/>
      </w:r>
      <w:r w:rsidRPr="00B70B24">
        <w:rPr>
          <w:vertAlign w:val="superscript"/>
          <w:rtl/>
        </w:rPr>
        <w:t>)</w:t>
      </w:r>
      <w:r>
        <w:rPr>
          <w:rtl/>
          <w:lang w:bidi="ar-EG"/>
        </w:rPr>
        <w:t xml:space="preserve">. ومنذ ذلك الحين، لا تسمح محكمة الجنايات بتوجيه أسئلة </w:t>
      </w:r>
      <w:r w:rsidRPr="00C918AE">
        <w:rPr>
          <w:spacing w:val="-2"/>
          <w:rtl/>
          <w:lang w:bidi="ar-EG"/>
        </w:rPr>
        <w:t>فردية تتعلق بالظروف المشدّدة فحسب، وإنما قامت بلجيكا أيضاً بتعديل قانون التحقيقات الجنائية بما يسمح</w:t>
      </w:r>
      <w:r>
        <w:rPr>
          <w:rtl/>
          <w:lang w:bidi="ar-EG"/>
        </w:rPr>
        <w:t xml:space="preserve"> بإعادة مباشرة الإجراءات الجنائية في حال وجود خرق. ويتعلق مثال آخر بانعدام أي إجراء للتبليغ بسُبل وصيغ الطعن في الإجراءات الغيابية، وهو ما اعتبرته المحكمة الأوروبية لحقوق الإنسان أيضاً انتهاكاً للمادة </w:t>
      </w:r>
      <w:r w:rsidRPr="00350F98">
        <w:rPr>
          <w:rtl/>
          <w:lang w:bidi="ar-EG"/>
        </w:rPr>
        <w:t>6</w:t>
      </w:r>
      <w:r>
        <w:rPr>
          <w:rtl/>
          <w:lang w:bidi="ar-EG"/>
        </w:rPr>
        <w:t xml:space="preserve"> من </w:t>
      </w:r>
      <w:proofErr w:type="gramStart"/>
      <w:r>
        <w:rPr>
          <w:rtl/>
          <w:lang w:bidi="ar-EG"/>
        </w:rPr>
        <w:t>الاتفاقية</w:t>
      </w:r>
      <w:r w:rsidRPr="00B70B24">
        <w:rPr>
          <w:vertAlign w:val="superscript"/>
          <w:rtl/>
        </w:rPr>
        <w:t>(</w:t>
      </w:r>
      <w:proofErr w:type="gramEnd"/>
      <w:r w:rsidRPr="00350F98">
        <w:rPr>
          <w:rStyle w:val="FootnoteReference"/>
          <w:lang w:val="en-US"/>
        </w:rPr>
        <w:footnoteReference w:id="8"/>
      </w:r>
      <w:r w:rsidRPr="00B70B24">
        <w:rPr>
          <w:vertAlign w:val="superscript"/>
          <w:rtl/>
        </w:rPr>
        <w:t>)</w:t>
      </w:r>
      <w:r>
        <w:rPr>
          <w:rtl/>
          <w:lang w:bidi="ar-EG"/>
        </w:rPr>
        <w:t>. وقد اعتُمد تعميم بهدف التحقق من أن الشخص المعني قد بُلِّغ بالصيغ المتبع</w:t>
      </w:r>
      <w:r>
        <w:rPr>
          <w:rFonts w:hint="cs"/>
          <w:rtl/>
          <w:lang w:bidi="ar-EG"/>
        </w:rPr>
        <w:t>ة</w:t>
      </w:r>
      <w:r>
        <w:rPr>
          <w:rtl/>
          <w:lang w:bidi="ar-EG"/>
        </w:rPr>
        <w:t xml:space="preserve"> والآجال المقررة للاعتراض في حال إدانته وفور تبليغه بالقرار الصادر غيابياً. وفي مثال أحدث، اعتبرت المحكمة انتهاكاً للفقرة الأولى من المادة </w:t>
      </w:r>
      <w:r w:rsidR="007501E7" w:rsidRPr="00350F98">
        <w:rPr>
          <w:rtl/>
          <w:lang w:bidi="ar-EG"/>
        </w:rPr>
        <w:t>6</w:t>
      </w:r>
      <w:r>
        <w:rPr>
          <w:rtl/>
          <w:lang w:bidi="ar-EG"/>
        </w:rPr>
        <w:t xml:space="preserve">، مقترنة بالمادة </w:t>
      </w:r>
      <w:r w:rsidR="007501E7" w:rsidRPr="00350F98">
        <w:rPr>
          <w:rtl/>
          <w:lang w:bidi="ar-EG"/>
        </w:rPr>
        <w:t>14</w:t>
      </w:r>
      <w:r>
        <w:rPr>
          <w:rtl/>
          <w:lang w:bidi="ar-EG"/>
        </w:rPr>
        <w:t xml:space="preserve">، الفرق في المعاملة الناشئ عن صياغة المادة </w:t>
      </w:r>
      <w:r w:rsidR="007501E7" w:rsidRPr="00350F98">
        <w:rPr>
          <w:rtl/>
          <w:lang w:bidi="ar-EG"/>
        </w:rPr>
        <w:t>668</w:t>
      </w:r>
      <w:r>
        <w:rPr>
          <w:rtl/>
          <w:lang w:bidi="ar-EG"/>
        </w:rPr>
        <w:t xml:space="preserve"> من القانون القضائي، التي لا تسمح بتقديم المساعدة </w:t>
      </w:r>
      <w:r>
        <w:rPr>
          <w:rFonts w:hint="cs"/>
          <w:rtl/>
          <w:lang w:bidi="ar-EG"/>
        </w:rPr>
        <w:t>القانونية</w:t>
      </w:r>
      <w:r>
        <w:rPr>
          <w:rtl/>
          <w:lang w:bidi="ar-EG"/>
        </w:rPr>
        <w:t xml:space="preserve"> للأجانب الذين هم في وضع غير قانوني إلا في إطار الإجراءات التي ينص عليها قانون </w:t>
      </w:r>
      <w:r w:rsidR="007501E7" w:rsidRPr="00350F98">
        <w:rPr>
          <w:rtl/>
          <w:lang w:bidi="ar-EG"/>
        </w:rPr>
        <w:t>15</w:t>
      </w:r>
      <w:r>
        <w:rPr>
          <w:rtl/>
          <w:lang w:bidi="ar-EG"/>
        </w:rPr>
        <w:t xml:space="preserve"> كانون الأول/ديسمبر </w:t>
      </w:r>
      <w:r w:rsidR="007501E7" w:rsidRPr="00350F98">
        <w:rPr>
          <w:rtl/>
          <w:lang w:bidi="ar-EG"/>
        </w:rPr>
        <w:t>1980</w:t>
      </w:r>
      <w:r>
        <w:rPr>
          <w:rtl/>
          <w:lang w:bidi="ar-EG"/>
        </w:rPr>
        <w:t xml:space="preserve"> المتعلق </w:t>
      </w:r>
      <w:r w:rsidRPr="00D37282">
        <w:rPr>
          <w:spacing w:val="-2"/>
          <w:rtl/>
          <w:lang w:bidi="ar-EG"/>
        </w:rPr>
        <w:t>بدخول الأجانب إلى أراضي البلد، وإقامتهم فيها، واستقرارهم بها وإبعادهم منها، وبالتالي تستبعد كل الإجراءات</w:t>
      </w:r>
      <w:r>
        <w:rPr>
          <w:rtl/>
          <w:lang w:bidi="ar-EG"/>
        </w:rPr>
        <w:t xml:space="preserve"> </w:t>
      </w:r>
      <w:r w:rsidRPr="00D37282">
        <w:rPr>
          <w:spacing w:val="2"/>
          <w:rtl/>
          <w:lang w:bidi="ar-EG"/>
        </w:rPr>
        <w:t xml:space="preserve">الأخرى، بما في ذلك رفع دعوى </w:t>
      </w:r>
      <w:r w:rsidRPr="00D37282">
        <w:rPr>
          <w:rFonts w:hint="cs"/>
          <w:spacing w:val="2"/>
          <w:rtl/>
          <w:lang w:bidi="ar-EG"/>
        </w:rPr>
        <w:t>مدنية</w:t>
      </w:r>
      <w:r w:rsidRPr="00D37282">
        <w:rPr>
          <w:spacing w:val="2"/>
          <w:rtl/>
          <w:lang w:bidi="ar-EG"/>
        </w:rPr>
        <w:t xml:space="preserve"> للطعن في الأبوة. وقد عدل هذا الحكم بموجب المادة </w:t>
      </w:r>
      <w:r w:rsidR="007501E7" w:rsidRPr="00350F98">
        <w:rPr>
          <w:spacing w:val="2"/>
          <w:rtl/>
          <w:lang w:bidi="ar-EG"/>
        </w:rPr>
        <w:t>17</w:t>
      </w:r>
      <w:r w:rsidRPr="00D37282">
        <w:rPr>
          <w:spacing w:val="2"/>
          <w:rtl/>
          <w:lang w:bidi="ar-EG"/>
        </w:rPr>
        <w:t xml:space="preserve"> من قانون</w:t>
      </w:r>
      <w:r>
        <w:rPr>
          <w:rtl/>
          <w:lang w:bidi="ar-EG"/>
        </w:rPr>
        <w:t xml:space="preserve"> </w:t>
      </w:r>
      <w:r w:rsidR="007501E7" w:rsidRPr="00350F98">
        <w:rPr>
          <w:rtl/>
          <w:lang w:bidi="ar-EG"/>
        </w:rPr>
        <w:t>6</w:t>
      </w:r>
      <w:r>
        <w:rPr>
          <w:rtl/>
          <w:lang w:bidi="ar-EG"/>
        </w:rPr>
        <w:t xml:space="preserve"> تموز/يوليه </w:t>
      </w:r>
      <w:r w:rsidR="00F92BBC" w:rsidRPr="00350F98">
        <w:rPr>
          <w:rtl/>
          <w:lang w:bidi="ar-EG"/>
        </w:rPr>
        <w:t>2016</w:t>
      </w:r>
      <w:r>
        <w:rPr>
          <w:rtl/>
          <w:lang w:bidi="ar-EG"/>
        </w:rPr>
        <w:t xml:space="preserve"> الذي عدل القانون القضائي فيما يتعلق بالمساعدة القانونية.</w:t>
      </w:r>
    </w:p>
    <w:p w14:paraId="6C16E395" w14:textId="77777777" w:rsidR="00D424DC" w:rsidRPr="00350F98" w:rsidRDefault="00D424DC" w:rsidP="00F92844">
      <w:pPr>
        <w:pStyle w:val="H1GA"/>
        <w:rPr>
          <w:rtl/>
          <w:lang w:bidi="ar-EG"/>
        </w:rPr>
      </w:pPr>
      <w:r w:rsidRPr="00350F98">
        <w:rPr>
          <w:rtl/>
          <w:lang w:bidi="ar-EG"/>
        </w:rPr>
        <w:tab/>
      </w:r>
      <w:bookmarkStart w:id="25" w:name="_Toc73715644"/>
      <w:r w:rsidRPr="00350F98">
        <w:rPr>
          <w:rtl/>
          <w:lang w:bidi="ar-EG"/>
        </w:rPr>
        <w:t>جيم-</w:t>
      </w:r>
      <w:r w:rsidRPr="00350F98">
        <w:rPr>
          <w:rtl/>
          <w:lang w:bidi="ar-EG"/>
        </w:rPr>
        <w:tab/>
        <w:t>إطار تعزيز حقوق الإنسان على الصعيد الوطني</w:t>
      </w:r>
      <w:bookmarkEnd w:id="25"/>
    </w:p>
    <w:p w14:paraId="4525BE38" w14:textId="4BC8CB9A" w:rsidR="00D424DC" w:rsidRPr="00350F98" w:rsidRDefault="00D424DC" w:rsidP="00F92844">
      <w:pPr>
        <w:pStyle w:val="H23GA"/>
        <w:rPr>
          <w:rtl/>
          <w:lang w:bidi="ar-EG"/>
        </w:rPr>
      </w:pPr>
      <w:r w:rsidRPr="00350F98">
        <w:rPr>
          <w:rtl/>
          <w:lang w:bidi="ar-EG"/>
        </w:rPr>
        <w:tab/>
      </w:r>
      <w:r w:rsidR="007501E7" w:rsidRPr="00350F98">
        <w:rPr>
          <w:rtl/>
          <w:lang w:bidi="ar-EG"/>
        </w:rPr>
        <w:t>1</w:t>
      </w:r>
      <w:r w:rsidRPr="00350F98">
        <w:rPr>
          <w:rtl/>
          <w:lang w:bidi="ar-EG"/>
        </w:rPr>
        <w:t>-</w:t>
      </w:r>
      <w:r w:rsidRPr="00350F98">
        <w:rPr>
          <w:rtl/>
          <w:lang w:bidi="ar-EG"/>
        </w:rPr>
        <w:tab/>
        <w:t>المجالس النيابية والهيئات التداولية الوطنية والإقليمية</w:t>
      </w:r>
    </w:p>
    <w:p w14:paraId="53FF442F" w14:textId="77777777" w:rsidR="00D424DC" w:rsidRDefault="00D424DC" w:rsidP="00E64BF7">
      <w:pPr>
        <w:pStyle w:val="SingleTxtGA"/>
        <w:spacing w:line="340" w:lineRule="exact"/>
        <w:rPr>
          <w:rtl/>
          <w:lang w:bidi="ar-EG"/>
        </w:rPr>
      </w:pPr>
      <w:r w:rsidRPr="00350F98">
        <w:rPr>
          <w:rtl/>
          <w:lang w:bidi="ar-EG"/>
        </w:rPr>
        <w:t>149</w:t>
      </w:r>
      <w:r>
        <w:rPr>
          <w:rtl/>
          <w:lang w:bidi="ar-EG"/>
        </w:rPr>
        <w:t>-</w:t>
      </w:r>
      <w:r>
        <w:rPr>
          <w:rtl/>
          <w:lang w:bidi="ar-EG"/>
        </w:rPr>
        <w:tab/>
        <w:t>تؤدي المجالس البلجيكية من مختلف مستويات السلطة دوراً هاماً في تعزيز حقوق الإنسان. ولديها أدوات متنوعة تستخدمها بطريقة متمايزة:</w:t>
      </w:r>
    </w:p>
    <w:p w14:paraId="02E790C0" w14:textId="199F13E7" w:rsidR="00D424DC" w:rsidRDefault="00D424DC" w:rsidP="00E64BF7">
      <w:pPr>
        <w:pStyle w:val="SingleTxtGA"/>
        <w:spacing w:line="340" w:lineRule="exact"/>
        <w:rPr>
          <w:rtl/>
          <w:lang w:bidi="ar-EG"/>
        </w:rPr>
      </w:pPr>
      <w:r>
        <w:rPr>
          <w:rtl/>
          <w:lang w:bidi="ar-EG"/>
        </w:rPr>
        <w:tab/>
        <w:t>(أ)</w:t>
      </w:r>
      <w:r>
        <w:rPr>
          <w:rtl/>
          <w:lang w:bidi="ar-EG"/>
        </w:rPr>
        <w:tab/>
        <w:t>سنّ تشريعات لصالح الطفل:</w:t>
      </w:r>
      <w:r w:rsidR="000C7FF8">
        <w:rPr>
          <w:rFonts w:hint="cs"/>
          <w:rtl/>
          <w:lang w:bidi="ar-EG"/>
        </w:rPr>
        <w:t xml:space="preserve"> </w:t>
      </w:r>
      <w:r>
        <w:rPr>
          <w:rtl/>
          <w:lang w:bidi="ar-EG"/>
        </w:rPr>
        <w:t>يتعلق الأمر بتوفير أفضل حماية ممكنة لحقوق الطفل بتعديل التشريعات القائمة أو سنّ تشريعات جديدة تتيح إعمال هذه الحقوق. وتعتمد المجالس عدداً كبيراً من القوانين ("مراسيم" أو "أوامر" إقليمية ومجتمعية النطاق) ومن القرارات. فهذا هو الشأن، على سبيل المثال، في مجال حقوق الأطفال المقيمين في مستشفيات أمراض الأطفال والأمراض النفسية وفي مجالات عدة أخرى تستجيب للمبادئ التي سنّها المركز المتعدد التخصصات لحقوق الطفل؛</w:t>
      </w:r>
    </w:p>
    <w:p w14:paraId="08A8C8C8" w14:textId="77777777" w:rsidR="00D424DC" w:rsidRDefault="00D424DC" w:rsidP="00E64BF7">
      <w:pPr>
        <w:pStyle w:val="SingleTxtGA"/>
        <w:spacing w:line="340" w:lineRule="exact"/>
        <w:rPr>
          <w:rtl/>
          <w:lang w:bidi="ar-EG"/>
        </w:rPr>
      </w:pPr>
      <w:r>
        <w:rPr>
          <w:rtl/>
          <w:lang w:bidi="ar-EG"/>
        </w:rPr>
        <w:tab/>
        <w:t>(ب)</w:t>
      </w:r>
      <w:r>
        <w:rPr>
          <w:rtl/>
          <w:lang w:bidi="ar-EG"/>
        </w:rPr>
        <w:tab/>
        <w:t>اعتماد تدابير تشريعية أخرى في إطار اختصاصاتها؛</w:t>
      </w:r>
    </w:p>
    <w:p w14:paraId="4E2B4885" w14:textId="77777777" w:rsidR="00D424DC" w:rsidRDefault="00D424DC" w:rsidP="00E64BF7">
      <w:pPr>
        <w:pStyle w:val="SingleTxtGA"/>
        <w:spacing w:line="340" w:lineRule="exact"/>
        <w:rPr>
          <w:rtl/>
          <w:lang w:bidi="ar-EG"/>
        </w:rPr>
      </w:pPr>
      <w:r>
        <w:rPr>
          <w:rtl/>
          <w:lang w:bidi="ar-EG"/>
        </w:rPr>
        <w:tab/>
        <w:t>(ج)</w:t>
      </w:r>
      <w:r>
        <w:rPr>
          <w:rtl/>
          <w:lang w:bidi="ar-EG"/>
        </w:rPr>
        <w:tab/>
        <w:t xml:space="preserve">مراقبة عمل الحكومات: يوجّه النواب أسئلة شفهية وكتابية عديدة ويجرون استجوابات، ويطرحون أسئلة أو يراقبون عن كثب عمل الحكومات في مجال حقوق الإنسان. وتعقد المجالس أيضاً جلسات منتظمة للاستماع إلى الوزراء، ولا سيما فيما يخص خطط العمل المتعلقة بحقوق الطفل أو خططاً </w:t>
      </w:r>
      <w:r w:rsidRPr="00F92844">
        <w:rPr>
          <w:spacing w:val="-4"/>
          <w:rtl/>
          <w:lang w:bidi="ar-EG"/>
        </w:rPr>
        <w:t>شاملة أخرى، وفيما يخص التقارير الدورية التي تقدمها الدولة الطرف، وتقارير أنشطة أمناء المظالم المختصين</w:t>
      </w:r>
      <w:r>
        <w:rPr>
          <w:rtl/>
          <w:lang w:bidi="ar-EG"/>
        </w:rPr>
        <w:t xml:space="preserve"> بحقوق الإنسان وحقوق الطفل؛</w:t>
      </w:r>
    </w:p>
    <w:p w14:paraId="6D89F90F" w14:textId="77777777" w:rsidR="00D424DC" w:rsidRDefault="00D424DC" w:rsidP="000422C3">
      <w:pPr>
        <w:pStyle w:val="SingleTxtGA"/>
        <w:spacing w:line="346" w:lineRule="exact"/>
        <w:rPr>
          <w:rtl/>
          <w:lang w:bidi="ar-EG"/>
        </w:rPr>
      </w:pPr>
      <w:r>
        <w:rPr>
          <w:rtl/>
          <w:lang w:bidi="ar-EG"/>
        </w:rPr>
        <w:lastRenderedPageBreak/>
        <w:tab/>
        <w:t>(د)</w:t>
      </w:r>
      <w:r>
        <w:rPr>
          <w:rtl/>
          <w:lang w:bidi="ar-EG"/>
        </w:rPr>
        <w:tab/>
      </w:r>
      <w:r w:rsidRPr="00C918AE">
        <w:rPr>
          <w:spacing w:val="-2"/>
          <w:rtl/>
          <w:lang w:bidi="ar-EG"/>
        </w:rPr>
        <w:t>مراجعة المخصصات من الموارد: تهدف هذه العملية إلى حفز النواب على تقييم الموارد</w:t>
      </w:r>
      <w:r>
        <w:rPr>
          <w:rtl/>
          <w:lang w:bidi="ar-EG"/>
        </w:rPr>
        <w:t xml:space="preserve"> المخصصة للسياسات التي تؤثر في الإعمال الفعلي لحقوق الإنسان. وما من شك في أن المجالس مطالَبة بتعزيز نشاطها في محور العمل هذا، رغم أن خطط العمل المتعلقة بحقوق الطفل تبيّن بوضوح الميزانيات المرصودة للغرض؛</w:t>
      </w:r>
    </w:p>
    <w:p w14:paraId="6124B4CD" w14:textId="77777777" w:rsidR="00D424DC" w:rsidRDefault="00D424DC" w:rsidP="000422C3">
      <w:pPr>
        <w:pStyle w:val="SingleTxtGA"/>
        <w:spacing w:line="346" w:lineRule="exact"/>
        <w:rPr>
          <w:rtl/>
          <w:lang w:bidi="ar-EG"/>
        </w:rPr>
      </w:pPr>
      <w:r>
        <w:rPr>
          <w:rtl/>
          <w:lang w:bidi="ar-EG"/>
        </w:rPr>
        <w:tab/>
        <w:t>(ه)</w:t>
      </w:r>
      <w:r>
        <w:rPr>
          <w:rtl/>
          <w:lang w:bidi="ar-EG"/>
        </w:rPr>
        <w:tab/>
        <w:t>توعية الجمهور: يتعلق الأمر بالخصوص بتنظيم تظاهرات ومناقشات عامة. ويتم ذلك أساساً في إطار حقوق الطفل بإنشاء مجالس للأطفال أو للتلاميذ على مستويات معينة من السلطة، وأخذ التوصيات المقدمة من الأطفال في الاعتبار في إطار عمل المجالس. ويضطلع مختلف المجالس أيضاً بأنشطة منتظمة لتوعية الأطفال والكبار. ويعيِّن النواب، بصورة منتظمة أيضاً، أفرقة عمل تعنى بحقوق الطفل، وتنظم أيضاً لقاءات بين مختلف المجالس والمجتمع المدني.</w:t>
      </w:r>
    </w:p>
    <w:p w14:paraId="5838FC28" w14:textId="7262A022" w:rsidR="00D424DC" w:rsidRPr="00350F98" w:rsidRDefault="00D424DC" w:rsidP="000422C3">
      <w:pPr>
        <w:pStyle w:val="H23GA"/>
        <w:spacing w:line="346" w:lineRule="exact"/>
        <w:rPr>
          <w:rtl/>
          <w:lang w:bidi="ar-EG"/>
        </w:rPr>
      </w:pPr>
      <w:r w:rsidRPr="00350F98">
        <w:rPr>
          <w:rtl/>
          <w:lang w:bidi="ar-EG"/>
        </w:rPr>
        <w:tab/>
      </w:r>
      <w:r w:rsidR="007501E7" w:rsidRPr="00350F98">
        <w:rPr>
          <w:rtl/>
          <w:lang w:bidi="ar-EG"/>
        </w:rPr>
        <w:t>2</w:t>
      </w:r>
      <w:r w:rsidRPr="00350F98">
        <w:rPr>
          <w:rtl/>
          <w:lang w:bidi="ar-EG"/>
        </w:rPr>
        <w:t>-</w:t>
      </w:r>
      <w:r w:rsidRPr="00350F98">
        <w:rPr>
          <w:rtl/>
          <w:lang w:bidi="ar-EG"/>
        </w:rPr>
        <w:tab/>
        <w:t>المؤسسات الوطنية للدفاع عن حقوق الإنسان</w:t>
      </w:r>
    </w:p>
    <w:p w14:paraId="1D2E62A6" w14:textId="77777777" w:rsidR="00D424DC" w:rsidRDefault="00D424DC" w:rsidP="00E64BF7">
      <w:pPr>
        <w:pStyle w:val="SingleTxtGA"/>
        <w:spacing w:line="340" w:lineRule="exact"/>
        <w:rPr>
          <w:rtl/>
          <w:lang w:bidi="ar-EG"/>
        </w:rPr>
      </w:pPr>
      <w:r w:rsidRPr="00350F98">
        <w:rPr>
          <w:rtl/>
          <w:lang w:bidi="ar-EG"/>
        </w:rPr>
        <w:t>150</w:t>
      </w:r>
      <w:r>
        <w:rPr>
          <w:rtl/>
          <w:lang w:bidi="ar-EG"/>
        </w:rPr>
        <w:t>-</w:t>
      </w:r>
      <w:r>
        <w:rPr>
          <w:rtl/>
          <w:lang w:bidi="ar-EG"/>
        </w:rPr>
        <w:tab/>
        <w:t>رغم أنه لا توجد بعد مؤسسة وطنية لحقوق الإنسان، فإن هناك عدة آليات محددة تتناول المسائل المتصلة بحقوق الإنسان، ومنها، بشكل رئيسي، الآليات التالية:</w:t>
      </w:r>
    </w:p>
    <w:p w14:paraId="178B4529" w14:textId="77777777" w:rsidR="00D424DC" w:rsidRDefault="00D424DC" w:rsidP="00E64BF7">
      <w:pPr>
        <w:pStyle w:val="SingleTxtGA"/>
        <w:spacing w:line="340" w:lineRule="exact"/>
        <w:rPr>
          <w:rtl/>
          <w:lang w:bidi="ar-EG"/>
        </w:rPr>
      </w:pPr>
      <w:r>
        <w:rPr>
          <w:rtl/>
          <w:lang w:bidi="ar-EG"/>
        </w:rPr>
        <w:tab/>
        <w:t>(أ)</w:t>
      </w:r>
      <w:r>
        <w:rPr>
          <w:rtl/>
          <w:lang w:bidi="ar-EG"/>
        </w:rPr>
        <w:tab/>
      </w:r>
      <w:r w:rsidRPr="00D37282">
        <w:rPr>
          <w:b/>
          <w:bCs/>
          <w:i/>
          <w:iCs/>
          <w:spacing w:val="-4"/>
          <w:rtl/>
          <w:lang w:bidi="ar-EG"/>
        </w:rPr>
        <w:t>مركز أونيا</w:t>
      </w:r>
      <w:r w:rsidRPr="00F92844">
        <w:rPr>
          <w:spacing w:val="-4"/>
          <w:rtl/>
          <w:lang w:bidi="ar-EG"/>
        </w:rPr>
        <w:t xml:space="preserve"> (</w:t>
      </w:r>
      <w:proofErr w:type="spellStart"/>
      <w:r w:rsidRPr="00F92844">
        <w:rPr>
          <w:spacing w:val="-4"/>
          <w:lang w:bidi="ar-EG"/>
        </w:rPr>
        <w:t>Unia</w:t>
      </w:r>
      <w:proofErr w:type="spellEnd"/>
      <w:r w:rsidRPr="00F92844">
        <w:rPr>
          <w:spacing w:val="-4"/>
          <w:rtl/>
          <w:lang w:bidi="ar-EG"/>
        </w:rPr>
        <w:t>)، المركز الاتحادي المشترك المعني بتكافؤ الفرص ومكافحة العنصرية</w:t>
      </w:r>
      <w:r>
        <w:rPr>
          <w:rtl/>
          <w:lang w:bidi="ar-EG"/>
        </w:rPr>
        <w:t xml:space="preserve"> وشتى أنواع التمييز، الذي أنشئ بموجب قانون </w:t>
      </w:r>
      <w:r w:rsidRPr="00350F98">
        <w:rPr>
          <w:rtl/>
          <w:lang w:bidi="ar-EG"/>
        </w:rPr>
        <w:t>15</w:t>
      </w:r>
      <w:r>
        <w:rPr>
          <w:rtl/>
          <w:lang w:bidi="ar-EG"/>
        </w:rPr>
        <w:t xml:space="preserve"> شباط/فبراير </w:t>
      </w:r>
      <w:r w:rsidRPr="00350F98">
        <w:rPr>
          <w:rtl/>
          <w:lang w:bidi="ar-EG"/>
        </w:rPr>
        <w:t>1993</w:t>
      </w:r>
      <w:r>
        <w:rPr>
          <w:rtl/>
          <w:lang w:bidi="ar-EG"/>
        </w:rPr>
        <w:t xml:space="preserve">، وأصبح مشتركاً على الصعيد الاتحادي منذ آذار/مارس </w:t>
      </w:r>
      <w:r w:rsidRPr="00350F98">
        <w:rPr>
          <w:rtl/>
          <w:lang w:bidi="ar-EG"/>
        </w:rPr>
        <w:t>2014</w:t>
      </w:r>
      <w:r w:rsidRPr="00B70B24">
        <w:rPr>
          <w:vertAlign w:val="superscript"/>
          <w:rtl/>
        </w:rPr>
        <w:t>(</w:t>
      </w:r>
      <w:r w:rsidRPr="00350F98">
        <w:rPr>
          <w:rStyle w:val="FootnoteReference"/>
          <w:lang w:val="en-US"/>
        </w:rPr>
        <w:footnoteReference w:id="9"/>
      </w:r>
      <w:r w:rsidRPr="00B70B24">
        <w:rPr>
          <w:vertAlign w:val="superscript"/>
          <w:rtl/>
        </w:rPr>
        <w:t>)</w:t>
      </w:r>
      <w:r>
        <w:rPr>
          <w:rtl/>
          <w:lang w:bidi="ar-EG"/>
        </w:rPr>
        <w:t xml:space="preserve">. والمركز مؤهّل أيضاً للاضطلاع بأي مهمة تُسندها إليه السلطات العامة. وفي هذا الإطار، عُيّن المركز بصفته جهازاً مكلّفاً بالمهام المُسندة بموجب الفقرة الفرعية </w:t>
      </w:r>
      <w:r w:rsidRPr="00350F98">
        <w:rPr>
          <w:rtl/>
          <w:lang w:bidi="ar-EG"/>
        </w:rPr>
        <w:t>2</w:t>
      </w:r>
      <w:r>
        <w:rPr>
          <w:rtl/>
          <w:lang w:bidi="ar-EG"/>
        </w:rPr>
        <w:t xml:space="preserve"> من </w:t>
      </w:r>
      <w:r w:rsidRPr="000422C3">
        <w:rPr>
          <w:spacing w:val="-4"/>
          <w:rtl/>
          <w:lang w:bidi="ar-EG"/>
        </w:rPr>
        <w:t xml:space="preserve">المادة </w:t>
      </w:r>
      <w:r w:rsidRPr="00350F98">
        <w:rPr>
          <w:spacing w:val="-4"/>
          <w:rtl/>
          <w:lang w:bidi="ar-EG"/>
        </w:rPr>
        <w:t>33</w:t>
      </w:r>
      <w:r w:rsidRPr="000422C3">
        <w:rPr>
          <w:spacing w:val="-4"/>
          <w:rtl/>
          <w:lang w:bidi="ar-EG"/>
        </w:rPr>
        <w:t xml:space="preserve"> من اتفاقية الأمم المتحدة لحقوق الأشخاص ذوي الإعاقة. وقد منحته اللجنة الفرعية المعنية بالاعتماد</w:t>
      </w:r>
      <w:r>
        <w:rPr>
          <w:rtl/>
          <w:lang w:bidi="ar-EG"/>
        </w:rPr>
        <w:t xml:space="preserve"> التابعة للجنة التنسيق الدولية للمؤسسات الوطنية لحقوق الإنسان المركز باء؛</w:t>
      </w:r>
    </w:p>
    <w:p w14:paraId="54E8FAFA" w14:textId="06CB4C41" w:rsidR="00D424DC" w:rsidRDefault="00D424DC" w:rsidP="00E64BF7">
      <w:pPr>
        <w:pStyle w:val="SingleTxtGA"/>
        <w:spacing w:line="340" w:lineRule="exact"/>
        <w:rPr>
          <w:rtl/>
          <w:lang w:bidi="ar-EG"/>
        </w:rPr>
      </w:pPr>
      <w:r w:rsidRPr="00D37282">
        <w:rPr>
          <w:spacing w:val="-4"/>
          <w:rtl/>
          <w:lang w:bidi="ar-EG"/>
        </w:rPr>
        <w:tab/>
        <w:t>(ب)</w:t>
      </w:r>
      <w:r w:rsidRPr="00D37282">
        <w:rPr>
          <w:spacing w:val="-4"/>
          <w:rtl/>
          <w:lang w:bidi="ar-EG"/>
        </w:rPr>
        <w:tab/>
      </w:r>
      <w:proofErr w:type="spellStart"/>
      <w:r w:rsidRPr="00D37282">
        <w:rPr>
          <w:b/>
          <w:bCs/>
          <w:i/>
          <w:iCs/>
          <w:spacing w:val="-4"/>
          <w:rtl/>
          <w:lang w:bidi="ar-EG"/>
        </w:rPr>
        <w:t>ميريا</w:t>
      </w:r>
      <w:proofErr w:type="spellEnd"/>
      <w:r w:rsidRPr="00D37282">
        <w:rPr>
          <w:spacing w:val="-4"/>
          <w:rtl/>
          <w:lang w:bidi="ar-EG"/>
        </w:rPr>
        <w:t xml:space="preserve"> (</w:t>
      </w:r>
      <w:proofErr w:type="spellStart"/>
      <w:r w:rsidRPr="00D37282">
        <w:rPr>
          <w:spacing w:val="-4"/>
          <w:lang w:bidi="ar-EG"/>
        </w:rPr>
        <w:t>Myria</w:t>
      </w:r>
      <w:proofErr w:type="spellEnd"/>
      <w:r w:rsidRPr="00D37282">
        <w:rPr>
          <w:spacing w:val="-4"/>
          <w:rtl/>
          <w:lang w:bidi="ar-EG"/>
        </w:rPr>
        <w:t xml:space="preserve">)، أي المركز الاتحادي للهجرة، الذي يتولى تحليل مسائل الهجرة والدفاع </w:t>
      </w:r>
      <w:r>
        <w:rPr>
          <w:rtl/>
          <w:lang w:bidi="ar-EG"/>
        </w:rPr>
        <w:t>عن حقوق الأجانب</w:t>
      </w:r>
      <w:r w:rsidR="000C7FF8">
        <w:rPr>
          <w:rFonts w:hint="cs"/>
          <w:rtl/>
          <w:lang w:bidi="ar-EG"/>
        </w:rPr>
        <w:t xml:space="preserve"> </w:t>
      </w:r>
      <w:r>
        <w:rPr>
          <w:rtl/>
          <w:lang w:bidi="ar-EG"/>
        </w:rPr>
        <w:t>ومكافحة الاتجار بالبشر وتهريبهم. ويعمل المركز على تشجيع السياسات التي تستند إلى الوقائع واحترام حقوق الإنسان؛</w:t>
      </w:r>
    </w:p>
    <w:p w14:paraId="08F134CC" w14:textId="77777777" w:rsidR="00D424DC" w:rsidRDefault="00D424DC" w:rsidP="00E64BF7">
      <w:pPr>
        <w:pStyle w:val="SingleTxtGA"/>
        <w:spacing w:line="340" w:lineRule="exact"/>
        <w:rPr>
          <w:rtl/>
          <w:lang w:bidi="ar-EG"/>
        </w:rPr>
      </w:pPr>
      <w:r>
        <w:rPr>
          <w:rtl/>
          <w:lang w:bidi="ar-EG"/>
        </w:rPr>
        <w:tab/>
        <w:t>(ج)</w:t>
      </w:r>
      <w:r>
        <w:rPr>
          <w:rtl/>
          <w:lang w:bidi="ar-EG"/>
        </w:rPr>
        <w:tab/>
      </w:r>
      <w:r w:rsidRPr="00D37282">
        <w:rPr>
          <w:b/>
          <w:bCs/>
          <w:i/>
          <w:iCs/>
          <w:spacing w:val="-4"/>
          <w:rtl/>
          <w:lang w:bidi="ar-EG"/>
        </w:rPr>
        <w:t>معهد المساواة بين المرأة والرجل</w:t>
      </w:r>
      <w:r>
        <w:rPr>
          <w:rtl/>
          <w:lang w:bidi="ar-EG"/>
        </w:rPr>
        <w:t xml:space="preserve">، وهو مؤسسة عمومية اتحادية مكلفة بضمان وتعزيز المساواة بين الرجل والمرأة ومكافحة جميع أشكال التمييز واللامساواة القائمة على أساس الجنس (بما في ذلك الحمل والأمومة)، وتغيير الجنس، والهوية الجنسانية، والتعبير الجنساني. وهو يساعد الضحايا ويمكن </w:t>
      </w:r>
      <w:r w:rsidRPr="00D37282">
        <w:rPr>
          <w:spacing w:val="-4"/>
          <w:rtl/>
          <w:lang w:bidi="ar-EG"/>
        </w:rPr>
        <w:t xml:space="preserve">أن يرفع دعاوى في المنازعات المتعلقة بأسباب التمييز المذكورة </w:t>
      </w:r>
      <w:proofErr w:type="gramStart"/>
      <w:r w:rsidRPr="00D37282">
        <w:rPr>
          <w:spacing w:val="-4"/>
          <w:rtl/>
          <w:lang w:bidi="ar-EG"/>
        </w:rPr>
        <w:t>أعلاه</w:t>
      </w:r>
      <w:r w:rsidRPr="00D37282">
        <w:rPr>
          <w:spacing w:val="-4"/>
          <w:vertAlign w:val="superscript"/>
          <w:rtl/>
        </w:rPr>
        <w:t>(</w:t>
      </w:r>
      <w:proofErr w:type="gramEnd"/>
      <w:r w:rsidRPr="00350F98">
        <w:rPr>
          <w:rStyle w:val="FootnoteReference"/>
          <w:spacing w:val="-4"/>
          <w:lang w:val="en-US"/>
        </w:rPr>
        <w:footnoteReference w:id="10"/>
      </w:r>
      <w:r w:rsidRPr="00D37282">
        <w:rPr>
          <w:spacing w:val="-4"/>
          <w:vertAlign w:val="superscript"/>
          <w:rtl/>
        </w:rPr>
        <w:t>)</w:t>
      </w:r>
      <w:r w:rsidRPr="00D37282">
        <w:rPr>
          <w:spacing w:val="-4"/>
          <w:rtl/>
          <w:lang w:bidi="ar-EG"/>
        </w:rPr>
        <w:t>. ويقدم المعهد التوصيات إلى السلطات</w:t>
      </w:r>
      <w:r>
        <w:rPr>
          <w:rtl/>
          <w:lang w:bidi="ar-EG"/>
        </w:rPr>
        <w:t xml:space="preserve"> العامة، ويجري الدراسات والأبحاث عن المساواة بين المرأة </w:t>
      </w:r>
      <w:proofErr w:type="gramStart"/>
      <w:r>
        <w:rPr>
          <w:rtl/>
          <w:lang w:bidi="ar-EG"/>
        </w:rPr>
        <w:t>والرجل</w:t>
      </w:r>
      <w:r w:rsidRPr="00B70B24">
        <w:rPr>
          <w:vertAlign w:val="superscript"/>
          <w:rtl/>
        </w:rPr>
        <w:t>(</w:t>
      </w:r>
      <w:proofErr w:type="gramEnd"/>
      <w:r w:rsidRPr="00350F98">
        <w:rPr>
          <w:rStyle w:val="FootnoteReference"/>
          <w:spacing w:val="-4"/>
          <w:lang w:val="en-US"/>
        </w:rPr>
        <w:footnoteReference w:id="11"/>
      </w:r>
      <w:r w:rsidRPr="00B70B24">
        <w:rPr>
          <w:vertAlign w:val="superscript"/>
          <w:rtl/>
        </w:rPr>
        <w:t>)</w:t>
      </w:r>
      <w:r>
        <w:rPr>
          <w:rtl/>
          <w:lang w:bidi="ar-EG"/>
        </w:rPr>
        <w:t>؛</w:t>
      </w:r>
    </w:p>
    <w:p w14:paraId="28831FC5" w14:textId="77777777" w:rsidR="00D424DC" w:rsidRDefault="00D424DC" w:rsidP="00D424DC">
      <w:pPr>
        <w:pStyle w:val="SingleTxtGA"/>
        <w:rPr>
          <w:rtl/>
          <w:lang w:bidi="ar-EG"/>
        </w:rPr>
      </w:pPr>
      <w:r>
        <w:rPr>
          <w:rtl/>
          <w:lang w:bidi="ar-EG"/>
        </w:rPr>
        <w:lastRenderedPageBreak/>
        <w:tab/>
        <w:t>(د)</w:t>
      </w:r>
      <w:r>
        <w:rPr>
          <w:rtl/>
          <w:lang w:bidi="ar-EG"/>
        </w:rPr>
        <w:tab/>
      </w:r>
      <w:r w:rsidRPr="00D37282">
        <w:rPr>
          <w:b/>
          <w:bCs/>
          <w:i/>
          <w:iCs/>
          <w:spacing w:val="-4"/>
          <w:rtl/>
          <w:lang w:bidi="ar-EG"/>
        </w:rPr>
        <w:t>أمين المظالم الاتحادي وأمناء مظالم الكيانات الموحّدة</w:t>
      </w:r>
      <w:r>
        <w:rPr>
          <w:rtl/>
          <w:lang w:bidi="ar-EG"/>
        </w:rPr>
        <w:t>، المسؤولون أمام المجالس التي يتبعونها، ينظرون في الدعاوى المتعلقة بتصرفات وطريقة عمل السلطات الإدارية التي تدخل في نطاق اختصاصهم. وهم بالتالي مخولون النظر في الشكاوى المتعلقة بانتهاكات حقوق الإنسان التي قد ترتكبها السلطات الإدارية؛</w:t>
      </w:r>
    </w:p>
    <w:p w14:paraId="4966A21B" w14:textId="77777777" w:rsidR="00D424DC" w:rsidRDefault="00D424DC" w:rsidP="00D424DC">
      <w:pPr>
        <w:pStyle w:val="SingleTxtGA"/>
        <w:rPr>
          <w:rtl/>
          <w:lang w:bidi="ar-EG"/>
        </w:rPr>
      </w:pPr>
      <w:r>
        <w:rPr>
          <w:rtl/>
          <w:lang w:bidi="ar-EG"/>
        </w:rPr>
        <w:tab/>
        <w:t>(ه)</w:t>
      </w:r>
      <w:r>
        <w:rPr>
          <w:rtl/>
          <w:lang w:bidi="ar-EG"/>
        </w:rPr>
        <w:tab/>
      </w:r>
      <w:r w:rsidRPr="00D37282">
        <w:rPr>
          <w:b/>
          <w:bCs/>
          <w:i/>
          <w:iCs/>
          <w:spacing w:val="-4"/>
          <w:rtl/>
          <w:lang w:bidi="ar-EG"/>
        </w:rPr>
        <w:t>اللجنة الدائمة لمراقبة دوائر الشرطة</w:t>
      </w:r>
      <w:r>
        <w:rPr>
          <w:rtl/>
          <w:lang w:bidi="ar-EG"/>
        </w:rPr>
        <w:t>، وهي الجهاز الخارجي المكلف بمراقبة طريقة عمل الشرطة بوجه عام أو بالتفتيش أو بالرقابة، وتُعنى بمراقبة أداء مجموع أفراد الشرطة لوظيفتهم. وتُقدِّم هذه اللجنة تقاريرها إلى البرلمان؛</w:t>
      </w:r>
    </w:p>
    <w:p w14:paraId="0165C1F9" w14:textId="7EE35390" w:rsidR="00D424DC" w:rsidRDefault="00D424DC" w:rsidP="00D424DC">
      <w:pPr>
        <w:pStyle w:val="SingleTxtGA"/>
        <w:rPr>
          <w:rtl/>
          <w:lang w:bidi="ar-EG"/>
        </w:rPr>
      </w:pPr>
      <w:r>
        <w:rPr>
          <w:rtl/>
          <w:lang w:bidi="ar-EG"/>
        </w:rPr>
        <w:tab/>
        <w:t>(و)</w:t>
      </w:r>
      <w:r>
        <w:rPr>
          <w:rtl/>
          <w:lang w:bidi="ar-EG"/>
        </w:rPr>
        <w:tab/>
      </w:r>
      <w:r w:rsidRPr="00D37282">
        <w:rPr>
          <w:b/>
          <w:bCs/>
          <w:i/>
          <w:iCs/>
          <w:spacing w:val="-4"/>
          <w:rtl/>
          <w:lang w:bidi="ar-EG"/>
        </w:rPr>
        <w:t>الهيئة المعنية بحماية البيانات</w:t>
      </w:r>
      <w:r>
        <w:rPr>
          <w:rtl/>
          <w:lang w:bidi="ar-EG"/>
        </w:rPr>
        <w:t xml:space="preserve">، التي خلفت، منذ </w:t>
      </w:r>
      <w:r w:rsidR="00F92BBC" w:rsidRPr="00350F98">
        <w:rPr>
          <w:rtl/>
          <w:lang w:bidi="ar-EG"/>
        </w:rPr>
        <w:t>25</w:t>
      </w:r>
      <w:r>
        <w:rPr>
          <w:rtl/>
          <w:lang w:bidi="ar-EG"/>
        </w:rPr>
        <w:t xml:space="preserve"> أيار/مايو </w:t>
      </w:r>
      <w:r w:rsidR="00F92BBC" w:rsidRPr="00350F98">
        <w:rPr>
          <w:rtl/>
          <w:lang w:bidi="ar-EG"/>
        </w:rPr>
        <w:t>2018</w:t>
      </w:r>
      <w:r>
        <w:rPr>
          <w:rtl/>
          <w:lang w:bidi="ar-EG"/>
        </w:rPr>
        <w:t xml:space="preserve">، اللجنة المعنية بحماية الحياة الخاصة، وهي مكلفة بالسهر على احترام المبادئ الأساسية لحماية البيانات ذات الطابع الشخصي. وتضطلع الهيئة بمراقبة الامتثال، في سياق معالجة البيانات ذات الطابع الشخصي، للأنظمة </w:t>
      </w:r>
      <w:r w:rsidRPr="000422C3">
        <w:rPr>
          <w:spacing w:val="-4"/>
          <w:rtl/>
          <w:lang w:bidi="ar-EG"/>
        </w:rPr>
        <w:t>المعمول بها في هذا المجال، وإعلام المواطنين بحقوقهم في هذا الصدد. وهي تؤدي أيضاً دور أمين المظالم</w:t>
      </w:r>
      <w:r>
        <w:rPr>
          <w:rtl/>
          <w:lang w:bidi="ar-EG"/>
        </w:rPr>
        <w:t xml:space="preserve"> في إطار الطلبات المتصلة بعمليات معالجة البيانات ذات الطابع الشخصي، وتعالج الشكاوى،</w:t>
      </w:r>
      <w:r w:rsidR="007501E7">
        <w:rPr>
          <w:rFonts w:hint="cs"/>
          <w:rtl/>
          <w:lang w:bidi="ar-EG"/>
        </w:rPr>
        <w:t xml:space="preserve"> </w:t>
      </w:r>
      <w:r>
        <w:rPr>
          <w:rtl/>
          <w:lang w:bidi="ar-EG"/>
        </w:rPr>
        <w:t xml:space="preserve">وتنجز عمليات </w:t>
      </w:r>
      <w:r w:rsidRPr="000422C3">
        <w:rPr>
          <w:spacing w:val="-4"/>
          <w:rtl/>
          <w:lang w:bidi="ar-EG"/>
        </w:rPr>
        <w:t>للمراقبة، ويمكنها أيضاً فرض عقوبات إدارية في</w:t>
      </w:r>
      <w:r w:rsidR="007501E7" w:rsidRPr="000422C3">
        <w:rPr>
          <w:rFonts w:hint="cs"/>
          <w:spacing w:val="-4"/>
          <w:rtl/>
          <w:lang w:bidi="ar-EG"/>
        </w:rPr>
        <w:t xml:space="preserve"> </w:t>
      </w:r>
      <w:r w:rsidRPr="000422C3">
        <w:rPr>
          <w:spacing w:val="-4"/>
          <w:rtl/>
          <w:lang w:bidi="ar-EG"/>
        </w:rPr>
        <w:t>حالة عدم احترام لائحة الاتحاد الأوروبي التنظيمية العامة</w:t>
      </w:r>
      <w:r>
        <w:rPr>
          <w:rtl/>
          <w:lang w:bidi="ar-EG"/>
        </w:rPr>
        <w:t xml:space="preserve"> لحماية </w:t>
      </w:r>
      <w:proofErr w:type="gramStart"/>
      <w:r>
        <w:rPr>
          <w:rtl/>
          <w:lang w:bidi="ar-EG"/>
        </w:rPr>
        <w:t>البيانات</w:t>
      </w:r>
      <w:r w:rsidRPr="00B70B24">
        <w:rPr>
          <w:vertAlign w:val="superscript"/>
          <w:rtl/>
        </w:rPr>
        <w:t>(</w:t>
      </w:r>
      <w:proofErr w:type="gramEnd"/>
      <w:r w:rsidRPr="00350F98">
        <w:rPr>
          <w:rStyle w:val="FootnoteReference"/>
          <w:w w:val="97"/>
          <w:lang w:val="en-US"/>
        </w:rPr>
        <w:footnoteReference w:id="12"/>
      </w:r>
      <w:r w:rsidRPr="00B70B24">
        <w:rPr>
          <w:vertAlign w:val="superscript"/>
          <w:rtl/>
        </w:rPr>
        <w:t>)</w:t>
      </w:r>
      <w:r>
        <w:rPr>
          <w:rtl/>
          <w:lang w:bidi="ar-EG"/>
        </w:rPr>
        <w:t>؛</w:t>
      </w:r>
    </w:p>
    <w:p w14:paraId="37CF30F8" w14:textId="77777777" w:rsidR="00D424DC" w:rsidRDefault="00D424DC" w:rsidP="00D424DC">
      <w:pPr>
        <w:pStyle w:val="SingleTxtGA"/>
        <w:rPr>
          <w:rtl/>
          <w:lang w:bidi="ar-EG"/>
        </w:rPr>
      </w:pPr>
      <w:r>
        <w:rPr>
          <w:rtl/>
          <w:lang w:bidi="ar-EG"/>
        </w:rPr>
        <w:tab/>
        <w:t>(ز)</w:t>
      </w:r>
      <w:r>
        <w:rPr>
          <w:rtl/>
          <w:lang w:bidi="ar-EG"/>
        </w:rPr>
        <w:tab/>
      </w:r>
      <w:r w:rsidRPr="00D37282">
        <w:rPr>
          <w:b/>
          <w:bCs/>
          <w:i/>
          <w:iCs/>
          <w:spacing w:val="-4"/>
          <w:rtl/>
          <w:lang w:bidi="ar-EG"/>
        </w:rPr>
        <w:t>اللجنة المشتركة بين الوزارات المعنية بالقانون الإنساني</w:t>
      </w:r>
      <w:r w:rsidRPr="000422C3">
        <w:rPr>
          <w:spacing w:val="-4"/>
          <w:rtl/>
          <w:lang w:bidi="ar-EG"/>
        </w:rPr>
        <w:t>، التي تتولى تنسيق التدابير المتَّخذة</w:t>
      </w:r>
      <w:r>
        <w:rPr>
          <w:rtl/>
          <w:lang w:bidi="ar-EG"/>
        </w:rPr>
        <w:t xml:space="preserve"> لتنفيذ الصكوك الدولية المتعلقة بالقانون الإنساني؛</w:t>
      </w:r>
    </w:p>
    <w:p w14:paraId="229666D3" w14:textId="7209A6D5" w:rsidR="00D424DC" w:rsidRDefault="00D424DC" w:rsidP="00D424DC">
      <w:pPr>
        <w:pStyle w:val="SingleTxtGA"/>
        <w:rPr>
          <w:rtl/>
          <w:lang w:bidi="ar-EG"/>
        </w:rPr>
      </w:pPr>
      <w:r>
        <w:rPr>
          <w:rtl/>
          <w:lang w:bidi="ar-EG"/>
        </w:rPr>
        <w:tab/>
        <w:t>(ح)</w:t>
      </w:r>
      <w:r>
        <w:rPr>
          <w:rtl/>
          <w:lang w:bidi="ar-EG"/>
        </w:rPr>
        <w:tab/>
      </w:r>
      <w:r w:rsidRPr="00D37282">
        <w:rPr>
          <w:b/>
          <w:bCs/>
          <w:i/>
          <w:iCs/>
          <w:spacing w:val="-4"/>
          <w:rtl/>
          <w:lang w:bidi="ar-EG"/>
        </w:rPr>
        <w:t>اللجنة الوطنية لحقوق الطفل</w:t>
      </w:r>
      <w:r>
        <w:rPr>
          <w:rtl/>
          <w:lang w:bidi="ar-EG"/>
        </w:rPr>
        <w:t>،</w:t>
      </w:r>
      <w:r w:rsidR="007501E7">
        <w:rPr>
          <w:rFonts w:hint="cs"/>
          <w:rtl/>
          <w:lang w:bidi="ar-EG"/>
        </w:rPr>
        <w:t xml:space="preserve"> </w:t>
      </w:r>
      <w:r>
        <w:rPr>
          <w:rtl/>
          <w:lang w:bidi="ar-EG"/>
        </w:rPr>
        <w:t xml:space="preserve">التي أنشئت عام </w:t>
      </w:r>
      <w:r w:rsidRPr="00350F98">
        <w:rPr>
          <w:rtl/>
          <w:lang w:bidi="ar-EG"/>
        </w:rPr>
        <w:t>2005</w:t>
      </w:r>
      <w:r>
        <w:rPr>
          <w:rtl/>
          <w:lang w:bidi="ar-EG"/>
        </w:rPr>
        <w:t xml:space="preserve"> وبدأت نشاطها عام </w:t>
      </w:r>
      <w:r w:rsidRPr="00350F98">
        <w:rPr>
          <w:rtl/>
          <w:lang w:bidi="ar-EG"/>
        </w:rPr>
        <w:t>2007</w:t>
      </w:r>
      <w:r>
        <w:rPr>
          <w:rtl/>
          <w:lang w:bidi="ar-EG"/>
        </w:rPr>
        <w:t xml:space="preserve">، وهي منبر للتشاور بين السلطات الاتحادية والمجتمعية والإقليمية، إلى جانب الجمعيات التي تنشط في مجال حقوق الطفل. وتتمثل مهمتها الرئيسية في صياغة وتقديم التقرير الخمسي المتعلق بتنفيذ اتفاقية </w:t>
      </w:r>
      <w:r w:rsidRPr="000422C3">
        <w:rPr>
          <w:spacing w:val="-4"/>
          <w:rtl/>
          <w:lang w:bidi="ar-EG"/>
        </w:rPr>
        <w:t>الأمم المتحدة لحقوق الطفل، والمساهمة في إعداد الوثائق الأخرى المتصلة بحقوق الطفل التي يجب على الدولة البلجيكية أن تقدّمها إلى الهيئات الدولية. وتنظر اللجنة أيضاً في التوصيات المقدَّمة من لجنة حقوق الطفل وتراقب وضعها موضع التنفيذ، ويمكنها أن تقدِّم مقترحات أو توصيات غير مُلزِمة إلى السلطات</w:t>
      </w:r>
      <w:r>
        <w:rPr>
          <w:rtl/>
          <w:lang w:bidi="ar-EG"/>
        </w:rPr>
        <w:t xml:space="preserve"> </w:t>
      </w:r>
      <w:proofErr w:type="gramStart"/>
      <w:r>
        <w:rPr>
          <w:rtl/>
          <w:lang w:bidi="ar-EG"/>
        </w:rPr>
        <w:t>المختصة</w:t>
      </w:r>
      <w:r w:rsidRPr="00B70B24">
        <w:rPr>
          <w:vertAlign w:val="superscript"/>
          <w:rtl/>
        </w:rPr>
        <w:t>(</w:t>
      </w:r>
      <w:proofErr w:type="gramEnd"/>
      <w:r w:rsidRPr="00350F98">
        <w:rPr>
          <w:rStyle w:val="FootnoteReference"/>
          <w:w w:val="96"/>
          <w:lang w:val="en-US"/>
        </w:rPr>
        <w:footnoteReference w:id="13"/>
      </w:r>
      <w:r w:rsidRPr="00B70B24">
        <w:rPr>
          <w:vertAlign w:val="superscript"/>
          <w:rtl/>
        </w:rPr>
        <w:t>)</w:t>
      </w:r>
      <w:r>
        <w:rPr>
          <w:rtl/>
          <w:lang w:bidi="ar-EG"/>
        </w:rPr>
        <w:t>؛</w:t>
      </w:r>
    </w:p>
    <w:p w14:paraId="7EF36B97" w14:textId="77777777" w:rsidR="00D424DC" w:rsidRDefault="00D424DC" w:rsidP="00D424DC">
      <w:pPr>
        <w:pStyle w:val="SingleTxtGA"/>
        <w:rPr>
          <w:rtl/>
          <w:lang w:bidi="ar-EG"/>
        </w:rPr>
      </w:pPr>
      <w:r>
        <w:rPr>
          <w:rtl/>
          <w:lang w:bidi="ar-EG"/>
        </w:rPr>
        <w:tab/>
        <w:t>(ط)</w:t>
      </w:r>
      <w:r>
        <w:rPr>
          <w:rtl/>
          <w:lang w:bidi="ar-EG"/>
        </w:rPr>
        <w:tab/>
      </w:r>
      <w:r w:rsidRPr="00D37282">
        <w:rPr>
          <w:b/>
          <w:bCs/>
          <w:i/>
          <w:iCs/>
          <w:spacing w:val="-4"/>
          <w:rtl/>
          <w:lang w:bidi="ar-EG"/>
        </w:rPr>
        <w:t>المؤسسات المستقلة التي تنشط في مجال حقوق الطفل على الصعيد الإقليمي</w:t>
      </w:r>
      <w:r>
        <w:rPr>
          <w:rtl/>
          <w:lang w:bidi="ar-EG"/>
        </w:rPr>
        <w:t xml:space="preserve">، التي تتمثل في المفوضية المعنية بحقوق الطفل لدى المجلس </w:t>
      </w:r>
      <w:proofErr w:type="gramStart"/>
      <w:r>
        <w:rPr>
          <w:rtl/>
          <w:lang w:bidi="ar-EG"/>
        </w:rPr>
        <w:t>الفلمنكي</w:t>
      </w:r>
      <w:r w:rsidRPr="00B70B24">
        <w:rPr>
          <w:vertAlign w:val="superscript"/>
          <w:rtl/>
        </w:rPr>
        <w:t>(</w:t>
      </w:r>
      <w:proofErr w:type="gramEnd"/>
      <w:r w:rsidRPr="00350F98">
        <w:rPr>
          <w:rStyle w:val="FootnoteReference"/>
          <w:lang w:val="en-US"/>
        </w:rPr>
        <w:footnoteReference w:id="14"/>
      </w:r>
      <w:r w:rsidRPr="00B70B24">
        <w:rPr>
          <w:vertAlign w:val="superscript"/>
          <w:rtl/>
        </w:rPr>
        <w:t>)</w:t>
      </w:r>
      <w:r>
        <w:rPr>
          <w:rFonts w:hint="cs"/>
          <w:rtl/>
          <w:lang w:bidi="ar-EG"/>
        </w:rPr>
        <w:t xml:space="preserve"> </w:t>
      </w:r>
      <w:r>
        <w:rPr>
          <w:rtl/>
          <w:lang w:bidi="ar-EG"/>
        </w:rPr>
        <w:t>والمندوب العام المكلف بحقوق الطفل لدى حكومة الجماعة الفرنسية. وتتلقى هاتان المؤسستان الشكاوى وتعالجانها، ويجوز لهما أيضاً تقديم توصيات فيما يتعلق بولايتيهما؛</w:t>
      </w:r>
    </w:p>
    <w:p w14:paraId="5B736FDF" w14:textId="4E57CCD2" w:rsidR="00D424DC" w:rsidRDefault="00D424DC" w:rsidP="00D424DC">
      <w:pPr>
        <w:pStyle w:val="SingleTxtGA"/>
        <w:rPr>
          <w:rtl/>
          <w:lang w:bidi="ar-EG"/>
        </w:rPr>
      </w:pPr>
      <w:r>
        <w:rPr>
          <w:rtl/>
          <w:lang w:bidi="ar-EG"/>
        </w:rPr>
        <w:tab/>
        <w:t>(ي)</w:t>
      </w:r>
      <w:r>
        <w:rPr>
          <w:rtl/>
          <w:lang w:bidi="ar-EG"/>
        </w:rPr>
        <w:tab/>
      </w:r>
      <w:r w:rsidRPr="00D37282">
        <w:rPr>
          <w:b/>
          <w:bCs/>
          <w:i/>
          <w:iCs/>
          <w:spacing w:val="-4"/>
          <w:rtl/>
          <w:lang w:bidi="ar-EG"/>
        </w:rPr>
        <w:t>المجلس المركزي للإشراف على السجون ولجان الإشراف على كل سجن</w:t>
      </w:r>
      <w:r>
        <w:rPr>
          <w:rtl/>
          <w:lang w:bidi="ar-EG"/>
        </w:rPr>
        <w:t xml:space="preserve">، وهي هيئات تمارس رقابة مستقلة على السجون وعلى معاملة المحتجزين. وقد نُقلت مهام هيئات الإشراف هذه إلى </w:t>
      </w:r>
      <w:r w:rsidRPr="00D37282">
        <w:rPr>
          <w:spacing w:val="-4"/>
          <w:rtl/>
          <w:lang w:bidi="ar-EG"/>
        </w:rPr>
        <w:t xml:space="preserve">البرلمان بموجب قانون </w:t>
      </w:r>
      <w:r w:rsidR="00F92BBC" w:rsidRPr="00350F98">
        <w:rPr>
          <w:spacing w:val="-4"/>
          <w:rtl/>
          <w:lang w:bidi="ar-EG"/>
        </w:rPr>
        <w:t>25</w:t>
      </w:r>
      <w:r w:rsidRPr="00D37282">
        <w:rPr>
          <w:spacing w:val="-4"/>
          <w:rtl/>
          <w:lang w:bidi="ar-EG"/>
        </w:rPr>
        <w:t xml:space="preserve"> كانون الأول/ديسمبر </w:t>
      </w:r>
      <w:r w:rsidR="00F92BBC" w:rsidRPr="00350F98">
        <w:rPr>
          <w:spacing w:val="-4"/>
          <w:rtl/>
          <w:lang w:bidi="ar-EG"/>
        </w:rPr>
        <w:t>2016</w:t>
      </w:r>
      <w:r w:rsidRPr="00D37282">
        <w:rPr>
          <w:spacing w:val="-4"/>
          <w:rtl/>
          <w:lang w:bidi="ar-EG"/>
        </w:rPr>
        <w:t xml:space="preserve"> (دخل حيز النفاذ في </w:t>
      </w:r>
      <w:r w:rsidRPr="00350F98">
        <w:rPr>
          <w:spacing w:val="-4"/>
          <w:rtl/>
          <w:lang w:bidi="ar-EG"/>
        </w:rPr>
        <w:t>9</w:t>
      </w:r>
      <w:r w:rsidRPr="00D37282">
        <w:rPr>
          <w:spacing w:val="-4"/>
          <w:rtl/>
          <w:lang w:bidi="ar-EG"/>
        </w:rPr>
        <w:t xml:space="preserve"> كانون الثاني/يناير </w:t>
      </w:r>
      <w:r w:rsidR="00F92BBC" w:rsidRPr="00350F98">
        <w:rPr>
          <w:spacing w:val="-4"/>
          <w:rtl/>
          <w:lang w:bidi="ar-EG"/>
        </w:rPr>
        <w:t>2017</w:t>
      </w:r>
      <w:r w:rsidRPr="00D37282">
        <w:rPr>
          <w:spacing w:val="-4"/>
          <w:rtl/>
          <w:lang w:bidi="ar-EG"/>
        </w:rPr>
        <w:t>)</w:t>
      </w:r>
      <w:r>
        <w:rPr>
          <w:rtl/>
          <w:lang w:bidi="ar-EG"/>
        </w:rPr>
        <w:t xml:space="preserve"> وذلك من أجل تعزيز استقلالها. ومع ذلك، وفي غياب مرسوم تنفيذ ملكي، فإن أحكام قانون الإشراف </w:t>
      </w:r>
      <w:r>
        <w:rPr>
          <w:rtl/>
          <w:lang w:bidi="ar-EG"/>
        </w:rPr>
        <w:lastRenderedPageBreak/>
        <w:t>على</w:t>
      </w:r>
      <w:r w:rsidR="00D37282">
        <w:rPr>
          <w:rFonts w:hint="cs"/>
          <w:rtl/>
          <w:lang w:bidi="ar-EG"/>
        </w:rPr>
        <w:t> </w:t>
      </w:r>
      <w:r>
        <w:rPr>
          <w:rtl/>
          <w:lang w:bidi="ar-EG"/>
        </w:rPr>
        <w:t xml:space="preserve">السجون لا تطبق في الوقت الراهن، ولذلك، لا يزال يحكم الإشرافَ المرسومُ الملكي المؤرخ </w:t>
      </w:r>
      <w:r w:rsidR="007501E7" w:rsidRPr="00350F98">
        <w:rPr>
          <w:rFonts w:hint="cs"/>
          <w:rtl/>
          <w:lang w:bidi="ar-EG"/>
        </w:rPr>
        <w:t>21</w:t>
      </w:r>
      <w:r>
        <w:rPr>
          <w:rtl/>
          <w:lang w:bidi="ar-EG"/>
        </w:rPr>
        <w:t xml:space="preserve"> أيار/مايو </w:t>
      </w:r>
      <w:r w:rsidR="007501E7" w:rsidRPr="00350F98">
        <w:rPr>
          <w:rFonts w:hint="cs"/>
          <w:rtl/>
          <w:lang w:bidi="ar-EG"/>
        </w:rPr>
        <w:t>1965</w:t>
      </w:r>
      <w:r>
        <w:rPr>
          <w:rtl/>
          <w:lang w:bidi="ar-EG"/>
        </w:rPr>
        <w:t xml:space="preserve"> المتعلق بالتنظيم العام لمؤسسات السجون.</w:t>
      </w:r>
    </w:p>
    <w:p w14:paraId="7697AD21" w14:textId="0FE04D44" w:rsidR="00D424DC" w:rsidRDefault="00D424DC" w:rsidP="00D424DC">
      <w:pPr>
        <w:pStyle w:val="SingleTxtGA"/>
        <w:rPr>
          <w:rtl/>
          <w:lang w:bidi="ar-EG"/>
        </w:rPr>
      </w:pPr>
      <w:r w:rsidRPr="00350F98">
        <w:rPr>
          <w:rtl/>
          <w:lang w:bidi="ar-EG"/>
        </w:rPr>
        <w:t>151</w:t>
      </w:r>
      <w:r>
        <w:rPr>
          <w:rtl/>
          <w:lang w:bidi="ar-EG"/>
        </w:rPr>
        <w:t>-</w:t>
      </w:r>
      <w:r w:rsidR="007501E7">
        <w:rPr>
          <w:rtl/>
          <w:lang w:bidi="ar-EG"/>
        </w:rPr>
        <w:tab/>
      </w:r>
      <w:r>
        <w:rPr>
          <w:rtl/>
          <w:lang w:bidi="ar-EG"/>
        </w:rPr>
        <w:t xml:space="preserve">وبالإضافة إلى هذه الآليات، ونظراً لأهمية التنسيق الفعال بين المؤسسات التي تمارس جزئياً أو كلياً، ولاية حماية حقوق الإنسان والحريات الأساسية، فقد أبرمت هذه المؤسسات في </w:t>
      </w:r>
      <w:r w:rsidR="00F92BBC" w:rsidRPr="00350F98">
        <w:rPr>
          <w:rtl/>
          <w:lang w:bidi="ar-EG"/>
        </w:rPr>
        <w:t>13</w:t>
      </w:r>
      <w:r>
        <w:rPr>
          <w:rtl/>
          <w:lang w:bidi="ar-EG"/>
        </w:rPr>
        <w:t xml:space="preserve"> كانون الثاني/يناير </w:t>
      </w:r>
      <w:r w:rsidR="007501E7" w:rsidRPr="00350F98">
        <w:rPr>
          <w:rtl/>
          <w:lang w:bidi="ar-EG"/>
        </w:rPr>
        <w:t>2015</w:t>
      </w:r>
      <w:r>
        <w:rPr>
          <w:rtl/>
          <w:lang w:bidi="ar-EG"/>
        </w:rPr>
        <w:t xml:space="preserve">، بروتوكولاً للتعاون. ويتيح هذا المنبر المشترك للحوار (منبر حقوق </w:t>
      </w:r>
      <w:proofErr w:type="gramStart"/>
      <w:r>
        <w:rPr>
          <w:rtl/>
          <w:lang w:bidi="ar-EG"/>
        </w:rPr>
        <w:t>الإنسان)</w:t>
      </w:r>
      <w:r w:rsidRPr="00B70B24">
        <w:rPr>
          <w:vertAlign w:val="superscript"/>
          <w:rtl/>
        </w:rPr>
        <w:t>(</w:t>
      </w:r>
      <w:proofErr w:type="gramEnd"/>
      <w:r w:rsidRPr="00350F98">
        <w:rPr>
          <w:rStyle w:val="FootnoteReference"/>
          <w:lang w:val="en-US"/>
        </w:rPr>
        <w:footnoteReference w:id="15"/>
      </w:r>
      <w:r w:rsidRPr="00B70B24">
        <w:rPr>
          <w:vertAlign w:val="superscript"/>
          <w:rtl/>
        </w:rPr>
        <w:t>)</w:t>
      </w:r>
      <w:r>
        <w:rPr>
          <w:rtl/>
          <w:lang w:bidi="ar-EG"/>
        </w:rPr>
        <w:t xml:space="preserve"> الفرصة لتبادل الممارسات والمنهجيات، وتشجيع التعاون بين المؤسسات، بما في ذلك مؤسسات أمناء المظالم، التي تضطلع بولايات على المستوى الاتحادي، والمشترك على الصعيد الاتحادي، والإقليمي.</w:t>
      </w:r>
    </w:p>
    <w:p w14:paraId="33D9B324" w14:textId="703B9731" w:rsidR="00D424DC" w:rsidRPr="00350F98" w:rsidRDefault="00D424DC" w:rsidP="00C918AE">
      <w:pPr>
        <w:pStyle w:val="H23GA"/>
        <w:rPr>
          <w:rtl/>
          <w:lang w:bidi="ar-EG"/>
        </w:rPr>
      </w:pPr>
      <w:r w:rsidRPr="00350F98">
        <w:rPr>
          <w:rtl/>
          <w:lang w:bidi="ar-EG"/>
        </w:rPr>
        <w:tab/>
      </w:r>
      <w:r w:rsidR="007501E7" w:rsidRPr="00350F98">
        <w:rPr>
          <w:rtl/>
          <w:lang w:bidi="ar-EG"/>
        </w:rPr>
        <w:t>3</w:t>
      </w:r>
      <w:r w:rsidRPr="00350F98">
        <w:rPr>
          <w:rtl/>
          <w:lang w:bidi="ar-EG"/>
        </w:rPr>
        <w:t>-</w:t>
      </w:r>
      <w:r w:rsidRPr="00350F98">
        <w:rPr>
          <w:rtl/>
          <w:lang w:bidi="ar-EG"/>
        </w:rPr>
        <w:tab/>
        <w:t>نشر الصكوك المتعلقة بحقوق الإنسان</w:t>
      </w:r>
    </w:p>
    <w:p w14:paraId="41BA3223" w14:textId="0B774038" w:rsidR="00D424DC" w:rsidRDefault="00D424DC" w:rsidP="00D424DC">
      <w:pPr>
        <w:pStyle w:val="SingleTxtGA"/>
        <w:rPr>
          <w:rtl/>
          <w:lang w:bidi="ar-EG"/>
        </w:rPr>
      </w:pPr>
      <w:r w:rsidRPr="00350F98">
        <w:rPr>
          <w:rtl/>
          <w:lang w:bidi="ar-EG"/>
        </w:rPr>
        <w:t>152</w:t>
      </w:r>
      <w:r>
        <w:rPr>
          <w:rtl/>
          <w:lang w:bidi="ar-EG"/>
        </w:rPr>
        <w:t>-</w:t>
      </w:r>
      <w:r>
        <w:rPr>
          <w:rtl/>
          <w:lang w:bidi="ar-EG"/>
        </w:rPr>
        <w:tab/>
        <w:t>تُترجم إلى اللغات الرسمية في الدولة الطرف النصوص الرسمية المتعلقة بإعمال حقوق الإنسان على جميع مستويات السلطة، وتحال إلى مختلف المجالس وتُعرض بطرق مختلفة على جميع السلطات والدوائر العامة والمهنية المعنية بإعمال حقوق الإنسان على أرض الواقع. وتُنشر النص</w:t>
      </w:r>
      <w:r>
        <w:rPr>
          <w:rFonts w:hint="cs"/>
          <w:rtl/>
          <w:lang w:bidi="ar-EG"/>
        </w:rPr>
        <w:t>وص</w:t>
      </w:r>
      <w:r>
        <w:rPr>
          <w:rtl/>
          <w:lang w:bidi="ar-EG"/>
        </w:rPr>
        <w:t xml:space="preserve"> الرسمية أيضاً بصورة دائمة في المواقع الإلكترونية لمختلف المؤسسات المذكورة آنفاً. وفي تشرين الأول/أكتوبر </w:t>
      </w:r>
      <w:r w:rsidR="00F92BBC" w:rsidRPr="00350F98">
        <w:rPr>
          <w:rtl/>
          <w:lang w:bidi="ar-EG"/>
        </w:rPr>
        <w:t>2016</w:t>
      </w:r>
      <w:r>
        <w:rPr>
          <w:rtl/>
          <w:lang w:bidi="ar-EG"/>
        </w:rPr>
        <w:t>، أحيل إلى البرلمان الاتحادي التقرير السنوي الأول عن الدعاوى القضائية لبلجيكا لدى المحكمة الأوروبية لحقوق الإنسان - بما في ذلك تنفيذ قرارات المحك</w:t>
      </w:r>
      <w:r>
        <w:rPr>
          <w:rFonts w:hint="cs"/>
          <w:rtl/>
          <w:lang w:bidi="ar-EG"/>
        </w:rPr>
        <w:t>مة</w:t>
      </w:r>
      <w:r>
        <w:rPr>
          <w:rtl/>
          <w:lang w:bidi="ar-EG"/>
        </w:rPr>
        <w:t>. ودارت حوله مناقشة في مجلس الشيوخ في آذار/</w:t>
      </w:r>
      <w:r w:rsidR="00C918AE">
        <w:rPr>
          <w:rFonts w:hint="cs"/>
          <w:rtl/>
          <w:lang w:bidi="ar-EG"/>
        </w:rPr>
        <w:t xml:space="preserve"> </w:t>
      </w:r>
      <w:r>
        <w:rPr>
          <w:rtl/>
          <w:lang w:bidi="ar-EG"/>
        </w:rPr>
        <w:t xml:space="preserve">مارس </w:t>
      </w:r>
      <w:r w:rsidR="00F92BBC" w:rsidRPr="00350F98">
        <w:rPr>
          <w:rtl/>
          <w:lang w:bidi="ar-EG"/>
        </w:rPr>
        <w:t>2017</w:t>
      </w:r>
      <w:r>
        <w:rPr>
          <w:rtl/>
          <w:lang w:bidi="ar-EG"/>
        </w:rPr>
        <w:t xml:space="preserve">. وأحيل التقرير السنوي الثاني إلى مجلس النواب ومجلس الشيوخ في </w:t>
      </w:r>
      <w:r w:rsidR="007501E7" w:rsidRPr="00350F98">
        <w:rPr>
          <w:rtl/>
          <w:lang w:bidi="ar-EG"/>
        </w:rPr>
        <w:t>4</w:t>
      </w:r>
      <w:r>
        <w:rPr>
          <w:rtl/>
          <w:lang w:bidi="ar-EG"/>
        </w:rPr>
        <w:t xml:space="preserve"> أيار/مايو </w:t>
      </w:r>
      <w:r w:rsidR="00F92BBC" w:rsidRPr="00350F98">
        <w:rPr>
          <w:rtl/>
          <w:lang w:bidi="ar-EG"/>
        </w:rPr>
        <w:t>2018</w:t>
      </w:r>
      <w:r>
        <w:rPr>
          <w:rtl/>
          <w:lang w:bidi="ar-EG"/>
        </w:rPr>
        <w:t>.</w:t>
      </w:r>
    </w:p>
    <w:p w14:paraId="1F223C30" w14:textId="77777777" w:rsidR="00D424DC" w:rsidRDefault="00D424DC" w:rsidP="000422C3">
      <w:pPr>
        <w:pStyle w:val="SingleTxtGA"/>
        <w:spacing w:line="350" w:lineRule="exact"/>
        <w:rPr>
          <w:rtl/>
          <w:lang w:bidi="ar-EG"/>
        </w:rPr>
      </w:pPr>
      <w:r w:rsidRPr="00350F98">
        <w:rPr>
          <w:rtl/>
          <w:lang w:bidi="ar-EG"/>
        </w:rPr>
        <w:t>153</w:t>
      </w:r>
      <w:r>
        <w:rPr>
          <w:rtl/>
          <w:lang w:bidi="ar-EG"/>
        </w:rPr>
        <w:t>-</w:t>
      </w:r>
      <w:r>
        <w:rPr>
          <w:rtl/>
          <w:lang w:bidi="ar-EG"/>
        </w:rPr>
        <w:tab/>
        <w:t>وقد بادر بعض السلطات العامة إلى الاضطلاع بعمليتين متكررتين تتمثلان في التكفل بمصاريف نشر وتوزيع التقارير البديلة أو تقييمات حالة حقوق الإنسان التي تعدها منظمات غير حكومية؛ وترجمة النصوص الرسمية أو توصيات منظمة الأمم المتحدة المتعلقة بحقوق الإنسان إلى لغة يفهمها الأطفال أو الكبار ممن لا يجيدون القراءة أو من ذوي الاحتياجات الخاصة ووضعها في شكل يكون في متناول هاتين الفئتين.</w:t>
      </w:r>
    </w:p>
    <w:p w14:paraId="7F6BBE3F" w14:textId="67190090" w:rsidR="00D424DC" w:rsidRPr="00350F98" w:rsidRDefault="00D424DC" w:rsidP="000422C3">
      <w:pPr>
        <w:pStyle w:val="H23GA"/>
        <w:spacing w:line="350" w:lineRule="exact"/>
        <w:rPr>
          <w:rtl/>
          <w:lang w:bidi="ar-EG"/>
        </w:rPr>
      </w:pPr>
      <w:r w:rsidRPr="00350F98">
        <w:rPr>
          <w:rtl/>
          <w:lang w:bidi="ar-EG"/>
        </w:rPr>
        <w:tab/>
      </w:r>
      <w:r w:rsidR="007501E7" w:rsidRPr="00350F98">
        <w:rPr>
          <w:rtl/>
          <w:lang w:bidi="ar-EG"/>
        </w:rPr>
        <w:t>4</w:t>
      </w:r>
      <w:r w:rsidRPr="00350F98">
        <w:rPr>
          <w:rtl/>
          <w:lang w:bidi="ar-EG"/>
        </w:rPr>
        <w:t>-</w:t>
      </w:r>
      <w:r w:rsidRPr="00350F98">
        <w:rPr>
          <w:rtl/>
          <w:lang w:bidi="ar-EG"/>
        </w:rPr>
        <w:tab/>
        <w:t>أنشطة توعية الموظفين العموميين وغيرهم من المهنيين بحقوق الإنسان</w:t>
      </w:r>
    </w:p>
    <w:p w14:paraId="636E7BA8" w14:textId="7709CD54" w:rsidR="00D424DC" w:rsidRDefault="00D424DC" w:rsidP="000422C3">
      <w:pPr>
        <w:pStyle w:val="SingleTxtGA"/>
        <w:spacing w:line="350" w:lineRule="exact"/>
        <w:rPr>
          <w:rtl/>
          <w:lang w:bidi="ar-EG"/>
        </w:rPr>
      </w:pPr>
      <w:r w:rsidRPr="00350F98">
        <w:rPr>
          <w:rtl/>
          <w:lang w:bidi="ar-EG"/>
        </w:rPr>
        <w:t>154</w:t>
      </w:r>
      <w:r>
        <w:rPr>
          <w:rtl/>
          <w:lang w:bidi="ar-EG"/>
        </w:rPr>
        <w:t>-</w:t>
      </w:r>
      <w:r>
        <w:rPr>
          <w:rtl/>
          <w:lang w:bidi="ar-EG"/>
        </w:rPr>
        <w:tab/>
      </w:r>
      <w:r w:rsidRPr="000422C3">
        <w:rPr>
          <w:spacing w:val="-2"/>
          <w:rtl/>
          <w:lang w:bidi="ar-EG"/>
        </w:rPr>
        <w:t>يضطلع مختلف السلطات العامة كل بطريقته بأنشطةٍ للتوعية والتدريب في مجال حقوق الإنسان.</w:t>
      </w:r>
      <w:r>
        <w:rPr>
          <w:rtl/>
          <w:lang w:bidi="ar-EG"/>
        </w:rPr>
        <w:t xml:space="preserve"> ويتلقى بعض المهنيين تدريباً أولياً يتبعه تدريب مستمر منهجي متطور جداً يجري فيه تطوير الكفاءات في مجال حقوق الإنسان وتقييمها.</w:t>
      </w:r>
      <w:r w:rsidR="00F92BBC">
        <w:rPr>
          <w:rFonts w:hint="cs"/>
          <w:rtl/>
          <w:lang w:bidi="ar-EG"/>
        </w:rPr>
        <w:t xml:space="preserve"> </w:t>
      </w:r>
      <w:r>
        <w:rPr>
          <w:rtl/>
          <w:lang w:bidi="ar-EG"/>
        </w:rPr>
        <w:t>ويسري ذلك مثلاً</w:t>
      </w:r>
      <w:r w:rsidR="00F92BBC">
        <w:rPr>
          <w:rFonts w:hint="cs"/>
          <w:rtl/>
          <w:lang w:bidi="ar-EG"/>
        </w:rPr>
        <w:t xml:space="preserve"> </w:t>
      </w:r>
      <w:r>
        <w:rPr>
          <w:rtl/>
          <w:lang w:bidi="ar-EG"/>
        </w:rPr>
        <w:t xml:space="preserve">على المدرسين أو المحامين والقضاة المتخصصين في مجال حقوق الشباب في مستويات معينة من السلطة أو المنشطين العاملين في مدارس الواجبات وفي </w:t>
      </w:r>
      <w:r w:rsidRPr="000422C3">
        <w:rPr>
          <w:spacing w:val="-4"/>
          <w:rtl/>
          <w:lang w:bidi="ar-EG"/>
        </w:rPr>
        <w:t>مراكز الإجازات في مستويات أخرى. ومع ذلك، لا يزال هناك عمل يجب القيام به لتوسيع نطاق هذه الإجراءات</w:t>
      </w:r>
      <w:r>
        <w:rPr>
          <w:rtl/>
          <w:lang w:bidi="ar-EG"/>
        </w:rPr>
        <w:t xml:space="preserve"> في صفوف المهن المناسبة وتعميمها</w:t>
      </w:r>
      <w:r w:rsidR="00F92BBC">
        <w:rPr>
          <w:rFonts w:hint="cs"/>
          <w:rtl/>
          <w:lang w:bidi="ar-EG"/>
        </w:rPr>
        <w:t xml:space="preserve"> </w:t>
      </w:r>
      <w:r>
        <w:rPr>
          <w:rtl/>
          <w:lang w:bidi="ar-EG"/>
        </w:rPr>
        <w:t>وتعزيزها.</w:t>
      </w:r>
      <w:r w:rsidR="000C7FF8">
        <w:rPr>
          <w:rFonts w:hint="cs"/>
          <w:rtl/>
          <w:lang w:bidi="ar-EG"/>
        </w:rPr>
        <w:t xml:space="preserve"> </w:t>
      </w:r>
    </w:p>
    <w:p w14:paraId="208AD724" w14:textId="63FF8BF8" w:rsidR="00D424DC" w:rsidRPr="00350F98" w:rsidRDefault="00D424DC" w:rsidP="000422C3">
      <w:pPr>
        <w:pStyle w:val="H23GA"/>
        <w:spacing w:line="350" w:lineRule="exact"/>
        <w:rPr>
          <w:rtl/>
          <w:lang w:bidi="ar-EG"/>
        </w:rPr>
      </w:pPr>
      <w:r w:rsidRPr="00350F98">
        <w:rPr>
          <w:rtl/>
          <w:lang w:bidi="ar-EG"/>
        </w:rPr>
        <w:tab/>
      </w:r>
      <w:r w:rsidR="000C7FF8" w:rsidRPr="00350F98">
        <w:rPr>
          <w:rtl/>
          <w:lang w:bidi="ar-EG"/>
        </w:rPr>
        <w:t>5</w:t>
      </w:r>
      <w:r w:rsidRPr="00350F98">
        <w:rPr>
          <w:rtl/>
          <w:lang w:bidi="ar-EG"/>
        </w:rPr>
        <w:t>-</w:t>
      </w:r>
      <w:r w:rsidRPr="00350F98">
        <w:rPr>
          <w:rtl/>
          <w:lang w:bidi="ar-EG"/>
        </w:rPr>
        <w:tab/>
        <w:t>أنشطة التوعية بحقوق الإنسان عن طريق البرامج التثقيفية ومن خلال نشر المعلومات بدعم من السلطات العامة</w:t>
      </w:r>
    </w:p>
    <w:p w14:paraId="096C4444" w14:textId="77777777" w:rsidR="00D424DC" w:rsidRDefault="00D424DC" w:rsidP="000422C3">
      <w:pPr>
        <w:pStyle w:val="SingleTxtGA"/>
        <w:spacing w:line="350" w:lineRule="exact"/>
        <w:rPr>
          <w:rtl/>
          <w:lang w:bidi="ar-EG"/>
        </w:rPr>
      </w:pPr>
      <w:r w:rsidRPr="00350F98">
        <w:rPr>
          <w:rtl/>
          <w:lang w:bidi="ar-EG"/>
        </w:rPr>
        <w:t>155</w:t>
      </w:r>
      <w:r>
        <w:rPr>
          <w:rtl/>
          <w:lang w:bidi="ar-EG"/>
        </w:rPr>
        <w:t>-</w:t>
      </w:r>
      <w:r>
        <w:rPr>
          <w:rtl/>
          <w:lang w:bidi="ar-EG"/>
        </w:rPr>
        <w:tab/>
      </w:r>
      <w:r w:rsidRPr="000422C3">
        <w:rPr>
          <w:spacing w:val="-4"/>
          <w:rtl/>
          <w:lang w:bidi="ar-EG"/>
        </w:rPr>
        <w:t xml:space="preserve">الكفاءات في مجال حقوق الإنسان هي كفاءات متوقعة ويجري تقييمها بوصفها من أهداف التثقيف </w:t>
      </w:r>
      <w:r>
        <w:rPr>
          <w:rtl/>
          <w:lang w:bidi="ar-EG"/>
        </w:rPr>
        <w:t xml:space="preserve">في مستويات معيّنة من السلطة. فعلى مستوى الجماعة الفلمنكية مثلاً، صدر مرسوم حدّد أهدافاً نهائية </w:t>
      </w:r>
      <w:r>
        <w:rPr>
          <w:rtl/>
          <w:lang w:bidi="ar-EG"/>
        </w:rPr>
        <w:lastRenderedPageBreak/>
        <w:t>معينة فيما يتعلق بحقوق الطفل والممارسة الفعلية للمواطَنة. إضافة إلى ذلك، يولي مختلف الجماعات عناية كبرى لتداول ذاكرة جرائم الإبادة الجماعية عبر الأجيال في المناهج الدراسية.</w:t>
      </w:r>
    </w:p>
    <w:p w14:paraId="1983A36C" w14:textId="56B2CEF7" w:rsidR="00D424DC" w:rsidRDefault="00D424DC" w:rsidP="000422C3">
      <w:pPr>
        <w:pStyle w:val="SingleTxtGA"/>
        <w:spacing w:line="350" w:lineRule="exact"/>
        <w:rPr>
          <w:rtl/>
          <w:lang w:bidi="ar-EG"/>
        </w:rPr>
      </w:pPr>
      <w:r w:rsidRPr="00350F98">
        <w:rPr>
          <w:rtl/>
          <w:lang w:bidi="ar-EG"/>
        </w:rPr>
        <w:t>156</w:t>
      </w:r>
      <w:r>
        <w:rPr>
          <w:rtl/>
          <w:lang w:bidi="ar-EG"/>
        </w:rPr>
        <w:t>-</w:t>
      </w:r>
      <w:r>
        <w:rPr>
          <w:rtl/>
          <w:lang w:bidi="ar-EG"/>
        </w:rPr>
        <w:tab/>
        <w:t>ومع ذلك ما زالت أوجه تقدم كبيرة في طريق الإحراز على صعيد الدولة الطرف بالنظر إلى</w:t>
      </w:r>
      <w:r w:rsidR="007501E7">
        <w:rPr>
          <w:rFonts w:hint="cs"/>
          <w:rtl/>
          <w:lang w:bidi="ar-EG"/>
        </w:rPr>
        <w:t xml:space="preserve"> </w:t>
      </w:r>
      <w:r>
        <w:rPr>
          <w:rtl/>
          <w:lang w:bidi="ar-EG"/>
        </w:rPr>
        <w:t>الاهتمام المتزايد الذي يولى إلى</w:t>
      </w:r>
      <w:r w:rsidR="007501E7">
        <w:rPr>
          <w:rFonts w:hint="cs"/>
          <w:rtl/>
          <w:lang w:bidi="ar-EG"/>
        </w:rPr>
        <w:t xml:space="preserve"> </w:t>
      </w:r>
      <w:r>
        <w:rPr>
          <w:rtl/>
          <w:lang w:bidi="ar-EG"/>
        </w:rPr>
        <w:t xml:space="preserve">الإعلام والتثقيف والتدريب في مجال حقوق الإنسان، وعلى وجه التحديد </w:t>
      </w:r>
      <w:r w:rsidRPr="000422C3">
        <w:rPr>
          <w:spacing w:val="-4"/>
          <w:rtl/>
          <w:lang w:bidi="ar-EG"/>
        </w:rPr>
        <w:t>في مجال حقوق الطفل. ومن ثم فإن هذه الحقوق تمثل، على مستويات مختلفة من السلطة، محوراً ذا أولوية</w:t>
      </w:r>
      <w:r>
        <w:rPr>
          <w:rtl/>
          <w:lang w:bidi="ar-EG"/>
        </w:rPr>
        <w:t xml:space="preserve"> في خطط العمل الوطنية أو الإقليمية أو المجتمعية.</w:t>
      </w:r>
    </w:p>
    <w:p w14:paraId="6A211AFB" w14:textId="35011CD3" w:rsidR="00D424DC" w:rsidRPr="00350F98" w:rsidRDefault="00D424DC" w:rsidP="000422C3">
      <w:pPr>
        <w:pStyle w:val="H23GA"/>
        <w:spacing w:line="350" w:lineRule="exact"/>
        <w:rPr>
          <w:rtl/>
          <w:lang w:bidi="ar-EG"/>
        </w:rPr>
      </w:pPr>
      <w:r w:rsidRPr="00350F98">
        <w:rPr>
          <w:rtl/>
          <w:lang w:bidi="ar-EG"/>
        </w:rPr>
        <w:tab/>
      </w:r>
      <w:r w:rsidR="007501E7" w:rsidRPr="00350F98">
        <w:rPr>
          <w:rtl/>
          <w:lang w:bidi="ar-EG"/>
        </w:rPr>
        <w:t>6</w:t>
      </w:r>
      <w:r w:rsidRPr="00350F98">
        <w:rPr>
          <w:rtl/>
          <w:lang w:bidi="ar-EG"/>
        </w:rPr>
        <w:t>-</w:t>
      </w:r>
      <w:r w:rsidRPr="00350F98">
        <w:rPr>
          <w:rtl/>
          <w:lang w:bidi="ar-EG"/>
        </w:rPr>
        <w:tab/>
        <w:t>أنشطة التوعية بحقوق الإنسان عن طريق وسائط الإعلام</w:t>
      </w:r>
    </w:p>
    <w:p w14:paraId="13150A98" w14:textId="77777777" w:rsidR="00D424DC" w:rsidRPr="00C918AE" w:rsidRDefault="00D424DC" w:rsidP="000422C3">
      <w:pPr>
        <w:pStyle w:val="SingleTxtGA"/>
        <w:spacing w:line="350" w:lineRule="exact"/>
        <w:rPr>
          <w:spacing w:val="-4"/>
          <w:rtl/>
          <w:lang w:bidi="ar-EG"/>
        </w:rPr>
      </w:pPr>
      <w:r w:rsidRPr="00350F98">
        <w:rPr>
          <w:rtl/>
          <w:lang w:bidi="ar-EG"/>
        </w:rPr>
        <w:t>157</w:t>
      </w:r>
      <w:r>
        <w:rPr>
          <w:rtl/>
          <w:lang w:bidi="ar-EG"/>
        </w:rPr>
        <w:t>-</w:t>
      </w:r>
      <w:r>
        <w:rPr>
          <w:rtl/>
          <w:lang w:bidi="ar-EG"/>
        </w:rPr>
        <w:tab/>
        <w:t xml:space="preserve">تضطلع وسائط الإعلام الجماهيري بأنشطة مكثّفة تتعلق بالإعلام والتثقيف في مجال حقوق الإنسان، وتشارك بانتظام مع المؤسسات أو الجمعيات من أجل زيادة تعريف الجماهير العريضة بمبادئ حقوق الإنسان. وتُنجَز هذه الأنشطة في استقلالية تامة رغم أن بعضها قد يحصل على تمويل أو إعانات </w:t>
      </w:r>
      <w:r w:rsidRPr="00C918AE">
        <w:rPr>
          <w:spacing w:val="-4"/>
          <w:rtl/>
          <w:lang w:bidi="ar-EG"/>
        </w:rPr>
        <w:t>في إطار السياسات المتّبعة على مختلف مستويات السلطة (الأوروبي والاتحادي ومستوى الكيانات الموحّدة).</w:t>
      </w:r>
    </w:p>
    <w:p w14:paraId="294422EA" w14:textId="60AF85D3" w:rsidR="00D424DC" w:rsidRPr="00350F98" w:rsidRDefault="00D424DC" w:rsidP="000422C3">
      <w:pPr>
        <w:pStyle w:val="H23GA"/>
        <w:spacing w:line="350" w:lineRule="exact"/>
        <w:rPr>
          <w:rtl/>
          <w:lang w:bidi="ar-EG"/>
        </w:rPr>
      </w:pPr>
      <w:r w:rsidRPr="00350F98">
        <w:rPr>
          <w:rtl/>
          <w:lang w:bidi="ar-EG"/>
        </w:rPr>
        <w:tab/>
      </w:r>
      <w:r w:rsidR="007501E7" w:rsidRPr="00350F98">
        <w:rPr>
          <w:rtl/>
          <w:lang w:bidi="ar-EG"/>
        </w:rPr>
        <w:t>7</w:t>
      </w:r>
      <w:r w:rsidRPr="00350F98">
        <w:rPr>
          <w:rtl/>
          <w:lang w:bidi="ar-EG"/>
        </w:rPr>
        <w:t>-</w:t>
      </w:r>
      <w:r w:rsidRPr="00350F98">
        <w:rPr>
          <w:rtl/>
          <w:lang w:bidi="ar-EG"/>
        </w:rPr>
        <w:tab/>
        <w:t>دور المجتمع المدني، ومنه المنظمات غير الحكومية</w:t>
      </w:r>
    </w:p>
    <w:p w14:paraId="35FC3F9A" w14:textId="77777777" w:rsidR="00D424DC" w:rsidRDefault="00D424DC" w:rsidP="000422C3">
      <w:pPr>
        <w:pStyle w:val="SingleTxtGA"/>
        <w:spacing w:line="350" w:lineRule="exact"/>
        <w:rPr>
          <w:rtl/>
          <w:lang w:bidi="ar-EG"/>
        </w:rPr>
      </w:pPr>
      <w:r w:rsidRPr="00350F98">
        <w:rPr>
          <w:rtl/>
          <w:lang w:bidi="ar-EG"/>
        </w:rPr>
        <w:t>158</w:t>
      </w:r>
      <w:r>
        <w:rPr>
          <w:rtl/>
          <w:lang w:bidi="ar-EG"/>
        </w:rPr>
        <w:t>-</w:t>
      </w:r>
      <w:r>
        <w:rPr>
          <w:rtl/>
          <w:lang w:bidi="ar-EG"/>
        </w:rPr>
        <w:tab/>
      </w:r>
      <w:r w:rsidRPr="000422C3">
        <w:rPr>
          <w:spacing w:val="-4"/>
          <w:rtl/>
          <w:lang w:bidi="ar-EG"/>
        </w:rPr>
        <w:t>تقرّ السلطات على مختلف مستوياتها بدور المجتمع المدني في مجال تعزيز حقوق الإنسان، بدعمها</w:t>
      </w:r>
      <w:r>
        <w:rPr>
          <w:rtl/>
          <w:lang w:bidi="ar-EG"/>
        </w:rPr>
        <w:t xml:space="preserve"> له بالموارد البشرية أو المالية.</w:t>
      </w:r>
    </w:p>
    <w:p w14:paraId="2920D38F" w14:textId="77777777" w:rsidR="00D424DC" w:rsidRDefault="00D424DC" w:rsidP="000422C3">
      <w:pPr>
        <w:pStyle w:val="SingleTxtGA"/>
        <w:spacing w:line="350" w:lineRule="exact"/>
        <w:rPr>
          <w:rtl/>
          <w:lang w:bidi="ar-EG"/>
        </w:rPr>
      </w:pPr>
      <w:r w:rsidRPr="00350F98">
        <w:rPr>
          <w:rtl/>
          <w:lang w:bidi="ar-EG"/>
        </w:rPr>
        <w:t>159</w:t>
      </w:r>
      <w:r>
        <w:rPr>
          <w:rtl/>
          <w:lang w:bidi="ar-EG"/>
        </w:rPr>
        <w:t>-</w:t>
      </w:r>
      <w:r>
        <w:rPr>
          <w:rtl/>
          <w:lang w:bidi="ar-EG"/>
        </w:rPr>
        <w:tab/>
      </w:r>
      <w:r w:rsidRPr="000422C3">
        <w:rPr>
          <w:spacing w:val="-4"/>
          <w:rtl/>
          <w:lang w:bidi="ar-EG"/>
        </w:rPr>
        <w:t>ويحتل المجتمع المدني مكانة مميّزة في عملية اتخاذ القرار تتيح إعمال الحقوق الأساسية في بلجيكا،</w:t>
      </w:r>
      <w:r>
        <w:rPr>
          <w:rtl/>
          <w:lang w:bidi="ar-EG"/>
        </w:rPr>
        <w:t xml:space="preserve"> لأن المجتمع المدني محاور رسمي لمختلف السلطات العامة فيما يتعلق بتنفيذ آليات رصد ومتابعة وتقييم مدى احترام الحقوق الأساسية وحمايتها وإعمالها. ويتدخّل المجتمع المدني قبل أن تتخذ السلطات </w:t>
      </w:r>
      <w:r w:rsidRPr="00C918AE">
        <w:rPr>
          <w:spacing w:val="-4"/>
          <w:rtl/>
          <w:lang w:bidi="ar-EG"/>
        </w:rPr>
        <w:t>العامة أي قرار يتعلق بسياسات تعزيز حقوق الإنسان وفي أثناء عملية اتخاذ القرار وبعدها. وتجري استشارة</w:t>
      </w:r>
      <w:r>
        <w:rPr>
          <w:rtl/>
          <w:lang w:bidi="ar-EG"/>
        </w:rPr>
        <w:t xml:space="preserve"> المجتمع المدني عند إعداد كل تقرير دوري.</w:t>
      </w:r>
    </w:p>
    <w:p w14:paraId="6B60DBE7" w14:textId="77777777" w:rsidR="00D424DC" w:rsidRDefault="00D424DC" w:rsidP="000422C3">
      <w:pPr>
        <w:pStyle w:val="SingleTxtGA"/>
        <w:spacing w:line="350" w:lineRule="exact"/>
        <w:rPr>
          <w:rtl/>
          <w:lang w:bidi="ar-EG"/>
        </w:rPr>
      </w:pPr>
      <w:r w:rsidRPr="00350F98">
        <w:rPr>
          <w:rtl/>
          <w:lang w:bidi="ar-EG"/>
        </w:rPr>
        <w:t>160</w:t>
      </w:r>
      <w:r>
        <w:rPr>
          <w:rtl/>
          <w:lang w:bidi="ar-EG"/>
        </w:rPr>
        <w:t>-</w:t>
      </w:r>
      <w:r>
        <w:rPr>
          <w:rtl/>
          <w:lang w:bidi="ar-EG"/>
        </w:rPr>
        <w:tab/>
        <w:t>وتوجد، بالنسبة لحقوق محددة، هيئات تنسيق تضم منظمات غير حكومية. فعلى سبيل المثال، هناك "التحالف من أجل حقوق الطفل (</w:t>
      </w:r>
      <w:proofErr w:type="spellStart"/>
      <w:r>
        <w:rPr>
          <w:lang w:bidi="ar-EG"/>
        </w:rPr>
        <w:t>Kinderrechtencoalitie</w:t>
      </w:r>
      <w:proofErr w:type="spellEnd"/>
      <w:r>
        <w:rPr>
          <w:rtl/>
          <w:lang w:bidi="ar-EG"/>
        </w:rPr>
        <w:t xml:space="preserve">)" و"تنسيقية المنظمات غير الحكومية </w:t>
      </w:r>
      <w:r w:rsidRPr="00C918AE">
        <w:rPr>
          <w:spacing w:val="-4"/>
          <w:rtl/>
          <w:lang w:bidi="ar-EG"/>
        </w:rPr>
        <w:t>من أجل حقوق الطفل"؛ ومجلس المرأة الناطقة باللغة الفرنسية في بلجيكا (</w:t>
      </w:r>
      <w:r w:rsidRPr="00C918AE">
        <w:rPr>
          <w:spacing w:val="-4"/>
          <w:lang w:bidi="ar-EG"/>
        </w:rPr>
        <w:t>CCFB</w:t>
      </w:r>
      <w:r w:rsidRPr="00C918AE">
        <w:rPr>
          <w:spacing w:val="-4"/>
          <w:rtl/>
          <w:lang w:bidi="ar-EG"/>
        </w:rPr>
        <w:t>) ومجلس المرأة الهولندية</w:t>
      </w:r>
      <w:r>
        <w:rPr>
          <w:rtl/>
          <w:lang w:bidi="ar-EG"/>
        </w:rPr>
        <w:t xml:space="preserve"> </w:t>
      </w:r>
      <w:r>
        <w:rPr>
          <w:lang w:bidi="ar-EG"/>
        </w:rPr>
        <w:t>(NVR) (</w:t>
      </w:r>
      <w:proofErr w:type="spellStart"/>
      <w:r>
        <w:rPr>
          <w:lang w:bidi="ar-EG"/>
        </w:rPr>
        <w:t>Nederlanstalige</w:t>
      </w:r>
      <w:proofErr w:type="spellEnd"/>
      <w:r>
        <w:rPr>
          <w:lang w:bidi="ar-EG"/>
        </w:rPr>
        <w:t xml:space="preserve"> </w:t>
      </w:r>
      <w:proofErr w:type="spellStart"/>
      <w:r>
        <w:rPr>
          <w:lang w:bidi="ar-EG"/>
        </w:rPr>
        <w:t>Vrouwenraad</w:t>
      </w:r>
      <w:proofErr w:type="spellEnd"/>
      <w:r w:rsidRPr="00C918AE">
        <w:rPr>
          <w:spacing w:val="-4"/>
          <w:lang w:bidi="ar-EG"/>
        </w:rPr>
        <w:t>)</w:t>
      </w:r>
      <w:r w:rsidRPr="00C918AE">
        <w:rPr>
          <w:spacing w:val="-4"/>
          <w:rtl/>
          <w:lang w:bidi="ar-EG"/>
        </w:rPr>
        <w:t>)، وهي منظمات جامعة لعدة منظمات نسائية في بلجيكا؛</w:t>
      </w:r>
      <w:r>
        <w:rPr>
          <w:rtl/>
          <w:lang w:bidi="ar-EG"/>
        </w:rPr>
        <w:t xml:space="preserve"> وتتولى منظمة التنسيق والمبادرات من أجل اللاجئين والأجانب (</w:t>
      </w:r>
      <w:r>
        <w:rPr>
          <w:lang w:bidi="ar-EG"/>
        </w:rPr>
        <w:t xml:space="preserve">Le </w:t>
      </w:r>
      <w:proofErr w:type="spellStart"/>
      <w:r>
        <w:rPr>
          <w:lang w:bidi="ar-EG"/>
        </w:rPr>
        <w:t>Ciré</w:t>
      </w:r>
      <w:proofErr w:type="spellEnd"/>
      <w:r>
        <w:rPr>
          <w:rtl/>
          <w:lang w:bidi="ar-EG"/>
        </w:rPr>
        <w:t xml:space="preserve">) التنسيق بين الجمعيات العاملة </w:t>
      </w:r>
      <w:r w:rsidRPr="00C918AE">
        <w:rPr>
          <w:spacing w:val="-4"/>
          <w:rtl/>
          <w:lang w:bidi="ar-EG"/>
        </w:rPr>
        <w:t>في بلجيكا على تقديم الخدمات المتعلقة باستقبال ملتمسي اللجوء، واللاجئين والأجانب، وتوطينهم، وإدماجهم،</w:t>
      </w:r>
      <w:r>
        <w:rPr>
          <w:rtl/>
          <w:lang w:bidi="ar-EG"/>
        </w:rPr>
        <w:t xml:space="preserve"> وتسهر على أن تتماشى السياسات المتبعة مع مبادئ الإعلان العالمي لحقوق الإنسان.</w:t>
      </w:r>
    </w:p>
    <w:p w14:paraId="7DE12DA4" w14:textId="05B53609" w:rsidR="00D424DC" w:rsidRDefault="00D424DC" w:rsidP="000422C3">
      <w:pPr>
        <w:pStyle w:val="SingleTxtGA"/>
        <w:spacing w:line="350" w:lineRule="exact"/>
        <w:rPr>
          <w:rtl/>
          <w:lang w:bidi="ar-EG"/>
        </w:rPr>
      </w:pPr>
      <w:r w:rsidRPr="00350F98">
        <w:rPr>
          <w:rtl/>
          <w:lang w:bidi="ar-EG"/>
        </w:rPr>
        <w:t>161</w:t>
      </w:r>
      <w:r>
        <w:rPr>
          <w:rtl/>
          <w:lang w:bidi="ar-EG"/>
        </w:rPr>
        <w:t>-</w:t>
      </w:r>
      <w:r>
        <w:rPr>
          <w:rtl/>
          <w:lang w:bidi="ar-EG"/>
        </w:rPr>
        <w:tab/>
        <w:t>وثمة أيضاً مجموعة كاملة من الهيئات (مجالس عليا ولجان استشارية)</w:t>
      </w:r>
      <w:r w:rsidR="000C7FF8">
        <w:rPr>
          <w:rFonts w:hint="cs"/>
          <w:rtl/>
          <w:lang w:bidi="ar-EG"/>
        </w:rPr>
        <w:t xml:space="preserve"> </w:t>
      </w:r>
      <w:r>
        <w:rPr>
          <w:rtl/>
          <w:lang w:bidi="ar-EG"/>
        </w:rPr>
        <w:t>المشكّلة على نحو متعدد الاختصاصات يشمل ممثلين عن الحكومات وخبراء جامعيين وممثلين عن المجتمع المدني مهمتهم إسداء المشورة وتقديم المعلومات إلى المؤسسات الحكومية في المسائل المتعلقة بحقوق الإنسان.</w:t>
      </w:r>
    </w:p>
    <w:p w14:paraId="42A0EF2E" w14:textId="11D454D8" w:rsidR="00D424DC" w:rsidRPr="00350F98" w:rsidRDefault="00D424DC" w:rsidP="000422C3">
      <w:pPr>
        <w:pStyle w:val="H23GA"/>
        <w:spacing w:line="350" w:lineRule="exact"/>
        <w:rPr>
          <w:rtl/>
          <w:lang w:bidi="ar-EG"/>
        </w:rPr>
      </w:pPr>
      <w:r w:rsidRPr="00350F98">
        <w:rPr>
          <w:rtl/>
          <w:lang w:bidi="ar-EG"/>
        </w:rPr>
        <w:tab/>
      </w:r>
      <w:r w:rsidR="007501E7" w:rsidRPr="00350F98">
        <w:rPr>
          <w:rtl/>
          <w:lang w:bidi="ar-EG"/>
        </w:rPr>
        <w:t>8</w:t>
      </w:r>
      <w:r w:rsidRPr="00350F98">
        <w:rPr>
          <w:rtl/>
          <w:lang w:bidi="ar-EG"/>
        </w:rPr>
        <w:t>-</w:t>
      </w:r>
      <w:r w:rsidRPr="00350F98">
        <w:rPr>
          <w:rtl/>
          <w:lang w:bidi="ar-EG"/>
        </w:rPr>
        <w:tab/>
        <w:t>الاعتمادات المخصصة في الميزانية والتطورات المسجلة في هذا الصدد</w:t>
      </w:r>
    </w:p>
    <w:p w14:paraId="33048244" w14:textId="77777777" w:rsidR="00D424DC" w:rsidRDefault="00D424DC" w:rsidP="000422C3">
      <w:pPr>
        <w:pStyle w:val="SingleTxtGA"/>
        <w:spacing w:line="350" w:lineRule="exact"/>
        <w:rPr>
          <w:rtl/>
          <w:lang w:bidi="ar-EG"/>
        </w:rPr>
      </w:pPr>
      <w:r w:rsidRPr="00350F98">
        <w:rPr>
          <w:rtl/>
          <w:lang w:bidi="ar-EG"/>
        </w:rPr>
        <w:t>162</w:t>
      </w:r>
      <w:r>
        <w:rPr>
          <w:rtl/>
          <w:lang w:bidi="ar-EG"/>
        </w:rPr>
        <w:t>-</w:t>
      </w:r>
      <w:r>
        <w:rPr>
          <w:rtl/>
          <w:lang w:bidi="ar-EG"/>
        </w:rPr>
        <w:tab/>
      </w:r>
      <w:r w:rsidRPr="003430AE">
        <w:rPr>
          <w:spacing w:val="-2"/>
          <w:rtl/>
          <w:lang w:bidi="ar-EG"/>
        </w:rPr>
        <w:t xml:space="preserve">نظراً للتعقيد الذي يميّز الهياكل المؤسسية في بلجيكا، لا يمكن تحديد مبلغ الاعتمادات المرصودة </w:t>
      </w:r>
      <w:r>
        <w:rPr>
          <w:rtl/>
          <w:lang w:bidi="ar-EG"/>
        </w:rPr>
        <w:t>في الميزانية خصيصاً للوفاء بالالتزامات المتعهد بها في مجال حقوق الإنسان.</w:t>
      </w:r>
    </w:p>
    <w:p w14:paraId="4F063A47" w14:textId="496D3076" w:rsidR="00D424DC" w:rsidRPr="00350F98" w:rsidRDefault="00D424DC" w:rsidP="000422C3">
      <w:pPr>
        <w:pStyle w:val="H23GA"/>
        <w:spacing w:line="350" w:lineRule="exact"/>
        <w:rPr>
          <w:rtl/>
          <w:lang w:bidi="ar-EG"/>
        </w:rPr>
      </w:pPr>
      <w:r w:rsidRPr="00350F98">
        <w:rPr>
          <w:rtl/>
          <w:lang w:bidi="ar-EG"/>
        </w:rPr>
        <w:tab/>
      </w:r>
      <w:r w:rsidR="007501E7" w:rsidRPr="00350F98">
        <w:rPr>
          <w:rtl/>
          <w:lang w:bidi="ar-EG"/>
        </w:rPr>
        <w:t>9</w:t>
      </w:r>
      <w:r w:rsidRPr="00350F98">
        <w:rPr>
          <w:rtl/>
          <w:lang w:bidi="ar-EG"/>
        </w:rPr>
        <w:t>-</w:t>
      </w:r>
      <w:r w:rsidRPr="00350F98">
        <w:rPr>
          <w:rtl/>
          <w:lang w:bidi="ar-EG"/>
        </w:rPr>
        <w:tab/>
        <w:t>التعاون والمساعدة في مجال التنمية</w:t>
      </w:r>
    </w:p>
    <w:p w14:paraId="3CF68BE3" w14:textId="77777777" w:rsidR="00D424DC" w:rsidRDefault="00D424DC" w:rsidP="000422C3">
      <w:pPr>
        <w:pStyle w:val="SingleTxtGA"/>
        <w:spacing w:line="350" w:lineRule="exact"/>
        <w:rPr>
          <w:rtl/>
          <w:lang w:bidi="ar-EG"/>
        </w:rPr>
      </w:pPr>
      <w:r w:rsidRPr="00350F98">
        <w:rPr>
          <w:rtl/>
          <w:lang w:bidi="ar-EG"/>
        </w:rPr>
        <w:t>163</w:t>
      </w:r>
      <w:r>
        <w:rPr>
          <w:rtl/>
          <w:lang w:bidi="ar-EG"/>
        </w:rPr>
        <w:t>-</w:t>
      </w:r>
      <w:r>
        <w:rPr>
          <w:rtl/>
          <w:lang w:bidi="ar-EG"/>
        </w:rPr>
        <w:tab/>
        <w:t xml:space="preserve">تندرج أنشطة مديرية التعاون الإنمائي في إطار العمل على تحقيق أهداف التنمية المستدامة التي تركز على القضاء على الفقر، وحماية كوكب الأرض والازدهار للجميع. وتعتبر بلجيكا أن بلوغ أهداف </w:t>
      </w:r>
      <w:r>
        <w:rPr>
          <w:rtl/>
          <w:lang w:bidi="ar-EG"/>
        </w:rPr>
        <w:lastRenderedPageBreak/>
        <w:t>التنمية المستدامة يرتبط ارتباطاً مباشراً بتعزيز حقوق الإنسان واحترامها في البلدان الشريكة لها. وتساهم جل أنشطة المديرية العامة للتعاون الإنمائي التابعة للهيئة العامة الاتحادية للشؤون الخارجية في إعمال الحقوق الاجتماعية والاقتصادية بشكل مباشر أو غير مباشر.</w:t>
      </w:r>
    </w:p>
    <w:p w14:paraId="596151FD" w14:textId="77777777" w:rsidR="00D424DC" w:rsidRDefault="00D424DC" w:rsidP="000422C3">
      <w:pPr>
        <w:pStyle w:val="SingleTxtGA"/>
        <w:spacing w:line="350" w:lineRule="exact"/>
        <w:rPr>
          <w:rtl/>
          <w:lang w:bidi="ar-EG"/>
        </w:rPr>
      </w:pPr>
      <w:r w:rsidRPr="00350F98">
        <w:rPr>
          <w:rtl/>
          <w:lang w:bidi="ar-EG"/>
        </w:rPr>
        <w:t>164</w:t>
      </w:r>
      <w:r>
        <w:rPr>
          <w:rtl/>
          <w:lang w:bidi="ar-EG"/>
        </w:rPr>
        <w:t>-</w:t>
      </w:r>
      <w:r>
        <w:rPr>
          <w:rtl/>
          <w:lang w:bidi="ar-EG"/>
        </w:rPr>
        <w:tab/>
      </w:r>
      <w:r w:rsidRPr="00EC4616">
        <w:rPr>
          <w:spacing w:val="-2"/>
          <w:rtl/>
          <w:lang w:bidi="ar-EG"/>
        </w:rPr>
        <w:t xml:space="preserve">وتمنح مديرية التعاون الإنمائي البلجيكية إعانات سنوية لدعم أنشطة محددة تتصل بحقوق الإنسان </w:t>
      </w:r>
      <w:r>
        <w:rPr>
          <w:rtl/>
          <w:lang w:bidi="ar-EG"/>
        </w:rPr>
        <w:t>في البلدان النامية، وذلك مثلاً عن طريق دعم الانتخابات أو دعم القضاء.</w:t>
      </w:r>
    </w:p>
    <w:p w14:paraId="05933E8A" w14:textId="068F468E" w:rsidR="00D424DC" w:rsidRDefault="00D424DC" w:rsidP="000422C3">
      <w:pPr>
        <w:pStyle w:val="SingleTxtGA"/>
        <w:spacing w:line="350" w:lineRule="exact"/>
        <w:rPr>
          <w:rtl/>
          <w:lang w:bidi="ar-EG"/>
        </w:rPr>
      </w:pPr>
      <w:r w:rsidRPr="00350F98">
        <w:rPr>
          <w:rtl/>
          <w:lang w:bidi="ar-EG"/>
        </w:rPr>
        <w:t>165</w:t>
      </w:r>
      <w:r>
        <w:rPr>
          <w:rtl/>
          <w:lang w:bidi="ar-EG"/>
        </w:rPr>
        <w:t>-</w:t>
      </w:r>
      <w:r w:rsidR="000C7FF8">
        <w:rPr>
          <w:rtl/>
          <w:lang w:bidi="ar-EG"/>
        </w:rPr>
        <w:tab/>
      </w:r>
      <w:r>
        <w:rPr>
          <w:rtl/>
          <w:lang w:bidi="ar-EG"/>
        </w:rPr>
        <w:t>وتضطلع مديرية التعاون الإنمائي، من خلال التعاون المتعدد الأطراف،</w:t>
      </w:r>
      <w:r w:rsidR="007501E7">
        <w:rPr>
          <w:rFonts w:hint="cs"/>
          <w:rtl/>
          <w:lang w:bidi="ar-EG"/>
        </w:rPr>
        <w:t xml:space="preserve"> </w:t>
      </w:r>
      <w:r>
        <w:rPr>
          <w:rtl/>
          <w:lang w:bidi="ar-EG"/>
        </w:rPr>
        <w:t>بدعم وتمويل منظمات تنشط في مجال تعزيز حقوق الإنسان، وتحديداً مفوضية الأمم المتحدة السامية لحقوق الإنسان، ومنظمة الأمم المتحدة للطفولة، اليونيسيف (حقوق الطفل)، وهيئة الأمم المتحدة للمرأة (المساواة بين الجنسين وتمكين المرأة)، وصندوق الأمم المتحدة للسكان (الحقوق الجنسية والإنجابية).</w:t>
      </w:r>
    </w:p>
    <w:p w14:paraId="7CD2EF9F" w14:textId="77777777" w:rsidR="00D424DC" w:rsidRDefault="00D424DC" w:rsidP="000422C3">
      <w:pPr>
        <w:pStyle w:val="SingleTxtGA"/>
        <w:spacing w:line="350" w:lineRule="exact"/>
        <w:rPr>
          <w:rtl/>
          <w:lang w:bidi="ar-EG"/>
        </w:rPr>
      </w:pPr>
      <w:r w:rsidRPr="00350F98">
        <w:rPr>
          <w:rtl/>
          <w:lang w:bidi="ar-EG"/>
        </w:rPr>
        <w:t>166</w:t>
      </w:r>
      <w:r>
        <w:rPr>
          <w:rtl/>
          <w:lang w:bidi="ar-EG"/>
        </w:rPr>
        <w:t>-</w:t>
      </w:r>
      <w:r>
        <w:rPr>
          <w:rtl/>
          <w:lang w:bidi="ar-EG"/>
        </w:rPr>
        <w:tab/>
        <w:t xml:space="preserve">وفي إطار التعاون الثنائي، تساهم مديرية التعاون الإنمائي البلجيكية، بطرق مختلفة، في تعزيز حقوق الإنسان وحمايتها في </w:t>
      </w:r>
      <w:r w:rsidRPr="00350F98">
        <w:rPr>
          <w:rtl/>
          <w:lang w:bidi="ar-EG"/>
        </w:rPr>
        <w:t>14</w:t>
      </w:r>
      <w:r>
        <w:rPr>
          <w:rtl/>
          <w:lang w:bidi="ar-EG"/>
        </w:rPr>
        <w:t xml:space="preserve"> بلداً شريكاً. وتبذل مساع منتظمة في مجال حقوق الإنسان ويتم التطرق إليها في إطار الحوار السياسي، سواء على المستوى الأوروبي أو المستوى الثنائي. وتشمل البرامج الإرشادية الجديدة للتعاون مع البلدان الشريكة، بصورة منهجية، بنداً تلتزم بموجبه البلدان بتعزيز الحوكمة الرشيدة، وحقوق الإنسان والديمقراطية وسيادة القانون. وبالإضافة إلى ذلك، تدمج بلجيكا نهجاً قائماً على الحقوق في أنشطتها الميدانية.</w:t>
      </w:r>
    </w:p>
    <w:p w14:paraId="433FAF82" w14:textId="1225DF17" w:rsidR="00D424DC" w:rsidRPr="000422C3" w:rsidRDefault="00D424DC" w:rsidP="000422C3">
      <w:pPr>
        <w:pStyle w:val="SingleTxtGA"/>
        <w:spacing w:line="350" w:lineRule="exact"/>
        <w:rPr>
          <w:spacing w:val="-4"/>
          <w:rtl/>
          <w:lang w:bidi="ar-EG"/>
        </w:rPr>
      </w:pPr>
      <w:r w:rsidRPr="00350F98">
        <w:rPr>
          <w:spacing w:val="-4"/>
          <w:rtl/>
          <w:lang w:bidi="ar-EG"/>
        </w:rPr>
        <w:t>167</w:t>
      </w:r>
      <w:r w:rsidRPr="000422C3">
        <w:rPr>
          <w:spacing w:val="-4"/>
          <w:rtl/>
          <w:lang w:bidi="ar-EG"/>
        </w:rPr>
        <w:t>-</w:t>
      </w:r>
      <w:r w:rsidRPr="000422C3">
        <w:rPr>
          <w:spacing w:val="-4"/>
          <w:rtl/>
          <w:lang w:bidi="ar-EG"/>
        </w:rPr>
        <w:tab/>
        <w:t>وتدعم مديرية التعاون الإنمائي البلجيكية أيضاً المنظمات غير الحكومية ومنظمات المجتمع المدني العاملة في مجال تعزيز حقوق الإنسان. ويتسنى هذا الأمر بتقديم دعم مباشر إلى منظمات المجتمع المدني في البلدان الشريكة، وأيضاً عن طريق دعم برامج</w:t>
      </w:r>
      <w:r w:rsidR="000C7FF8" w:rsidRPr="000422C3">
        <w:rPr>
          <w:rFonts w:hint="cs"/>
          <w:spacing w:val="-4"/>
          <w:rtl/>
          <w:lang w:bidi="ar-EG"/>
        </w:rPr>
        <w:t xml:space="preserve"> </w:t>
      </w:r>
      <w:r w:rsidRPr="000422C3">
        <w:rPr>
          <w:spacing w:val="-4"/>
          <w:rtl/>
          <w:lang w:bidi="ar-EG"/>
        </w:rPr>
        <w:t>جهات فاعلة غير</w:t>
      </w:r>
      <w:r w:rsidR="000C7FF8" w:rsidRPr="000422C3">
        <w:rPr>
          <w:rFonts w:hint="cs"/>
          <w:spacing w:val="-4"/>
          <w:rtl/>
          <w:lang w:bidi="ar-EG"/>
        </w:rPr>
        <w:t xml:space="preserve"> </w:t>
      </w:r>
      <w:r w:rsidRPr="000422C3">
        <w:rPr>
          <w:spacing w:val="-4"/>
          <w:rtl/>
          <w:lang w:bidi="ar-EG"/>
        </w:rPr>
        <w:t>مباشرة في بلجيكا (منظمات غير حكومية ونقابات عمالية، وما إلى ذلك) تدعم بدورها المنظمات الشريكة وتساعدها في تعزيز معرفة حقوق الإنسان واحترامها في بلدانها. وتدعم مديرية التعاون الإنمائي البلجيكية، عن طريق الجهات الفاعلة غير المباشرة أيضاً، عدة مبادرات في مجال توعية الجمهور البلجيكي بحالة حقوق الإنسان في البلدان النامية.</w:t>
      </w:r>
    </w:p>
    <w:p w14:paraId="7D3CD4BB" w14:textId="4FE00973" w:rsidR="00D424DC" w:rsidRDefault="00D424DC" w:rsidP="000422C3">
      <w:pPr>
        <w:pStyle w:val="SingleTxtGA"/>
        <w:spacing w:line="346" w:lineRule="exact"/>
        <w:rPr>
          <w:rtl/>
          <w:lang w:bidi="ar-EG"/>
        </w:rPr>
      </w:pPr>
      <w:r w:rsidRPr="00350F98">
        <w:rPr>
          <w:rtl/>
          <w:lang w:bidi="ar-EG"/>
        </w:rPr>
        <w:t>168</w:t>
      </w:r>
      <w:r>
        <w:rPr>
          <w:rtl/>
          <w:lang w:bidi="ar-EG"/>
        </w:rPr>
        <w:t>-</w:t>
      </w:r>
      <w:r>
        <w:rPr>
          <w:rtl/>
          <w:lang w:bidi="ar-EG"/>
        </w:rPr>
        <w:tab/>
        <w:t xml:space="preserve">وتؤخذ المساواة بين الرجل والمرأة، وتمكين المرأة، وحقوق الأطفال في الاعتبار بوصفها مواضيع عامة وشاملة في قانون عام </w:t>
      </w:r>
      <w:r w:rsidRPr="00350F98">
        <w:rPr>
          <w:rtl/>
          <w:lang w:bidi="ar-EG"/>
        </w:rPr>
        <w:t>2013</w:t>
      </w:r>
      <w:r>
        <w:rPr>
          <w:rtl/>
          <w:lang w:bidi="ar-EG"/>
        </w:rPr>
        <w:t xml:space="preserve"> المتعلق بالتعاون الإنمائي ومن ثمّ في أنشطة مديرية التعاون الإنمائي البلجيكية. وعلى وجه الخصوص، تمول بلجيكا منذ عدة سنوات برنامجاً يستهدف التصدي للانتهاكات الجسيمة لحقوق الطفل، بما في ذلك أعمال العنف الجنسي أثناء النزاعات المسلحة. وفيما يتعلق بالنساء والفتيات، تركز مديرية التعاون الإنمائي البلجيكية جهودها على صحة المرأة وحقوقها الجنسية والإنجابية؛ </w:t>
      </w:r>
      <w:r w:rsidRPr="00C918AE">
        <w:rPr>
          <w:spacing w:val="-4"/>
          <w:rtl/>
          <w:lang w:bidi="ar-EG"/>
        </w:rPr>
        <w:t>وموضوع المرأة والسلم والأمن، بما يشمل م</w:t>
      </w:r>
      <w:r w:rsidRPr="00C918AE">
        <w:rPr>
          <w:rFonts w:hint="cs"/>
          <w:spacing w:val="-4"/>
          <w:rtl/>
          <w:lang w:bidi="ar-EG"/>
        </w:rPr>
        <w:t>كافحة</w:t>
      </w:r>
      <w:r w:rsidRPr="00C918AE">
        <w:rPr>
          <w:spacing w:val="-4"/>
          <w:rtl/>
          <w:lang w:bidi="ar-EG"/>
        </w:rPr>
        <w:t xml:space="preserve"> العنف الجنسي المسلط على المرأة، وتعليم البنات وتدريب</w:t>
      </w:r>
      <w:r>
        <w:rPr>
          <w:rtl/>
          <w:lang w:bidi="ar-EG"/>
        </w:rPr>
        <w:t xml:space="preserve"> النساء وتمكين المرأة الريفية من تحقيق استقلالها الاقتصادي. وتشارك بلجيكا، منذ عام </w:t>
      </w:r>
      <w:r w:rsidR="00F92BBC" w:rsidRPr="00350F98">
        <w:rPr>
          <w:rtl/>
          <w:lang w:bidi="ar-EG"/>
        </w:rPr>
        <w:t>2017</w:t>
      </w:r>
      <w:r>
        <w:rPr>
          <w:rtl/>
          <w:lang w:bidi="ar-EG"/>
        </w:rPr>
        <w:t xml:space="preserve">، في مبادرة </w:t>
      </w:r>
      <w:r w:rsidRPr="00EC4616">
        <w:rPr>
          <w:i/>
          <w:iCs/>
          <w:rtl/>
          <w:lang w:bidi="ar-EG"/>
        </w:rPr>
        <w:t>"إنها تقرر"</w:t>
      </w:r>
      <w:r>
        <w:rPr>
          <w:rtl/>
          <w:lang w:bidi="ar-EG"/>
        </w:rPr>
        <w:t xml:space="preserve"> - وهي مبادرة أطلقها وزراء التعاون في هولندا وبلجيكا، بالإضافة إلى الدانمرك والسويد.</w:t>
      </w:r>
    </w:p>
    <w:p w14:paraId="21BA0737" w14:textId="77777777" w:rsidR="00D424DC" w:rsidRPr="00350F98" w:rsidRDefault="00D424DC" w:rsidP="000C7FF8">
      <w:pPr>
        <w:pStyle w:val="H1GA"/>
        <w:rPr>
          <w:rtl/>
          <w:lang w:bidi="ar-EG"/>
        </w:rPr>
      </w:pPr>
      <w:r w:rsidRPr="00350F98">
        <w:rPr>
          <w:rtl/>
          <w:lang w:bidi="ar-EG"/>
        </w:rPr>
        <w:tab/>
      </w:r>
      <w:bookmarkStart w:id="26" w:name="_Toc73715645"/>
      <w:r w:rsidRPr="00350F98">
        <w:rPr>
          <w:rtl/>
          <w:lang w:bidi="ar-EG"/>
        </w:rPr>
        <w:t>دال-</w:t>
      </w:r>
      <w:r w:rsidRPr="00350F98">
        <w:rPr>
          <w:rtl/>
          <w:lang w:bidi="ar-EG"/>
        </w:rPr>
        <w:tab/>
        <w:t>عملية إعداد التقارير على الصعيد الوطني</w:t>
      </w:r>
      <w:bookmarkEnd w:id="26"/>
    </w:p>
    <w:p w14:paraId="78B3976D" w14:textId="66C1BBD7" w:rsidR="00D424DC" w:rsidRDefault="00D424DC" w:rsidP="000422C3">
      <w:pPr>
        <w:pStyle w:val="SingleTxtGA"/>
        <w:spacing w:line="346" w:lineRule="exact"/>
        <w:rPr>
          <w:rtl/>
          <w:lang w:bidi="ar-EG"/>
        </w:rPr>
      </w:pPr>
      <w:r w:rsidRPr="00350F98">
        <w:rPr>
          <w:rtl/>
          <w:lang w:bidi="ar-EG"/>
        </w:rPr>
        <w:t>169</w:t>
      </w:r>
      <w:r>
        <w:rPr>
          <w:rtl/>
          <w:lang w:bidi="ar-EG"/>
        </w:rPr>
        <w:t>-</w:t>
      </w:r>
      <w:r w:rsidR="000C7FF8">
        <w:rPr>
          <w:rtl/>
          <w:lang w:bidi="ar-EG"/>
        </w:rPr>
        <w:tab/>
      </w:r>
      <w:r>
        <w:rPr>
          <w:rtl/>
          <w:lang w:bidi="ar-EG"/>
        </w:rPr>
        <w:t>تضطلع الهيئة العامة الاتحادية للشؤون الخارجية في بلجيكا</w:t>
      </w:r>
      <w:r w:rsidR="000C7FF8">
        <w:rPr>
          <w:rFonts w:hint="cs"/>
          <w:rtl/>
          <w:lang w:bidi="ar-EG"/>
        </w:rPr>
        <w:t xml:space="preserve"> </w:t>
      </w:r>
      <w:r>
        <w:rPr>
          <w:rtl/>
          <w:lang w:bidi="ar-EG"/>
        </w:rPr>
        <w:t>بدور شريك منظمة الأمم المتحدة ومُراسلها فيما يتعلق بإعداد التقارير وتقديمها. وتتولى هذه الهيئة أيضاً تنظيم عملية إعداد هذه التقارير.</w:t>
      </w:r>
    </w:p>
    <w:p w14:paraId="1CC5379F" w14:textId="77777777" w:rsidR="00D424DC" w:rsidRDefault="00D424DC" w:rsidP="000422C3">
      <w:pPr>
        <w:pStyle w:val="SingleTxtGA"/>
        <w:spacing w:line="346" w:lineRule="exact"/>
        <w:rPr>
          <w:rtl/>
          <w:lang w:bidi="ar-EG"/>
        </w:rPr>
      </w:pPr>
      <w:r w:rsidRPr="00350F98">
        <w:rPr>
          <w:rtl/>
          <w:lang w:bidi="ar-EG"/>
        </w:rPr>
        <w:t>170</w:t>
      </w:r>
      <w:r>
        <w:rPr>
          <w:rtl/>
          <w:lang w:bidi="ar-EG"/>
        </w:rPr>
        <w:t>-</w:t>
      </w:r>
      <w:r>
        <w:rPr>
          <w:rtl/>
          <w:lang w:bidi="ar-EG"/>
        </w:rPr>
        <w:tab/>
        <w:t xml:space="preserve">وتشمل المرحلة الأولى من عملية إعداد التقارير وضع قائمة بالمواضيع التي يتناولها التقرير المعني، ثم تحديد مستويات السلطة والوزارات أو الهيئات المختصة أو المعنية بكل موضوع من المواضيع المشمولة بالتقرير. ويُقترح عندئذ لكل موضوع "إدارة رائدة" تعتبر أفضل من يملك فكرة شاملة عن ذلك الموضوع. وتُكلف هذه الإدارة (الإدارات) بصياغة الإسهام، المتعلق بذلك الموضوع، الذي سيدرج في </w:t>
      </w:r>
      <w:r>
        <w:rPr>
          <w:rtl/>
          <w:lang w:bidi="ar-EG"/>
        </w:rPr>
        <w:lastRenderedPageBreak/>
        <w:t>التقرير الشامل. ويُتخذ قرار اختيار تلك الهيئة المنسِقة المسؤولة في إطار عملية تنسيق (اجتماع تنسيق)، فيكون بالتالي محل توافق.</w:t>
      </w:r>
    </w:p>
    <w:p w14:paraId="54F38E86" w14:textId="77777777" w:rsidR="00D424DC" w:rsidRDefault="00D424DC" w:rsidP="000422C3">
      <w:pPr>
        <w:pStyle w:val="SingleTxtGA"/>
        <w:spacing w:line="346" w:lineRule="exact"/>
        <w:rPr>
          <w:rtl/>
          <w:lang w:bidi="ar-EG"/>
        </w:rPr>
      </w:pPr>
      <w:r w:rsidRPr="00350F98">
        <w:rPr>
          <w:rtl/>
          <w:lang w:bidi="ar-EG"/>
        </w:rPr>
        <w:t>171</w:t>
      </w:r>
      <w:r>
        <w:rPr>
          <w:rtl/>
          <w:lang w:bidi="ar-EG"/>
        </w:rPr>
        <w:t>-</w:t>
      </w:r>
      <w:r>
        <w:rPr>
          <w:rtl/>
          <w:lang w:bidi="ar-EG"/>
        </w:rPr>
        <w:tab/>
        <w:t>ويجدر في هذه المرحلة إبداء الملاحظتين التاليتين:</w:t>
      </w:r>
    </w:p>
    <w:p w14:paraId="1EAF9AA0" w14:textId="77777777" w:rsidR="00D424DC" w:rsidRDefault="00D424DC" w:rsidP="000422C3">
      <w:pPr>
        <w:pStyle w:val="SingleTxtGA"/>
        <w:spacing w:line="346" w:lineRule="exact"/>
        <w:rPr>
          <w:rtl/>
          <w:lang w:bidi="ar-EG"/>
        </w:rPr>
      </w:pPr>
      <w:r>
        <w:rPr>
          <w:rtl/>
          <w:lang w:bidi="ar-EG"/>
        </w:rPr>
        <w:tab/>
        <w:t>(أ)</w:t>
      </w:r>
      <w:r>
        <w:rPr>
          <w:rtl/>
          <w:lang w:bidi="ar-EG"/>
        </w:rPr>
        <w:tab/>
        <w:t>في بلد اتحادي مثل بلجيكا، قد تتنوع وتتعدد مستويات السلطة أو الوزارات أو الهيئات المختصة أو المعنية بموضوع بمجمله. ومن هنا تكتسب عملية التنسيق كل أهميتها وجدواها. إذ يجب أن تشمل هذه العملية قاعدة عريضة من المشاركين، كما يجب أن تتسم بالحياد، فمن الأهمية بمكان توليف مختلف وجهات النظر؛</w:t>
      </w:r>
    </w:p>
    <w:p w14:paraId="51CBADD6" w14:textId="77777777" w:rsidR="00D424DC" w:rsidRDefault="00D424DC" w:rsidP="000422C3">
      <w:pPr>
        <w:pStyle w:val="SingleTxtGA"/>
        <w:spacing w:line="346" w:lineRule="exact"/>
        <w:rPr>
          <w:rtl/>
          <w:lang w:bidi="ar-EG"/>
        </w:rPr>
      </w:pPr>
      <w:r>
        <w:rPr>
          <w:rtl/>
          <w:lang w:bidi="ar-EG"/>
        </w:rPr>
        <w:tab/>
        <w:t>(ب)</w:t>
      </w:r>
      <w:r>
        <w:rPr>
          <w:rtl/>
          <w:lang w:bidi="ar-EG"/>
        </w:rPr>
        <w:tab/>
        <w:t>يجدر أيضاً توضيح أن الهيئات أو الإدارات التابعة للسلطة التنفيذية، على المستوى الاتحادي وعلى مستوى الكيانات الموحّدة، هي المخولة بالحديث باسم السلطة العامة. أما الهيئات التمثيلية أو الاستشارية، فلا تملك صلاحية إلزام السلطة العامة والحديث باسمها، وإن كانت مساهمتها في هذه العملية محمودة. ويجوز بطبيعة الحال للهيئات التمثيلية أو الاستشارية أن تُعرب عن رأيها وأن تعرضه على "الإدارة المنسِّقة/المسؤولة". وبالتالي، تُسند مهمة صياغة مشاريع النصوص وكذلك النصوص النهائية إلى جهات فاعلة تابعة للسلطة التنفيذية.</w:t>
      </w:r>
    </w:p>
    <w:p w14:paraId="0DD8D00C" w14:textId="77777777" w:rsidR="00D424DC" w:rsidRDefault="00D424DC" w:rsidP="000422C3">
      <w:pPr>
        <w:pStyle w:val="SingleTxtGA"/>
        <w:spacing w:line="346" w:lineRule="exact"/>
        <w:rPr>
          <w:rtl/>
          <w:lang w:bidi="ar-EG"/>
        </w:rPr>
      </w:pPr>
      <w:r w:rsidRPr="00350F98">
        <w:rPr>
          <w:rtl/>
          <w:lang w:bidi="ar-EG"/>
        </w:rPr>
        <w:t>172</w:t>
      </w:r>
      <w:r>
        <w:rPr>
          <w:rtl/>
          <w:lang w:bidi="ar-EG"/>
        </w:rPr>
        <w:t>-</w:t>
      </w:r>
      <w:r>
        <w:rPr>
          <w:rtl/>
          <w:lang w:bidi="ar-EG"/>
        </w:rPr>
        <w:tab/>
        <w:t>وبعد ذلك تتولى الإدارات المنسقة/المسؤولة صياغة مشروع مساهمتها. ويمكنها، لهذا الغرض، جمع أية معلومات تراها مناسبة. وبوسع غيرها من مستويات السلطة أو الهيئات أو الإدارات أن تقدم لها العناصر التي تراها ذات صلة بالموضوع.</w:t>
      </w:r>
    </w:p>
    <w:p w14:paraId="51B22603" w14:textId="77777777" w:rsidR="00D424DC" w:rsidRPr="00C918AE" w:rsidRDefault="00D424DC" w:rsidP="000422C3">
      <w:pPr>
        <w:pStyle w:val="SingleTxtGA"/>
        <w:spacing w:line="346" w:lineRule="exact"/>
        <w:rPr>
          <w:spacing w:val="-4"/>
          <w:rtl/>
          <w:lang w:bidi="ar-EG"/>
        </w:rPr>
      </w:pPr>
      <w:r w:rsidRPr="00350F98">
        <w:rPr>
          <w:rtl/>
          <w:lang w:bidi="ar-EG"/>
        </w:rPr>
        <w:t>173</w:t>
      </w:r>
      <w:r>
        <w:rPr>
          <w:rtl/>
          <w:lang w:bidi="ar-EG"/>
        </w:rPr>
        <w:t>-</w:t>
      </w:r>
      <w:r>
        <w:rPr>
          <w:rtl/>
          <w:lang w:bidi="ar-EG"/>
        </w:rPr>
        <w:tab/>
        <w:t>وتجمع بعد ذلك مشاريع المساهمات المختلفة تلك في نص موحّد ويجري التشاور بشأنها في إطار هيكل دائم للتنسيق هو "هيئة التنسيق" (</w:t>
      </w:r>
      <w:proofErr w:type="spellStart"/>
      <w:r>
        <w:rPr>
          <w:lang w:bidi="ar-EG"/>
        </w:rPr>
        <w:t>Coormulti</w:t>
      </w:r>
      <w:proofErr w:type="spellEnd"/>
      <w:r>
        <w:rPr>
          <w:rtl/>
          <w:lang w:bidi="ar-EG"/>
        </w:rPr>
        <w:t xml:space="preserve">) التي يوجد مقرها في الهيئة الاتحادية العامة للشؤون الخارجية. وبذلك تتاح في هذه المرحلة لمختلف مستويات السلطة أو الإدارة أو الهيئات المختصة </w:t>
      </w:r>
      <w:r w:rsidRPr="00C918AE">
        <w:rPr>
          <w:spacing w:val="-4"/>
          <w:rtl/>
          <w:lang w:bidi="ar-EG"/>
        </w:rPr>
        <w:t>أو المعنية الفرصة كي تقدِّم ملاحظاتها أو اقتراحاتها إلى الهيئة المنسقة/المسؤولة المكلفة بصياغة المشروع.</w:t>
      </w:r>
    </w:p>
    <w:p w14:paraId="3A693022" w14:textId="77777777" w:rsidR="00D424DC" w:rsidRDefault="00D424DC" w:rsidP="000422C3">
      <w:pPr>
        <w:pStyle w:val="SingleTxtGA"/>
        <w:spacing w:line="346" w:lineRule="exact"/>
        <w:rPr>
          <w:rtl/>
          <w:lang w:bidi="ar-EG"/>
        </w:rPr>
      </w:pPr>
      <w:r w:rsidRPr="00350F98">
        <w:rPr>
          <w:rtl/>
          <w:lang w:bidi="ar-EG"/>
        </w:rPr>
        <w:t>174</w:t>
      </w:r>
      <w:r>
        <w:rPr>
          <w:rtl/>
          <w:lang w:bidi="ar-EG"/>
        </w:rPr>
        <w:t>-</w:t>
      </w:r>
      <w:r>
        <w:rPr>
          <w:rtl/>
          <w:lang w:bidi="ar-EG"/>
        </w:rPr>
        <w:tab/>
        <w:t>وعند الاقتضاء، تُراجَع مختلف المساهمات، ويمكن أن يخضع المشروع النهائي بدوره لعملية تنسيق من أجل الحصول على الموافقة النهائية عليه.</w:t>
      </w:r>
    </w:p>
    <w:p w14:paraId="70686988" w14:textId="77777777" w:rsidR="00D424DC" w:rsidRDefault="00D424DC" w:rsidP="000422C3">
      <w:pPr>
        <w:pStyle w:val="SingleTxtGA"/>
        <w:spacing w:line="340" w:lineRule="exact"/>
        <w:rPr>
          <w:rtl/>
          <w:lang w:bidi="ar-EG"/>
        </w:rPr>
      </w:pPr>
      <w:r w:rsidRPr="00350F98">
        <w:rPr>
          <w:rtl/>
          <w:lang w:bidi="ar-EG"/>
        </w:rPr>
        <w:t>175</w:t>
      </w:r>
      <w:r>
        <w:rPr>
          <w:rtl/>
          <w:lang w:bidi="ar-EG"/>
        </w:rPr>
        <w:t>-</w:t>
      </w:r>
      <w:r>
        <w:rPr>
          <w:rtl/>
          <w:lang w:bidi="ar-EG"/>
        </w:rPr>
        <w:tab/>
        <w:t>وتجدر الإشارة إلى أنه تجري مشاورة المجتمع المدني، وهو ما يحصل بصورة منتظمة في إطار إعداد التقارير المتعلقة بحقوق الإنسان. وفي هذا السياق، تمثل منظمات المجتمع المدني الجامعة لعدة منظمات شريكاً متميزاً، ولكنها ليست الشريك الوحيد.</w:t>
      </w:r>
    </w:p>
    <w:p w14:paraId="70A576CC" w14:textId="77777777" w:rsidR="00D424DC" w:rsidRDefault="00D424DC" w:rsidP="000422C3">
      <w:pPr>
        <w:pStyle w:val="SingleTxtGA"/>
        <w:spacing w:line="340" w:lineRule="exact"/>
        <w:rPr>
          <w:rtl/>
          <w:lang w:bidi="ar-EG"/>
        </w:rPr>
      </w:pPr>
      <w:r w:rsidRPr="00350F98">
        <w:rPr>
          <w:rtl/>
          <w:lang w:bidi="ar-EG"/>
        </w:rPr>
        <w:t>176</w:t>
      </w:r>
      <w:r>
        <w:rPr>
          <w:rtl/>
          <w:lang w:bidi="ar-EG"/>
        </w:rPr>
        <w:t>-</w:t>
      </w:r>
      <w:r>
        <w:rPr>
          <w:rtl/>
          <w:lang w:bidi="ar-EG"/>
        </w:rPr>
        <w:tab/>
        <w:t>وإذا كان التقرير النهائي يتضمن التزامات، فقد يتطلب الأمر إحراز تأييد سياسي لاحق على مستوى مختلف الحكومات الاتحادية والموحدة، حتى يكون له وزن سياسي أكبر. وتشمل عملية التنسيق الحكومات والوزارات المختصة، وهو ما يكفي لضمان التأييد السياسي للتقرير موضع عملية التنسيق.</w:t>
      </w:r>
    </w:p>
    <w:p w14:paraId="16CB5BA2" w14:textId="77777777" w:rsidR="00D424DC" w:rsidRDefault="00D424DC" w:rsidP="000422C3">
      <w:pPr>
        <w:pStyle w:val="SingleTxtGA"/>
        <w:spacing w:line="340" w:lineRule="exact"/>
        <w:rPr>
          <w:rtl/>
          <w:lang w:bidi="ar-EG"/>
        </w:rPr>
      </w:pPr>
      <w:r w:rsidRPr="00350F98">
        <w:rPr>
          <w:rtl/>
          <w:lang w:bidi="ar-EG"/>
        </w:rPr>
        <w:t>177</w:t>
      </w:r>
      <w:r>
        <w:rPr>
          <w:rtl/>
          <w:lang w:bidi="ar-EG"/>
        </w:rPr>
        <w:t>-</w:t>
      </w:r>
      <w:r>
        <w:rPr>
          <w:rtl/>
          <w:lang w:bidi="ar-EG"/>
        </w:rPr>
        <w:tab/>
      </w:r>
      <w:r w:rsidRPr="000422C3">
        <w:rPr>
          <w:spacing w:val="-4"/>
          <w:rtl/>
          <w:lang w:bidi="ar-EG"/>
        </w:rPr>
        <w:t>أما تقرير بلجيكا الدوري المتعلق بتنفيذ اتفاقية حقوق الطفل، فتتولى تنسيقه بالكامل اللجنة الوطنية</w:t>
      </w:r>
      <w:r>
        <w:rPr>
          <w:rtl/>
          <w:lang w:bidi="ar-EG"/>
        </w:rPr>
        <w:t xml:space="preserve"> لحقوق الطفل التي تتميز بتمثيل واسع النطاق لمكونات المجتمع المدني.</w:t>
      </w:r>
    </w:p>
    <w:p w14:paraId="12872282" w14:textId="77777777" w:rsidR="00D424DC" w:rsidRDefault="00D424DC" w:rsidP="000422C3">
      <w:pPr>
        <w:pStyle w:val="SingleTxtGA"/>
        <w:spacing w:line="340" w:lineRule="exact"/>
        <w:rPr>
          <w:rtl/>
          <w:lang w:bidi="ar-EG"/>
        </w:rPr>
      </w:pPr>
      <w:r w:rsidRPr="00350F98">
        <w:rPr>
          <w:rtl/>
          <w:lang w:bidi="ar-EG"/>
        </w:rPr>
        <w:t>178</w:t>
      </w:r>
      <w:r>
        <w:rPr>
          <w:rtl/>
          <w:lang w:bidi="ar-EG"/>
        </w:rPr>
        <w:t>-</w:t>
      </w:r>
      <w:r>
        <w:rPr>
          <w:rtl/>
          <w:lang w:bidi="ar-EG"/>
        </w:rPr>
        <w:tab/>
        <w:t>وقد اتُّبعت المبادئ والقواعد المذكورة أعلاه في إعداد "الوثيقة الأساسية".</w:t>
      </w:r>
    </w:p>
    <w:p w14:paraId="654381BB" w14:textId="77777777" w:rsidR="00D424DC" w:rsidRPr="00350F98" w:rsidRDefault="00D424DC" w:rsidP="000C7FF8">
      <w:pPr>
        <w:pStyle w:val="H1GA"/>
        <w:rPr>
          <w:rtl/>
          <w:lang w:bidi="ar-EG"/>
        </w:rPr>
      </w:pPr>
      <w:r w:rsidRPr="00350F98">
        <w:rPr>
          <w:rtl/>
          <w:lang w:bidi="ar-EG"/>
        </w:rPr>
        <w:tab/>
      </w:r>
      <w:bookmarkStart w:id="27" w:name="_Toc73715646"/>
      <w:r w:rsidRPr="00350F98">
        <w:rPr>
          <w:rtl/>
          <w:lang w:bidi="ar-EG"/>
        </w:rPr>
        <w:t>هاء-</w:t>
      </w:r>
      <w:r w:rsidRPr="00350F98">
        <w:rPr>
          <w:rtl/>
          <w:lang w:bidi="ar-EG"/>
        </w:rPr>
        <w:tab/>
        <w:t>معلومات أخرى تتعلق بحقوق الإنسان</w:t>
      </w:r>
      <w:bookmarkEnd w:id="27"/>
    </w:p>
    <w:p w14:paraId="69D4DF16" w14:textId="77777777" w:rsidR="00D424DC" w:rsidRDefault="00D424DC" w:rsidP="000422C3">
      <w:pPr>
        <w:pStyle w:val="SingleTxtGA"/>
        <w:spacing w:line="340" w:lineRule="exact"/>
        <w:rPr>
          <w:rtl/>
          <w:lang w:bidi="ar-EG"/>
        </w:rPr>
      </w:pPr>
      <w:r w:rsidRPr="00350F98">
        <w:rPr>
          <w:rtl/>
          <w:lang w:bidi="ar-EG"/>
        </w:rPr>
        <w:t>179</w:t>
      </w:r>
      <w:r>
        <w:rPr>
          <w:rtl/>
          <w:lang w:bidi="ar-EG"/>
        </w:rPr>
        <w:t>-</w:t>
      </w:r>
      <w:r>
        <w:rPr>
          <w:rtl/>
          <w:lang w:bidi="ar-EG"/>
        </w:rPr>
        <w:tab/>
        <w:t xml:space="preserve">تندرج سياسة بلجيكا في مجال حقوق الإنسان في الإطار الأعم لتعزيز حقوق الإنسان والدفاع عنها الذي وضعه الاتحاد الأوروبي. فحقوق الإنسان والديمقراطية وسيادة القانون قيم أساسية بالنسبة إلى الاتحاد الأوروبي. وقد عُزّزت هذه القيم، المكرَّسة في المعاهدة التأسيسية للاتحاد، باعتماد ميثاق الحقوق الأساسية. ويتعين على البلدان الأعضاء في الاتحاد الأوروبي أو التي ترغب في الانضمام إليه أن تحترم </w:t>
      </w:r>
      <w:r>
        <w:rPr>
          <w:rtl/>
          <w:lang w:bidi="ar-EG"/>
        </w:rPr>
        <w:lastRenderedPageBreak/>
        <w:t xml:space="preserve">حقوق الإنسان. وتؤكد سياسة حقوق الإنسان داخل الاتحاد على الحقوق المدنية والسياسية والاقتصادية </w:t>
      </w:r>
      <w:r w:rsidRPr="003430AE">
        <w:rPr>
          <w:spacing w:val="-2"/>
          <w:rtl/>
          <w:lang w:bidi="ar-EG"/>
        </w:rPr>
        <w:t>والاجتماعية والثقافية. وهي تهدف أيضاً إلى تعزيز حقوق المرأة والطفل، وكذلك حقوق الأقليات والمشردين.</w:t>
      </w:r>
      <w:r>
        <w:rPr>
          <w:rtl/>
          <w:lang w:bidi="ar-EG"/>
        </w:rPr>
        <w:t xml:space="preserve"> والاتحاد الأوروبي طرف في اتفاقية الأمم المتحدة لحقوق الأشخاص ذوي الإعاقة.</w:t>
      </w:r>
    </w:p>
    <w:p w14:paraId="267F4E5F" w14:textId="77777777" w:rsidR="00D424DC" w:rsidRPr="00350F98" w:rsidRDefault="00D424DC" w:rsidP="000C7FF8">
      <w:pPr>
        <w:pStyle w:val="HChGA"/>
        <w:rPr>
          <w:rtl/>
          <w:lang w:bidi="ar-EG"/>
        </w:rPr>
      </w:pPr>
      <w:r w:rsidRPr="00350F98">
        <w:rPr>
          <w:rtl/>
          <w:lang w:bidi="ar-EG"/>
        </w:rPr>
        <w:tab/>
      </w:r>
      <w:bookmarkStart w:id="28" w:name="_Toc73715647"/>
      <w:r w:rsidRPr="00350F98">
        <w:rPr>
          <w:rtl/>
          <w:lang w:bidi="ar-EG"/>
        </w:rPr>
        <w:t>ثالثاً-</w:t>
      </w:r>
      <w:r w:rsidRPr="00350F98">
        <w:rPr>
          <w:rtl/>
          <w:lang w:bidi="ar-EG"/>
        </w:rPr>
        <w:tab/>
        <w:t>معلومات عن عدم التمييز والمساواة وسبل الانتصاف الفعالة</w:t>
      </w:r>
      <w:bookmarkEnd w:id="28"/>
    </w:p>
    <w:p w14:paraId="7CEE6441" w14:textId="77777777" w:rsidR="00D424DC" w:rsidRPr="00350F98" w:rsidRDefault="00D424DC" w:rsidP="000422C3">
      <w:pPr>
        <w:pStyle w:val="H1GA"/>
        <w:spacing w:before="200" w:after="200" w:line="380" w:lineRule="exact"/>
        <w:rPr>
          <w:rtl/>
          <w:lang w:bidi="ar-EG"/>
        </w:rPr>
      </w:pPr>
      <w:r w:rsidRPr="00350F98">
        <w:rPr>
          <w:rtl/>
          <w:lang w:bidi="ar-EG"/>
        </w:rPr>
        <w:tab/>
      </w:r>
      <w:bookmarkStart w:id="29" w:name="_Toc73715648"/>
      <w:r w:rsidRPr="00350F98">
        <w:rPr>
          <w:rtl/>
          <w:lang w:bidi="ar-EG"/>
        </w:rPr>
        <w:t>ألف-</w:t>
      </w:r>
      <w:r w:rsidRPr="00350F98">
        <w:rPr>
          <w:rtl/>
          <w:lang w:bidi="ar-EG"/>
        </w:rPr>
        <w:tab/>
        <w:t>عدم التمييز والمساواة</w:t>
      </w:r>
      <w:bookmarkEnd w:id="29"/>
    </w:p>
    <w:p w14:paraId="60891855" w14:textId="270A9D33" w:rsidR="00D424DC" w:rsidRDefault="00D424DC" w:rsidP="000422C3">
      <w:pPr>
        <w:pStyle w:val="SingleTxtGA"/>
        <w:spacing w:line="340" w:lineRule="exact"/>
        <w:rPr>
          <w:rtl/>
          <w:lang w:bidi="ar-EG"/>
        </w:rPr>
      </w:pPr>
      <w:r w:rsidRPr="00350F98">
        <w:rPr>
          <w:rtl/>
          <w:lang w:bidi="ar-EG"/>
        </w:rPr>
        <w:t>180</w:t>
      </w:r>
      <w:r>
        <w:rPr>
          <w:rtl/>
          <w:lang w:bidi="ar-EG"/>
        </w:rPr>
        <w:t>-</w:t>
      </w:r>
      <w:r>
        <w:rPr>
          <w:rtl/>
          <w:lang w:bidi="ar-EG"/>
        </w:rPr>
        <w:tab/>
        <w:t>شهدت بلجيكا عملية مواءمة تشريعية للتدابير الرامية إلى مكافحة التمييز على صعيد كل من السلطات الاتحادية والكيانات الموحدة. فقد اعتمدت مختلف الهيئات التشريعية أحكاماً متشابهة جداً، ممّا</w:t>
      </w:r>
      <w:r w:rsidR="00EC4616">
        <w:rPr>
          <w:rFonts w:hint="cs"/>
          <w:rtl/>
          <w:lang w:bidi="ar-EG"/>
        </w:rPr>
        <w:t> </w:t>
      </w:r>
      <w:r>
        <w:rPr>
          <w:rtl/>
          <w:lang w:bidi="ar-EG"/>
        </w:rPr>
        <w:t xml:space="preserve">ييسّر فهم هذه الأحكام على الرغم من العدد الكبير من </w:t>
      </w:r>
      <w:r w:rsidRPr="00EC4616">
        <w:rPr>
          <w:i/>
          <w:iCs/>
          <w:rtl/>
          <w:lang w:bidi="ar-EG"/>
        </w:rPr>
        <w:t>النصوص التي تتناول هذه المسائل</w:t>
      </w:r>
      <w:r>
        <w:rPr>
          <w:rtl/>
          <w:lang w:bidi="ar-EG"/>
        </w:rPr>
        <w:t>:</w:t>
      </w:r>
    </w:p>
    <w:p w14:paraId="06776580" w14:textId="65BCB006" w:rsidR="00D424DC" w:rsidRDefault="00D424DC" w:rsidP="000422C3">
      <w:pPr>
        <w:pStyle w:val="Bullet1GA"/>
        <w:spacing w:line="340" w:lineRule="exact"/>
        <w:rPr>
          <w:rtl/>
          <w:lang w:bidi="ar-EG"/>
        </w:rPr>
      </w:pPr>
      <w:r>
        <w:rPr>
          <w:rtl/>
          <w:lang w:bidi="ar-EG"/>
        </w:rPr>
        <w:t xml:space="preserve">قانون </w:t>
      </w:r>
      <w:r w:rsidRPr="00350F98">
        <w:rPr>
          <w:rtl/>
          <w:lang w:bidi="ar-EG"/>
        </w:rPr>
        <w:t>30</w:t>
      </w:r>
      <w:r>
        <w:rPr>
          <w:rtl/>
          <w:lang w:bidi="ar-EG"/>
        </w:rPr>
        <w:t xml:space="preserve"> تموز/يوليه </w:t>
      </w:r>
      <w:r w:rsidRPr="00350F98">
        <w:rPr>
          <w:rtl/>
          <w:lang w:bidi="ar-EG"/>
        </w:rPr>
        <w:t>1981</w:t>
      </w:r>
      <w:r>
        <w:rPr>
          <w:rtl/>
          <w:lang w:bidi="ar-EG"/>
        </w:rPr>
        <w:t xml:space="preserve"> المتعلق بالمعاقبة على أفعال معينة بدافع العنصرية وكره الأجانب، بصيغته المنقحة بقانون </w:t>
      </w:r>
      <w:r w:rsidRPr="00350F98">
        <w:rPr>
          <w:rtl/>
          <w:lang w:bidi="ar-EG"/>
        </w:rPr>
        <w:t>10</w:t>
      </w:r>
      <w:r>
        <w:rPr>
          <w:rtl/>
          <w:lang w:bidi="ar-EG"/>
        </w:rPr>
        <w:t xml:space="preserve"> أيار/مايو </w:t>
      </w:r>
      <w:r w:rsidRPr="00350F98">
        <w:rPr>
          <w:rtl/>
          <w:lang w:bidi="ar-EG"/>
        </w:rPr>
        <w:t>2007</w:t>
      </w:r>
      <w:r>
        <w:rPr>
          <w:rtl/>
          <w:lang w:bidi="ar-EG"/>
        </w:rPr>
        <w:t>؛</w:t>
      </w:r>
    </w:p>
    <w:p w14:paraId="2D7D9334" w14:textId="12B9BE2F" w:rsidR="00D424DC" w:rsidRDefault="00D424DC" w:rsidP="000422C3">
      <w:pPr>
        <w:pStyle w:val="Bullet1GA"/>
        <w:spacing w:line="340" w:lineRule="exact"/>
        <w:rPr>
          <w:rtl/>
          <w:lang w:bidi="ar-EG"/>
        </w:rPr>
      </w:pPr>
      <w:r>
        <w:rPr>
          <w:rtl/>
          <w:lang w:bidi="ar-EG"/>
        </w:rPr>
        <w:t xml:space="preserve">قانون </w:t>
      </w:r>
      <w:r w:rsidR="007501E7" w:rsidRPr="00350F98">
        <w:rPr>
          <w:rtl/>
          <w:lang w:bidi="ar-EG"/>
        </w:rPr>
        <w:t>4</w:t>
      </w:r>
      <w:r>
        <w:rPr>
          <w:rtl/>
          <w:lang w:bidi="ar-EG"/>
        </w:rPr>
        <w:t xml:space="preserve"> آب/أغسطس </w:t>
      </w:r>
      <w:r w:rsidR="007501E7" w:rsidRPr="00350F98">
        <w:rPr>
          <w:rtl/>
          <w:lang w:bidi="ar-EG"/>
        </w:rPr>
        <w:t>1996</w:t>
      </w:r>
      <w:r>
        <w:rPr>
          <w:rtl/>
          <w:lang w:bidi="ar-EG"/>
        </w:rPr>
        <w:t xml:space="preserve"> المتعلق برعاية العمال أثناء قيامهم بعملهم؛</w:t>
      </w:r>
    </w:p>
    <w:p w14:paraId="4584F21B" w14:textId="7AC1C90B" w:rsidR="00D424DC" w:rsidRDefault="00D424DC" w:rsidP="000422C3">
      <w:pPr>
        <w:pStyle w:val="Bullet1GA"/>
        <w:spacing w:line="340" w:lineRule="exact"/>
        <w:rPr>
          <w:rtl/>
          <w:lang w:bidi="ar-EG"/>
        </w:rPr>
      </w:pPr>
      <w:r w:rsidRPr="00970A38">
        <w:rPr>
          <w:spacing w:val="-4"/>
          <w:rtl/>
          <w:lang w:bidi="ar-EG"/>
        </w:rPr>
        <w:t xml:space="preserve">مرسوم الجماعة الفلمنكية المؤرخ </w:t>
      </w:r>
      <w:r w:rsidRPr="00350F98">
        <w:rPr>
          <w:spacing w:val="-4"/>
          <w:rtl/>
          <w:lang w:bidi="ar-EG"/>
        </w:rPr>
        <w:t>8</w:t>
      </w:r>
      <w:r w:rsidRPr="00970A38">
        <w:rPr>
          <w:spacing w:val="-4"/>
          <w:rtl/>
          <w:lang w:bidi="ar-EG"/>
        </w:rPr>
        <w:t xml:space="preserve"> أيار/مايو </w:t>
      </w:r>
      <w:r w:rsidRPr="00350F98">
        <w:rPr>
          <w:spacing w:val="-4"/>
          <w:rtl/>
          <w:lang w:bidi="ar-EG"/>
        </w:rPr>
        <w:t>2002</w:t>
      </w:r>
      <w:r w:rsidRPr="00970A38">
        <w:rPr>
          <w:spacing w:val="-4"/>
          <w:rtl/>
          <w:lang w:bidi="ar-EG"/>
        </w:rPr>
        <w:t xml:space="preserve"> (بصيغه المنقحة في </w:t>
      </w:r>
      <w:r w:rsidRPr="00350F98">
        <w:rPr>
          <w:spacing w:val="-4"/>
          <w:rtl/>
          <w:lang w:bidi="ar-EG"/>
        </w:rPr>
        <w:t>2004</w:t>
      </w:r>
      <w:r w:rsidRPr="00970A38">
        <w:rPr>
          <w:spacing w:val="-4"/>
          <w:rtl/>
          <w:lang w:bidi="ar-EG"/>
        </w:rPr>
        <w:t xml:space="preserve"> و</w:t>
      </w:r>
      <w:r w:rsidRPr="00350F98">
        <w:rPr>
          <w:spacing w:val="-4"/>
          <w:rtl/>
          <w:lang w:bidi="ar-EG"/>
        </w:rPr>
        <w:t>2007</w:t>
      </w:r>
      <w:r>
        <w:rPr>
          <w:rtl/>
          <w:lang w:bidi="ar-EG"/>
        </w:rPr>
        <w:t xml:space="preserve"> و</w:t>
      </w:r>
      <w:r w:rsidRPr="00350F98">
        <w:rPr>
          <w:rtl/>
          <w:lang w:bidi="ar-EG"/>
        </w:rPr>
        <w:t>2009</w:t>
      </w:r>
      <w:r>
        <w:rPr>
          <w:rtl/>
          <w:lang w:bidi="ar-EG"/>
        </w:rPr>
        <w:t>) والمتعلق بالمشاركة التناسبية في سوق العمل؛</w:t>
      </w:r>
    </w:p>
    <w:p w14:paraId="1848C2D6" w14:textId="774A9F22" w:rsidR="00D424DC" w:rsidRDefault="00D424DC" w:rsidP="000422C3">
      <w:pPr>
        <w:pStyle w:val="Bullet1GA"/>
        <w:spacing w:line="340" w:lineRule="exact"/>
        <w:rPr>
          <w:rtl/>
          <w:lang w:bidi="ar-EG"/>
        </w:rPr>
      </w:pPr>
      <w:r>
        <w:rPr>
          <w:rtl/>
          <w:lang w:bidi="ar-EG"/>
        </w:rPr>
        <w:t xml:space="preserve">مرسوم الجماعة الناطقة باللغة الألمانية المؤرخ </w:t>
      </w:r>
      <w:r w:rsidRPr="00350F98">
        <w:rPr>
          <w:rtl/>
          <w:lang w:bidi="ar-EG"/>
        </w:rPr>
        <w:t>17</w:t>
      </w:r>
      <w:r>
        <w:rPr>
          <w:rtl/>
          <w:lang w:bidi="ar-EG"/>
        </w:rPr>
        <w:t xml:space="preserve"> أيار/مايو </w:t>
      </w:r>
      <w:r w:rsidRPr="00350F98">
        <w:rPr>
          <w:rtl/>
          <w:lang w:bidi="ar-EG"/>
        </w:rPr>
        <w:t>2004</w:t>
      </w:r>
      <w:r>
        <w:rPr>
          <w:rtl/>
          <w:lang w:bidi="ar-EG"/>
        </w:rPr>
        <w:t xml:space="preserve"> (بصيغته المنقحة في عام </w:t>
      </w:r>
      <w:r w:rsidRPr="00350F98">
        <w:rPr>
          <w:rtl/>
          <w:lang w:bidi="ar-EG"/>
        </w:rPr>
        <w:t>2007</w:t>
      </w:r>
      <w:r>
        <w:rPr>
          <w:rtl/>
          <w:lang w:bidi="ar-EG"/>
        </w:rPr>
        <w:t>) والمتعلق بضمان المعاملة المتساوية في سوق العمل؛</w:t>
      </w:r>
    </w:p>
    <w:p w14:paraId="3A675B18" w14:textId="04C7CA2D" w:rsidR="00D424DC" w:rsidRDefault="00D424DC" w:rsidP="000422C3">
      <w:pPr>
        <w:pStyle w:val="Bullet1GA"/>
        <w:spacing w:line="340" w:lineRule="exact"/>
        <w:rPr>
          <w:rtl/>
          <w:lang w:bidi="ar-EG"/>
        </w:rPr>
      </w:pPr>
      <w:r>
        <w:rPr>
          <w:rtl/>
          <w:lang w:bidi="ar-EG"/>
        </w:rPr>
        <w:t xml:space="preserve">مرسوم لجنة الجماعة الفرنسية المؤرخ </w:t>
      </w:r>
      <w:r w:rsidRPr="00350F98">
        <w:rPr>
          <w:rtl/>
          <w:lang w:bidi="ar-EG"/>
        </w:rPr>
        <w:t>22</w:t>
      </w:r>
      <w:r>
        <w:rPr>
          <w:rtl/>
          <w:lang w:bidi="ar-EG"/>
        </w:rPr>
        <w:t xml:space="preserve"> آذار/مارس </w:t>
      </w:r>
      <w:r w:rsidRPr="00350F98">
        <w:rPr>
          <w:rtl/>
          <w:lang w:bidi="ar-EG"/>
        </w:rPr>
        <w:t>2007</w:t>
      </w:r>
      <w:r>
        <w:rPr>
          <w:rtl/>
          <w:lang w:bidi="ar-EG"/>
        </w:rPr>
        <w:t xml:space="preserve"> والمتعلق بالمساواة في المعاملة بين الأشخاص في إطار التدريب المهني؛</w:t>
      </w:r>
    </w:p>
    <w:p w14:paraId="2A1E68E8" w14:textId="7FA3C655" w:rsidR="00D424DC" w:rsidRDefault="00D424DC" w:rsidP="000422C3">
      <w:pPr>
        <w:pStyle w:val="Bullet1GA"/>
        <w:spacing w:line="340" w:lineRule="exact"/>
        <w:rPr>
          <w:rtl/>
          <w:lang w:bidi="ar-EG"/>
        </w:rPr>
      </w:pPr>
      <w:r>
        <w:rPr>
          <w:rtl/>
          <w:lang w:bidi="ar-EG"/>
        </w:rPr>
        <w:t xml:space="preserve">قانون </w:t>
      </w:r>
      <w:r w:rsidR="007501E7" w:rsidRPr="00350F98">
        <w:rPr>
          <w:rtl/>
          <w:lang w:bidi="ar-EG"/>
        </w:rPr>
        <w:t>10</w:t>
      </w:r>
      <w:r>
        <w:rPr>
          <w:rtl/>
          <w:lang w:bidi="ar-EG"/>
        </w:rPr>
        <w:t xml:space="preserve"> أيار/مايو </w:t>
      </w:r>
      <w:r w:rsidR="007501E7" w:rsidRPr="00350F98">
        <w:rPr>
          <w:rtl/>
          <w:lang w:bidi="ar-EG"/>
        </w:rPr>
        <w:t>2007</w:t>
      </w:r>
      <w:r>
        <w:rPr>
          <w:rtl/>
          <w:lang w:bidi="ar-EG"/>
        </w:rPr>
        <w:t xml:space="preserve"> المتعلق بمكافحة أشكال معينة من التمييز؛</w:t>
      </w:r>
    </w:p>
    <w:p w14:paraId="6BAB672B" w14:textId="6F594418" w:rsidR="00D424DC" w:rsidRDefault="00D424DC" w:rsidP="000422C3">
      <w:pPr>
        <w:pStyle w:val="Bullet1GA"/>
        <w:spacing w:line="340" w:lineRule="exact"/>
        <w:rPr>
          <w:rtl/>
          <w:lang w:bidi="ar-EG"/>
        </w:rPr>
      </w:pPr>
      <w:r>
        <w:rPr>
          <w:rtl/>
          <w:lang w:bidi="ar-EG"/>
        </w:rPr>
        <w:t xml:space="preserve">القانون </w:t>
      </w:r>
      <w:r w:rsidR="007501E7" w:rsidRPr="00350F98">
        <w:rPr>
          <w:rtl/>
          <w:lang w:bidi="ar-EG"/>
        </w:rPr>
        <w:t>10</w:t>
      </w:r>
      <w:r>
        <w:rPr>
          <w:rtl/>
          <w:lang w:bidi="ar-EG"/>
        </w:rPr>
        <w:t xml:space="preserve"> أيار/مايو </w:t>
      </w:r>
      <w:r w:rsidR="007501E7" w:rsidRPr="00350F98">
        <w:rPr>
          <w:rtl/>
          <w:lang w:bidi="ar-EG"/>
        </w:rPr>
        <w:t>2007</w:t>
      </w:r>
      <w:r>
        <w:rPr>
          <w:rtl/>
          <w:lang w:bidi="ar-EG"/>
        </w:rPr>
        <w:t xml:space="preserve"> المتعلق بمكافحة التمييز بين المرأة والرجل (المعدل عام</w:t>
      </w:r>
      <w:r w:rsidR="000422C3">
        <w:rPr>
          <w:rFonts w:hint="cs"/>
          <w:rtl/>
          <w:lang w:bidi="ar-EG"/>
        </w:rPr>
        <w:t> </w:t>
      </w:r>
      <w:r w:rsidR="007501E7" w:rsidRPr="00350F98">
        <w:rPr>
          <w:rtl/>
          <w:lang w:bidi="ar-EG"/>
        </w:rPr>
        <w:t>2014</w:t>
      </w:r>
      <w:r>
        <w:rPr>
          <w:rtl/>
          <w:lang w:bidi="ar-EG"/>
        </w:rPr>
        <w:t>)؛</w:t>
      </w:r>
    </w:p>
    <w:p w14:paraId="29A1C320" w14:textId="20C33060" w:rsidR="00D424DC" w:rsidRDefault="00D424DC" w:rsidP="000C7FF8">
      <w:pPr>
        <w:pStyle w:val="Bullet1GA"/>
        <w:rPr>
          <w:rtl/>
          <w:lang w:bidi="ar-EG"/>
        </w:rPr>
      </w:pPr>
      <w:r>
        <w:rPr>
          <w:rtl/>
          <w:lang w:bidi="ar-EG"/>
        </w:rPr>
        <w:t xml:space="preserve">مرسوم الجماعة الفلمنكية المؤرخ </w:t>
      </w:r>
      <w:r w:rsidRPr="00350F98">
        <w:rPr>
          <w:rtl/>
          <w:lang w:bidi="ar-EG"/>
        </w:rPr>
        <w:t>10</w:t>
      </w:r>
      <w:r>
        <w:rPr>
          <w:rtl/>
          <w:lang w:bidi="ar-EG"/>
        </w:rPr>
        <w:t xml:space="preserve"> تموز/يوليه </w:t>
      </w:r>
      <w:r w:rsidRPr="00350F98">
        <w:rPr>
          <w:rtl/>
          <w:lang w:bidi="ar-EG"/>
        </w:rPr>
        <w:t>2008</w:t>
      </w:r>
      <w:r>
        <w:rPr>
          <w:rtl/>
          <w:lang w:bidi="ar-EG"/>
        </w:rPr>
        <w:t xml:space="preserve"> المتعلق بوضع إطار من أجل تحقيق تكافؤ الفرص والمساواة في المعاملة في المنطقة الفلمنكية؛</w:t>
      </w:r>
    </w:p>
    <w:p w14:paraId="3DC768AF" w14:textId="7B2391F6" w:rsidR="00D424DC" w:rsidRDefault="00D424DC" w:rsidP="000C7FF8">
      <w:pPr>
        <w:pStyle w:val="Bullet1GA"/>
        <w:rPr>
          <w:rtl/>
          <w:lang w:bidi="ar-EG"/>
        </w:rPr>
      </w:pPr>
      <w:r>
        <w:rPr>
          <w:rtl/>
          <w:lang w:bidi="ar-EG"/>
        </w:rPr>
        <w:t xml:space="preserve">الأمر الصادر عن منطقة العاصمة بروكسل في </w:t>
      </w:r>
      <w:r w:rsidRPr="00350F98">
        <w:rPr>
          <w:rtl/>
          <w:lang w:bidi="ar-EG"/>
        </w:rPr>
        <w:t>4</w:t>
      </w:r>
      <w:r>
        <w:rPr>
          <w:rtl/>
          <w:lang w:bidi="ar-EG"/>
        </w:rPr>
        <w:t xml:space="preserve"> أيلول/سبتمبر </w:t>
      </w:r>
      <w:r w:rsidRPr="00350F98">
        <w:rPr>
          <w:rtl/>
          <w:lang w:bidi="ar-EG"/>
        </w:rPr>
        <w:t>2008</w:t>
      </w:r>
      <w:r>
        <w:rPr>
          <w:rtl/>
          <w:lang w:bidi="ar-EG"/>
        </w:rPr>
        <w:t xml:space="preserve"> والهادف إلى تشجيع التنوع ومكافحة التمييز في الوظيفة العامة؛</w:t>
      </w:r>
    </w:p>
    <w:p w14:paraId="2607D50C" w14:textId="1EA38853" w:rsidR="00D424DC" w:rsidRDefault="00D424DC" w:rsidP="000C7FF8">
      <w:pPr>
        <w:pStyle w:val="Bullet1GA"/>
        <w:rPr>
          <w:rtl/>
          <w:lang w:bidi="ar-EG"/>
        </w:rPr>
      </w:pPr>
      <w:r w:rsidRPr="000422C3">
        <w:rPr>
          <w:spacing w:val="-4"/>
          <w:rtl/>
          <w:lang w:bidi="ar-EG"/>
        </w:rPr>
        <w:t xml:space="preserve">الأمر الصادر عن منطقة العاصمة بروكسل في </w:t>
      </w:r>
      <w:r w:rsidRPr="00350F98">
        <w:rPr>
          <w:spacing w:val="-4"/>
          <w:rtl/>
          <w:lang w:bidi="ar-EG"/>
        </w:rPr>
        <w:t>4</w:t>
      </w:r>
      <w:r w:rsidRPr="000422C3">
        <w:rPr>
          <w:spacing w:val="-4"/>
          <w:rtl/>
          <w:lang w:bidi="ar-EG"/>
        </w:rPr>
        <w:t xml:space="preserve"> أيلول/سبتمبر </w:t>
      </w:r>
      <w:r w:rsidRPr="00350F98">
        <w:rPr>
          <w:spacing w:val="-4"/>
          <w:rtl/>
          <w:lang w:bidi="ar-EG"/>
        </w:rPr>
        <w:t>2008</w:t>
      </w:r>
      <w:r w:rsidRPr="000422C3">
        <w:rPr>
          <w:spacing w:val="-4"/>
          <w:rtl/>
          <w:lang w:bidi="ar-EG"/>
        </w:rPr>
        <w:t xml:space="preserve"> والمتعلق بمكافحة</w:t>
      </w:r>
      <w:r>
        <w:rPr>
          <w:rtl/>
          <w:lang w:bidi="ar-EG"/>
        </w:rPr>
        <w:t xml:space="preserve"> التمييز وبالمساواة في المعاملة في مجال العمل؛</w:t>
      </w:r>
    </w:p>
    <w:p w14:paraId="1584EE2D" w14:textId="23E04418" w:rsidR="00D424DC" w:rsidRDefault="00D424DC" w:rsidP="000C7FF8">
      <w:pPr>
        <w:pStyle w:val="Bullet1GA"/>
        <w:rPr>
          <w:rtl/>
          <w:lang w:bidi="ar-EG"/>
        </w:rPr>
      </w:pPr>
      <w:r>
        <w:rPr>
          <w:rtl/>
          <w:lang w:bidi="ar-EG"/>
        </w:rPr>
        <w:t xml:space="preserve">المرسوم الصادر عن المنطقة الوالونية في </w:t>
      </w:r>
      <w:r w:rsidRPr="00350F98">
        <w:rPr>
          <w:rtl/>
          <w:lang w:bidi="ar-EG"/>
        </w:rPr>
        <w:t>6</w:t>
      </w:r>
      <w:r>
        <w:rPr>
          <w:rtl/>
          <w:lang w:bidi="ar-EG"/>
        </w:rPr>
        <w:t xml:space="preserve"> تشرين الثاني/نوفمبر </w:t>
      </w:r>
      <w:r w:rsidRPr="00350F98">
        <w:rPr>
          <w:rtl/>
          <w:lang w:bidi="ar-EG"/>
        </w:rPr>
        <w:t>2008</w:t>
      </w:r>
      <w:r>
        <w:rPr>
          <w:rtl/>
          <w:lang w:bidi="ar-EG"/>
        </w:rPr>
        <w:t xml:space="preserve"> (بصيغته المنقحة بالمرسوم المؤرخ </w:t>
      </w:r>
      <w:r w:rsidRPr="00350F98">
        <w:rPr>
          <w:rtl/>
          <w:lang w:bidi="ar-EG"/>
        </w:rPr>
        <w:t>19</w:t>
      </w:r>
      <w:r>
        <w:rPr>
          <w:rtl/>
          <w:lang w:bidi="ar-EG"/>
        </w:rPr>
        <w:t xml:space="preserve"> آذار/مارس </w:t>
      </w:r>
      <w:r w:rsidRPr="00350F98">
        <w:rPr>
          <w:rtl/>
          <w:lang w:bidi="ar-EG"/>
        </w:rPr>
        <w:t>2009</w:t>
      </w:r>
      <w:r>
        <w:rPr>
          <w:rtl/>
          <w:lang w:bidi="ar-EG"/>
        </w:rPr>
        <w:t xml:space="preserve">، المنقح بالمرسوم المؤرخ </w:t>
      </w:r>
      <w:r w:rsidRPr="00350F98">
        <w:rPr>
          <w:rtl/>
          <w:lang w:bidi="ar-EG"/>
        </w:rPr>
        <w:t>12</w:t>
      </w:r>
      <w:r>
        <w:rPr>
          <w:rtl/>
          <w:lang w:bidi="ar-EG"/>
        </w:rPr>
        <w:t xml:space="preserve"> كانون الثاني/يناير </w:t>
      </w:r>
      <w:r w:rsidRPr="00350F98">
        <w:rPr>
          <w:rtl/>
          <w:lang w:bidi="ar-EG"/>
        </w:rPr>
        <w:t>2012</w:t>
      </w:r>
      <w:r>
        <w:rPr>
          <w:rtl/>
          <w:lang w:bidi="ar-EG"/>
        </w:rPr>
        <w:t>) والمتعلق بمكافحة أشكال معينة من التمييز؛</w:t>
      </w:r>
    </w:p>
    <w:p w14:paraId="27B1EC65" w14:textId="6DA11FA9" w:rsidR="00D424DC" w:rsidRDefault="00D424DC" w:rsidP="000C7FF8">
      <w:pPr>
        <w:pStyle w:val="Bullet1GA"/>
        <w:rPr>
          <w:rtl/>
          <w:lang w:bidi="ar-EG"/>
        </w:rPr>
      </w:pPr>
      <w:r>
        <w:rPr>
          <w:rtl/>
          <w:lang w:bidi="ar-EG"/>
        </w:rPr>
        <w:t xml:space="preserve">المرسوم الصادر عن الجماعة الفرنسية في </w:t>
      </w:r>
      <w:r w:rsidRPr="00350F98">
        <w:rPr>
          <w:rtl/>
          <w:lang w:bidi="ar-EG"/>
        </w:rPr>
        <w:t>12</w:t>
      </w:r>
      <w:r>
        <w:rPr>
          <w:rtl/>
          <w:lang w:bidi="ar-EG"/>
        </w:rPr>
        <w:t xml:space="preserve"> كانون الأول/ديسمبر </w:t>
      </w:r>
      <w:r w:rsidRPr="00350F98">
        <w:rPr>
          <w:rtl/>
          <w:lang w:bidi="ar-EG"/>
        </w:rPr>
        <w:t>2008</w:t>
      </w:r>
      <w:r>
        <w:rPr>
          <w:rtl/>
          <w:lang w:bidi="ar-EG"/>
        </w:rPr>
        <w:t xml:space="preserve">، (المنقح عام </w:t>
      </w:r>
      <w:r w:rsidRPr="00350F98">
        <w:rPr>
          <w:rtl/>
          <w:lang w:bidi="ar-EG"/>
        </w:rPr>
        <w:t>2015</w:t>
      </w:r>
      <w:r>
        <w:rPr>
          <w:rtl/>
          <w:lang w:bidi="ar-EG"/>
        </w:rPr>
        <w:t>) والمتعلق بمكافحة أشكال معينة من التمييز؛</w:t>
      </w:r>
    </w:p>
    <w:p w14:paraId="6FC6B36F" w14:textId="59489985" w:rsidR="00D424DC" w:rsidRDefault="00D424DC" w:rsidP="000C7FF8">
      <w:pPr>
        <w:pStyle w:val="Bullet1GA"/>
        <w:rPr>
          <w:rtl/>
          <w:lang w:bidi="ar-EG"/>
        </w:rPr>
      </w:pPr>
      <w:r w:rsidRPr="000422C3">
        <w:rPr>
          <w:spacing w:val="-4"/>
          <w:rtl/>
          <w:lang w:bidi="ar-EG"/>
        </w:rPr>
        <w:t xml:space="preserve">الأمر الصادر عن منطقة العاصمة بروكسل في </w:t>
      </w:r>
      <w:r w:rsidRPr="00350F98">
        <w:rPr>
          <w:spacing w:val="-4"/>
          <w:rtl/>
          <w:lang w:bidi="ar-EG"/>
        </w:rPr>
        <w:t>19</w:t>
      </w:r>
      <w:r w:rsidRPr="000422C3">
        <w:rPr>
          <w:spacing w:val="-4"/>
          <w:rtl/>
          <w:lang w:bidi="ar-EG"/>
        </w:rPr>
        <w:t xml:space="preserve"> آذار/مارس </w:t>
      </w:r>
      <w:r w:rsidRPr="00350F98">
        <w:rPr>
          <w:spacing w:val="-4"/>
          <w:rtl/>
          <w:lang w:bidi="ar-EG"/>
        </w:rPr>
        <w:t>2009</w:t>
      </w:r>
      <w:r w:rsidRPr="000422C3">
        <w:rPr>
          <w:spacing w:val="-4"/>
          <w:rtl/>
          <w:lang w:bidi="ar-EG"/>
        </w:rPr>
        <w:t xml:space="preserve"> والمتعلق بتنقيح</w:t>
      </w:r>
      <w:r>
        <w:rPr>
          <w:rtl/>
          <w:lang w:bidi="ar-EG"/>
        </w:rPr>
        <w:t xml:space="preserve"> قانون الإسكان في بروكسل؛</w:t>
      </w:r>
    </w:p>
    <w:p w14:paraId="34DE93E0" w14:textId="5136585C" w:rsidR="00D424DC" w:rsidRDefault="00D424DC" w:rsidP="000C7FF8">
      <w:pPr>
        <w:pStyle w:val="Bullet1GA"/>
        <w:rPr>
          <w:rtl/>
          <w:lang w:bidi="ar-EG"/>
        </w:rPr>
      </w:pPr>
      <w:r w:rsidRPr="000422C3">
        <w:rPr>
          <w:spacing w:val="-4"/>
          <w:rtl/>
          <w:lang w:bidi="ar-EG"/>
        </w:rPr>
        <w:lastRenderedPageBreak/>
        <w:t xml:space="preserve">المرسوم الصادر عن لجنة الجماعة الفرنسية في </w:t>
      </w:r>
      <w:r w:rsidRPr="00350F98">
        <w:rPr>
          <w:spacing w:val="-4"/>
          <w:rtl/>
          <w:lang w:bidi="ar-EG"/>
        </w:rPr>
        <w:t>3</w:t>
      </w:r>
      <w:r w:rsidRPr="000422C3">
        <w:rPr>
          <w:spacing w:val="-4"/>
          <w:rtl/>
          <w:lang w:bidi="ar-EG"/>
        </w:rPr>
        <w:t xml:space="preserve"> تموز/يوليه </w:t>
      </w:r>
      <w:r w:rsidRPr="00350F98">
        <w:rPr>
          <w:spacing w:val="-4"/>
          <w:rtl/>
          <w:lang w:bidi="ar-EG"/>
        </w:rPr>
        <w:t>2010</w:t>
      </w:r>
      <w:r w:rsidRPr="000422C3">
        <w:rPr>
          <w:spacing w:val="-4"/>
          <w:rtl/>
          <w:lang w:bidi="ar-EG"/>
        </w:rPr>
        <w:t xml:space="preserve"> والمتعلق بمكافحة</w:t>
      </w:r>
      <w:r>
        <w:rPr>
          <w:rtl/>
          <w:lang w:bidi="ar-EG"/>
        </w:rPr>
        <w:t xml:space="preserve"> أشكال معيّنة من التمييز وتطبيق مبدأ المساواة في المعاملة؛</w:t>
      </w:r>
    </w:p>
    <w:p w14:paraId="59DBB73D" w14:textId="2CE8A17B" w:rsidR="00D424DC" w:rsidRDefault="00D424DC" w:rsidP="000C7FF8">
      <w:pPr>
        <w:pStyle w:val="Bullet1GA"/>
        <w:rPr>
          <w:rtl/>
          <w:lang w:bidi="ar-EG"/>
        </w:rPr>
      </w:pPr>
      <w:r w:rsidRPr="000422C3">
        <w:rPr>
          <w:spacing w:val="-4"/>
          <w:rtl/>
          <w:lang w:bidi="ar-EG"/>
        </w:rPr>
        <w:t xml:space="preserve">المرسوم الصادر عن الجماعة الناطقة باللغة الألمانية في </w:t>
      </w:r>
      <w:r w:rsidRPr="00350F98">
        <w:rPr>
          <w:spacing w:val="-4"/>
          <w:rtl/>
          <w:lang w:bidi="ar-EG"/>
        </w:rPr>
        <w:t>19</w:t>
      </w:r>
      <w:r w:rsidRPr="000422C3">
        <w:rPr>
          <w:spacing w:val="-4"/>
          <w:rtl/>
          <w:lang w:bidi="ar-EG"/>
        </w:rPr>
        <w:t xml:space="preserve"> آذار/مارس </w:t>
      </w:r>
      <w:r w:rsidRPr="00350F98">
        <w:rPr>
          <w:spacing w:val="-4"/>
          <w:rtl/>
          <w:lang w:bidi="ar-EG"/>
        </w:rPr>
        <w:t>2012</w:t>
      </w:r>
      <w:r w:rsidRPr="000422C3">
        <w:rPr>
          <w:spacing w:val="-4"/>
          <w:rtl/>
          <w:lang w:bidi="ar-EG"/>
        </w:rPr>
        <w:t xml:space="preserve"> والرامي</w:t>
      </w:r>
      <w:r>
        <w:rPr>
          <w:rtl/>
          <w:lang w:bidi="ar-EG"/>
        </w:rPr>
        <w:t xml:space="preserve"> إلى مكافحة أشكال معيّنة من التمييز؛</w:t>
      </w:r>
    </w:p>
    <w:p w14:paraId="5D118835" w14:textId="4E962F10" w:rsidR="00D424DC" w:rsidRDefault="00D424DC" w:rsidP="000C7FF8">
      <w:pPr>
        <w:pStyle w:val="Bullet1GA"/>
        <w:rPr>
          <w:rtl/>
          <w:lang w:bidi="ar-EG"/>
        </w:rPr>
      </w:pPr>
      <w:r w:rsidRPr="000422C3">
        <w:rPr>
          <w:spacing w:val="-2"/>
          <w:rtl/>
          <w:lang w:bidi="ar-EG"/>
        </w:rPr>
        <w:t xml:space="preserve">القانون الرامي إلى مكافحة التحيز الجنساني في الأماكن العامة، المعدل لقانون </w:t>
      </w:r>
      <w:r w:rsidR="007501E7" w:rsidRPr="00350F98">
        <w:rPr>
          <w:spacing w:val="-2"/>
          <w:rtl/>
          <w:lang w:bidi="ar-EG"/>
        </w:rPr>
        <w:t>10</w:t>
      </w:r>
      <w:r w:rsidRPr="000422C3">
        <w:rPr>
          <w:spacing w:val="-2"/>
          <w:rtl/>
          <w:lang w:bidi="ar-EG"/>
        </w:rPr>
        <w:t xml:space="preserve"> أيار/</w:t>
      </w:r>
      <w:r w:rsidR="000422C3">
        <w:rPr>
          <w:rFonts w:hint="cs"/>
          <w:rtl/>
          <w:lang w:bidi="ar-EG"/>
        </w:rPr>
        <w:t xml:space="preserve"> </w:t>
      </w:r>
      <w:r>
        <w:rPr>
          <w:rtl/>
          <w:lang w:bidi="ar-EG"/>
        </w:rPr>
        <w:t xml:space="preserve">مايو </w:t>
      </w:r>
      <w:r w:rsidR="007501E7" w:rsidRPr="00350F98">
        <w:rPr>
          <w:rtl/>
          <w:lang w:bidi="ar-EG"/>
        </w:rPr>
        <w:t>2007</w:t>
      </w:r>
      <w:r>
        <w:rPr>
          <w:rtl/>
          <w:lang w:bidi="ar-EG"/>
        </w:rPr>
        <w:t xml:space="preserve"> والرامي إلى مكافحة التمييز بين المرأة والرجل بغية تجريم أعمال التمييز؛</w:t>
      </w:r>
    </w:p>
    <w:p w14:paraId="04A34C6C" w14:textId="39E84068" w:rsidR="00D424DC" w:rsidRDefault="00D424DC" w:rsidP="000C7FF8">
      <w:pPr>
        <w:pStyle w:val="Bullet1GA"/>
        <w:rPr>
          <w:rtl/>
          <w:lang w:bidi="ar-EG"/>
        </w:rPr>
      </w:pPr>
      <w:r>
        <w:rPr>
          <w:rtl/>
          <w:lang w:bidi="ar-EG"/>
        </w:rPr>
        <w:t xml:space="preserve">الأمر الصادر عن منطقة العاصمة بروكسل في </w:t>
      </w:r>
      <w:r w:rsidR="000C7FF8" w:rsidRPr="00350F98">
        <w:rPr>
          <w:rtl/>
          <w:lang w:bidi="ar-EG"/>
        </w:rPr>
        <w:t>5</w:t>
      </w:r>
      <w:r>
        <w:rPr>
          <w:rtl/>
          <w:lang w:bidi="ar-EG"/>
        </w:rPr>
        <w:t xml:space="preserve"> تشرين الأول/أكتوبر </w:t>
      </w:r>
      <w:r w:rsidR="00F92BBC" w:rsidRPr="00350F98">
        <w:rPr>
          <w:rtl/>
          <w:lang w:bidi="ar-EG"/>
        </w:rPr>
        <w:t>2017</w:t>
      </w:r>
      <w:r>
        <w:rPr>
          <w:rtl/>
          <w:lang w:bidi="ar-EG"/>
        </w:rPr>
        <w:t xml:space="preserve"> والرامي إلى مكافحة أشكال معينة من التمييز وإلى تعزيز المساواة في المعاملة؛</w:t>
      </w:r>
    </w:p>
    <w:p w14:paraId="07B785AF" w14:textId="1DFB9CBE" w:rsidR="00D424DC" w:rsidRDefault="00D424DC" w:rsidP="000C7FF8">
      <w:pPr>
        <w:pStyle w:val="Bullet1GA"/>
        <w:rPr>
          <w:rtl/>
          <w:lang w:bidi="ar-EG"/>
        </w:rPr>
      </w:pPr>
      <w:r>
        <w:rPr>
          <w:rtl/>
          <w:lang w:bidi="ar-EG"/>
        </w:rPr>
        <w:t xml:space="preserve">الأمر الصادر في </w:t>
      </w:r>
      <w:r w:rsidR="007501E7" w:rsidRPr="00350F98">
        <w:rPr>
          <w:rtl/>
          <w:lang w:bidi="ar-EG"/>
        </w:rPr>
        <w:t>16</w:t>
      </w:r>
      <w:r>
        <w:rPr>
          <w:rtl/>
          <w:lang w:bidi="ar-EG"/>
        </w:rPr>
        <w:t xml:space="preserve"> تشرين الثاني/نوفمبر </w:t>
      </w:r>
      <w:r w:rsidR="00F92BBC" w:rsidRPr="00350F98">
        <w:rPr>
          <w:rtl/>
          <w:lang w:bidi="ar-EG"/>
        </w:rPr>
        <w:t>2017</w:t>
      </w:r>
      <w:r>
        <w:rPr>
          <w:rtl/>
          <w:lang w:bidi="ar-EG"/>
        </w:rPr>
        <w:t xml:space="preserve"> والرامي إلى مكافحة التمييز في مجال العمل في منطقة العاصمة بروكسل (اختبار الوضع في عين المكان)؛</w:t>
      </w:r>
    </w:p>
    <w:p w14:paraId="269031C3" w14:textId="58B8D906" w:rsidR="00D424DC" w:rsidRDefault="00D424DC" w:rsidP="000C7FF8">
      <w:pPr>
        <w:pStyle w:val="Bullet1GA"/>
        <w:rPr>
          <w:rtl/>
          <w:lang w:bidi="ar-EG"/>
        </w:rPr>
      </w:pPr>
      <w:r>
        <w:rPr>
          <w:rtl/>
          <w:lang w:bidi="ar-EG"/>
        </w:rPr>
        <w:t xml:space="preserve">قانون </w:t>
      </w:r>
      <w:r w:rsidR="007501E7" w:rsidRPr="00350F98">
        <w:rPr>
          <w:rtl/>
          <w:lang w:bidi="ar-EG"/>
        </w:rPr>
        <w:t>15</w:t>
      </w:r>
      <w:r>
        <w:rPr>
          <w:rtl/>
          <w:lang w:bidi="ar-EG"/>
        </w:rPr>
        <w:t xml:space="preserve"> كانون الثاني/يناير </w:t>
      </w:r>
      <w:r w:rsidR="00F92BBC" w:rsidRPr="00350F98">
        <w:rPr>
          <w:rtl/>
          <w:lang w:bidi="ar-EG"/>
        </w:rPr>
        <w:t>2018</w:t>
      </w:r>
      <w:r>
        <w:rPr>
          <w:rtl/>
          <w:lang w:bidi="ar-EG"/>
        </w:rPr>
        <w:t xml:space="preserve"> الذي يتضمن أحكاماً شتى في مجال العمل (اختبار الوضع</w:t>
      </w:r>
      <w:r w:rsidR="000C7FF8">
        <w:rPr>
          <w:rFonts w:hint="cs"/>
          <w:rtl/>
          <w:lang w:bidi="ar-EG"/>
        </w:rPr>
        <w:t xml:space="preserve"> </w:t>
      </w:r>
      <w:r>
        <w:rPr>
          <w:rtl/>
          <w:lang w:bidi="ar-EG"/>
        </w:rPr>
        <w:t>في عين المكان).</w:t>
      </w:r>
    </w:p>
    <w:p w14:paraId="04D1DF9C" w14:textId="5844F342" w:rsidR="00D424DC" w:rsidRDefault="00D424DC" w:rsidP="00D424DC">
      <w:pPr>
        <w:pStyle w:val="SingleTxtGA"/>
        <w:rPr>
          <w:rtl/>
          <w:lang w:bidi="ar-EG"/>
        </w:rPr>
      </w:pPr>
      <w:r w:rsidRPr="00350F98">
        <w:rPr>
          <w:rtl/>
          <w:lang w:bidi="ar-EG"/>
        </w:rPr>
        <w:t>181</w:t>
      </w:r>
      <w:r>
        <w:rPr>
          <w:rtl/>
          <w:lang w:bidi="ar-EG"/>
        </w:rPr>
        <w:t>-</w:t>
      </w:r>
      <w:r>
        <w:rPr>
          <w:rtl/>
          <w:lang w:bidi="ar-EG"/>
        </w:rPr>
        <w:tab/>
      </w:r>
      <w:r w:rsidRPr="00EC4616">
        <w:rPr>
          <w:i/>
          <w:iCs/>
          <w:spacing w:val="-4"/>
          <w:rtl/>
          <w:lang w:bidi="ar-EG"/>
        </w:rPr>
        <w:t>المعايير المشمولة بالحماية:</w:t>
      </w:r>
      <w:r w:rsidRPr="000422C3">
        <w:rPr>
          <w:spacing w:val="-4"/>
          <w:rtl/>
          <w:lang w:bidi="ar-EG"/>
        </w:rPr>
        <w:t xml:space="preserve"> هي العرق المزعوم، ولون البشرة،</w:t>
      </w:r>
      <w:r w:rsidR="007501E7" w:rsidRPr="000422C3">
        <w:rPr>
          <w:rFonts w:hint="cs"/>
          <w:spacing w:val="-4"/>
          <w:rtl/>
          <w:lang w:bidi="ar-EG"/>
        </w:rPr>
        <w:t xml:space="preserve"> </w:t>
      </w:r>
      <w:r w:rsidRPr="000422C3">
        <w:rPr>
          <w:spacing w:val="-4"/>
          <w:rtl/>
          <w:lang w:bidi="ar-EG"/>
        </w:rPr>
        <w:t xml:space="preserve">والانتماء، والأصل القومي أو الإثني، </w:t>
      </w:r>
      <w:r>
        <w:rPr>
          <w:rtl/>
          <w:lang w:bidi="ar-EG"/>
        </w:rPr>
        <w:t xml:space="preserve">والجنسية، والعمر، والجنس، والهوية الجنسانية، والتعبير الجنساني، والميل الجنسي، والحالة </w:t>
      </w:r>
      <w:r w:rsidRPr="000422C3">
        <w:rPr>
          <w:spacing w:val="-4"/>
          <w:rtl/>
          <w:lang w:bidi="ar-EG"/>
        </w:rPr>
        <w:t>المدنية، والمولد، والثروة، والعقيدة الدينية أو الفلسفية، والمعتقد السياسي، واللغة، والحالة الصحية، والإعاقة، والخصائص الجسدية</w:t>
      </w:r>
      <w:r>
        <w:rPr>
          <w:rtl/>
          <w:lang w:bidi="ar-EG"/>
        </w:rPr>
        <w:t xml:space="preserve"> أو الجينية والأصل الاجتماعي. وبموجب قرار صادر عن المحكمة الدستورية، أُدمج معيار "المعتقد النقابي" في قانون </w:t>
      </w:r>
      <w:r w:rsidRPr="00350F98">
        <w:rPr>
          <w:rtl/>
          <w:lang w:bidi="ar-EG"/>
        </w:rPr>
        <w:t>10</w:t>
      </w:r>
      <w:r>
        <w:rPr>
          <w:rtl/>
          <w:lang w:bidi="ar-EG"/>
        </w:rPr>
        <w:t xml:space="preserve"> أيار/مايو </w:t>
      </w:r>
      <w:r w:rsidRPr="00350F98">
        <w:rPr>
          <w:rtl/>
          <w:lang w:bidi="ar-EG"/>
        </w:rPr>
        <w:t>2007</w:t>
      </w:r>
      <w:r>
        <w:rPr>
          <w:rtl/>
          <w:lang w:bidi="ar-EG"/>
        </w:rPr>
        <w:t xml:space="preserve"> وفي المرسوم الفلمنكي ومرسوم الجماعة الفرنسية. ويعاقَب على التحيز الجنساني جنائياً منذ عام </w:t>
      </w:r>
      <w:r w:rsidR="007501E7" w:rsidRPr="00350F98">
        <w:rPr>
          <w:rtl/>
          <w:lang w:bidi="ar-EG"/>
        </w:rPr>
        <w:t>2014</w:t>
      </w:r>
      <w:r w:rsidRPr="00B70B24">
        <w:rPr>
          <w:vertAlign w:val="superscript"/>
          <w:rtl/>
        </w:rPr>
        <w:t>(</w:t>
      </w:r>
      <w:r w:rsidRPr="00350F98">
        <w:rPr>
          <w:rStyle w:val="FootnoteReference"/>
          <w:spacing w:val="-2"/>
          <w:lang w:val="en-US"/>
        </w:rPr>
        <w:footnoteReference w:id="16"/>
      </w:r>
      <w:r w:rsidRPr="00B70B24">
        <w:rPr>
          <w:vertAlign w:val="superscript"/>
          <w:rtl/>
        </w:rPr>
        <w:t>)</w:t>
      </w:r>
      <w:r>
        <w:rPr>
          <w:rtl/>
          <w:lang w:bidi="ar-EG"/>
        </w:rPr>
        <w:t>.</w:t>
      </w:r>
    </w:p>
    <w:p w14:paraId="027C0804" w14:textId="0ED53BB7" w:rsidR="00D424DC" w:rsidRDefault="00D424DC" w:rsidP="00D424DC">
      <w:pPr>
        <w:pStyle w:val="SingleTxtGA"/>
        <w:rPr>
          <w:rtl/>
          <w:lang w:bidi="ar-EG"/>
        </w:rPr>
      </w:pPr>
      <w:r w:rsidRPr="00350F98">
        <w:rPr>
          <w:rtl/>
          <w:lang w:bidi="ar-EG"/>
        </w:rPr>
        <w:t>182</w:t>
      </w:r>
      <w:r>
        <w:rPr>
          <w:rtl/>
          <w:lang w:bidi="ar-EG"/>
        </w:rPr>
        <w:t>-</w:t>
      </w:r>
      <w:r>
        <w:rPr>
          <w:rtl/>
          <w:lang w:bidi="ar-EG"/>
        </w:rPr>
        <w:tab/>
      </w:r>
      <w:r w:rsidRPr="00EC4616">
        <w:rPr>
          <w:i/>
          <w:iCs/>
          <w:rtl/>
          <w:lang w:bidi="ar-EG"/>
        </w:rPr>
        <w:t>ويشكل ما يلي سلوكيات محظورة:</w:t>
      </w:r>
      <w:r>
        <w:rPr>
          <w:rtl/>
          <w:lang w:bidi="ar-EG"/>
        </w:rPr>
        <w:t xml:space="preserve"> التمييز المباشر، والتمييز غير المباشر، والحض على التمييز، والمضايقة، ورفض إتاحة تسهيلات معقولة للأشخاص ذوي الإعاقة، والتحريض على الكراهية </w:t>
      </w:r>
      <w:r w:rsidRPr="000422C3">
        <w:rPr>
          <w:spacing w:val="-4"/>
          <w:rtl/>
          <w:lang w:bidi="ar-EG"/>
        </w:rPr>
        <w:t>أو</w:t>
      </w:r>
      <w:r w:rsidR="000422C3" w:rsidRPr="000422C3">
        <w:rPr>
          <w:rFonts w:hint="cs"/>
          <w:spacing w:val="-4"/>
          <w:rtl/>
          <w:lang w:bidi="ar-EG"/>
        </w:rPr>
        <w:t> </w:t>
      </w:r>
      <w:r w:rsidRPr="000422C3">
        <w:rPr>
          <w:spacing w:val="-4"/>
          <w:rtl/>
          <w:lang w:bidi="ar-EG"/>
        </w:rPr>
        <w:t>العنف أو التمييز أو التفرقة. وثمة آلية تُعنى بالنظر في أسباب التمييز هذه وتعمل عل</w:t>
      </w:r>
      <w:r w:rsidRPr="000422C3">
        <w:rPr>
          <w:rFonts w:hint="cs"/>
          <w:spacing w:val="-4"/>
          <w:rtl/>
          <w:lang w:bidi="ar-EG"/>
        </w:rPr>
        <w:t>ى</w:t>
      </w:r>
      <w:r w:rsidRPr="000422C3">
        <w:rPr>
          <w:spacing w:val="-4"/>
          <w:rtl/>
          <w:lang w:bidi="ar-EG"/>
        </w:rPr>
        <w:t xml:space="preserve"> أساس متطلبات</w:t>
      </w:r>
      <w:r>
        <w:rPr>
          <w:rtl/>
          <w:lang w:bidi="ar-EG"/>
        </w:rPr>
        <w:t xml:space="preserve"> تختلف باختلاف المعيار المشمول بالحماية وباختلاف نطاق التطبيق. ويشتمل قانون مكافحة العنصرية (</w:t>
      </w:r>
      <w:r w:rsidR="007501E7" w:rsidRPr="00350F98">
        <w:rPr>
          <w:rtl/>
          <w:lang w:bidi="ar-EG"/>
        </w:rPr>
        <w:t>30</w:t>
      </w:r>
      <w:r>
        <w:rPr>
          <w:rtl/>
          <w:lang w:bidi="ar-EG"/>
        </w:rPr>
        <w:t xml:space="preserve"> تموز/يوليه </w:t>
      </w:r>
      <w:r w:rsidRPr="00350F98">
        <w:rPr>
          <w:rtl/>
          <w:lang w:bidi="ar-EG"/>
        </w:rPr>
        <w:t>1981</w:t>
      </w:r>
      <w:r>
        <w:rPr>
          <w:rtl/>
          <w:lang w:bidi="ar-EG"/>
        </w:rPr>
        <w:t xml:space="preserve">) على جرائم محددة. وفي عام </w:t>
      </w:r>
      <w:r w:rsidR="007501E7" w:rsidRPr="00350F98">
        <w:rPr>
          <w:rtl/>
          <w:lang w:bidi="ar-EG"/>
        </w:rPr>
        <w:t>20</w:t>
      </w:r>
      <w:r w:rsidR="00F92BBC" w:rsidRPr="00350F98">
        <w:rPr>
          <w:rtl/>
          <w:lang w:bidi="ar-EG"/>
        </w:rPr>
        <w:t>13</w:t>
      </w:r>
      <w:r>
        <w:rPr>
          <w:rtl/>
          <w:lang w:bidi="ar-EG"/>
        </w:rPr>
        <w:t xml:space="preserve">، أنشأ المشرِّع، بالنسبة إلى عدد </w:t>
      </w:r>
      <w:r w:rsidRPr="000422C3">
        <w:rPr>
          <w:spacing w:val="-4"/>
          <w:rtl/>
          <w:lang w:bidi="ar-EG"/>
        </w:rPr>
        <w:t>معين من الجرائم، ظرفاً مشدّداً للعقوبة الممكنة أو الإلزامية إذا كان أحد الدوافع هو الكراهية، والاحتقار والمعاداة</w:t>
      </w:r>
      <w:r>
        <w:rPr>
          <w:rtl/>
          <w:lang w:bidi="ar-EG"/>
        </w:rPr>
        <w:t xml:space="preserve"> لشخص ما بسبب أحد المعايير المشمولة بالحماية.</w:t>
      </w:r>
    </w:p>
    <w:p w14:paraId="6B4C3899" w14:textId="2CA30D7E" w:rsidR="00D424DC" w:rsidRDefault="00D424DC" w:rsidP="00D424DC">
      <w:pPr>
        <w:pStyle w:val="SingleTxtGA"/>
        <w:rPr>
          <w:rtl/>
          <w:lang w:bidi="ar-EG"/>
        </w:rPr>
      </w:pPr>
      <w:r w:rsidRPr="00350F98">
        <w:rPr>
          <w:rtl/>
          <w:lang w:bidi="ar-EG"/>
        </w:rPr>
        <w:t>183</w:t>
      </w:r>
      <w:r>
        <w:rPr>
          <w:rtl/>
          <w:lang w:bidi="ar-EG"/>
        </w:rPr>
        <w:t>-</w:t>
      </w:r>
      <w:r>
        <w:rPr>
          <w:rtl/>
          <w:lang w:bidi="ar-EG"/>
        </w:rPr>
        <w:tab/>
        <w:t>واعتُمد في حزيران/</w:t>
      </w:r>
      <w:proofErr w:type="gramStart"/>
      <w:r>
        <w:rPr>
          <w:rtl/>
          <w:lang w:bidi="ar-EG"/>
        </w:rPr>
        <w:t>يونيه</w:t>
      </w:r>
      <w:proofErr w:type="gramEnd"/>
      <w:r>
        <w:rPr>
          <w:rtl/>
          <w:lang w:bidi="ar-EG"/>
        </w:rPr>
        <w:t xml:space="preserve"> </w:t>
      </w:r>
      <w:r w:rsidR="007501E7" w:rsidRPr="00350F98">
        <w:rPr>
          <w:rtl/>
          <w:lang w:bidi="ar-EG"/>
        </w:rPr>
        <w:t>20</w:t>
      </w:r>
      <w:r w:rsidR="00F92BBC" w:rsidRPr="00350F98">
        <w:rPr>
          <w:rtl/>
          <w:lang w:bidi="ar-EG"/>
        </w:rPr>
        <w:t>13</w:t>
      </w:r>
      <w:r>
        <w:rPr>
          <w:rtl/>
          <w:lang w:bidi="ar-EG"/>
        </w:rPr>
        <w:t xml:space="preserve"> تعميم يتعلق </w:t>
      </w:r>
      <w:r w:rsidRPr="00EC4616">
        <w:rPr>
          <w:i/>
          <w:iCs/>
          <w:rtl/>
          <w:lang w:bidi="ar-EG"/>
        </w:rPr>
        <w:t>بسياسات التحقيق والملاحقة القضائية فيما يتعلق بالتمييز وبجرائم الكراهية</w:t>
      </w:r>
      <w:r>
        <w:rPr>
          <w:rtl/>
          <w:lang w:bidi="ar-EG"/>
        </w:rPr>
        <w:t xml:space="preserve"> (</w:t>
      </w:r>
      <w:r>
        <w:rPr>
          <w:lang w:bidi="ar-EG"/>
        </w:rPr>
        <w:t xml:space="preserve">COL </w:t>
      </w:r>
      <w:r w:rsidRPr="00350F98">
        <w:rPr>
          <w:lang w:bidi="ar-EG"/>
        </w:rPr>
        <w:t>13</w:t>
      </w:r>
      <w:r>
        <w:rPr>
          <w:lang w:bidi="ar-EG"/>
        </w:rPr>
        <w:t>/</w:t>
      </w:r>
      <w:r w:rsidRPr="00350F98">
        <w:rPr>
          <w:lang w:bidi="ar-EG"/>
        </w:rPr>
        <w:t>2013</w:t>
      </w:r>
      <w:r>
        <w:rPr>
          <w:rtl/>
          <w:lang w:bidi="ar-EG"/>
        </w:rPr>
        <w:t>). وهو يهدف إلى توحيد عمل القضاة ودوائر الشرطة بغية تحسين التحقيق والملاحقة القضائية لأعمال التمييز وجرائم الكراهية. ومن ثم جرى في كل دائرة قضائية تعيين قاض مرجعي يعنى بالنظر في قضايا التمييز وجرائم الكراهية. وينص التعميم أيضاً على تعيين ضباط شرطة مرجعية.</w:t>
      </w:r>
    </w:p>
    <w:p w14:paraId="662439CC" w14:textId="4A1447D4" w:rsidR="00D424DC" w:rsidRDefault="00D424DC" w:rsidP="00D424DC">
      <w:pPr>
        <w:pStyle w:val="SingleTxtGA"/>
        <w:rPr>
          <w:rtl/>
          <w:lang w:bidi="ar-EG"/>
        </w:rPr>
      </w:pPr>
      <w:r w:rsidRPr="00350F98">
        <w:rPr>
          <w:rtl/>
          <w:lang w:bidi="ar-EG"/>
        </w:rPr>
        <w:t>184</w:t>
      </w:r>
      <w:r>
        <w:rPr>
          <w:rtl/>
          <w:lang w:bidi="ar-EG"/>
        </w:rPr>
        <w:t>-</w:t>
      </w:r>
      <w:r>
        <w:rPr>
          <w:rtl/>
          <w:lang w:bidi="ar-EG"/>
        </w:rPr>
        <w:tab/>
      </w:r>
      <w:r w:rsidRPr="00EC4616">
        <w:rPr>
          <w:i/>
          <w:iCs/>
          <w:rtl/>
          <w:lang w:bidi="ar-EG"/>
        </w:rPr>
        <w:t>نطاق التطبيق:</w:t>
      </w:r>
      <w:r>
        <w:rPr>
          <w:rtl/>
          <w:lang w:bidi="ar-EG"/>
        </w:rPr>
        <w:t xml:space="preserve"> العمل، والسلع والخدمات، والضمان الاجتماعي والحماية الاجتماعية، والبيانات التي تُدرج في الوثائق الرسمية أو في المحاضر، والانخراط والمشاركة في أي نشاط اقتصادي أو اجتماعي أو ثقافي أو سياسي متاح لعامة الجمهور. وبالإضافة إلى ذلك، وبالنسبة للج</w:t>
      </w:r>
      <w:r>
        <w:rPr>
          <w:rFonts w:hint="cs"/>
          <w:rtl/>
          <w:lang w:bidi="ar-EG"/>
        </w:rPr>
        <w:t>ماعة</w:t>
      </w:r>
      <w:r>
        <w:rPr>
          <w:rtl/>
          <w:lang w:bidi="ar-EG"/>
        </w:rPr>
        <w:t xml:space="preserve"> الفرنسية: علاقات العمل، والتعليم والسياسة الصحية، والاستحقاقات الاجتماعية، والانتماء والمشاركة في أية منظمة مهنية </w:t>
      </w:r>
      <w:r>
        <w:rPr>
          <w:rtl/>
          <w:lang w:bidi="ar-EG"/>
        </w:rPr>
        <w:lastRenderedPageBreak/>
        <w:t xml:space="preserve">أخرى تخضع للقانون الخاص وتحصل على إعانة من الجماعة الفرنسية. ويشمل نطاق تطبيق المرسوم </w:t>
      </w:r>
      <w:r w:rsidRPr="000422C3">
        <w:rPr>
          <w:spacing w:val="-4"/>
          <w:rtl/>
          <w:lang w:bidi="ar-EG"/>
        </w:rPr>
        <w:t xml:space="preserve">الفلمنكي المتعلق بتكافؤ الفرص، وفقاً للمادة </w:t>
      </w:r>
      <w:r w:rsidR="007501E7" w:rsidRPr="00350F98">
        <w:rPr>
          <w:spacing w:val="-4"/>
          <w:rtl/>
          <w:lang w:bidi="ar-EG"/>
        </w:rPr>
        <w:t>20</w:t>
      </w:r>
      <w:r w:rsidRPr="000422C3">
        <w:rPr>
          <w:spacing w:val="-4"/>
          <w:rtl/>
          <w:lang w:bidi="ar-EG"/>
        </w:rPr>
        <w:t>، ما يلي: إمكانية الحصول على عمل بأجر أو عمل مستقل،</w:t>
      </w:r>
      <w:r>
        <w:rPr>
          <w:rtl/>
          <w:lang w:bidi="ar-EG"/>
        </w:rPr>
        <w:t xml:space="preserve"> أو على مهنة، وعلى المعلومات المتعلقة بالاختيارات المهنية، وعلى التدريب المهني، والتوظيف الخارجي </w:t>
      </w:r>
      <w:r w:rsidRPr="000422C3">
        <w:rPr>
          <w:spacing w:val="-4"/>
          <w:rtl/>
          <w:lang w:bidi="ar-EG"/>
        </w:rPr>
        <w:t>وإعادة التوظيف، وعلى الرعاية الصحية والتعليم والسلع والخدمات المتاحة لعامة الجمهور (ويشمل ذلك السكن)،</w:t>
      </w:r>
      <w:r>
        <w:rPr>
          <w:rtl/>
          <w:lang w:bidi="ar-EG"/>
        </w:rPr>
        <w:t xml:space="preserve"> </w:t>
      </w:r>
      <w:r w:rsidRPr="000422C3">
        <w:rPr>
          <w:spacing w:val="-4"/>
          <w:rtl/>
          <w:lang w:bidi="ar-EG"/>
        </w:rPr>
        <w:t>وعلى الاستحقاقات الاجتماعية، وإمكانية الوصول إلى الأنشطة الاقتصادية والاجتماعية والثقافية والسياسية</w:t>
      </w:r>
      <w:r>
        <w:rPr>
          <w:rtl/>
          <w:lang w:bidi="ar-EG"/>
        </w:rPr>
        <w:t xml:space="preserve"> خارج المجال الخاص.</w:t>
      </w:r>
    </w:p>
    <w:p w14:paraId="16CA2D64" w14:textId="77777777" w:rsidR="00D424DC" w:rsidRDefault="00D424DC" w:rsidP="00D424DC">
      <w:pPr>
        <w:pStyle w:val="SingleTxtGA"/>
        <w:rPr>
          <w:rtl/>
          <w:lang w:bidi="ar-EG"/>
        </w:rPr>
      </w:pPr>
      <w:r w:rsidRPr="00350F98">
        <w:rPr>
          <w:rtl/>
          <w:lang w:bidi="ar-EG"/>
        </w:rPr>
        <w:t>185</w:t>
      </w:r>
      <w:r>
        <w:rPr>
          <w:rtl/>
          <w:lang w:bidi="ar-EG"/>
        </w:rPr>
        <w:t>-</w:t>
      </w:r>
      <w:r>
        <w:rPr>
          <w:rtl/>
          <w:lang w:bidi="ar-EG"/>
        </w:rPr>
        <w:tab/>
      </w:r>
      <w:r w:rsidRPr="00EC4616">
        <w:rPr>
          <w:i/>
          <w:iCs/>
          <w:rtl/>
          <w:lang w:bidi="ar-EG"/>
        </w:rPr>
        <w:t xml:space="preserve">العقوبات: </w:t>
      </w:r>
      <w:r>
        <w:rPr>
          <w:rtl/>
          <w:lang w:bidi="ar-EG"/>
        </w:rPr>
        <w:t xml:space="preserve">ينص القانون المدني على إجراء طلب وقف الفعل التمييزي. ويتيح هذا الإجراء استصدار قرار بوقف التمييز (تحت الإكراه، إن وجب الأمر)، وبمنح تعويضات لضحايا التمييز، وبإلغاء أي بند تمييزي أو إقرار ما يلزم من إجراءات لنشر الحكم أو إشهاره. وينص القانون الجنائي على غرامات </w:t>
      </w:r>
      <w:r w:rsidRPr="00C918AE">
        <w:rPr>
          <w:spacing w:val="-4"/>
          <w:rtl/>
          <w:lang w:bidi="ar-EG"/>
        </w:rPr>
        <w:t>مالية و/أو عقوبات بالسجن. وتجدر الإشارة أيضاً إلى إمكانية الحكم بحرمان من يرتكب التمييز من حقوقه</w:t>
      </w:r>
      <w:r>
        <w:rPr>
          <w:rtl/>
          <w:lang w:bidi="ar-EG"/>
        </w:rPr>
        <w:t xml:space="preserve"> المدنية والسياسية.</w:t>
      </w:r>
    </w:p>
    <w:p w14:paraId="653C067B" w14:textId="77777777" w:rsidR="00D424DC" w:rsidRDefault="00D424DC" w:rsidP="00D424DC">
      <w:pPr>
        <w:pStyle w:val="SingleTxtGA"/>
        <w:rPr>
          <w:rtl/>
          <w:lang w:bidi="ar-EG"/>
        </w:rPr>
      </w:pPr>
      <w:r w:rsidRPr="00350F98">
        <w:rPr>
          <w:rtl/>
          <w:lang w:bidi="ar-EG"/>
        </w:rPr>
        <w:t>186</w:t>
      </w:r>
      <w:r>
        <w:rPr>
          <w:rtl/>
          <w:lang w:bidi="ar-EG"/>
        </w:rPr>
        <w:t>-</w:t>
      </w:r>
      <w:r>
        <w:rPr>
          <w:rtl/>
          <w:lang w:bidi="ar-EG"/>
        </w:rPr>
        <w:tab/>
      </w:r>
      <w:r w:rsidRPr="00EC4616">
        <w:rPr>
          <w:i/>
          <w:iCs/>
          <w:spacing w:val="-2"/>
          <w:rtl/>
          <w:lang w:bidi="ar-EG"/>
        </w:rPr>
        <w:t xml:space="preserve">آليات الحماية: </w:t>
      </w:r>
      <w:r w:rsidRPr="00D97AA3">
        <w:rPr>
          <w:spacing w:val="-2"/>
          <w:rtl/>
          <w:lang w:bidi="ar-EG"/>
        </w:rPr>
        <w:t xml:space="preserve">رهناً بشروط (شكلية) معينة، يمكن توفير الحماية للضحايا والشهود من أية أعمال </w:t>
      </w:r>
      <w:r>
        <w:rPr>
          <w:rtl/>
          <w:lang w:bidi="ar-EG"/>
        </w:rPr>
        <w:t>انتقامية قد يتعرّضون لها سواء في مجال العمل أو خارجه.</w:t>
      </w:r>
    </w:p>
    <w:p w14:paraId="4AD17C84" w14:textId="52C501A2" w:rsidR="00D424DC" w:rsidRDefault="00D424DC" w:rsidP="00D424DC">
      <w:pPr>
        <w:pStyle w:val="SingleTxtGA"/>
        <w:rPr>
          <w:rtl/>
          <w:lang w:bidi="ar-EG"/>
        </w:rPr>
      </w:pPr>
      <w:r w:rsidRPr="00350F98">
        <w:rPr>
          <w:rtl/>
          <w:lang w:bidi="ar-EG"/>
        </w:rPr>
        <w:t>187</w:t>
      </w:r>
      <w:r>
        <w:rPr>
          <w:rtl/>
          <w:lang w:bidi="ar-EG"/>
        </w:rPr>
        <w:t>-</w:t>
      </w:r>
      <w:r>
        <w:rPr>
          <w:rtl/>
          <w:lang w:bidi="ar-EG"/>
        </w:rPr>
        <w:tab/>
      </w:r>
      <w:r w:rsidRPr="00EC4616">
        <w:rPr>
          <w:i/>
          <w:iCs/>
          <w:spacing w:val="-4"/>
          <w:rtl/>
          <w:lang w:bidi="ar-EG"/>
        </w:rPr>
        <w:t>الحق في الاحتكام إلى القضاء</w:t>
      </w:r>
      <w:r w:rsidRPr="00D97AA3">
        <w:rPr>
          <w:spacing w:val="-4"/>
          <w:rtl/>
          <w:lang w:bidi="ar-EG"/>
        </w:rPr>
        <w:t xml:space="preserve"> حق معترف به للجمعيات التي تدافع عن حقوق الإنسان و/أو تكافح</w:t>
      </w:r>
      <w:r>
        <w:rPr>
          <w:rtl/>
          <w:lang w:bidi="ar-EG"/>
        </w:rPr>
        <w:t xml:space="preserve"> أعمال التمييز، وللمنظمات التمثيلية أو المهنية (نقابات عمالية، وما إلى ذلك)، ولمركز</w:t>
      </w:r>
      <w:r w:rsidR="00D97AA3">
        <w:rPr>
          <w:rFonts w:hint="cs"/>
          <w:rtl/>
          <w:lang w:bidi="ar-EG"/>
        </w:rPr>
        <w:t xml:space="preserve"> </w:t>
      </w:r>
      <w:r>
        <w:rPr>
          <w:rtl/>
          <w:lang w:bidi="ar-EG"/>
        </w:rPr>
        <w:t>أونيا، ولمعهد المساواة بين المرأة والرجل.</w:t>
      </w:r>
    </w:p>
    <w:p w14:paraId="61A2BA01" w14:textId="774E45CD" w:rsidR="00D424DC" w:rsidRDefault="00D424DC" w:rsidP="00D424DC">
      <w:pPr>
        <w:pStyle w:val="SingleTxtGA"/>
        <w:rPr>
          <w:rtl/>
          <w:lang w:bidi="ar-EG"/>
        </w:rPr>
      </w:pPr>
      <w:r w:rsidRPr="00350F98">
        <w:rPr>
          <w:rtl/>
          <w:lang w:bidi="ar-EG"/>
        </w:rPr>
        <w:t>188</w:t>
      </w:r>
      <w:r>
        <w:rPr>
          <w:rtl/>
          <w:lang w:bidi="ar-EG"/>
        </w:rPr>
        <w:t>-</w:t>
      </w:r>
      <w:r>
        <w:rPr>
          <w:rtl/>
          <w:lang w:bidi="ar-EG"/>
        </w:rPr>
        <w:tab/>
        <w:t xml:space="preserve">وفي عام </w:t>
      </w:r>
      <w:r w:rsidR="00F92BBC" w:rsidRPr="00350F98">
        <w:rPr>
          <w:rtl/>
          <w:lang w:bidi="ar-EG"/>
        </w:rPr>
        <w:t>2017</w:t>
      </w:r>
      <w:r>
        <w:rPr>
          <w:rtl/>
          <w:lang w:bidi="ar-EG"/>
        </w:rPr>
        <w:t xml:space="preserve">، عينت الإدارة الاتحادية لتكافؤ الفرص، التي أنشئت عام </w:t>
      </w:r>
      <w:r w:rsidR="00F92BBC" w:rsidRPr="00350F98">
        <w:rPr>
          <w:rtl/>
          <w:lang w:bidi="ar-EG"/>
        </w:rPr>
        <w:t>2016</w:t>
      </w:r>
      <w:r>
        <w:rPr>
          <w:rtl/>
          <w:lang w:bidi="ar-EG"/>
        </w:rPr>
        <w:t xml:space="preserve">، جهة اتصال </w:t>
      </w:r>
      <w:r w:rsidRPr="00D97AA3">
        <w:rPr>
          <w:spacing w:val="-2"/>
          <w:rtl/>
          <w:lang w:bidi="ar-EG"/>
        </w:rPr>
        <w:t>وحيدة</w:t>
      </w:r>
      <w:r w:rsidR="00D97AA3" w:rsidRPr="00D97AA3">
        <w:rPr>
          <w:rFonts w:hint="cs"/>
          <w:spacing w:val="-2"/>
          <w:rtl/>
          <w:lang w:bidi="ar-EG"/>
        </w:rPr>
        <w:t xml:space="preserve"> </w:t>
      </w:r>
      <w:r w:rsidRPr="00D97AA3">
        <w:rPr>
          <w:spacing w:val="-2"/>
          <w:rtl/>
          <w:lang w:bidi="ar-EG"/>
        </w:rPr>
        <w:t>معنية</w:t>
      </w:r>
      <w:r w:rsidR="00D97AA3" w:rsidRPr="00D97AA3">
        <w:rPr>
          <w:rFonts w:hint="cs"/>
          <w:spacing w:val="-2"/>
          <w:rtl/>
          <w:lang w:bidi="ar-EG"/>
        </w:rPr>
        <w:t xml:space="preserve"> </w:t>
      </w:r>
      <w:r w:rsidRPr="00D97AA3">
        <w:rPr>
          <w:spacing w:val="-2"/>
          <w:rtl/>
          <w:lang w:bidi="ar-EG"/>
        </w:rPr>
        <w:t>بجرائم الكراهية</w:t>
      </w:r>
      <w:r w:rsidR="00D97AA3" w:rsidRPr="00D97AA3">
        <w:rPr>
          <w:rFonts w:hint="cs"/>
          <w:spacing w:val="-2"/>
          <w:rtl/>
          <w:lang w:bidi="ar-EG"/>
        </w:rPr>
        <w:t xml:space="preserve"> </w:t>
      </w:r>
      <w:r w:rsidRPr="00D97AA3">
        <w:rPr>
          <w:spacing w:val="-2"/>
          <w:rtl/>
          <w:lang w:bidi="ar-EG"/>
        </w:rPr>
        <w:t>إزاء</w:t>
      </w:r>
      <w:r w:rsidR="00D97AA3" w:rsidRPr="00D97AA3">
        <w:rPr>
          <w:rFonts w:hint="cs"/>
          <w:spacing w:val="-2"/>
          <w:rtl/>
          <w:lang w:bidi="ar-EG"/>
        </w:rPr>
        <w:t xml:space="preserve"> </w:t>
      </w:r>
      <w:r w:rsidRPr="00D97AA3">
        <w:rPr>
          <w:spacing w:val="-2"/>
          <w:rtl/>
          <w:lang w:bidi="ar-EG"/>
        </w:rPr>
        <w:t>مكتب المؤسسات الديمقراطية وحقوق الإنسان التابع لمنظمة الأمن والتعاون</w:t>
      </w:r>
      <w:r>
        <w:rPr>
          <w:rtl/>
          <w:lang w:bidi="ar-EG"/>
        </w:rPr>
        <w:t xml:space="preserve"> في أوروبا. </w:t>
      </w:r>
    </w:p>
    <w:p w14:paraId="3AC6A157" w14:textId="79622DEA" w:rsidR="00D424DC" w:rsidRDefault="00D424DC" w:rsidP="00D424DC">
      <w:pPr>
        <w:pStyle w:val="SingleTxtGA"/>
        <w:rPr>
          <w:rtl/>
          <w:lang w:bidi="ar-EG"/>
        </w:rPr>
      </w:pPr>
      <w:r w:rsidRPr="00350F98">
        <w:rPr>
          <w:rtl/>
          <w:lang w:bidi="ar-EG"/>
        </w:rPr>
        <w:t>189</w:t>
      </w:r>
      <w:r>
        <w:rPr>
          <w:rtl/>
          <w:lang w:bidi="ar-EG"/>
        </w:rPr>
        <w:t>-</w:t>
      </w:r>
      <w:r>
        <w:rPr>
          <w:rtl/>
          <w:lang w:bidi="ar-EG"/>
        </w:rPr>
        <w:tab/>
      </w:r>
      <w:r w:rsidRPr="000422C3">
        <w:rPr>
          <w:spacing w:val="-4"/>
          <w:rtl/>
          <w:lang w:bidi="ar-EG"/>
        </w:rPr>
        <w:t xml:space="preserve">وعقب اعتماد التشريعات المناهضة للتمييز، وقّع في عام </w:t>
      </w:r>
      <w:r w:rsidR="007501E7" w:rsidRPr="00350F98">
        <w:rPr>
          <w:spacing w:val="-4"/>
          <w:rtl/>
          <w:lang w:bidi="ar-EG"/>
        </w:rPr>
        <w:t>2012</w:t>
      </w:r>
      <w:r w:rsidRPr="000422C3">
        <w:rPr>
          <w:spacing w:val="-4"/>
          <w:rtl/>
          <w:lang w:bidi="ar-EG"/>
        </w:rPr>
        <w:t xml:space="preserve"> اتفاق تعاون بين مختلف الكيانات</w:t>
      </w:r>
      <w:r>
        <w:rPr>
          <w:rtl/>
          <w:lang w:bidi="ar-EG"/>
        </w:rPr>
        <w:t xml:space="preserve"> الموحدة ومركز أونيا. وأنشئت أربع عشرة جهة اتصال </w:t>
      </w:r>
      <w:r w:rsidRPr="00EC4616">
        <w:rPr>
          <w:i/>
          <w:iCs/>
          <w:rtl/>
          <w:lang w:bidi="ar-EG"/>
        </w:rPr>
        <w:t>(</w:t>
      </w:r>
      <w:proofErr w:type="spellStart"/>
      <w:r w:rsidRPr="00EC4616">
        <w:rPr>
          <w:i/>
          <w:iCs/>
          <w:lang w:bidi="ar-EG"/>
        </w:rPr>
        <w:t>meldpunten</w:t>
      </w:r>
      <w:proofErr w:type="spellEnd"/>
      <w:r w:rsidRPr="00EC4616">
        <w:rPr>
          <w:i/>
          <w:iCs/>
          <w:rtl/>
          <w:lang w:bidi="ar-EG"/>
        </w:rPr>
        <w:t>)</w:t>
      </w:r>
      <w:r>
        <w:rPr>
          <w:rtl/>
          <w:lang w:bidi="ar-EG"/>
        </w:rPr>
        <w:t xml:space="preserve"> في المدن الفلمنكية الرئيسية، وأربع في المنطقة الوالونية. وبذلك، يمكن لكل مواطن أن يتوجه بسهولة إلى جهة يمكنه أن يحصل منها على المعلومات والدعم في إطار البلاغات المتعلقة بالتمييز أو العنصرية. ووُقعت أيضاً اتفاقية بين العهد </w:t>
      </w:r>
      <w:r w:rsidRPr="000422C3">
        <w:rPr>
          <w:spacing w:val="-4"/>
          <w:rtl/>
          <w:lang w:bidi="ar-EG"/>
        </w:rPr>
        <w:t>الإقليمي من أجل فرص العمل ومركز أونيا في إطار الأوامر المتعلقة بالعمل في</w:t>
      </w:r>
      <w:r w:rsidR="00D97AA3" w:rsidRPr="000422C3">
        <w:rPr>
          <w:rFonts w:hint="cs"/>
          <w:spacing w:val="-4"/>
          <w:rtl/>
          <w:lang w:bidi="ar-EG"/>
        </w:rPr>
        <w:t xml:space="preserve"> </w:t>
      </w:r>
      <w:r w:rsidRPr="000422C3">
        <w:rPr>
          <w:spacing w:val="-4"/>
          <w:rtl/>
          <w:lang w:bidi="ar-EG"/>
        </w:rPr>
        <w:t>منطقة العاصمة بروكسل.</w:t>
      </w:r>
      <w:r>
        <w:rPr>
          <w:rtl/>
          <w:lang w:bidi="ar-EG"/>
        </w:rPr>
        <w:t xml:space="preserve"> </w:t>
      </w:r>
      <w:r w:rsidRPr="000422C3">
        <w:rPr>
          <w:spacing w:val="-4"/>
          <w:rtl/>
          <w:lang w:bidi="ar-EG"/>
        </w:rPr>
        <w:t>وتُحدد هذه الاتفاقية صيغ التعاون في مجالات مكافحة أعمال التمييز، وسياسات التنوع. وقد عيّنت الجماعة</w:t>
      </w:r>
      <w:r>
        <w:rPr>
          <w:rtl/>
          <w:lang w:bidi="ar-EG"/>
        </w:rPr>
        <w:t xml:space="preserve"> الناطقة باللغة الألمانية جمعية </w:t>
      </w:r>
      <w:proofErr w:type="spellStart"/>
      <w:r>
        <w:rPr>
          <w:rtl/>
          <w:lang w:bidi="ar-EG"/>
        </w:rPr>
        <w:t>بريسما</w:t>
      </w:r>
      <w:proofErr w:type="spellEnd"/>
      <w:r>
        <w:rPr>
          <w:rtl/>
          <w:lang w:bidi="ar-EG"/>
        </w:rPr>
        <w:t xml:space="preserve"> </w:t>
      </w:r>
      <w:r w:rsidR="000422C3">
        <w:rPr>
          <w:rFonts w:hint="cs"/>
          <w:rtl/>
          <w:lang w:bidi="ar-EG"/>
        </w:rPr>
        <w:t>(</w:t>
      </w:r>
      <w:r>
        <w:rPr>
          <w:lang w:bidi="ar-EG"/>
        </w:rPr>
        <w:t>PRISMA</w:t>
      </w:r>
      <w:r>
        <w:rPr>
          <w:rtl/>
          <w:lang w:bidi="ar-EG"/>
        </w:rPr>
        <w:t>)، وهي جمعية غير ربحية، والمجلس الاقتصادي والاجتماعي بصفتهما الهيئة المكلفة بتنفيذ المرسوم المتعلق بضمان المساواة في المعاملة في سوق العمل.</w:t>
      </w:r>
    </w:p>
    <w:p w14:paraId="71284C70" w14:textId="1B8AB72A" w:rsidR="00D424DC" w:rsidRPr="000422C3" w:rsidRDefault="00D424DC" w:rsidP="00D424DC">
      <w:pPr>
        <w:pStyle w:val="SingleTxtGA"/>
        <w:rPr>
          <w:rtl/>
        </w:rPr>
      </w:pPr>
      <w:r w:rsidRPr="00350F98">
        <w:rPr>
          <w:rtl/>
          <w:lang w:bidi="ar-EG"/>
        </w:rPr>
        <w:t>190</w:t>
      </w:r>
      <w:r>
        <w:rPr>
          <w:rtl/>
          <w:lang w:bidi="ar-EG"/>
        </w:rPr>
        <w:t>-</w:t>
      </w:r>
      <w:r>
        <w:rPr>
          <w:rtl/>
          <w:lang w:bidi="ar-EG"/>
        </w:rPr>
        <w:tab/>
      </w:r>
      <w:r w:rsidRPr="000422C3">
        <w:rPr>
          <w:spacing w:val="-4"/>
          <w:rtl/>
          <w:lang w:bidi="ar-EG"/>
        </w:rPr>
        <w:t>وأبرمت الجماعة الفرنسية (</w:t>
      </w:r>
      <w:r w:rsidR="007501E7" w:rsidRPr="00350F98">
        <w:rPr>
          <w:spacing w:val="-4"/>
          <w:rtl/>
          <w:lang w:bidi="ar-EG"/>
        </w:rPr>
        <w:t>2008</w:t>
      </w:r>
      <w:r w:rsidRPr="000422C3">
        <w:rPr>
          <w:spacing w:val="-4"/>
          <w:rtl/>
          <w:lang w:bidi="ar-EG"/>
        </w:rPr>
        <w:t>)، والمنطقة الوالونية (</w:t>
      </w:r>
      <w:r w:rsidR="007501E7" w:rsidRPr="00350F98">
        <w:rPr>
          <w:spacing w:val="-4"/>
          <w:rtl/>
          <w:lang w:bidi="ar-EG"/>
        </w:rPr>
        <w:t>2009</w:t>
      </w:r>
      <w:r w:rsidRPr="000422C3">
        <w:rPr>
          <w:spacing w:val="-4"/>
          <w:rtl/>
          <w:lang w:bidi="ar-EG"/>
        </w:rPr>
        <w:t>) ولجنة الجماعة الفرنسية (</w:t>
      </w:r>
      <w:r w:rsidRPr="00350F98">
        <w:rPr>
          <w:spacing w:val="-4"/>
          <w:rtl/>
          <w:lang w:bidi="ar-EG"/>
        </w:rPr>
        <w:t>2013</w:t>
      </w:r>
      <w:r w:rsidRPr="000422C3">
        <w:rPr>
          <w:spacing w:val="-4"/>
          <w:rtl/>
          <w:lang w:bidi="ar-EG"/>
        </w:rPr>
        <w:t>)،</w:t>
      </w:r>
      <w:r>
        <w:rPr>
          <w:rtl/>
          <w:lang w:bidi="ar-EG"/>
        </w:rPr>
        <w:t xml:space="preserve"> </w:t>
      </w:r>
      <w:r w:rsidRPr="000422C3">
        <w:rPr>
          <w:spacing w:val="-4"/>
          <w:rtl/>
          <w:lang w:bidi="ar-EG"/>
        </w:rPr>
        <w:t>والجماعة الناطقة باللغة الألمانية (</w:t>
      </w:r>
      <w:r w:rsidR="00F92BBC" w:rsidRPr="00350F98">
        <w:rPr>
          <w:spacing w:val="-4"/>
          <w:rtl/>
          <w:lang w:bidi="ar-EG"/>
        </w:rPr>
        <w:t>2016</w:t>
      </w:r>
      <w:r w:rsidRPr="000422C3">
        <w:rPr>
          <w:spacing w:val="-4"/>
          <w:rtl/>
          <w:lang w:bidi="ar-EG"/>
        </w:rPr>
        <w:t>)، ومنطقة العاصمة بروكسل (</w:t>
      </w:r>
      <w:r w:rsidR="00F92BBC" w:rsidRPr="00350F98">
        <w:rPr>
          <w:spacing w:val="-4"/>
          <w:rtl/>
          <w:lang w:bidi="ar-EG"/>
        </w:rPr>
        <w:t>2016</w:t>
      </w:r>
      <w:r w:rsidRPr="000422C3">
        <w:rPr>
          <w:spacing w:val="-4"/>
          <w:rtl/>
          <w:lang w:bidi="ar-EG"/>
        </w:rPr>
        <w:t xml:space="preserve">) بروتوكولات تعاون مع معهد </w:t>
      </w:r>
      <w:r w:rsidRPr="000422C3">
        <w:rPr>
          <w:rtl/>
        </w:rPr>
        <w:t xml:space="preserve">المساواة بين المرأة والرجل منحت بموجبها لهذا الأخير صلاحية معالجة </w:t>
      </w:r>
      <w:r w:rsidRPr="000422C3">
        <w:rPr>
          <w:rFonts w:hint="cs"/>
          <w:rtl/>
        </w:rPr>
        <w:t>الحالات</w:t>
      </w:r>
      <w:r w:rsidRPr="000422C3">
        <w:rPr>
          <w:rtl/>
        </w:rPr>
        <w:t xml:space="preserve"> الفردية المتعلقة بالتمييز </w:t>
      </w:r>
      <w:r w:rsidRPr="000422C3">
        <w:rPr>
          <w:spacing w:val="-2"/>
          <w:rtl/>
        </w:rPr>
        <w:t xml:space="preserve">القائم على أساس الجنس، وإعلام الجماهير وتوعيتها، والاضطلاع بتدريب الموظفين، وتقديم الآراء والتوصيات للسلطات المجتمعية والإقليمية. ويرتبط المعهد أيضاً، منذ عام </w:t>
      </w:r>
      <w:r w:rsidR="007501E7" w:rsidRPr="00350F98">
        <w:rPr>
          <w:spacing w:val="-2"/>
          <w:rtl/>
        </w:rPr>
        <w:t>2014</w:t>
      </w:r>
      <w:r w:rsidRPr="000422C3">
        <w:rPr>
          <w:spacing w:val="-2"/>
          <w:rtl/>
        </w:rPr>
        <w:t xml:space="preserve">، </w:t>
      </w:r>
      <w:proofErr w:type="spellStart"/>
      <w:r w:rsidRPr="000422C3">
        <w:rPr>
          <w:spacing w:val="-2"/>
          <w:rtl/>
        </w:rPr>
        <w:t>بأكتيريس</w:t>
      </w:r>
      <w:proofErr w:type="spellEnd"/>
      <w:r w:rsidRPr="000422C3">
        <w:rPr>
          <w:spacing w:val="-2"/>
          <w:rtl/>
        </w:rPr>
        <w:t xml:space="preserve"> (مكتب بروكسل</w:t>
      </w:r>
      <w:r w:rsidRPr="000422C3">
        <w:rPr>
          <w:rtl/>
        </w:rPr>
        <w:t xml:space="preserve"> الإقليمي للعمل) بموجب اتفاق شراكة.</w:t>
      </w:r>
    </w:p>
    <w:p w14:paraId="3209499E" w14:textId="541E5A99" w:rsidR="00D424DC" w:rsidRDefault="00D424DC" w:rsidP="00D424DC">
      <w:pPr>
        <w:pStyle w:val="SingleTxtGA"/>
        <w:rPr>
          <w:rtl/>
          <w:lang w:bidi="ar-EG"/>
        </w:rPr>
      </w:pPr>
      <w:r w:rsidRPr="00350F98">
        <w:rPr>
          <w:rtl/>
          <w:lang w:bidi="ar-EG"/>
        </w:rPr>
        <w:t>191</w:t>
      </w:r>
      <w:r>
        <w:rPr>
          <w:rtl/>
          <w:lang w:bidi="ar-EG"/>
        </w:rPr>
        <w:t>-</w:t>
      </w:r>
      <w:r>
        <w:rPr>
          <w:rtl/>
          <w:lang w:bidi="ar-EG"/>
        </w:rPr>
        <w:tab/>
      </w:r>
      <w:r w:rsidRPr="00EC4616">
        <w:rPr>
          <w:i/>
          <w:iCs/>
          <w:rtl/>
          <w:lang w:bidi="ar-EG"/>
        </w:rPr>
        <w:t>والإجراءات الإيجابية</w:t>
      </w:r>
      <w:r>
        <w:rPr>
          <w:rtl/>
          <w:lang w:bidi="ar-EG"/>
        </w:rPr>
        <w:t xml:space="preserve"> هي تدابير خاصة تستهدف النهوض بشكل كاف ومؤقت بالمجموعات المحمية والأفراد المحميين بموجب الاتفاقية. وهذه الإجراءات منصوص عليها في الفقرة </w:t>
      </w:r>
      <w:r w:rsidR="007501E7" w:rsidRPr="00350F98">
        <w:rPr>
          <w:rtl/>
          <w:lang w:bidi="ar-EG"/>
        </w:rPr>
        <w:t>3</w:t>
      </w:r>
      <w:r>
        <w:rPr>
          <w:rtl/>
          <w:lang w:bidi="ar-EG"/>
        </w:rPr>
        <w:t xml:space="preserve"> من المادة </w:t>
      </w:r>
      <w:r w:rsidR="007501E7" w:rsidRPr="00350F98">
        <w:rPr>
          <w:rtl/>
          <w:lang w:bidi="ar-EG"/>
        </w:rPr>
        <w:t>10</w:t>
      </w:r>
      <w:r>
        <w:rPr>
          <w:rtl/>
          <w:lang w:bidi="ar-EG"/>
        </w:rPr>
        <w:t xml:space="preserve"> </w:t>
      </w:r>
      <w:r w:rsidRPr="000422C3">
        <w:rPr>
          <w:spacing w:val="-4"/>
          <w:rtl/>
          <w:lang w:bidi="ar-EG"/>
        </w:rPr>
        <w:t xml:space="preserve">من قانون </w:t>
      </w:r>
      <w:r w:rsidR="007501E7" w:rsidRPr="00350F98">
        <w:rPr>
          <w:spacing w:val="-4"/>
          <w:rtl/>
          <w:lang w:bidi="ar-EG"/>
        </w:rPr>
        <w:t>30</w:t>
      </w:r>
      <w:r w:rsidRPr="000422C3">
        <w:rPr>
          <w:spacing w:val="-4"/>
          <w:rtl/>
          <w:lang w:bidi="ar-EG"/>
        </w:rPr>
        <w:t xml:space="preserve"> تموز/يوليه </w:t>
      </w:r>
      <w:r w:rsidR="007501E7" w:rsidRPr="00350F98">
        <w:rPr>
          <w:spacing w:val="-4"/>
          <w:rtl/>
          <w:lang w:bidi="ar-EG"/>
        </w:rPr>
        <w:t>1981</w:t>
      </w:r>
      <w:r w:rsidRPr="000422C3">
        <w:rPr>
          <w:spacing w:val="-4"/>
          <w:rtl/>
          <w:lang w:bidi="ar-EG"/>
        </w:rPr>
        <w:t xml:space="preserve"> الذي يرمي إلى قمع أفعال معينة تنبع من العنصرية أو من كراهية الأجانب،</w:t>
      </w:r>
      <w:r>
        <w:rPr>
          <w:rtl/>
          <w:lang w:bidi="ar-EG"/>
        </w:rPr>
        <w:t xml:space="preserve"> </w:t>
      </w:r>
      <w:r w:rsidRPr="000422C3">
        <w:rPr>
          <w:spacing w:val="-4"/>
          <w:rtl/>
          <w:lang w:bidi="ar-EG"/>
        </w:rPr>
        <w:lastRenderedPageBreak/>
        <w:t xml:space="preserve">وفي المادة </w:t>
      </w:r>
      <w:r w:rsidR="007501E7" w:rsidRPr="00350F98">
        <w:rPr>
          <w:spacing w:val="-4"/>
          <w:rtl/>
          <w:lang w:bidi="ar-EG"/>
        </w:rPr>
        <w:t>10</w:t>
      </w:r>
      <w:r w:rsidRPr="000422C3">
        <w:rPr>
          <w:spacing w:val="-4"/>
          <w:rtl/>
          <w:lang w:bidi="ar-EG"/>
        </w:rPr>
        <w:t xml:space="preserve"> من قانون </w:t>
      </w:r>
      <w:r w:rsidR="007501E7" w:rsidRPr="00350F98">
        <w:rPr>
          <w:spacing w:val="-4"/>
          <w:rtl/>
          <w:lang w:bidi="ar-EG"/>
        </w:rPr>
        <w:t>10</w:t>
      </w:r>
      <w:r w:rsidRPr="000422C3">
        <w:rPr>
          <w:spacing w:val="-4"/>
          <w:rtl/>
          <w:lang w:bidi="ar-EG"/>
        </w:rPr>
        <w:t xml:space="preserve"> أيار/مايو </w:t>
      </w:r>
      <w:r w:rsidR="007501E7" w:rsidRPr="00350F98">
        <w:rPr>
          <w:spacing w:val="-4"/>
          <w:rtl/>
          <w:lang w:bidi="ar-EG"/>
        </w:rPr>
        <w:t>2007</w:t>
      </w:r>
      <w:r w:rsidRPr="000422C3">
        <w:rPr>
          <w:spacing w:val="-4"/>
          <w:rtl/>
          <w:lang w:bidi="ar-EG"/>
        </w:rPr>
        <w:t xml:space="preserve"> المتعلق بمكافحة أشكال معينة من التمييز، وفي المادة </w:t>
      </w:r>
      <w:r w:rsidR="007501E7" w:rsidRPr="00350F98">
        <w:rPr>
          <w:spacing w:val="-4"/>
          <w:rtl/>
          <w:lang w:bidi="ar-EG"/>
        </w:rPr>
        <w:t>16</w:t>
      </w:r>
      <w:r>
        <w:rPr>
          <w:rtl/>
          <w:lang w:bidi="ar-EG"/>
        </w:rPr>
        <w:t xml:space="preserve"> من قانون </w:t>
      </w:r>
      <w:r w:rsidR="007501E7" w:rsidRPr="00350F98">
        <w:rPr>
          <w:rtl/>
          <w:lang w:bidi="ar-EG"/>
        </w:rPr>
        <w:t>10</w:t>
      </w:r>
      <w:r>
        <w:rPr>
          <w:rtl/>
          <w:lang w:bidi="ar-EG"/>
        </w:rPr>
        <w:t xml:space="preserve"> أيار/مايو </w:t>
      </w:r>
      <w:r w:rsidR="007501E7" w:rsidRPr="00350F98">
        <w:rPr>
          <w:rtl/>
          <w:lang w:bidi="ar-EG"/>
        </w:rPr>
        <w:t>2007</w:t>
      </w:r>
      <w:r>
        <w:rPr>
          <w:rtl/>
          <w:lang w:bidi="ar-EG"/>
        </w:rPr>
        <w:t xml:space="preserve"> الذي يرمي إلى مكافحة التمييز بين الرجل والمرأة.</w:t>
      </w:r>
    </w:p>
    <w:p w14:paraId="2959FFA7" w14:textId="77777777" w:rsidR="00D424DC" w:rsidRPr="00350F98" w:rsidRDefault="00D424DC" w:rsidP="00D97AA3">
      <w:pPr>
        <w:pStyle w:val="H1GA"/>
        <w:rPr>
          <w:rtl/>
          <w:lang w:bidi="ar-EG"/>
        </w:rPr>
      </w:pPr>
      <w:r w:rsidRPr="00350F98">
        <w:rPr>
          <w:rtl/>
          <w:lang w:bidi="ar-EG"/>
        </w:rPr>
        <w:tab/>
      </w:r>
      <w:bookmarkStart w:id="30" w:name="_Toc73715649"/>
      <w:r w:rsidRPr="00350F98">
        <w:rPr>
          <w:rtl/>
          <w:lang w:bidi="ar-EG"/>
        </w:rPr>
        <w:t>باء-</w:t>
      </w:r>
      <w:r w:rsidRPr="00350F98">
        <w:rPr>
          <w:rtl/>
          <w:lang w:bidi="ar-EG"/>
        </w:rPr>
        <w:tab/>
        <w:t>مكافحة العنصرية والتطرف وكراهية الأجانب ومعاداة السامية</w:t>
      </w:r>
      <w:bookmarkEnd w:id="30"/>
    </w:p>
    <w:p w14:paraId="7CB1678E" w14:textId="3211E10A" w:rsidR="00D424DC" w:rsidRPr="00350F98" w:rsidRDefault="00D424DC" w:rsidP="00D97AA3">
      <w:pPr>
        <w:pStyle w:val="H23GA"/>
        <w:rPr>
          <w:rtl/>
          <w:lang w:bidi="ar-EG"/>
        </w:rPr>
      </w:pPr>
      <w:r w:rsidRPr="00350F98">
        <w:rPr>
          <w:rtl/>
          <w:lang w:bidi="ar-EG"/>
        </w:rPr>
        <w:tab/>
      </w:r>
      <w:r w:rsidR="00D97AA3" w:rsidRPr="00350F98">
        <w:rPr>
          <w:rFonts w:hint="cs"/>
          <w:rtl/>
          <w:lang w:bidi="ar-EG"/>
        </w:rPr>
        <w:t>1-</w:t>
      </w:r>
      <w:r w:rsidRPr="00350F98">
        <w:rPr>
          <w:rtl/>
          <w:lang w:bidi="ar-EG"/>
        </w:rPr>
        <w:tab/>
        <w:t>مكافحة العنصرية وكراهية الأجانب والتطرف</w:t>
      </w:r>
    </w:p>
    <w:p w14:paraId="3CDEB423" w14:textId="0712DAD7" w:rsidR="00D424DC" w:rsidRDefault="00D424DC" w:rsidP="00D424DC">
      <w:pPr>
        <w:pStyle w:val="SingleTxtGA"/>
        <w:rPr>
          <w:rtl/>
          <w:lang w:bidi="ar-EG"/>
        </w:rPr>
      </w:pPr>
      <w:r w:rsidRPr="00350F98">
        <w:rPr>
          <w:rtl/>
          <w:lang w:bidi="ar-EG"/>
        </w:rPr>
        <w:t>192</w:t>
      </w:r>
      <w:r>
        <w:rPr>
          <w:rtl/>
          <w:lang w:bidi="ar-EG"/>
        </w:rPr>
        <w:t>-</w:t>
      </w:r>
      <w:r>
        <w:rPr>
          <w:rtl/>
          <w:lang w:bidi="ar-EG"/>
        </w:rPr>
        <w:tab/>
        <w:t xml:space="preserve">في أعقاب المؤتمر العالمي لمكافحة العنصرية، المعقود في ديربان عام </w:t>
      </w:r>
      <w:r w:rsidR="007501E7" w:rsidRPr="00350F98">
        <w:rPr>
          <w:rtl/>
          <w:lang w:bidi="ar-EG"/>
        </w:rPr>
        <w:t>2001</w:t>
      </w:r>
      <w:r>
        <w:rPr>
          <w:rtl/>
          <w:lang w:bidi="ar-EG"/>
        </w:rPr>
        <w:t>، وافقت الحكومة الاتحادية على مبدأ اعتماد خطة عمل وطنية لمكافحة العنصرية والتمييز العنصري وكراهية الأجانب وما</w:t>
      </w:r>
      <w:r w:rsidR="000422C3">
        <w:rPr>
          <w:rFonts w:hint="cs"/>
          <w:rtl/>
          <w:lang w:bidi="ar-EG"/>
        </w:rPr>
        <w:t> </w:t>
      </w:r>
      <w:r>
        <w:rPr>
          <w:rtl/>
          <w:lang w:bidi="ar-EG"/>
        </w:rPr>
        <w:t xml:space="preserve">يتصل بذلك من تعصب. وفي عام </w:t>
      </w:r>
      <w:r w:rsidR="00F92BBC" w:rsidRPr="00350F98">
        <w:rPr>
          <w:rtl/>
          <w:lang w:bidi="ar-EG"/>
        </w:rPr>
        <w:t>2016</w:t>
      </w:r>
      <w:r>
        <w:rPr>
          <w:rtl/>
          <w:lang w:bidi="ar-EG"/>
        </w:rPr>
        <w:t>، أكدت بلجيكا من جديد التزامها وذلك بتأييدها للتوصيات المتعلقة باعتماد خطة وطنية لمكافحة العنصرية والتمييز وكراهية الأجانب وما يتصل بذلك من تعصب، وهي توصيات صيغت في سياق الاستعراض الدوري الشامل لبلجيكا.</w:t>
      </w:r>
    </w:p>
    <w:p w14:paraId="46B17ECD" w14:textId="39BED1C1" w:rsidR="00D424DC" w:rsidRPr="00350F98" w:rsidRDefault="00D424DC" w:rsidP="00D97AA3">
      <w:pPr>
        <w:pStyle w:val="H23GA"/>
        <w:rPr>
          <w:rtl/>
          <w:lang w:bidi="ar-EG"/>
        </w:rPr>
      </w:pPr>
      <w:r w:rsidRPr="00350F98">
        <w:rPr>
          <w:rtl/>
          <w:lang w:bidi="ar-EG"/>
        </w:rPr>
        <w:tab/>
        <w:t>2</w:t>
      </w:r>
      <w:r w:rsidR="00D97AA3" w:rsidRPr="00350F98">
        <w:rPr>
          <w:rFonts w:hint="cs"/>
          <w:rtl/>
          <w:lang w:bidi="ar-EG"/>
        </w:rPr>
        <w:t>-</w:t>
      </w:r>
      <w:r w:rsidRPr="00350F98">
        <w:rPr>
          <w:rtl/>
          <w:lang w:bidi="ar-EG"/>
        </w:rPr>
        <w:tab/>
        <w:t>مكافحة معاداة السامية</w:t>
      </w:r>
    </w:p>
    <w:p w14:paraId="225A6161" w14:textId="0DADB87D" w:rsidR="00D424DC" w:rsidRDefault="00D424DC" w:rsidP="00D424DC">
      <w:pPr>
        <w:pStyle w:val="SingleTxtGA"/>
        <w:rPr>
          <w:rtl/>
          <w:lang w:bidi="ar-EG"/>
        </w:rPr>
      </w:pPr>
      <w:r w:rsidRPr="00350F98">
        <w:rPr>
          <w:rtl/>
          <w:lang w:bidi="ar-EG"/>
        </w:rPr>
        <w:t>193</w:t>
      </w:r>
      <w:r>
        <w:rPr>
          <w:rtl/>
          <w:lang w:bidi="ar-EG"/>
        </w:rPr>
        <w:t>-</w:t>
      </w:r>
      <w:r>
        <w:rPr>
          <w:rtl/>
          <w:lang w:bidi="ar-EG"/>
        </w:rPr>
        <w:tab/>
        <w:t xml:space="preserve">السلطات البلجيكية واعية بمشكلة معاداة السامية، وقد اتخذت تدابير لمحاولة القضاء عليها، من جملتها على وجه الخصوص إنشاء جهاز رصد. ففي </w:t>
      </w:r>
      <w:r w:rsidR="007501E7" w:rsidRPr="00350F98">
        <w:rPr>
          <w:rtl/>
          <w:lang w:bidi="ar-EG"/>
        </w:rPr>
        <w:t>26</w:t>
      </w:r>
      <w:r>
        <w:rPr>
          <w:rtl/>
          <w:lang w:bidi="ar-EG"/>
        </w:rPr>
        <w:t xml:space="preserve"> نيسان/أبريل </w:t>
      </w:r>
      <w:r w:rsidR="007501E7" w:rsidRPr="00350F98">
        <w:rPr>
          <w:rtl/>
          <w:lang w:bidi="ar-EG"/>
        </w:rPr>
        <w:t>2004</w:t>
      </w:r>
      <w:r>
        <w:rPr>
          <w:rtl/>
          <w:lang w:bidi="ar-EG"/>
        </w:rPr>
        <w:t xml:space="preserve">، أُنشئت </w:t>
      </w:r>
      <w:r w:rsidRPr="00EC4616">
        <w:rPr>
          <w:i/>
          <w:iCs/>
          <w:rtl/>
          <w:lang w:bidi="ar-EG"/>
        </w:rPr>
        <w:t>"خلية لرصد معاداة السامية"</w:t>
      </w:r>
      <w:r>
        <w:rPr>
          <w:rtl/>
          <w:lang w:bidi="ar-EG"/>
        </w:rPr>
        <w:t xml:space="preserve"> تتألف من ممثلين عن الحكومة والجالية اليهودية. وكُلف مركز أونيا بر</w:t>
      </w:r>
      <w:r>
        <w:rPr>
          <w:rFonts w:hint="cs"/>
          <w:rtl/>
          <w:lang w:bidi="ar-EG"/>
        </w:rPr>
        <w:t>ئاسة</w:t>
      </w:r>
      <w:r>
        <w:rPr>
          <w:rtl/>
          <w:lang w:bidi="ar-EG"/>
        </w:rPr>
        <w:t xml:space="preserve"> الخلية وبأمانتها. ولم تعد هذه الخلية تعمل منذ عام </w:t>
      </w:r>
      <w:r w:rsidR="007501E7" w:rsidRPr="00350F98">
        <w:rPr>
          <w:rtl/>
          <w:lang w:bidi="ar-EG"/>
        </w:rPr>
        <w:t>20</w:t>
      </w:r>
      <w:r w:rsidR="00F92BBC" w:rsidRPr="00350F98">
        <w:rPr>
          <w:rtl/>
          <w:lang w:bidi="ar-EG"/>
        </w:rPr>
        <w:t>13</w:t>
      </w:r>
      <w:r>
        <w:rPr>
          <w:rtl/>
          <w:lang w:bidi="ar-EG"/>
        </w:rPr>
        <w:t>، ولكن من المتوخى إعادة تنشيطها.</w:t>
      </w:r>
    </w:p>
    <w:p w14:paraId="00569717" w14:textId="267DF1A4" w:rsidR="00D424DC" w:rsidRDefault="00D424DC" w:rsidP="00D424DC">
      <w:pPr>
        <w:pStyle w:val="SingleTxtGA"/>
        <w:rPr>
          <w:rtl/>
          <w:lang w:bidi="ar-EG"/>
        </w:rPr>
      </w:pPr>
      <w:r w:rsidRPr="00350F98">
        <w:rPr>
          <w:rtl/>
          <w:lang w:bidi="ar-EG"/>
        </w:rPr>
        <w:t>194</w:t>
      </w:r>
      <w:r>
        <w:rPr>
          <w:rtl/>
          <w:lang w:bidi="ar-EG"/>
        </w:rPr>
        <w:t>-</w:t>
      </w:r>
      <w:r>
        <w:rPr>
          <w:rtl/>
          <w:lang w:bidi="ar-EG"/>
        </w:rPr>
        <w:tab/>
        <w:t>وتعمل خلية الديمقراطية أو الوحشية التابعة</w:t>
      </w:r>
      <w:r w:rsidR="007501E7">
        <w:rPr>
          <w:rFonts w:hint="cs"/>
          <w:rtl/>
          <w:lang w:bidi="ar-EG"/>
        </w:rPr>
        <w:t xml:space="preserve"> </w:t>
      </w:r>
      <w:r>
        <w:rPr>
          <w:rtl/>
          <w:lang w:bidi="ar-EG"/>
        </w:rPr>
        <w:t>للوزارة المعنية بالجماعة الفرنسية على وضع الصيغة النهائية لمنشور بعنوان "مكافحة معاداة السامية بالتعليم والمعرفة".</w:t>
      </w:r>
      <w:r w:rsidR="007501E7">
        <w:rPr>
          <w:rFonts w:hint="cs"/>
          <w:rtl/>
          <w:lang w:bidi="ar-EG"/>
        </w:rPr>
        <w:t xml:space="preserve"> </w:t>
      </w:r>
      <w:r>
        <w:rPr>
          <w:rtl/>
          <w:lang w:bidi="ar-EG"/>
        </w:rPr>
        <w:t xml:space="preserve">وسيوزع المنشور على جميع المدارس الابتدائية والثانوية بجميع شبكاتها (وكذلك على أقسام التربية في المدارس العليا) التابعة للجماعة </w:t>
      </w:r>
      <w:r w:rsidRPr="00C918AE">
        <w:rPr>
          <w:spacing w:val="-4"/>
          <w:rtl/>
          <w:lang w:bidi="ar-EG"/>
        </w:rPr>
        <w:t>الفرنسية. وهذا العمل الموجه للمدرسين والجهات الفاعلة من القطاع غير الربحي يتكون من جزأين: توليفات</w:t>
      </w:r>
      <w:r>
        <w:rPr>
          <w:rtl/>
          <w:lang w:bidi="ar-EG"/>
        </w:rPr>
        <w:t xml:space="preserve"> نظرية عن مسألة معاداة السامية بالأمس واليوم صاغها متخصصون من جهة، وشق تربوي يقترح سبلاً لمعالجة هذا الموضوع بشكل ملموس، من جهة أخرى.</w:t>
      </w:r>
    </w:p>
    <w:p w14:paraId="14EF0076" w14:textId="5EC962E0" w:rsidR="00D424DC" w:rsidRPr="00350F98" w:rsidRDefault="00D424DC" w:rsidP="00D97AA3">
      <w:pPr>
        <w:pStyle w:val="H23GA"/>
        <w:rPr>
          <w:rtl/>
          <w:lang w:bidi="ar-EG"/>
        </w:rPr>
      </w:pPr>
      <w:r w:rsidRPr="00350F98">
        <w:rPr>
          <w:rtl/>
          <w:lang w:bidi="ar-EG"/>
        </w:rPr>
        <w:tab/>
      </w:r>
      <w:r w:rsidR="00D97AA3" w:rsidRPr="00350F98">
        <w:rPr>
          <w:rFonts w:hint="cs"/>
          <w:rtl/>
          <w:lang w:bidi="ar-EG"/>
        </w:rPr>
        <w:t>3-</w:t>
      </w:r>
      <w:r w:rsidRPr="00350F98">
        <w:rPr>
          <w:rtl/>
          <w:lang w:bidi="ar-EG"/>
        </w:rPr>
        <w:tab/>
        <w:t>الاستراتيجية الوطنية لإدماج طائفة الروما</w:t>
      </w:r>
    </w:p>
    <w:p w14:paraId="2FF15DB3" w14:textId="7579EA8F" w:rsidR="00D424DC" w:rsidRDefault="00D424DC" w:rsidP="00D424DC">
      <w:pPr>
        <w:pStyle w:val="SingleTxtGA"/>
        <w:rPr>
          <w:rtl/>
          <w:lang w:bidi="ar-EG"/>
        </w:rPr>
      </w:pPr>
      <w:r w:rsidRPr="00350F98">
        <w:rPr>
          <w:rtl/>
          <w:lang w:bidi="ar-EG"/>
        </w:rPr>
        <w:t>195</w:t>
      </w:r>
      <w:r>
        <w:rPr>
          <w:rtl/>
          <w:lang w:bidi="ar-EG"/>
        </w:rPr>
        <w:t>-</w:t>
      </w:r>
      <w:r>
        <w:rPr>
          <w:rtl/>
          <w:lang w:bidi="ar-EG"/>
        </w:rPr>
        <w:tab/>
        <w:t xml:space="preserve">أودعت بلجيكا لدى المفوضية الأوروبية، في شباط/فبراير </w:t>
      </w:r>
      <w:r w:rsidR="007501E7" w:rsidRPr="00350F98">
        <w:rPr>
          <w:rtl/>
          <w:lang w:bidi="ar-EG"/>
        </w:rPr>
        <w:t>2012</w:t>
      </w:r>
      <w:r>
        <w:rPr>
          <w:rtl/>
          <w:lang w:bidi="ar-EG"/>
        </w:rPr>
        <w:t>، الاستراتيجية الوطنية لإدماج طائفة الروما. وهذه الاستراتيجية الوطنية هي نتيجة شراكة بين الكيانات الموحدة، والسلطات الاتحادية، وممثلي المجتمع المدني. وأنشأت بلجيكا، من أجل تأمين متابعة هذه الاستر</w:t>
      </w:r>
      <w:r>
        <w:rPr>
          <w:rFonts w:hint="cs"/>
          <w:rtl/>
          <w:lang w:bidi="ar-EG"/>
        </w:rPr>
        <w:t>اتيجية</w:t>
      </w:r>
      <w:r>
        <w:rPr>
          <w:rtl/>
          <w:lang w:bidi="ar-EG"/>
        </w:rPr>
        <w:t xml:space="preserve"> وتنسيقها، جهة اتصال وطنية بلجيكية معنية بطائفة الروما تتمثل في فريق عامل مشترك بين الحكومات. وفي عام </w:t>
      </w:r>
      <w:r w:rsidR="007501E7" w:rsidRPr="00350F98">
        <w:rPr>
          <w:rtl/>
          <w:lang w:bidi="ar-EG"/>
        </w:rPr>
        <w:t>2015</w:t>
      </w:r>
      <w:r>
        <w:rPr>
          <w:rtl/>
          <w:lang w:bidi="ar-EG"/>
        </w:rPr>
        <w:t xml:space="preserve">، أجري تقييم لأداء عمل جهة الاتصال الوطنية البلجيكية المعنية بطائفة الروما ولتركيبتها، مما أدى إلى تحويل جهة الاتصال إلى فريق عامل إداري يضم ممثلين عن الحكومة الاتحادية والسلطات الإقليمية. وتختص جهة الاتصال الوطنية المعنية </w:t>
      </w:r>
      <w:proofErr w:type="spellStart"/>
      <w:r>
        <w:rPr>
          <w:rtl/>
          <w:lang w:bidi="ar-EG"/>
        </w:rPr>
        <w:t>بالروما</w:t>
      </w:r>
      <w:proofErr w:type="spellEnd"/>
      <w:r>
        <w:rPr>
          <w:rtl/>
          <w:lang w:bidi="ar-EG"/>
        </w:rPr>
        <w:t xml:space="preserve"> بالتنسيق (فيما بين القطاعات) لعملية إعداد وتنفيذ الاستراتيجية الوطنية لإدماج طائفة الروما.</w:t>
      </w:r>
    </w:p>
    <w:p w14:paraId="59A47206" w14:textId="4AA8CA3D" w:rsidR="00D424DC" w:rsidRDefault="00D424DC" w:rsidP="00D424DC">
      <w:pPr>
        <w:pStyle w:val="SingleTxtGA"/>
        <w:rPr>
          <w:rtl/>
          <w:lang w:bidi="ar-EG"/>
        </w:rPr>
      </w:pPr>
      <w:r w:rsidRPr="00350F98">
        <w:rPr>
          <w:rtl/>
          <w:lang w:bidi="ar-EG"/>
        </w:rPr>
        <w:t>196</w:t>
      </w:r>
      <w:r>
        <w:rPr>
          <w:rtl/>
          <w:lang w:bidi="ar-EG"/>
        </w:rPr>
        <w:t>-</w:t>
      </w:r>
      <w:r>
        <w:rPr>
          <w:rtl/>
          <w:lang w:bidi="ar-EG"/>
        </w:rPr>
        <w:tab/>
      </w:r>
      <w:r w:rsidRPr="00C918AE">
        <w:rPr>
          <w:spacing w:val="-4"/>
          <w:rtl/>
          <w:lang w:bidi="ar-EG"/>
        </w:rPr>
        <w:t xml:space="preserve">وقدمت جهة الاتصال الوطنية البلجيكية المعنية بطائفة الروما مقترح مشروع يهدف إلى إنشاء منبر وطني بلجيكي لطائفة الروما بالمفوضية الأوروبية (مديرية العدل). وانطلق هذا المنبر في أيار/مايو </w:t>
      </w:r>
      <w:r w:rsidR="00F92BBC" w:rsidRPr="00350F98">
        <w:rPr>
          <w:spacing w:val="-4"/>
          <w:rtl/>
          <w:lang w:bidi="ar-EG"/>
        </w:rPr>
        <w:t>2016</w:t>
      </w:r>
      <w:r>
        <w:rPr>
          <w:rtl/>
          <w:lang w:bidi="ar-EG"/>
        </w:rPr>
        <w:t xml:space="preserve"> </w:t>
      </w:r>
      <w:r w:rsidRPr="00C918AE">
        <w:rPr>
          <w:spacing w:val="-4"/>
          <w:rtl/>
          <w:lang w:bidi="ar-EG"/>
        </w:rPr>
        <w:t>بدعم من هذه الأخيرة، وهو يهدف إلى بدء حوار تفاعلي مع جميع الجهات المعنية وطوائف الروما في بلجيكا</w:t>
      </w:r>
      <w:r>
        <w:rPr>
          <w:rtl/>
          <w:lang w:bidi="ar-EG"/>
        </w:rPr>
        <w:t xml:space="preserve">. وتنظم هذه الحوارات في إطار مجالات العمل الرئيسية الرامية إلى تعزيز الإدماج الاجتماعي والاقتصادي لطائفة الروما. وعلى وجه التحديد، ينصب التركيز على مكافحة التمييز في مجال العمل والتعليم والسكن والرعاية الصحية. وتشكل مكافحة التمييز الرابط الحيوي طيلة عملية التشاور. وبالإضافة إلى ذلك، أبرز </w:t>
      </w:r>
      <w:r>
        <w:rPr>
          <w:rtl/>
          <w:lang w:bidi="ar-EG"/>
        </w:rPr>
        <w:lastRenderedPageBreak/>
        <w:t xml:space="preserve">تقييم السنة التجريبية الحاجة إلى إيلاء مزيد من الاهتمام للبعد الجنساني في عملية إدماج طائفة الروما. ولا بد من بذل جهود أكبر لتوفير بيئة آمنة للمشاركة. وبالإضافة إلى ذلك، لوحظ أن هذه المسألة لا تزال غير معروفة حتى اليوم في العديد من المنظمات والمؤسسات العاملة في الميدان. ولهذا السبب، بدأ المنبر </w:t>
      </w:r>
      <w:r w:rsidRPr="00C918AE">
        <w:rPr>
          <w:spacing w:val="-4"/>
          <w:rtl/>
          <w:lang w:bidi="ar-EG"/>
        </w:rPr>
        <w:t>عملية توعية عن طريق الحوار التشاركي. ويعد تحديد الممارسات الجيدة المتعلقة بإدماج الروما رابطاً حيوياً</w:t>
      </w:r>
      <w:r>
        <w:rPr>
          <w:rtl/>
          <w:lang w:bidi="ar-EG"/>
        </w:rPr>
        <w:t xml:space="preserve"> آخر في هذه العملية التشاركية.</w:t>
      </w:r>
    </w:p>
    <w:p w14:paraId="14B745F8" w14:textId="77777777" w:rsidR="00D424DC" w:rsidRPr="00350F98" w:rsidRDefault="00D424DC" w:rsidP="00D97AA3">
      <w:pPr>
        <w:pStyle w:val="H1GA"/>
        <w:rPr>
          <w:rtl/>
          <w:lang w:bidi="ar-EG"/>
        </w:rPr>
      </w:pPr>
      <w:r w:rsidRPr="00350F98">
        <w:rPr>
          <w:rtl/>
          <w:lang w:bidi="ar-EG"/>
        </w:rPr>
        <w:tab/>
      </w:r>
      <w:bookmarkStart w:id="31" w:name="_Toc73715650"/>
      <w:r w:rsidRPr="00350F98">
        <w:rPr>
          <w:rtl/>
          <w:lang w:bidi="ar-EG"/>
        </w:rPr>
        <w:t>جيم-</w:t>
      </w:r>
      <w:r w:rsidRPr="00350F98">
        <w:rPr>
          <w:rtl/>
          <w:lang w:bidi="ar-EG"/>
        </w:rPr>
        <w:tab/>
        <w:t>حقوق المثليات والمثليين ومزدوجي الميل الجنسي ومغايري الهوية الجنسانية في بلجيكا</w:t>
      </w:r>
      <w:bookmarkEnd w:id="31"/>
    </w:p>
    <w:p w14:paraId="56040340" w14:textId="33B251F3" w:rsidR="00D424DC" w:rsidRDefault="00D424DC" w:rsidP="00D424DC">
      <w:pPr>
        <w:pStyle w:val="SingleTxtGA"/>
        <w:rPr>
          <w:rtl/>
          <w:lang w:bidi="ar-EG"/>
        </w:rPr>
      </w:pPr>
      <w:r w:rsidRPr="00350F98">
        <w:rPr>
          <w:rtl/>
          <w:lang w:bidi="ar-EG"/>
        </w:rPr>
        <w:t>197</w:t>
      </w:r>
      <w:r>
        <w:rPr>
          <w:rtl/>
          <w:lang w:bidi="ar-EG"/>
        </w:rPr>
        <w:t>-</w:t>
      </w:r>
      <w:r>
        <w:rPr>
          <w:rtl/>
          <w:lang w:bidi="ar-EG"/>
        </w:rPr>
        <w:tab/>
        <w:t xml:space="preserve">كانت البداية الحقيقية للنقاش حول عقد المعاشرة القانونية في نهاية الثمانينات من القرن الماضي في أعقاب إنشاء عقد الشراكة بين الأزواج المثليين في الدانمرك سنة </w:t>
      </w:r>
      <w:r w:rsidRPr="00350F98">
        <w:rPr>
          <w:rtl/>
          <w:lang w:bidi="ar-EG"/>
        </w:rPr>
        <w:t>1989</w:t>
      </w:r>
      <w:r>
        <w:rPr>
          <w:rtl/>
          <w:lang w:bidi="ar-EG"/>
        </w:rPr>
        <w:t xml:space="preserve">. وكان الرهان آنذاك </w:t>
      </w:r>
      <w:r w:rsidRPr="00EC4616">
        <w:rPr>
          <w:spacing w:val="-4"/>
          <w:rtl/>
          <w:lang w:bidi="ar-EG"/>
        </w:rPr>
        <w:t>يتعلق بالاعتراف بزواج المثليين وما يترتب عليه من تدابير حماية شبيهة بتلك التي يحظى بها الأزواج من</w:t>
      </w:r>
      <w:r>
        <w:rPr>
          <w:rtl/>
          <w:lang w:bidi="ar-EG"/>
        </w:rPr>
        <w:t xml:space="preserve"> </w:t>
      </w:r>
      <w:r w:rsidRPr="00EC4616">
        <w:rPr>
          <w:spacing w:val="-4"/>
          <w:rtl/>
          <w:lang w:bidi="ar-EG"/>
        </w:rPr>
        <w:t>الجنسين. وقد كشفت الفترة التي سُميت ب</w:t>
      </w:r>
      <w:r w:rsidR="00EC4616">
        <w:rPr>
          <w:rFonts w:hint="cs"/>
          <w:spacing w:val="-4"/>
          <w:rtl/>
          <w:lang w:bidi="ar-EG"/>
        </w:rPr>
        <w:t>‍</w:t>
      </w:r>
      <w:r w:rsidRPr="00EC4616">
        <w:rPr>
          <w:spacing w:val="-4"/>
          <w:rtl/>
          <w:lang w:bidi="ar-EG"/>
        </w:rPr>
        <w:t xml:space="preserve"> "سنوات الإيدز" بشكل واضح مدى هشاشة المركز القانوني والاجتماعي للأزواج المثليين: مشاكل تتعلق بالإرث وحقوق الميراث، والاعتراف بالعلاقة من جانب الأقارب،</w:t>
      </w:r>
      <w:r>
        <w:rPr>
          <w:rtl/>
          <w:lang w:bidi="ar-EG"/>
        </w:rPr>
        <w:t xml:space="preserve"> وما إلى ذلك. وفي بلجيكا، شكّل اعتماد قانون المعاشرة القانونية، في </w:t>
      </w:r>
      <w:r w:rsidRPr="00350F98">
        <w:rPr>
          <w:rtl/>
          <w:lang w:bidi="ar-EG"/>
        </w:rPr>
        <w:t>23</w:t>
      </w:r>
      <w:r>
        <w:rPr>
          <w:rtl/>
          <w:lang w:bidi="ar-EG"/>
        </w:rPr>
        <w:t xml:space="preserve"> تشرين الثاني/نوفمبر </w:t>
      </w:r>
      <w:r w:rsidRPr="00350F98">
        <w:rPr>
          <w:rtl/>
          <w:lang w:bidi="ar-EG"/>
        </w:rPr>
        <w:t>1998</w:t>
      </w:r>
      <w:r>
        <w:rPr>
          <w:rtl/>
          <w:lang w:bidi="ar-EG"/>
        </w:rPr>
        <w:t xml:space="preserve">، </w:t>
      </w:r>
      <w:r w:rsidRPr="00EC4616">
        <w:rPr>
          <w:spacing w:val="2"/>
          <w:rtl/>
          <w:lang w:bidi="ar-EG"/>
        </w:rPr>
        <w:t>خطوة أولى نحو إرساء المساواة القانونية بين الأزواج المثليين والأزواج من الجنسين. وقد سُوِّيت في عام</w:t>
      </w:r>
      <w:r w:rsidR="00EC4616" w:rsidRPr="00EC4616">
        <w:rPr>
          <w:rFonts w:hint="cs"/>
          <w:spacing w:val="2"/>
          <w:rtl/>
          <w:lang w:bidi="ar-EG"/>
        </w:rPr>
        <w:t> </w:t>
      </w:r>
      <w:r w:rsidRPr="00350F98">
        <w:rPr>
          <w:spacing w:val="2"/>
          <w:rtl/>
          <w:lang w:bidi="ar-EG"/>
        </w:rPr>
        <w:t>2007</w:t>
      </w:r>
      <w:r w:rsidRPr="00EC4616">
        <w:rPr>
          <w:spacing w:val="2"/>
          <w:rtl/>
          <w:lang w:bidi="ar-EG"/>
        </w:rPr>
        <w:t xml:space="preserve"> آثار هذه المعاشرة القانونية في الشق المتعلق بالإرث.</w:t>
      </w:r>
    </w:p>
    <w:p w14:paraId="72FD8504" w14:textId="747984A0" w:rsidR="00D424DC" w:rsidRPr="00EC4616" w:rsidRDefault="00D424DC" w:rsidP="00D424DC">
      <w:pPr>
        <w:pStyle w:val="SingleTxtGA"/>
        <w:rPr>
          <w:rtl/>
          <w:lang w:bidi="ar-EG"/>
        </w:rPr>
      </w:pPr>
      <w:r w:rsidRPr="00350F98">
        <w:rPr>
          <w:rtl/>
          <w:lang w:bidi="ar-EG"/>
        </w:rPr>
        <w:t>198</w:t>
      </w:r>
      <w:r>
        <w:rPr>
          <w:rtl/>
          <w:lang w:bidi="ar-EG"/>
        </w:rPr>
        <w:t>-</w:t>
      </w:r>
      <w:r w:rsidRPr="00EC4616">
        <w:rPr>
          <w:rtl/>
          <w:lang w:bidi="ar-EG"/>
        </w:rPr>
        <w:tab/>
        <w:t xml:space="preserve">وفي عام </w:t>
      </w:r>
      <w:r w:rsidRPr="00350F98">
        <w:rPr>
          <w:rtl/>
          <w:lang w:bidi="ar-EG"/>
        </w:rPr>
        <w:t>2003</w:t>
      </w:r>
      <w:r w:rsidRPr="00EC4616">
        <w:rPr>
          <w:rtl/>
          <w:lang w:bidi="ar-EG"/>
        </w:rPr>
        <w:t>، شكّل الترخيص بالزواج المدني بين المثليين بداية مساواة حقيقية في الحقوق: حقوق الميراث، وإجراءات الطلاق، والإقرار الضريبي المشترك، وما إلى ذلك. إلا أنه لا يزال هناك اختلاف. ففي إطار الزواج بين شخصين من الجنسين، عندما تلد المرأة طفلاً يُفترض أن يكون الزوج أبَ المولود. غير أن هذه القاعدة لا تنطبق على الأزواج من المثليين. فإذا ولدت امرأة مثلية متزوجة طفلاً، فإن شريكتها لا تُعتبر الوالد الثاني للمولود. بيد أن بلجيكا أصبحت ثاني بلد في العالم يعترف بحق المثليين</w:t>
      </w:r>
      <w:r w:rsidR="00EC4616">
        <w:rPr>
          <w:rFonts w:hint="cs"/>
          <w:rtl/>
          <w:lang w:bidi="ar-EG"/>
        </w:rPr>
        <w:t> </w:t>
      </w:r>
      <w:r w:rsidRPr="00EC4616">
        <w:rPr>
          <w:rtl/>
          <w:lang w:bidi="ar-EG"/>
        </w:rPr>
        <w:t>في الزواج. وبطبيعة الحال، وبما أن زواج المثليين غير معمول به في مجموعة من الدول الأخرى، فإن الزوجيْن المثليين المتزوجين في بلجيكا كثيراً ما يواجهان صعوبات فيما يتعلق بالاعتراف بزواجهما خارجها.</w:t>
      </w:r>
    </w:p>
    <w:p w14:paraId="02E4D155" w14:textId="77777777" w:rsidR="00D424DC" w:rsidRDefault="00D424DC" w:rsidP="000422C3">
      <w:pPr>
        <w:pStyle w:val="SingleTxtGA"/>
        <w:spacing w:line="342" w:lineRule="exact"/>
        <w:rPr>
          <w:rtl/>
          <w:lang w:bidi="ar-EG"/>
        </w:rPr>
      </w:pPr>
      <w:r w:rsidRPr="00350F98">
        <w:rPr>
          <w:rtl/>
          <w:lang w:bidi="ar-EG"/>
        </w:rPr>
        <w:t>199</w:t>
      </w:r>
      <w:r>
        <w:rPr>
          <w:rtl/>
          <w:lang w:bidi="ar-EG"/>
        </w:rPr>
        <w:t>-</w:t>
      </w:r>
      <w:r>
        <w:rPr>
          <w:rtl/>
          <w:lang w:bidi="ar-EG"/>
        </w:rPr>
        <w:tab/>
        <w:t xml:space="preserve">وقد نفّذت بلجيكا، عام </w:t>
      </w:r>
      <w:r w:rsidRPr="00350F98">
        <w:rPr>
          <w:rtl/>
          <w:lang w:bidi="ar-EG"/>
        </w:rPr>
        <w:t>2003</w:t>
      </w:r>
      <w:r>
        <w:rPr>
          <w:rtl/>
          <w:lang w:bidi="ar-EG"/>
        </w:rPr>
        <w:t xml:space="preserve">، التوجيه الأوروبي رقم </w:t>
      </w:r>
      <w:r w:rsidRPr="00350F98">
        <w:rPr>
          <w:rtl/>
          <w:lang w:bidi="ar-EG"/>
        </w:rPr>
        <w:t>2000</w:t>
      </w:r>
      <w:r>
        <w:rPr>
          <w:rtl/>
          <w:lang w:bidi="ar-EG"/>
        </w:rPr>
        <w:t>/</w:t>
      </w:r>
      <w:r w:rsidRPr="00350F98">
        <w:rPr>
          <w:rtl/>
          <w:lang w:bidi="ar-EG"/>
        </w:rPr>
        <w:t>78</w:t>
      </w:r>
      <w:r>
        <w:rPr>
          <w:rtl/>
          <w:lang w:bidi="ar-EG"/>
        </w:rPr>
        <w:t xml:space="preserve"> المتعلق بمكافحة التمييز على </w:t>
      </w:r>
      <w:r w:rsidRPr="00D97AA3">
        <w:rPr>
          <w:spacing w:val="-4"/>
          <w:rtl/>
          <w:lang w:bidi="ar-EG"/>
        </w:rPr>
        <w:t>المستوى الاتحادي وعلى مستوى الكيانات الموحدة. وشكلت عملية التنفيذ هذه خطوة جديدة على درب تحقيق</w:t>
      </w:r>
      <w:r>
        <w:rPr>
          <w:rtl/>
          <w:lang w:bidi="ar-EG"/>
        </w:rPr>
        <w:t xml:space="preserve"> المساواة، حيث اغتنمت بلجيكا هذه الفرصة لوضع إطار أوسع من الإطار الذي تفرضه أوروبا. وبالفعل، </w:t>
      </w:r>
      <w:r w:rsidRPr="00D97AA3">
        <w:rPr>
          <w:spacing w:val="-4"/>
          <w:rtl/>
          <w:lang w:bidi="ar-EG"/>
        </w:rPr>
        <w:t>لم يعد التمييز محظوراً في مجال العمل فحسب، بل أيضاً فيما يتعلق بإمكانية الحصول على السلع والخدمات</w:t>
      </w:r>
      <w:r>
        <w:rPr>
          <w:rtl/>
          <w:lang w:bidi="ar-EG"/>
        </w:rPr>
        <w:t xml:space="preserve">. </w:t>
      </w:r>
      <w:r w:rsidRPr="00D97AA3">
        <w:rPr>
          <w:spacing w:val="-4"/>
          <w:rtl/>
          <w:lang w:bidi="ar-EG"/>
        </w:rPr>
        <w:t>وقد تضمنت التشريعات المعتمدة لمكافحة التمييز سبلاً للتظلم أمام كل من القضاء الجنائي والقضاء المدني</w:t>
      </w:r>
      <w:r>
        <w:rPr>
          <w:rtl/>
          <w:lang w:bidi="ar-EG"/>
        </w:rPr>
        <w:t xml:space="preserve"> بهدف مكافحة أعمال التمييز وجرائم الكراهية المرتبطة بجملة أمور منها الميل الجنسي.</w:t>
      </w:r>
    </w:p>
    <w:p w14:paraId="1F3F6C7E" w14:textId="42CA9A62" w:rsidR="00D424DC" w:rsidRDefault="00D424DC" w:rsidP="000422C3">
      <w:pPr>
        <w:pStyle w:val="SingleTxtGA"/>
        <w:spacing w:line="342" w:lineRule="exact"/>
        <w:rPr>
          <w:rtl/>
          <w:lang w:bidi="ar-EG"/>
        </w:rPr>
      </w:pPr>
      <w:r w:rsidRPr="00350F98">
        <w:rPr>
          <w:rtl/>
          <w:lang w:bidi="ar-EG"/>
        </w:rPr>
        <w:t>200</w:t>
      </w:r>
      <w:r>
        <w:rPr>
          <w:rtl/>
          <w:lang w:bidi="ar-EG"/>
        </w:rPr>
        <w:t>-</w:t>
      </w:r>
      <w:r>
        <w:rPr>
          <w:rtl/>
          <w:lang w:bidi="ar-EG"/>
        </w:rPr>
        <w:tab/>
      </w:r>
      <w:r w:rsidRPr="00D97AA3">
        <w:rPr>
          <w:spacing w:val="-4"/>
          <w:rtl/>
          <w:lang w:bidi="ar-EG"/>
        </w:rPr>
        <w:t xml:space="preserve">وقد شكل حق الأزواج المثليين في التبني، الذي أُقرّ في أيار/مايو </w:t>
      </w:r>
      <w:r w:rsidR="007501E7" w:rsidRPr="00350F98">
        <w:rPr>
          <w:spacing w:val="-4"/>
          <w:rtl/>
          <w:lang w:bidi="ar-EG"/>
        </w:rPr>
        <w:t>2006</w:t>
      </w:r>
      <w:r w:rsidRPr="00D97AA3">
        <w:rPr>
          <w:spacing w:val="-4"/>
          <w:rtl/>
          <w:lang w:bidi="ar-EG"/>
        </w:rPr>
        <w:t>، توسيعاً هاماً لحقوقهم.</w:t>
      </w:r>
      <w:r>
        <w:rPr>
          <w:rtl/>
          <w:lang w:bidi="ar-EG"/>
        </w:rPr>
        <w:t xml:space="preserve"> ويتجلى الرهان المطروح في سياق حق الأزواج المثليين في التبني في الاعتراف بالواقع الذي تُفرزه حالات فردية، كالإنجاب عن طريق التلقيح الاصطناعي لإحدى الشريكتين في الحياة.</w:t>
      </w:r>
    </w:p>
    <w:p w14:paraId="5F31E39B" w14:textId="587FA780" w:rsidR="00D424DC" w:rsidRDefault="00D424DC" w:rsidP="000422C3">
      <w:pPr>
        <w:pStyle w:val="SingleTxtGA"/>
        <w:spacing w:line="342" w:lineRule="exact"/>
        <w:rPr>
          <w:rtl/>
          <w:lang w:bidi="ar-EG"/>
        </w:rPr>
      </w:pPr>
      <w:r w:rsidRPr="00350F98">
        <w:rPr>
          <w:rtl/>
          <w:lang w:bidi="ar-EG"/>
        </w:rPr>
        <w:t>201</w:t>
      </w:r>
      <w:r>
        <w:rPr>
          <w:rtl/>
          <w:lang w:bidi="ar-EG"/>
        </w:rPr>
        <w:t>-</w:t>
      </w:r>
      <w:r>
        <w:rPr>
          <w:rtl/>
          <w:lang w:bidi="ar-EG"/>
        </w:rPr>
        <w:tab/>
        <w:t xml:space="preserve">ومنذ </w:t>
      </w:r>
      <w:r w:rsidR="007501E7" w:rsidRPr="00350F98">
        <w:rPr>
          <w:rtl/>
          <w:lang w:bidi="ar-EG"/>
        </w:rPr>
        <w:t>1</w:t>
      </w:r>
      <w:r>
        <w:rPr>
          <w:rtl/>
          <w:lang w:bidi="ar-EG"/>
        </w:rPr>
        <w:t xml:space="preserve"> كانون الثاني/يناير </w:t>
      </w:r>
      <w:r w:rsidR="007501E7" w:rsidRPr="00350F98">
        <w:rPr>
          <w:rtl/>
          <w:lang w:bidi="ar-EG"/>
        </w:rPr>
        <w:t>2015</w:t>
      </w:r>
      <w:r>
        <w:rPr>
          <w:rtl/>
          <w:lang w:bidi="ar-EG"/>
        </w:rPr>
        <w:t xml:space="preserve">، بإمكان الأم البلجيكية الشريكة في الحياة أن تثبت علاقة البنوّة مع طفلها دون الحاجة إلى المرور بإجراءات التبني. ومنذ حصول هذا التغيير، يعامل الزوجان من نفس الجنس بنفس الطريقة التي يعامل بها الزوجان من جنسين مختلفين: يعترف تلقائياً بالأم الشريكة في الحياة المتزوجة بالأم بوصفها والدةً للطفل، ويمكن للشريك غير المتزوج الاعتراف رسمياً بالطفل في سجل الحالة المدنية. ويعني ذلك في الممارسة العملية أن الأطفال المولودين في إطار الزواج تكون لهم تلقائياً علاقة والدية مع الأم الشريكة في الحياة. ويمكن للأم الشريكة في الحياة الاعتراف بالأطفال المولودين </w:t>
      </w:r>
      <w:r>
        <w:rPr>
          <w:rtl/>
          <w:lang w:bidi="ar-EG"/>
        </w:rPr>
        <w:lastRenderedPageBreak/>
        <w:t xml:space="preserve">خارج إطار الزواج. ويمكن أن يحصل الاعتراف قبل </w:t>
      </w:r>
      <w:proofErr w:type="gramStart"/>
      <w:r>
        <w:rPr>
          <w:rtl/>
          <w:lang w:bidi="ar-EG"/>
        </w:rPr>
        <w:t>الولادة</w:t>
      </w:r>
      <w:r w:rsidRPr="00B70B24">
        <w:rPr>
          <w:vertAlign w:val="superscript"/>
          <w:rtl/>
        </w:rPr>
        <w:t>(</w:t>
      </w:r>
      <w:proofErr w:type="gramEnd"/>
      <w:r w:rsidRPr="00350F98">
        <w:rPr>
          <w:rStyle w:val="FootnoteReference"/>
          <w:lang w:val="en-US"/>
        </w:rPr>
        <w:footnoteReference w:id="17"/>
      </w:r>
      <w:r w:rsidRPr="00B70B24">
        <w:rPr>
          <w:vertAlign w:val="superscript"/>
          <w:rtl/>
        </w:rPr>
        <w:t>)</w:t>
      </w:r>
      <w:r>
        <w:rPr>
          <w:rtl/>
          <w:lang w:bidi="ar-EG"/>
        </w:rPr>
        <w:t>. ولم يقبل حل مماثل بالنسبة للأزواج الذكور من المثليين جنسياً، في ضوء الجدل الدائر حول الأمومة البديلة.</w:t>
      </w:r>
    </w:p>
    <w:p w14:paraId="17F5AD3E" w14:textId="7325A7A5" w:rsidR="00D424DC" w:rsidRDefault="00D424DC" w:rsidP="000422C3">
      <w:pPr>
        <w:pStyle w:val="SingleTxtGA"/>
        <w:spacing w:line="342" w:lineRule="exact"/>
        <w:rPr>
          <w:rtl/>
          <w:lang w:bidi="ar-EG"/>
        </w:rPr>
      </w:pPr>
      <w:r w:rsidRPr="00350F98">
        <w:rPr>
          <w:rtl/>
          <w:lang w:bidi="ar-EG"/>
        </w:rPr>
        <w:t>202</w:t>
      </w:r>
      <w:r>
        <w:rPr>
          <w:rtl/>
          <w:lang w:bidi="ar-EG"/>
        </w:rPr>
        <w:t>-</w:t>
      </w:r>
      <w:r>
        <w:rPr>
          <w:rtl/>
          <w:lang w:bidi="ar-EG"/>
        </w:rPr>
        <w:tab/>
        <w:t xml:space="preserve">وصدرت في أيار/مايو </w:t>
      </w:r>
      <w:r w:rsidR="00F92BBC" w:rsidRPr="00350F98">
        <w:rPr>
          <w:rtl/>
          <w:lang w:bidi="ar-EG"/>
        </w:rPr>
        <w:t>2018</w:t>
      </w:r>
      <w:r>
        <w:rPr>
          <w:rtl/>
          <w:lang w:bidi="ar-EG"/>
        </w:rPr>
        <w:t xml:space="preserve"> خطة العمل المشتركة على الصعيد الاتحادي لمكافحة التمييز والعنف ضد المثليات والمثليين ومزدوجي الميل الجنسي ومغايري الهوية الجنسانية </w:t>
      </w:r>
      <w:r w:rsidRPr="00350F98">
        <w:rPr>
          <w:rtl/>
          <w:lang w:bidi="ar-EG"/>
        </w:rPr>
        <w:t>2018</w:t>
      </w:r>
      <w:r>
        <w:rPr>
          <w:rtl/>
          <w:lang w:bidi="ar-EG"/>
        </w:rPr>
        <w:t>-</w:t>
      </w:r>
      <w:r w:rsidRPr="00350F98">
        <w:rPr>
          <w:rtl/>
          <w:lang w:bidi="ar-EG"/>
        </w:rPr>
        <w:t>2019</w:t>
      </w:r>
      <w:r>
        <w:rPr>
          <w:rtl/>
          <w:lang w:bidi="ar-EG"/>
        </w:rPr>
        <w:t xml:space="preserve">، وهي تتضمن </w:t>
      </w:r>
      <w:r w:rsidRPr="00350F98">
        <w:rPr>
          <w:rtl/>
          <w:lang w:bidi="ar-EG"/>
        </w:rPr>
        <w:t>22</w:t>
      </w:r>
      <w:r>
        <w:rPr>
          <w:rtl/>
          <w:lang w:bidi="ar-EG"/>
        </w:rPr>
        <w:t xml:space="preserve"> هدفاً و</w:t>
      </w:r>
      <w:r w:rsidRPr="00350F98">
        <w:rPr>
          <w:rtl/>
          <w:lang w:bidi="ar-EG"/>
        </w:rPr>
        <w:t>115</w:t>
      </w:r>
      <w:r>
        <w:rPr>
          <w:rtl/>
          <w:lang w:bidi="ar-EG"/>
        </w:rPr>
        <w:t xml:space="preserve"> من التدابير والإجراءات، موزعة حسب المجال السياسي. والخطة التي </w:t>
      </w:r>
      <w:r>
        <w:rPr>
          <w:rFonts w:hint="cs"/>
          <w:rtl/>
          <w:lang w:bidi="ar-EG"/>
        </w:rPr>
        <w:t>جرى</w:t>
      </w:r>
      <w:r>
        <w:rPr>
          <w:rtl/>
          <w:lang w:bidi="ar-EG"/>
        </w:rPr>
        <w:t xml:space="preserve"> تنسيقها على المستوى الاتحادي تأخذ أيضاً إجراءات وضعتها الكيانات الموحدة، ولا سيما فلندرة، والجماعة الفرنسية، ومنطقة العاصمة بروكسل، والمنطقة الوالونية، والجماعة الناطقة باللغة الألمانية. وتضاف هذه الخطة للخطتين السابقتين لعام </w:t>
      </w:r>
      <w:r w:rsidR="007501E7" w:rsidRPr="00350F98">
        <w:rPr>
          <w:rtl/>
          <w:lang w:bidi="ar-EG"/>
        </w:rPr>
        <w:t>20</w:t>
      </w:r>
      <w:r w:rsidR="00F92BBC" w:rsidRPr="00350F98">
        <w:rPr>
          <w:rtl/>
          <w:lang w:bidi="ar-EG"/>
        </w:rPr>
        <w:t>13</w:t>
      </w:r>
      <w:r>
        <w:rPr>
          <w:rtl/>
          <w:lang w:bidi="ar-EG"/>
        </w:rPr>
        <w:t>. وتتضمن الخطة الجديدة إجراءات لمكافحة التمييز والعنف ضد المثليات والمثليين ومزدوجي الميل الجنسي ومغايري الهوية الجنسانية. والجديد هو أن خطة العمل هذه تمنح أيضاً مكاناً للأشخاص حاملي صفات الجنسين.</w:t>
      </w:r>
    </w:p>
    <w:p w14:paraId="4703E7A2" w14:textId="77777777" w:rsidR="00D424DC" w:rsidRPr="00350F98" w:rsidRDefault="00D424DC" w:rsidP="000422C3">
      <w:pPr>
        <w:pStyle w:val="H23GA"/>
        <w:spacing w:line="342" w:lineRule="exact"/>
        <w:rPr>
          <w:rtl/>
          <w:lang w:bidi="ar-EG"/>
        </w:rPr>
      </w:pPr>
      <w:r w:rsidRPr="00350F98">
        <w:rPr>
          <w:rtl/>
          <w:lang w:bidi="ar-EG"/>
        </w:rPr>
        <w:tab/>
      </w:r>
      <w:r w:rsidRPr="00350F98">
        <w:rPr>
          <w:rtl/>
          <w:lang w:bidi="ar-EG"/>
        </w:rPr>
        <w:tab/>
        <w:t>حماية حقوق الإنسان لمغايري الهوية الجنسانية</w:t>
      </w:r>
    </w:p>
    <w:p w14:paraId="7BDA0FF5" w14:textId="77777777" w:rsidR="00D424DC" w:rsidRDefault="00D424DC" w:rsidP="000422C3">
      <w:pPr>
        <w:pStyle w:val="SingleTxtGA"/>
        <w:spacing w:line="342" w:lineRule="exact"/>
        <w:rPr>
          <w:rtl/>
          <w:lang w:bidi="ar-EG"/>
        </w:rPr>
      </w:pPr>
      <w:r w:rsidRPr="00350F98">
        <w:rPr>
          <w:rtl/>
          <w:lang w:bidi="ar-EG"/>
        </w:rPr>
        <w:t>203</w:t>
      </w:r>
      <w:r>
        <w:rPr>
          <w:rtl/>
          <w:lang w:bidi="ar-EG"/>
        </w:rPr>
        <w:t>-</w:t>
      </w:r>
      <w:r>
        <w:rPr>
          <w:rtl/>
          <w:lang w:bidi="ar-EG"/>
        </w:rPr>
        <w:tab/>
        <w:t>اعتمدت السلطات الاتحادية والكيانات الموحدة تشريعات لمكافحة التمييز تضمن حماية حقوق مغايري الهوية الجنسانية وحماية الأشخاص من التمييز على أساس (تغيير) الجنس والهوية الجنسانية والتعبير الجنساني.</w:t>
      </w:r>
    </w:p>
    <w:p w14:paraId="77A32F99" w14:textId="0D4361D2" w:rsidR="00D424DC" w:rsidRDefault="00D424DC" w:rsidP="000422C3">
      <w:pPr>
        <w:pStyle w:val="SingleTxtGA"/>
        <w:spacing w:line="342" w:lineRule="exact"/>
        <w:rPr>
          <w:rtl/>
          <w:lang w:bidi="ar-EG"/>
        </w:rPr>
      </w:pPr>
      <w:r w:rsidRPr="00350F98">
        <w:rPr>
          <w:rtl/>
          <w:lang w:bidi="ar-EG"/>
        </w:rPr>
        <w:t>204</w:t>
      </w:r>
      <w:r>
        <w:rPr>
          <w:rtl/>
          <w:lang w:bidi="ar-EG"/>
        </w:rPr>
        <w:t>-</w:t>
      </w:r>
      <w:r>
        <w:rPr>
          <w:rtl/>
          <w:lang w:bidi="ar-EG"/>
        </w:rPr>
        <w:tab/>
        <w:t xml:space="preserve">ودخل قانون </w:t>
      </w:r>
      <w:r w:rsidR="00F92BBC" w:rsidRPr="00350F98">
        <w:rPr>
          <w:rtl/>
          <w:lang w:bidi="ar-EG"/>
        </w:rPr>
        <w:t>25</w:t>
      </w:r>
      <w:r>
        <w:rPr>
          <w:rtl/>
          <w:lang w:bidi="ar-EG"/>
        </w:rPr>
        <w:t xml:space="preserve"> حزيران/</w:t>
      </w:r>
      <w:proofErr w:type="gramStart"/>
      <w:r>
        <w:rPr>
          <w:rtl/>
          <w:lang w:bidi="ar-EG"/>
        </w:rPr>
        <w:t>يونيه</w:t>
      </w:r>
      <w:proofErr w:type="gramEnd"/>
      <w:r>
        <w:rPr>
          <w:rtl/>
          <w:lang w:bidi="ar-EG"/>
        </w:rPr>
        <w:t xml:space="preserve"> </w:t>
      </w:r>
      <w:r w:rsidR="00F92BBC" w:rsidRPr="00350F98">
        <w:rPr>
          <w:rtl/>
          <w:lang w:bidi="ar-EG"/>
        </w:rPr>
        <w:t>2017</w:t>
      </w:r>
      <w:r>
        <w:rPr>
          <w:rtl/>
          <w:lang w:bidi="ar-EG"/>
        </w:rPr>
        <w:t xml:space="preserve">، الذي يصلح النظم المتعلقة بمغايري الهوية الجنسانية فيما يتصل بالإشارة إلى تعديل تسجيل الجنس في سجلات الحالة المدنية والآثار المترتبة عن ذلك، حيز النفاذ في </w:t>
      </w:r>
      <w:r w:rsidR="007501E7" w:rsidRPr="00350F98">
        <w:rPr>
          <w:rtl/>
          <w:lang w:bidi="ar-EG"/>
        </w:rPr>
        <w:t>1</w:t>
      </w:r>
      <w:r>
        <w:rPr>
          <w:rtl/>
          <w:lang w:bidi="ar-EG"/>
        </w:rPr>
        <w:t xml:space="preserve"> كانون الثاني/يناير </w:t>
      </w:r>
      <w:r w:rsidR="00F92BBC" w:rsidRPr="00350F98">
        <w:rPr>
          <w:rtl/>
          <w:lang w:bidi="ar-EG"/>
        </w:rPr>
        <w:t>2018</w:t>
      </w:r>
      <w:r>
        <w:rPr>
          <w:rtl/>
          <w:lang w:bidi="ar-EG"/>
        </w:rPr>
        <w:t xml:space="preserve">. ومنذ ذلك التاريخ، لم يعد مطلوباً من مغاير الهوية الجنسانية </w:t>
      </w:r>
      <w:r w:rsidRPr="00EC4616">
        <w:rPr>
          <w:spacing w:val="-2"/>
          <w:rtl/>
          <w:lang w:bidi="ar-EG"/>
        </w:rPr>
        <w:t>الوفاء بشروط طبية معينة ليغيّر رسمياً تسجيل جنسه واسمه في سجلات الحالة المدنية وفي سجل السكان.</w:t>
      </w:r>
      <w:r>
        <w:rPr>
          <w:rtl/>
          <w:lang w:bidi="ar-EG"/>
        </w:rPr>
        <w:t xml:space="preserve"> وهذه الإجراءات متاحة للأشخاص المقتنعين بأن الجنس المذكور في شهادة الميلاد بسجل الحالة المدنية لا يتطابق مع هويتهم الجنسانية الحميمية. ويتعين، لتغيير تسجيل الجنس والاسم، اتباع إجراءات إدارية بحتة لدى موظف الحالة المدنية. ويجوز للقصر تغيير الاسم بعد بلوغ السنة الثانية عشرة من العمر وتعديل تسجيل الجنس بعد السنة السادسة عشرة من العمر.</w:t>
      </w:r>
    </w:p>
    <w:p w14:paraId="4A65FBB0" w14:textId="77777777" w:rsidR="00D424DC" w:rsidRDefault="00D424DC" w:rsidP="00820D19">
      <w:pPr>
        <w:pStyle w:val="SingleTxtGA"/>
        <w:spacing w:line="350" w:lineRule="exact"/>
        <w:rPr>
          <w:rtl/>
          <w:lang w:bidi="ar-EG"/>
        </w:rPr>
      </w:pPr>
      <w:r w:rsidRPr="00350F98">
        <w:rPr>
          <w:rtl/>
          <w:lang w:bidi="ar-EG"/>
        </w:rPr>
        <w:t>205</w:t>
      </w:r>
      <w:r>
        <w:rPr>
          <w:rtl/>
          <w:lang w:bidi="ar-EG"/>
        </w:rPr>
        <w:t>-</w:t>
      </w:r>
      <w:r>
        <w:rPr>
          <w:rtl/>
          <w:lang w:bidi="ar-EG"/>
        </w:rPr>
        <w:tab/>
      </w:r>
      <w:r w:rsidRPr="00D97AA3">
        <w:rPr>
          <w:spacing w:val="-2"/>
          <w:rtl/>
          <w:lang w:bidi="ar-EG"/>
        </w:rPr>
        <w:t>وعلى الصعيد التشريعي، قامت الجماعة الفلمنكية، والسلطات على المستوى الاتحادي، والجماعة</w:t>
      </w:r>
      <w:r>
        <w:rPr>
          <w:rtl/>
          <w:lang w:bidi="ar-EG"/>
        </w:rPr>
        <w:t xml:space="preserve"> الفرنسية، ومنطقة العاصمة بروكسل، بتعديل تشريعاتها من أجل اعتبار التمييز على أساس الهوية الجنسانية أو التعبير الجنساني تمييزاً قائماً على أساس </w:t>
      </w:r>
      <w:proofErr w:type="gramStart"/>
      <w:r>
        <w:rPr>
          <w:rtl/>
          <w:lang w:bidi="ar-EG"/>
        </w:rPr>
        <w:t>الجنس</w:t>
      </w:r>
      <w:r w:rsidRPr="00B70B24">
        <w:rPr>
          <w:vertAlign w:val="superscript"/>
          <w:rtl/>
        </w:rPr>
        <w:t>(</w:t>
      </w:r>
      <w:proofErr w:type="gramEnd"/>
      <w:r w:rsidRPr="00350F98">
        <w:rPr>
          <w:rStyle w:val="FootnoteReference"/>
          <w:lang w:val="en-US"/>
        </w:rPr>
        <w:footnoteReference w:id="18"/>
      </w:r>
      <w:r w:rsidRPr="00B70B24">
        <w:rPr>
          <w:vertAlign w:val="superscript"/>
          <w:rtl/>
        </w:rPr>
        <w:t>)</w:t>
      </w:r>
      <w:r>
        <w:rPr>
          <w:rtl/>
          <w:lang w:bidi="ar-EG"/>
        </w:rPr>
        <w:t xml:space="preserve">. والهدف هو توفير حماية من التمييز تشمل جميع الأشخاص مغايري الهوية الجنسانية وليس فقط الأشخاص الذين يخططون لتلقي علاج من أجل تغيير الجنس أو الذين هم بصدد تلقي علاج، أو الذين سبق أن تلقوه. وقد أدخل هذان العنصران في التشريع المنقح المتعلق بمنع المخاطر في مكان </w:t>
      </w:r>
      <w:proofErr w:type="gramStart"/>
      <w:r>
        <w:rPr>
          <w:rtl/>
          <w:lang w:bidi="ar-EG"/>
        </w:rPr>
        <w:t>العمل</w:t>
      </w:r>
      <w:r w:rsidRPr="00B70B24">
        <w:rPr>
          <w:vertAlign w:val="superscript"/>
          <w:rtl/>
        </w:rPr>
        <w:t>(</w:t>
      </w:r>
      <w:proofErr w:type="gramEnd"/>
      <w:r w:rsidRPr="00350F98">
        <w:rPr>
          <w:rStyle w:val="FootnoteReference"/>
          <w:lang w:val="en-US"/>
        </w:rPr>
        <w:footnoteReference w:id="19"/>
      </w:r>
      <w:r w:rsidRPr="00B70B24">
        <w:rPr>
          <w:vertAlign w:val="superscript"/>
          <w:rtl/>
        </w:rPr>
        <w:t>)</w:t>
      </w:r>
      <w:r>
        <w:rPr>
          <w:rtl/>
          <w:lang w:bidi="ar-EG"/>
        </w:rPr>
        <w:t>.</w:t>
      </w:r>
    </w:p>
    <w:p w14:paraId="4575798F" w14:textId="000DEA65" w:rsidR="00D424DC" w:rsidRPr="00E64BF7" w:rsidRDefault="00D424DC" w:rsidP="00820D19">
      <w:pPr>
        <w:pStyle w:val="SingleTxtGA"/>
        <w:spacing w:line="350" w:lineRule="exact"/>
        <w:rPr>
          <w:rtl/>
          <w:lang w:bidi="ar-EG"/>
        </w:rPr>
      </w:pPr>
      <w:r w:rsidRPr="00350F98">
        <w:rPr>
          <w:rtl/>
          <w:lang w:bidi="ar-EG"/>
        </w:rPr>
        <w:lastRenderedPageBreak/>
        <w:t>206</w:t>
      </w:r>
      <w:r>
        <w:rPr>
          <w:rtl/>
          <w:lang w:bidi="ar-EG"/>
        </w:rPr>
        <w:t>-</w:t>
      </w:r>
      <w:r w:rsidR="000C7FF8">
        <w:rPr>
          <w:rtl/>
          <w:lang w:bidi="ar-EG"/>
        </w:rPr>
        <w:tab/>
      </w:r>
      <w:r w:rsidRPr="00E64BF7">
        <w:rPr>
          <w:rtl/>
          <w:lang w:bidi="ar-EG"/>
        </w:rPr>
        <w:t xml:space="preserve">واتُّخذت تدابير شتّى للمساعدة والتوعية في هذا السياق. ومن الأمثلة على ذلك فتح خط هاتفي مجاني، وقيام الجماعة الفلمنكية بإنشاء مركز للمعلومات: </w:t>
      </w:r>
      <w:r w:rsidRPr="00E64BF7">
        <w:rPr>
          <w:lang w:bidi="ar-EG"/>
        </w:rPr>
        <w:t>www.transgenderinfo.be</w:t>
      </w:r>
      <w:r w:rsidRPr="00E64BF7">
        <w:rPr>
          <w:rtl/>
          <w:lang w:bidi="ar-EG"/>
        </w:rPr>
        <w:t xml:space="preserve">، وشن حملة توعية تحت عنوان "وأنت، هل حُشِرت في مربّع؟" </w:t>
      </w:r>
      <w:r w:rsidR="00EC4616" w:rsidRPr="00E64BF7">
        <w:t xml:space="preserve"> (</w:t>
      </w:r>
      <w:hyperlink r:id="rId10" w:history="1">
        <w:r w:rsidR="00EC4616" w:rsidRPr="00E64BF7">
          <w:rPr>
            <w:rStyle w:val="Hyperlink"/>
            <w:color w:val="auto"/>
            <w:lang w:val="fr-FR"/>
          </w:rPr>
          <w:t>www.</w:t>
        </w:r>
        <w:r w:rsidR="00EC4616" w:rsidRPr="00E64BF7">
          <w:rPr>
            <w:rStyle w:val="Hyperlink"/>
            <w:bCs/>
            <w:color w:val="auto"/>
            <w:lang w:val="fr-FR"/>
          </w:rPr>
          <w:t>ettoitescase</w:t>
        </w:r>
        <w:r w:rsidR="00EC4616" w:rsidRPr="00E64BF7">
          <w:rPr>
            <w:rStyle w:val="Hyperlink"/>
            <w:color w:val="auto"/>
            <w:lang w:val="fr-FR"/>
          </w:rPr>
          <w:t>.be/</w:t>
        </w:r>
      </w:hyperlink>
      <w:r w:rsidR="00EC4616" w:rsidRPr="00E64BF7">
        <w:rPr>
          <w:lang w:val="fr-FR"/>
        </w:rPr>
        <w:t>)</w:t>
      </w:r>
      <w:r w:rsidRPr="00E64BF7">
        <w:rPr>
          <w:rtl/>
          <w:lang w:bidi="ar-EG"/>
        </w:rPr>
        <w:t>من أجل توعية الشباب المثليين بالقوالب النمطية المعادية للمثليين ولمغايري الهوية الجنسانية.</w:t>
      </w:r>
    </w:p>
    <w:p w14:paraId="46C54EFF" w14:textId="77777777" w:rsidR="00D424DC" w:rsidRPr="00350F98" w:rsidRDefault="00D424DC" w:rsidP="00D97AA3">
      <w:pPr>
        <w:pStyle w:val="H1GA"/>
        <w:rPr>
          <w:rtl/>
          <w:lang w:bidi="ar-EG"/>
        </w:rPr>
      </w:pPr>
      <w:r w:rsidRPr="00350F98">
        <w:rPr>
          <w:rtl/>
          <w:lang w:bidi="ar-EG"/>
        </w:rPr>
        <w:tab/>
      </w:r>
      <w:bookmarkStart w:id="32" w:name="_Toc73715651"/>
      <w:r w:rsidRPr="00350F98">
        <w:rPr>
          <w:rtl/>
          <w:lang w:bidi="ar-EG"/>
        </w:rPr>
        <w:t>دال-</w:t>
      </w:r>
      <w:r w:rsidRPr="00350F98">
        <w:rPr>
          <w:rtl/>
          <w:lang w:bidi="ar-EG"/>
        </w:rPr>
        <w:tab/>
        <w:t>المساواة بين المرأة والرجل ومكافحة التمييز القائم على أساس الجنس</w:t>
      </w:r>
      <w:bookmarkEnd w:id="32"/>
    </w:p>
    <w:p w14:paraId="1A7463A2" w14:textId="1D505058" w:rsidR="00D424DC" w:rsidRPr="00350F98" w:rsidRDefault="00D424DC" w:rsidP="00820D19">
      <w:pPr>
        <w:pStyle w:val="H23GA"/>
        <w:spacing w:line="350" w:lineRule="exact"/>
        <w:rPr>
          <w:rtl/>
          <w:lang w:bidi="ar-EG"/>
        </w:rPr>
      </w:pPr>
      <w:r w:rsidRPr="00350F98">
        <w:rPr>
          <w:rtl/>
          <w:lang w:bidi="ar-EG"/>
        </w:rPr>
        <w:tab/>
      </w:r>
      <w:r w:rsidR="00D97AA3" w:rsidRPr="00350F98">
        <w:rPr>
          <w:rFonts w:hint="cs"/>
          <w:rtl/>
          <w:lang w:bidi="ar-EG"/>
        </w:rPr>
        <w:t>1-</w:t>
      </w:r>
      <w:r w:rsidRPr="00350F98">
        <w:rPr>
          <w:rtl/>
          <w:lang w:bidi="ar-EG"/>
        </w:rPr>
        <w:tab/>
        <w:t>الإطار العام</w:t>
      </w:r>
    </w:p>
    <w:p w14:paraId="7E1EECE7" w14:textId="77777777" w:rsidR="00D424DC" w:rsidRDefault="00D424DC" w:rsidP="00E64BF7">
      <w:pPr>
        <w:pStyle w:val="SingleTxtGA"/>
        <w:spacing w:line="340" w:lineRule="exact"/>
        <w:rPr>
          <w:rtl/>
          <w:lang w:bidi="ar-EG"/>
        </w:rPr>
      </w:pPr>
      <w:r w:rsidRPr="00350F98">
        <w:rPr>
          <w:rtl/>
          <w:lang w:bidi="ar-EG"/>
        </w:rPr>
        <w:t>207</w:t>
      </w:r>
      <w:r>
        <w:rPr>
          <w:rtl/>
          <w:lang w:bidi="ar-EG"/>
        </w:rPr>
        <w:t>-</w:t>
      </w:r>
      <w:r>
        <w:rPr>
          <w:rtl/>
          <w:lang w:bidi="ar-EG"/>
        </w:rPr>
        <w:tab/>
        <w:t xml:space="preserve">يكفل الدستور البلجيكي صراحةً، منذ شباط/فبراير </w:t>
      </w:r>
      <w:r w:rsidRPr="00350F98">
        <w:rPr>
          <w:rtl/>
          <w:lang w:bidi="ar-EG"/>
        </w:rPr>
        <w:t>2002</w:t>
      </w:r>
      <w:r>
        <w:rPr>
          <w:rtl/>
          <w:lang w:bidi="ar-EG"/>
        </w:rPr>
        <w:t xml:space="preserve">، مبدأ المساواة بين المرأة والرجل. </w:t>
      </w:r>
      <w:r w:rsidRPr="00C918AE">
        <w:rPr>
          <w:spacing w:val="-2"/>
          <w:rtl/>
          <w:lang w:bidi="ar-EG"/>
        </w:rPr>
        <w:t>ويُشجَّع المشرعون في مختلف السلطات على اعتماد تدابير محددة تكفل المساواة بين المواطنين والمواطنات</w:t>
      </w:r>
      <w:r>
        <w:rPr>
          <w:rtl/>
          <w:lang w:bidi="ar-EG"/>
        </w:rPr>
        <w:t xml:space="preserve"> في ممارسة الحقوق والحريات وتُعزز المساواة بين المرأة والرجل في الاضطلاع بالولايات الانتخابية وفي شغل المناصب العامة.</w:t>
      </w:r>
    </w:p>
    <w:p w14:paraId="03735CD2" w14:textId="77777777" w:rsidR="00D424DC" w:rsidRDefault="00D424DC" w:rsidP="00E64BF7">
      <w:pPr>
        <w:pStyle w:val="SingleTxtGA"/>
        <w:spacing w:line="340" w:lineRule="exact"/>
        <w:rPr>
          <w:rtl/>
          <w:lang w:bidi="ar-EG"/>
        </w:rPr>
      </w:pPr>
      <w:r w:rsidRPr="00350F98">
        <w:rPr>
          <w:rtl/>
          <w:lang w:bidi="ar-EG"/>
        </w:rPr>
        <w:t>208</w:t>
      </w:r>
      <w:r>
        <w:rPr>
          <w:rtl/>
          <w:lang w:bidi="ar-EG"/>
        </w:rPr>
        <w:t>-</w:t>
      </w:r>
      <w:r>
        <w:rPr>
          <w:rtl/>
          <w:lang w:bidi="ar-EG"/>
        </w:rPr>
        <w:tab/>
        <w:t>وتسنّ مختلف السلطات قوانين وتضع سياسات تهدف إلى تحقيق المساواة بين المرأة والرجل في إطار اختصاص كل منها.</w:t>
      </w:r>
    </w:p>
    <w:p w14:paraId="7BBCA459" w14:textId="62CD004F" w:rsidR="00D424DC" w:rsidRDefault="00D424DC" w:rsidP="00E64BF7">
      <w:pPr>
        <w:pStyle w:val="SingleTxtGA"/>
        <w:spacing w:line="340" w:lineRule="exact"/>
        <w:rPr>
          <w:rtl/>
          <w:lang w:bidi="ar-EG"/>
        </w:rPr>
      </w:pPr>
      <w:r w:rsidRPr="00350F98">
        <w:rPr>
          <w:rtl/>
          <w:lang w:bidi="ar-EG"/>
        </w:rPr>
        <w:t>209</w:t>
      </w:r>
      <w:r>
        <w:rPr>
          <w:rtl/>
          <w:lang w:bidi="ar-EG"/>
        </w:rPr>
        <w:t>-</w:t>
      </w:r>
      <w:r>
        <w:rPr>
          <w:rtl/>
          <w:lang w:bidi="ar-EG"/>
        </w:rPr>
        <w:tab/>
        <w:t xml:space="preserve">وقد اعتمدت، بين عامي </w:t>
      </w:r>
      <w:r w:rsidR="007501E7" w:rsidRPr="00350F98">
        <w:rPr>
          <w:rtl/>
          <w:lang w:bidi="ar-EG"/>
        </w:rPr>
        <w:t>2007</w:t>
      </w:r>
      <w:r>
        <w:rPr>
          <w:rtl/>
          <w:lang w:bidi="ar-EG"/>
        </w:rPr>
        <w:t xml:space="preserve"> و</w:t>
      </w:r>
      <w:r w:rsidR="007501E7" w:rsidRPr="00350F98">
        <w:rPr>
          <w:rtl/>
          <w:lang w:bidi="ar-EG"/>
        </w:rPr>
        <w:t>2008</w:t>
      </w:r>
      <w:r>
        <w:rPr>
          <w:rtl/>
          <w:lang w:bidi="ar-EG"/>
        </w:rPr>
        <w:t xml:space="preserve">، على مختلف مستويات السلطة، تشريعات ترمي إلى مكافحة التمييز القائم على أساس الجنس، بما في ذلك الحمل والأمومة والولادة وتغيير الجنس (الذي وُسّع نطاقه منذ ذلك الحين ليشمل الهوية الجنسانية والتعبير </w:t>
      </w:r>
      <w:proofErr w:type="gramStart"/>
      <w:r>
        <w:rPr>
          <w:rtl/>
          <w:lang w:bidi="ar-EG"/>
        </w:rPr>
        <w:t>الجنساني)</w:t>
      </w:r>
      <w:r w:rsidRPr="00B70B24">
        <w:rPr>
          <w:vertAlign w:val="superscript"/>
          <w:rtl/>
        </w:rPr>
        <w:t>(</w:t>
      </w:r>
      <w:proofErr w:type="gramEnd"/>
      <w:r w:rsidRPr="00350F98">
        <w:rPr>
          <w:rStyle w:val="FootnoteReference"/>
          <w:lang w:val="en-US"/>
        </w:rPr>
        <w:footnoteReference w:id="20"/>
      </w:r>
      <w:r w:rsidRPr="00B70B24">
        <w:rPr>
          <w:vertAlign w:val="superscript"/>
          <w:rtl/>
        </w:rPr>
        <w:t>)</w:t>
      </w:r>
      <w:r>
        <w:rPr>
          <w:rtl/>
          <w:lang w:bidi="ar-EG"/>
        </w:rPr>
        <w:t>. وينص قان</w:t>
      </w:r>
      <w:r>
        <w:rPr>
          <w:rFonts w:hint="cs"/>
          <w:rtl/>
          <w:lang w:bidi="ar-EG"/>
        </w:rPr>
        <w:t>ون</w:t>
      </w:r>
      <w:r>
        <w:rPr>
          <w:rtl/>
          <w:lang w:bidi="ar-EG"/>
        </w:rPr>
        <w:t xml:space="preserve"> </w:t>
      </w:r>
      <w:r w:rsidR="007501E7" w:rsidRPr="00350F98">
        <w:rPr>
          <w:rtl/>
          <w:lang w:bidi="ar-EG"/>
        </w:rPr>
        <w:t>22</w:t>
      </w:r>
      <w:r>
        <w:rPr>
          <w:rtl/>
          <w:lang w:bidi="ar-EG"/>
        </w:rPr>
        <w:t xml:space="preserve"> أيار/مايو </w:t>
      </w:r>
      <w:r w:rsidR="007501E7" w:rsidRPr="00350F98">
        <w:rPr>
          <w:rtl/>
          <w:lang w:bidi="ar-EG"/>
        </w:rPr>
        <w:t>2014</w:t>
      </w:r>
      <w:r>
        <w:rPr>
          <w:rtl/>
          <w:lang w:bidi="ar-EG"/>
        </w:rPr>
        <w:t xml:space="preserve"> الرامي إلى مكافحة التحيز الجنسي في الأماكن العامة على أن أي شخص يصدر عنه سلوك أو حركة، في العلن أو بحضور شهود، بغرض اعتبار شخص ما أقل شأناً، أو احتقاره بسبب جنسه أو اختصاره في بعده الجنسي فقط، يمكن أن يعاقب على ذلك. وعُدِّل القانون الم</w:t>
      </w:r>
      <w:r>
        <w:rPr>
          <w:rFonts w:hint="cs"/>
          <w:rtl/>
          <w:lang w:bidi="ar-EG"/>
        </w:rPr>
        <w:t>دني</w:t>
      </w:r>
      <w:r>
        <w:rPr>
          <w:rtl/>
          <w:lang w:bidi="ar-EG"/>
        </w:rPr>
        <w:t xml:space="preserve"> أيضاً في حزيران/</w:t>
      </w:r>
      <w:proofErr w:type="gramStart"/>
      <w:r>
        <w:rPr>
          <w:rtl/>
          <w:lang w:bidi="ar-EG"/>
        </w:rPr>
        <w:t>يونيه</w:t>
      </w:r>
      <w:proofErr w:type="gramEnd"/>
      <w:r>
        <w:rPr>
          <w:rtl/>
          <w:lang w:bidi="ar-EG"/>
        </w:rPr>
        <w:t xml:space="preserve"> </w:t>
      </w:r>
      <w:r w:rsidR="007501E7" w:rsidRPr="00350F98">
        <w:rPr>
          <w:rtl/>
          <w:lang w:bidi="ar-EG"/>
        </w:rPr>
        <w:t>2014</w:t>
      </w:r>
      <w:r>
        <w:rPr>
          <w:rtl/>
          <w:lang w:bidi="ar-EG"/>
        </w:rPr>
        <w:t xml:space="preserve"> من أجل كفالة المساواة بين الرجل والمرأة في طريقة نقل اللقب إلى الطفل، وكذلك إلى الطفل المتبنى.</w:t>
      </w:r>
    </w:p>
    <w:p w14:paraId="0EF9F627" w14:textId="77777777" w:rsidR="00D424DC" w:rsidRDefault="00D424DC" w:rsidP="00E64BF7">
      <w:pPr>
        <w:pStyle w:val="SingleTxtGA"/>
        <w:spacing w:line="340" w:lineRule="exact"/>
        <w:rPr>
          <w:rtl/>
          <w:lang w:bidi="ar-EG"/>
        </w:rPr>
      </w:pPr>
      <w:r w:rsidRPr="00350F98">
        <w:rPr>
          <w:rtl/>
          <w:lang w:bidi="ar-EG"/>
        </w:rPr>
        <w:t>210</w:t>
      </w:r>
      <w:r>
        <w:rPr>
          <w:rtl/>
          <w:lang w:bidi="ar-EG"/>
        </w:rPr>
        <w:t>-</w:t>
      </w:r>
      <w:r>
        <w:rPr>
          <w:rtl/>
          <w:lang w:bidi="ar-EG"/>
        </w:rPr>
        <w:tab/>
        <w:t>وجرت عملية تعزيز كبيرة للآليات المؤسسية المخصصة لمكافحة التمييز القائم على أساس الجنس ولتشجيع المساواة بين المرأة والرجل.</w:t>
      </w:r>
    </w:p>
    <w:p w14:paraId="2664E78C" w14:textId="77777777" w:rsidR="00D424DC" w:rsidRDefault="00D424DC" w:rsidP="00E64BF7">
      <w:pPr>
        <w:pStyle w:val="SingleTxtGA"/>
        <w:spacing w:line="340" w:lineRule="exact"/>
        <w:rPr>
          <w:rtl/>
          <w:lang w:bidi="ar-EG"/>
        </w:rPr>
      </w:pPr>
      <w:r w:rsidRPr="00350F98">
        <w:rPr>
          <w:rtl/>
          <w:lang w:bidi="ar-EG"/>
        </w:rPr>
        <w:t>211</w:t>
      </w:r>
      <w:r>
        <w:rPr>
          <w:rtl/>
          <w:lang w:bidi="ar-EG"/>
        </w:rPr>
        <w:t>-</w:t>
      </w:r>
      <w:r>
        <w:rPr>
          <w:rtl/>
          <w:lang w:bidi="ar-EG"/>
        </w:rPr>
        <w:tab/>
        <w:t xml:space="preserve">وفي نهاية عام </w:t>
      </w:r>
      <w:r w:rsidRPr="00350F98">
        <w:rPr>
          <w:rtl/>
          <w:lang w:bidi="ar-EG"/>
        </w:rPr>
        <w:t>2002</w:t>
      </w:r>
      <w:r>
        <w:rPr>
          <w:rtl/>
          <w:lang w:bidi="ar-EG"/>
        </w:rPr>
        <w:t>، أنشئ معهد المساواة بين المرأة والرجل على المستوى الاتحادي من أجل رصد احترام مبدأ المساواة بين المرأة والرجل ومكافحة مختلف أشكال التمييز واللامساواة القائمة على أساس الجنس. ويختص المعهد تحديداً بتقديم المساعدة لضحايا التمييز ومرافقتهم في إجراءاتهم لدى القضاء، وبإجراء الدراسات وتقديم التوصيات إلى السلطات العامة.</w:t>
      </w:r>
    </w:p>
    <w:p w14:paraId="0813B43D" w14:textId="447C2A4E" w:rsidR="00D424DC" w:rsidRDefault="00D424DC" w:rsidP="00E64BF7">
      <w:pPr>
        <w:pStyle w:val="SingleTxtGA"/>
        <w:spacing w:line="340" w:lineRule="exact"/>
        <w:rPr>
          <w:rtl/>
          <w:lang w:bidi="ar-EG"/>
        </w:rPr>
      </w:pPr>
      <w:r w:rsidRPr="00350F98">
        <w:rPr>
          <w:rtl/>
          <w:lang w:bidi="ar-EG"/>
        </w:rPr>
        <w:t>212</w:t>
      </w:r>
      <w:r>
        <w:rPr>
          <w:rtl/>
          <w:lang w:bidi="ar-EG"/>
        </w:rPr>
        <w:t>-</w:t>
      </w:r>
      <w:r>
        <w:rPr>
          <w:rtl/>
          <w:lang w:bidi="ar-EG"/>
        </w:rPr>
        <w:tab/>
      </w:r>
      <w:r w:rsidRPr="00C918AE">
        <w:rPr>
          <w:spacing w:val="-6"/>
          <w:rtl/>
          <w:lang w:bidi="ar-EG"/>
        </w:rPr>
        <w:t xml:space="preserve">وعملت جميع السلطات على إضفاء الطابع المؤسسي على استراتيجية </w:t>
      </w:r>
      <w:r w:rsidRPr="009C5CFC">
        <w:rPr>
          <w:i/>
          <w:iCs/>
          <w:spacing w:val="-6"/>
          <w:rtl/>
          <w:lang w:bidi="ar-EG"/>
        </w:rPr>
        <w:t>تعميم مراعاة المنظور الجنساني</w:t>
      </w:r>
      <w:r w:rsidRPr="00C918AE">
        <w:rPr>
          <w:spacing w:val="-6"/>
          <w:rtl/>
          <w:lang w:bidi="ar-EG"/>
        </w:rPr>
        <w:t>.</w:t>
      </w:r>
      <w:r>
        <w:rPr>
          <w:rtl/>
          <w:lang w:bidi="ar-EG"/>
        </w:rPr>
        <w:t xml:space="preserve"> وينص ذلك على التزامات شتى من جانب أعضاء الحكومات والإدارات، مثل تصنيف الإحصاءات حسب الجنس، ووضع المؤشرات الجنسانية، وإعمال </w:t>
      </w:r>
      <w:r w:rsidRPr="009C5CFC">
        <w:rPr>
          <w:i/>
          <w:iCs/>
          <w:rtl/>
          <w:lang w:bidi="ar-EG"/>
        </w:rPr>
        <w:t>"</w:t>
      </w:r>
      <w:proofErr w:type="spellStart"/>
      <w:r w:rsidRPr="009C5CFC">
        <w:rPr>
          <w:i/>
          <w:iCs/>
          <w:rtl/>
          <w:lang w:bidi="ar-EG"/>
        </w:rPr>
        <w:t>الميزنة</w:t>
      </w:r>
      <w:proofErr w:type="spellEnd"/>
      <w:r w:rsidRPr="009C5CFC">
        <w:rPr>
          <w:i/>
          <w:iCs/>
          <w:rtl/>
          <w:lang w:bidi="ar-EG"/>
        </w:rPr>
        <w:t xml:space="preserve"> الجنسانية"</w:t>
      </w:r>
      <w:r>
        <w:rPr>
          <w:rtl/>
          <w:lang w:bidi="ar-EG"/>
        </w:rPr>
        <w:t>. ومن الأمثلة على ذ</w:t>
      </w:r>
      <w:r>
        <w:rPr>
          <w:rFonts w:hint="cs"/>
          <w:rtl/>
          <w:lang w:bidi="ar-EG"/>
        </w:rPr>
        <w:t>لك</w:t>
      </w:r>
      <w:r>
        <w:rPr>
          <w:rtl/>
          <w:lang w:bidi="ar-EG"/>
        </w:rPr>
        <w:t xml:space="preserve"> القانون الاتحادي </w:t>
      </w:r>
      <w:r w:rsidRPr="00C918AE">
        <w:rPr>
          <w:spacing w:val="-2"/>
          <w:rtl/>
          <w:lang w:bidi="ar-EG"/>
        </w:rPr>
        <w:t xml:space="preserve">المؤرخ </w:t>
      </w:r>
      <w:r w:rsidR="007501E7" w:rsidRPr="00350F98">
        <w:rPr>
          <w:spacing w:val="-2"/>
          <w:rtl/>
          <w:lang w:bidi="ar-EG"/>
        </w:rPr>
        <w:t>12</w:t>
      </w:r>
      <w:r w:rsidRPr="00C918AE">
        <w:rPr>
          <w:spacing w:val="-2"/>
          <w:rtl/>
          <w:lang w:bidi="ar-EG"/>
        </w:rPr>
        <w:t xml:space="preserve"> كانون الثاني/يناير </w:t>
      </w:r>
      <w:r w:rsidR="007501E7" w:rsidRPr="00350F98">
        <w:rPr>
          <w:spacing w:val="-2"/>
          <w:rtl/>
          <w:lang w:bidi="ar-EG"/>
        </w:rPr>
        <w:t>2007</w:t>
      </w:r>
      <w:r w:rsidRPr="00C918AE">
        <w:rPr>
          <w:spacing w:val="-2"/>
          <w:rtl/>
          <w:lang w:bidi="ar-EG"/>
        </w:rPr>
        <w:t xml:space="preserve"> (المسمى </w:t>
      </w:r>
      <w:r w:rsidRPr="009C5CFC">
        <w:rPr>
          <w:i/>
          <w:iCs/>
          <w:spacing w:val="-2"/>
          <w:rtl/>
          <w:lang w:bidi="ar-EG"/>
        </w:rPr>
        <w:t>"قانون تعميم مراعاة المنظور الجنساني"</w:t>
      </w:r>
      <w:r w:rsidRPr="00C918AE">
        <w:rPr>
          <w:spacing w:val="-2"/>
          <w:rtl/>
          <w:lang w:bidi="ar-EG"/>
        </w:rPr>
        <w:t xml:space="preserve"> والذي يفرض إدماج</w:t>
      </w:r>
      <w:r>
        <w:rPr>
          <w:rtl/>
          <w:lang w:bidi="ar-EG"/>
        </w:rPr>
        <w:t xml:space="preserve"> البعد الجنساني بشكل عام ومنهجي في السياسات العامة).</w:t>
      </w:r>
    </w:p>
    <w:p w14:paraId="76F63B7C" w14:textId="5D530FBD" w:rsidR="00D424DC" w:rsidRPr="00350F98" w:rsidRDefault="00D424DC" w:rsidP="00D97AA3">
      <w:pPr>
        <w:pStyle w:val="H23GA"/>
        <w:rPr>
          <w:rtl/>
          <w:lang w:bidi="ar-EG"/>
        </w:rPr>
      </w:pPr>
      <w:r w:rsidRPr="00350F98">
        <w:rPr>
          <w:rtl/>
          <w:lang w:bidi="ar-EG"/>
        </w:rPr>
        <w:tab/>
      </w:r>
      <w:r w:rsidR="00D97AA3" w:rsidRPr="00350F98">
        <w:rPr>
          <w:rFonts w:hint="cs"/>
          <w:rtl/>
          <w:lang w:bidi="ar-EG"/>
        </w:rPr>
        <w:t>2-</w:t>
      </w:r>
      <w:r w:rsidRPr="00350F98">
        <w:rPr>
          <w:rtl/>
          <w:lang w:bidi="ar-EG"/>
        </w:rPr>
        <w:tab/>
        <w:t>المساواة بين الرجل والمرأة في العمل وصنع القرار</w:t>
      </w:r>
    </w:p>
    <w:p w14:paraId="5F54EE25" w14:textId="3E04E80C" w:rsidR="00D424DC" w:rsidRPr="00E64BF7" w:rsidRDefault="00D424DC" w:rsidP="00D424DC">
      <w:pPr>
        <w:pStyle w:val="SingleTxtGA"/>
        <w:rPr>
          <w:rtl/>
          <w:lang w:bidi="ar-EG"/>
        </w:rPr>
      </w:pPr>
      <w:r w:rsidRPr="00E64BF7">
        <w:rPr>
          <w:spacing w:val="-4"/>
          <w:rtl/>
          <w:lang w:bidi="ar-EG"/>
        </w:rPr>
        <w:t>213-</w:t>
      </w:r>
      <w:r w:rsidRPr="00E64BF7">
        <w:rPr>
          <w:spacing w:val="-4"/>
          <w:rtl/>
          <w:lang w:bidi="ar-EG"/>
        </w:rPr>
        <w:tab/>
        <w:t xml:space="preserve">يوجد القضاء على التفاوت في الأجر بين المرأة والرجل على رأس أولويات المسؤولين السياسيين والشركاء الاجتماعيين في بلجيكا منذ سنوات عديدة. ومن هذا المنطلق، اعتمد قانون </w:t>
      </w:r>
      <w:r w:rsidR="007501E7" w:rsidRPr="00E64BF7">
        <w:rPr>
          <w:spacing w:val="-4"/>
          <w:rtl/>
          <w:lang w:bidi="ar-EG"/>
        </w:rPr>
        <w:t>22</w:t>
      </w:r>
      <w:r w:rsidRPr="00E64BF7">
        <w:rPr>
          <w:spacing w:val="-4"/>
          <w:rtl/>
          <w:lang w:bidi="ar-EG"/>
        </w:rPr>
        <w:t xml:space="preserve"> نيسان/أبريل </w:t>
      </w:r>
      <w:r w:rsidR="007501E7" w:rsidRPr="00E64BF7">
        <w:rPr>
          <w:spacing w:val="-4"/>
          <w:rtl/>
          <w:lang w:bidi="ar-EG"/>
        </w:rPr>
        <w:t>2012</w:t>
      </w:r>
      <w:r w:rsidRPr="00E64BF7">
        <w:rPr>
          <w:spacing w:val="-4"/>
          <w:vertAlign w:val="superscript"/>
          <w:rtl/>
        </w:rPr>
        <w:t>(</w:t>
      </w:r>
      <w:r w:rsidRPr="00E64BF7">
        <w:rPr>
          <w:rStyle w:val="FootnoteReference"/>
          <w:spacing w:val="-4"/>
          <w:lang w:val="en-US"/>
        </w:rPr>
        <w:footnoteReference w:id="21"/>
      </w:r>
      <w:r w:rsidRPr="00E64BF7">
        <w:rPr>
          <w:spacing w:val="-4"/>
          <w:vertAlign w:val="superscript"/>
          <w:rtl/>
        </w:rPr>
        <w:t>)</w:t>
      </w:r>
      <w:r w:rsidRPr="00E64BF7">
        <w:rPr>
          <w:rFonts w:hint="cs"/>
          <w:spacing w:val="-4"/>
          <w:rtl/>
          <w:lang w:bidi="ar-EG"/>
        </w:rPr>
        <w:t xml:space="preserve"> </w:t>
      </w:r>
      <w:r w:rsidRPr="00E64BF7">
        <w:rPr>
          <w:rtl/>
          <w:lang w:bidi="ar-EG"/>
        </w:rPr>
        <w:lastRenderedPageBreak/>
        <w:t>الرامي إلى تقليص الفجوة في الأجور بالعمل على أن تصبح الفجوة ف</w:t>
      </w:r>
      <w:r w:rsidRPr="00E64BF7">
        <w:rPr>
          <w:rFonts w:hint="cs"/>
          <w:rtl/>
          <w:lang w:bidi="ar-EG"/>
        </w:rPr>
        <w:t>ي</w:t>
      </w:r>
      <w:r w:rsidRPr="00E64BF7">
        <w:rPr>
          <w:rtl/>
          <w:lang w:bidi="ar-EG"/>
        </w:rPr>
        <w:t xml:space="preserve"> الأجور واضحة للعيان وعلى أن تكون موضوعاً دائماً في المشاورات الاجتماعية على جميع مستويات التفاوض الثلاثة: المستوى المشترك بين المهن، ومستوى القطاعات، ومستوى المؤسسات التجارية. واعتمدت خلال السنتين </w:t>
      </w:r>
      <w:r w:rsidR="007501E7" w:rsidRPr="00E64BF7">
        <w:rPr>
          <w:rtl/>
          <w:lang w:bidi="ar-EG"/>
        </w:rPr>
        <w:t>20</w:t>
      </w:r>
      <w:r w:rsidR="00F92BBC" w:rsidRPr="00E64BF7">
        <w:rPr>
          <w:rtl/>
          <w:lang w:bidi="ar-EG"/>
        </w:rPr>
        <w:t>13</w:t>
      </w:r>
      <w:r w:rsidRPr="00E64BF7">
        <w:rPr>
          <w:rtl/>
          <w:lang w:bidi="ar-EG"/>
        </w:rPr>
        <w:t xml:space="preserve"> و</w:t>
      </w:r>
      <w:r w:rsidR="007501E7" w:rsidRPr="00E64BF7">
        <w:rPr>
          <w:rtl/>
          <w:lang w:bidi="ar-EG"/>
        </w:rPr>
        <w:t>2014</w:t>
      </w:r>
      <w:r w:rsidRPr="00E64BF7">
        <w:rPr>
          <w:rtl/>
          <w:lang w:bidi="ar-EG"/>
        </w:rPr>
        <w:t xml:space="preserve"> أوامر تنفيذ </w:t>
      </w:r>
      <w:proofErr w:type="gramStart"/>
      <w:r w:rsidRPr="00E64BF7">
        <w:rPr>
          <w:rtl/>
          <w:lang w:bidi="ar-EG"/>
        </w:rPr>
        <w:t>مختلفة</w:t>
      </w:r>
      <w:r w:rsidRPr="00E64BF7">
        <w:rPr>
          <w:vertAlign w:val="superscript"/>
          <w:rtl/>
        </w:rPr>
        <w:t>(</w:t>
      </w:r>
      <w:proofErr w:type="gramEnd"/>
      <w:r w:rsidRPr="00E64BF7">
        <w:rPr>
          <w:rStyle w:val="FootnoteReference"/>
          <w:lang w:val="en-US"/>
        </w:rPr>
        <w:footnoteReference w:id="22"/>
      </w:r>
      <w:r w:rsidRPr="00E64BF7">
        <w:rPr>
          <w:vertAlign w:val="superscript"/>
          <w:rtl/>
        </w:rPr>
        <w:t>)</w:t>
      </w:r>
      <w:r w:rsidRPr="00E64BF7">
        <w:rPr>
          <w:rtl/>
          <w:lang w:bidi="ar-EG"/>
        </w:rPr>
        <w:t>.</w:t>
      </w:r>
    </w:p>
    <w:p w14:paraId="5840E312" w14:textId="055F6EC4" w:rsidR="00D424DC" w:rsidRDefault="00D424DC" w:rsidP="00D424DC">
      <w:pPr>
        <w:pStyle w:val="SingleTxtGA"/>
        <w:rPr>
          <w:rtl/>
          <w:lang w:bidi="ar-EG"/>
        </w:rPr>
      </w:pPr>
      <w:r w:rsidRPr="00350F98">
        <w:rPr>
          <w:rtl/>
          <w:lang w:bidi="ar-EG"/>
        </w:rPr>
        <w:t>214</w:t>
      </w:r>
      <w:r>
        <w:rPr>
          <w:rtl/>
          <w:lang w:bidi="ar-EG"/>
        </w:rPr>
        <w:t>-</w:t>
      </w:r>
      <w:r>
        <w:rPr>
          <w:rtl/>
          <w:lang w:bidi="ar-EG"/>
        </w:rPr>
        <w:tab/>
      </w:r>
      <w:r w:rsidRPr="0080222E">
        <w:rPr>
          <w:spacing w:val="-4"/>
          <w:rtl/>
          <w:lang w:bidi="ar-EG"/>
        </w:rPr>
        <w:t xml:space="preserve">ويصدر أيضاً تقرير في هذا الصدد كل سنة. ويشير تقرير عام </w:t>
      </w:r>
      <w:r w:rsidRPr="00350F98">
        <w:rPr>
          <w:spacing w:val="-4"/>
          <w:rtl/>
          <w:lang w:bidi="ar-EG"/>
        </w:rPr>
        <w:t>2017</w:t>
      </w:r>
      <w:r w:rsidRPr="0080222E">
        <w:rPr>
          <w:spacing w:val="-4"/>
          <w:vertAlign w:val="superscript"/>
          <w:rtl/>
        </w:rPr>
        <w:t>(</w:t>
      </w:r>
      <w:r w:rsidRPr="00350F98">
        <w:rPr>
          <w:rStyle w:val="FootnoteReference"/>
          <w:spacing w:val="-4"/>
          <w:lang w:val="en-US"/>
        </w:rPr>
        <w:footnoteReference w:id="23"/>
      </w:r>
      <w:r w:rsidRPr="0080222E">
        <w:rPr>
          <w:spacing w:val="-4"/>
          <w:vertAlign w:val="superscript"/>
          <w:rtl/>
        </w:rPr>
        <w:t>)</w:t>
      </w:r>
      <w:r w:rsidRPr="0080222E">
        <w:rPr>
          <w:rFonts w:hint="cs"/>
          <w:spacing w:val="-4"/>
          <w:rtl/>
          <w:lang w:bidi="ar-EG"/>
        </w:rPr>
        <w:t xml:space="preserve"> </w:t>
      </w:r>
      <w:r w:rsidRPr="0080222E">
        <w:rPr>
          <w:spacing w:val="-4"/>
          <w:rtl/>
          <w:lang w:bidi="ar-EG"/>
        </w:rPr>
        <w:t>إلى أن العاملة تتقاضى</w:t>
      </w:r>
      <w:r>
        <w:rPr>
          <w:rtl/>
          <w:lang w:bidi="ar-EG"/>
        </w:rPr>
        <w:t xml:space="preserve"> في المتوسط أجراً عن الساعة الواحدة يقل بنسبة </w:t>
      </w:r>
      <w:r w:rsidRPr="00350F98">
        <w:rPr>
          <w:rtl/>
          <w:lang w:bidi="ar-EG"/>
        </w:rPr>
        <w:t>7</w:t>
      </w:r>
      <w:r w:rsidR="009E790E" w:rsidRPr="009E790E">
        <w:rPr>
          <w:rFonts w:ascii="Simplified Arabic" w:hAnsi="Simplified Arabic" w:hint="cs"/>
          <w:rtl/>
          <w:lang w:bidi="ar-EG"/>
        </w:rPr>
        <w:t>,</w:t>
      </w:r>
      <w:r w:rsidRPr="00350F98">
        <w:rPr>
          <w:rtl/>
          <w:lang w:bidi="ar-EG"/>
        </w:rPr>
        <w:t>6</w:t>
      </w:r>
      <w:r>
        <w:rPr>
          <w:rtl/>
          <w:lang w:bidi="ar-EG"/>
        </w:rPr>
        <w:t xml:space="preserve"> في المائة عما يتقاضاه الرجل من نفس المستوى. </w:t>
      </w:r>
      <w:r w:rsidRPr="009C5CFC">
        <w:rPr>
          <w:spacing w:val="-4"/>
          <w:rtl/>
          <w:lang w:bidi="ar-EG"/>
        </w:rPr>
        <w:t xml:space="preserve">ويصل هذا الفرق في الأجر، محسوباً على أساس سنوي، إلى نسبة </w:t>
      </w:r>
      <w:r w:rsidRPr="00350F98">
        <w:rPr>
          <w:spacing w:val="-4"/>
          <w:rtl/>
          <w:lang w:bidi="ar-EG"/>
        </w:rPr>
        <w:t>20</w:t>
      </w:r>
      <w:r w:rsidR="009E790E" w:rsidRPr="009C5CFC">
        <w:rPr>
          <w:rFonts w:ascii="Simplified Arabic" w:hAnsi="Simplified Arabic" w:hint="cs"/>
          <w:spacing w:val="-4"/>
          <w:rtl/>
          <w:lang w:bidi="ar-EG"/>
        </w:rPr>
        <w:t>,</w:t>
      </w:r>
      <w:r w:rsidRPr="00350F98">
        <w:rPr>
          <w:spacing w:val="-4"/>
          <w:rtl/>
          <w:lang w:bidi="ar-EG"/>
        </w:rPr>
        <w:t>6</w:t>
      </w:r>
      <w:r w:rsidRPr="009C5CFC">
        <w:rPr>
          <w:spacing w:val="-4"/>
          <w:rtl/>
          <w:lang w:bidi="ar-EG"/>
        </w:rPr>
        <w:t xml:space="preserve"> في المائة، وذلك لأن المرأة تعمل</w:t>
      </w:r>
      <w:r>
        <w:rPr>
          <w:rtl/>
          <w:lang w:bidi="ar-EG"/>
        </w:rPr>
        <w:t xml:space="preserve"> في معظم الأحيان بدوام جزئي.</w:t>
      </w:r>
    </w:p>
    <w:p w14:paraId="4C541D61" w14:textId="6495F65F" w:rsidR="00D424DC" w:rsidRDefault="00D424DC" w:rsidP="00D424DC">
      <w:pPr>
        <w:pStyle w:val="SingleTxtGA"/>
        <w:rPr>
          <w:rtl/>
          <w:lang w:bidi="ar-EG"/>
        </w:rPr>
      </w:pPr>
      <w:r w:rsidRPr="00350F98">
        <w:rPr>
          <w:rtl/>
          <w:lang w:bidi="ar-EG"/>
        </w:rPr>
        <w:t>215</w:t>
      </w:r>
      <w:r>
        <w:rPr>
          <w:rtl/>
          <w:lang w:bidi="ar-EG"/>
        </w:rPr>
        <w:t>-</w:t>
      </w:r>
      <w:r>
        <w:rPr>
          <w:rtl/>
          <w:lang w:bidi="ar-EG"/>
        </w:rPr>
        <w:tab/>
      </w:r>
      <w:r w:rsidRPr="00C918AE">
        <w:rPr>
          <w:spacing w:val="-4"/>
          <w:rtl/>
          <w:lang w:bidi="ar-EG"/>
        </w:rPr>
        <w:t>واتخذت بلجيكا مجموعة من التدابير الرامية إلى تحسين التوفيق بين الحياة المهنية والحياة الخاصة</w:t>
      </w:r>
      <w:r>
        <w:rPr>
          <w:rtl/>
          <w:lang w:bidi="ar-EG"/>
        </w:rPr>
        <w:t xml:space="preserve"> </w:t>
      </w:r>
      <w:r w:rsidRPr="009C5CFC">
        <w:rPr>
          <w:spacing w:val="2"/>
          <w:rtl/>
          <w:lang w:bidi="ar-EG"/>
        </w:rPr>
        <w:t xml:space="preserve">والحياة الأسرية. ومن ثم فإنها توفر خدمات حضانة جيدة للأطفال وخدمات رعاية للمعالين الآخرين. وهي </w:t>
      </w:r>
      <w:r>
        <w:rPr>
          <w:rtl/>
          <w:lang w:bidi="ar-EG"/>
        </w:rPr>
        <w:t xml:space="preserve">تشجع ترتيبات العمل المرنة (مثل الإجازة الوالدية لمدة </w:t>
      </w:r>
      <w:r w:rsidR="007501E7" w:rsidRPr="00350F98">
        <w:rPr>
          <w:rtl/>
          <w:lang w:bidi="ar-EG"/>
        </w:rPr>
        <w:t>4</w:t>
      </w:r>
      <w:r>
        <w:rPr>
          <w:rtl/>
          <w:lang w:bidi="ar-EG"/>
        </w:rPr>
        <w:t xml:space="preserve"> أشهر، قابلة للتجزئة وغير قابلة للتجزئة).</w:t>
      </w:r>
    </w:p>
    <w:p w14:paraId="51F7E509" w14:textId="77777777" w:rsidR="00D424DC" w:rsidRDefault="00D424DC" w:rsidP="00D424DC">
      <w:pPr>
        <w:pStyle w:val="SingleTxtGA"/>
        <w:rPr>
          <w:rtl/>
          <w:lang w:bidi="ar-EG"/>
        </w:rPr>
      </w:pPr>
      <w:r w:rsidRPr="00350F98">
        <w:rPr>
          <w:rtl/>
          <w:lang w:bidi="ar-EG"/>
        </w:rPr>
        <w:t>216</w:t>
      </w:r>
      <w:r>
        <w:rPr>
          <w:rtl/>
          <w:lang w:bidi="ar-EG"/>
        </w:rPr>
        <w:t>-</w:t>
      </w:r>
      <w:r>
        <w:rPr>
          <w:rtl/>
          <w:lang w:bidi="ar-EG"/>
        </w:rPr>
        <w:tab/>
        <w:t>واعتمدت بلجيكا أيضاً مجموعة من التدابير الرامية إلى زيادة مشاركة المرأة في صنع القرار في شتى المجالات.</w:t>
      </w:r>
    </w:p>
    <w:p w14:paraId="2E1A5918" w14:textId="77777777" w:rsidR="00D424DC" w:rsidRDefault="00D424DC" w:rsidP="00D424DC">
      <w:pPr>
        <w:pStyle w:val="SingleTxtGA"/>
        <w:rPr>
          <w:rtl/>
          <w:lang w:bidi="ar-EG"/>
        </w:rPr>
      </w:pPr>
      <w:r w:rsidRPr="00350F98">
        <w:rPr>
          <w:rtl/>
          <w:lang w:bidi="ar-EG"/>
        </w:rPr>
        <w:t>217</w:t>
      </w:r>
      <w:r>
        <w:rPr>
          <w:rtl/>
          <w:lang w:bidi="ar-EG"/>
        </w:rPr>
        <w:t>-</w:t>
      </w:r>
      <w:r>
        <w:rPr>
          <w:rtl/>
          <w:lang w:bidi="ar-EG"/>
        </w:rPr>
        <w:tab/>
        <w:t xml:space="preserve">وقد أحرز تقدم كبير جداً لصالح المرأة في مجال اتخاذ القرار السياسي بفضل إرساء الحصص </w:t>
      </w:r>
      <w:r w:rsidRPr="0080222E">
        <w:rPr>
          <w:spacing w:val="-4"/>
          <w:rtl/>
          <w:lang w:bidi="ar-EG"/>
        </w:rPr>
        <w:t xml:space="preserve">التي تحددها عدة قوانين ومراسيم صدرت منذ عام </w:t>
      </w:r>
      <w:r w:rsidRPr="00350F98">
        <w:rPr>
          <w:spacing w:val="-4"/>
          <w:rtl/>
          <w:lang w:bidi="ar-EG"/>
        </w:rPr>
        <w:t>2002</w:t>
      </w:r>
      <w:r w:rsidRPr="0080222E">
        <w:rPr>
          <w:spacing w:val="-4"/>
          <w:rtl/>
          <w:lang w:bidi="ar-EG"/>
        </w:rPr>
        <w:t xml:space="preserve"> تفرض التكافؤ في القوائم الانتخابية وتناوب المرشحين</w:t>
      </w:r>
      <w:r>
        <w:rPr>
          <w:rtl/>
          <w:lang w:bidi="ar-EG"/>
        </w:rPr>
        <w:t xml:space="preserve"> من كلا الجنسين في الرتبتين الأوليين من كل قائمة.</w:t>
      </w:r>
    </w:p>
    <w:p w14:paraId="43D8CADB" w14:textId="63C08B4D" w:rsidR="00D424DC" w:rsidRDefault="00D424DC" w:rsidP="00D424DC">
      <w:pPr>
        <w:pStyle w:val="SingleTxtGA"/>
        <w:rPr>
          <w:rtl/>
          <w:lang w:bidi="ar-EG"/>
        </w:rPr>
      </w:pPr>
      <w:r w:rsidRPr="00350F98">
        <w:rPr>
          <w:rtl/>
          <w:lang w:bidi="ar-EG"/>
        </w:rPr>
        <w:t>218</w:t>
      </w:r>
      <w:r>
        <w:rPr>
          <w:rtl/>
          <w:lang w:bidi="ar-EG"/>
        </w:rPr>
        <w:t>-</w:t>
      </w:r>
      <w:r>
        <w:rPr>
          <w:rtl/>
          <w:lang w:bidi="ar-EG"/>
        </w:rPr>
        <w:tab/>
        <w:t xml:space="preserve">وهي تعتزم أيضاً سن العديد من التشريعات من أجل التمثيل المتوازن للرجل والمرأة في الإدارة </w:t>
      </w:r>
      <w:r w:rsidRPr="0080222E">
        <w:rPr>
          <w:spacing w:val="-4"/>
          <w:rtl/>
          <w:lang w:bidi="ar-EG"/>
        </w:rPr>
        <w:t>العامة، أو في الهيئات الاستشارية أو في بعض هيئات الإدارة العامة والتنظيم. وعلى مستوى القطاع الخاص،</w:t>
      </w:r>
      <w:r>
        <w:rPr>
          <w:rtl/>
          <w:lang w:bidi="ar-EG"/>
        </w:rPr>
        <w:t xml:space="preserve"> </w:t>
      </w:r>
      <w:r w:rsidRPr="0080222E">
        <w:rPr>
          <w:spacing w:val="-4"/>
          <w:rtl/>
          <w:lang w:bidi="ar-EG"/>
        </w:rPr>
        <w:t xml:space="preserve">يحدد قانون </w:t>
      </w:r>
      <w:r w:rsidR="007501E7" w:rsidRPr="00350F98">
        <w:rPr>
          <w:spacing w:val="-4"/>
          <w:rtl/>
          <w:lang w:bidi="ar-EG"/>
        </w:rPr>
        <w:t>28</w:t>
      </w:r>
      <w:r w:rsidRPr="0080222E">
        <w:rPr>
          <w:spacing w:val="-4"/>
          <w:rtl/>
          <w:lang w:bidi="ar-EG"/>
        </w:rPr>
        <w:t xml:space="preserve"> تموز/يوليه </w:t>
      </w:r>
      <w:r w:rsidR="007501E7" w:rsidRPr="00350F98">
        <w:rPr>
          <w:spacing w:val="-4"/>
          <w:rtl/>
          <w:lang w:bidi="ar-EG"/>
        </w:rPr>
        <w:t>2011</w:t>
      </w:r>
      <w:r w:rsidRPr="0080222E">
        <w:rPr>
          <w:spacing w:val="-4"/>
          <w:rtl/>
          <w:lang w:bidi="ar-EG"/>
        </w:rPr>
        <w:t xml:space="preserve"> المتعلق بضمان</w:t>
      </w:r>
      <w:r w:rsidR="00D97AA3" w:rsidRPr="0080222E">
        <w:rPr>
          <w:rFonts w:hint="cs"/>
          <w:spacing w:val="-4"/>
          <w:rtl/>
          <w:lang w:bidi="ar-EG"/>
        </w:rPr>
        <w:t xml:space="preserve"> </w:t>
      </w:r>
      <w:r w:rsidRPr="0080222E">
        <w:rPr>
          <w:spacing w:val="-4"/>
          <w:rtl/>
          <w:lang w:bidi="ar-EG"/>
        </w:rPr>
        <w:t>تمثيل المرأة في مجالس إدارة المؤسسات العامة المستقلة،</w:t>
      </w:r>
      <w:r>
        <w:rPr>
          <w:rtl/>
          <w:lang w:bidi="ar-EG"/>
        </w:rPr>
        <w:t xml:space="preserve"> والشركات المسجلة، واليانصيب الوطني، بالنسبة لجميع أعضاء مجالس الإدارة، حصة لا تقل عن ثلث </w:t>
      </w:r>
      <w:r w:rsidRPr="0080222E">
        <w:rPr>
          <w:spacing w:val="-2"/>
          <w:rtl/>
          <w:lang w:bidi="ar-EG"/>
        </w:rPr>
        <w:t>الأعضاء من الجنس الأقل تمثيلاً. وهناك عقوبات مقررة في</w:t>
      </w:r>
      <w:r w:rsidR="00D97AA3" w:rsidRPr="0080222E">
        <w:rPr>
          <w:rFonts w:hint="cs"/>
          <w:spacing w:val="-2"/>
          <w:rtl/>
          <w:lang w:bidi="ar-EG"/>
        </w:rPr>
        <w:t xml:space="preserve"> </w:t>
      </w:r>
      <w:r w:rsidRPr="0080222E">
        <w:rPr>
          <w:spacing w:val="-2"/>
          <w:rtl/>
          <w:lang w:bidi="ar-EG"/>
        </w:rPr>
        <w:t>حالة عدم الامتثال لهذه الأحكام: إبطال التعيين</w:t>
      </w:r>
      <w:r>
        <w:rPr>
          <w:rtl/>
          <w:lang w:bidi="ar-EG"/>
        </w:rPr>
        <w:t xml:space="preserve"> أو تعليق الفوائد المالية.</w:t>
      </w:r>
    </w:p>
    <w:p w14:paraId="6EEB04EE" w14:textId="742D759A" w:rsidR="00D424DC" w:rsidRPr="00350F98" w:rsidRDefault="00D424DC" w:rsidP="00D97AA3">
      <w:pPr>
        <w:pStyle w:val="H23GA"/>
        <w:rPr>
          <w:rtl/>
          <w:lang w:bidi="ar-EG"/>
        </w:rPr>
      </w:pPr>
      <w:r w:rsidRPr="00350F98">
        <w:rPr>
          <w:rtl/>
          <w:lang w:bidi="ar-EG"/>
        </w:rPr>
        <w:tab/>
      </w:r>
      <w:r w:rsidR="00D97AA3" w:rsidRPr="00350F98">
        <w:rPr>
          <w:rFonts w:hint="cs"/>
          <w:rtl/>
          <w:lang w:bidi="ar-EG"/>
        </w:rPr>
        <w:t>3-</w:t>
      </w:r>
      <w:r w:rsidRPr="00350F98">
        <w:rPr>
          <w:rtl/>
          <w:lang w:bidi="ar-EG"/>
        </w:rPr>
        <w:tab/>
        <w:t>مكافحة العنف القائم على أساس الجنس والعنف بوجه عام</w:t>
      </w:r>
    </w:p>
    <w:p w14:paraId="49290257" w14:textId="77777777" w:rsidR="00D424DC" w:rsidRDefault="00D424DC" w:rsidP="00D424DC">
      <w:pPr>
        <w:pStyle w:val="SingleTxtGA"/>
        <w:rPr>
          <w:rtl/>
          <w:lang w:bidi="ar-EG"/>
        </w:rPr>
      </w:pPr>
      <w:r w:rsidRPr="00350F98">
        <w:rPr>
          <w:rtl/>
          <w:lang w:bidi="ar-EG"/>
        </w:rPr>
        <w:t>219</w:t>
      </w:r>
      <w:r>
        <w:rPr>
          <w:rtl/>
          <w:lang w:bidi="ar-EG"/>
        </w:rPr>
        <w:t>-</w:t>
      </w:r>
      <w:r>
        <w:rPr>
          <w:rtl/>
          <w:lang w:bidi="ar-EG"/>
        </w:rPr>
        <w:tab/>
        <w:t xml:space="preserve">صدقت بلجيكا، في آذار/مارس </w:t>
      </w:r>
      <w:r w:rsidRPr="00350F98">
        <w:rPr>
          <w:rtl/>
          <w:lang w:bidi="ar-EG"/>
        </w:rPr>
        <w:t>2016</w:t>
      </w:r>
      <w:r>
        <w:rPr>
          <w:rtl/>
          <w:lang w:bidi="ar-EG"/>
        </w:rPr>
        <w:t xml:space="preserve">، على اتفاقية مجلس أوروبا لمنع العنف ضد النساء والعنف المنزلي ومكافحتهما (المسماة اتفاقية اسطنبول)؛ وهي توفر صكاً للدول لمساعدتها على اتخاذ تدابير في </w:t>
      </w:r>
      <w:proofErr w:type="gramStart"/>
      <w:r>
        <w:rPr>
          <w:rtl/>
          <w:lang w:bidi="ar-EG"/>
        </w:rPr>
        <w:t>أربعة</w:t>
      </w:r>
      <w:proofErr w:type="gramEnd"/>
      <w:r>
        <w:rPr>
          <w:rtl/>
          <w:lang w:bidi="ar-EG"/>
        </w:rPr>
        <w:t xml:space="preserve"> مجالات رئيسية هي: منع العنف؛ وحماية الضحايا؛ ومقاضاة الجناة؛ ووضع سياسات متكاملة وشاملة ومنسقة.</w:t>
      </w:r>
    </w:p>
    <w:p w14:paraId="454BA264" w14:textId="5E2DD9A5" w:rsidR="00D424DC" w:rsidRDefault="00D424DC" w:rsidP="00D424DC">
      <w:pPr>
        <w:pStyle w:val="SingleTxtGA"/>
        <w:rPr>
          <w:rtl/>
          <w:lang w:bidi="ar-EG"/>
        </w:rPr>
      </w:pPr>
      <w:r w:rsidRPr="00350F98">
        <w:rPr>
          <w:rtl/>
          <w:lang w:bidi="ar-EG"/>
        </w:rPr>
        <w:lastRenderedPageBreak/>
        <w:t>220</w:t>
      </w:r>
      <w:r>
        <w:rPr>
          <w:rtl/>
          <w:lang w:bidi="ar-EG"/>
        </w:rPr>
        <w:t>-</w:t>
      </w:r>
      <w:r>
        <w:rPr>
          <w:rtl/>
          <w:lang w:bidi="ar-EG"/>
        </w:rPr>
        <w:tab/>
        <w:t xml:space="preserve">وفي </w:t>
      </w:r>
      <w:r w:rsidR="007501E7" w:rsidRPr="00350F98">
        <w:rPr>
          <w:rtl/>
          <w:lang w:bidi="ar-EG"/>
        </w:rPr>
        <w:t>10</w:t>
      </w:r>
      <w:r>
        <w:rPr>
          <w:rtl/>
          <w:lang w:bidi="ar-EG"/>
        </w:rPr>
        <w:t xml:space="preserve"> كانون الأول/ديسمبر </w:t>
      </w:r>
      <w:r w:rsidR="007501E7" w:rsidRPr="00350F98">
        <w:rPr>
          <w:rtl/>
          <w:lang w:bidi="ar-EG"/>
        </w:rPr>
        <w:t>2015</w:t>
      </w:r>
      <w:r>
        <w:rPr>
          <w:rtl/>
          <w:lang w:bidi="ar-EG"/>
        </w:rPr>
        <w:t xml:space="preserve">، اعتمدت بلجيكا خطة عمل وطنية جديدة لمكافحة جميع أشكال العنف القائم على أساس الجنس (خطة العمل الوطنية للفترة </w:t>
      </w:r>
      <w:r w:rsidR="007501E7" w:rsidRPr="00350F98">
        <w:rPr>
          <w:rtl/>
          <w:lang w:bidi="ar-EG"/>
        </w:rPr>
        <w:t>2015</w:t>
      </w:r>
      <w:r>
        <w:rPr>
          <w:rtl/>
          <w:lang w:bidi="ar-EG"/>
        </w:rPr>
        <w:t>-</w:t>
      </w:r>
      <w:proofErr w:type="gramStart"/>
      <w:r w:rsidR="007501E7" w:rsidRPr="00350F98">
        <w:rPr>
          <w:rtl/>
          <w:lang w:bidi="ar-EG"/>
        </w:rPr>
        <w:t>2019</w:t>
      </w:r>
      <w:r>
        <w:rPr>
          <w:rtl/>
          <w:lang w:bidi="ar-EG"/>
        </w:rPr>
        <w:t>)</w:t>
      </w:r>
      <w:r w:rsidRPr="00B70B24">
        <w:rPr>
          <w:vertAlign w:val="superscript"/>
          <w:rtl/>
        </w:rPr>
        <w:t>(</w:t>
      </w:r>
      <w:proofErr w:type="gramEnd"/>
      <w:r w:rsidRPr="00350F98">
        <w:rPr>
          <w:rStyle w:val="FootnoteReference"/>
          <w:spacing w:val="-4"/>
          <w:w w:val="98"/>
          <w:lang w:val="en-US"/>
        </w:rPr>
        <w:footnoteReference w:id="24"/>
      </w:r>
      <w:r w:rsidRPr="00B70B24">
        <w:rPr>
          <w:vertAlign w:val="superscript"/>
          <w:rtl/>
        </w:rPr>
        <w:t>)</w:t>
      </w:r>
      <w:r>
        <w:rPr>
          <w:rtl/>
          <w:lang w:bidi="ar-EG"/>
        </w:rPr>
        <w:t>. وتستهدف خطة العمل هذه العنف بين الشريكين في الحياة، والعنف الجنسي، وتشويه الأعضاء التناسلية للإناث، والزواج القسري، والعنف المرتبط بالشرف، والبغاء. وهي تقوم على أساس تنفيذ اتفاقية اسطنبول.</w:t>
      </w:r>
    </w:p>
    <w:p w14:paraId="01A1A78E" w14:textId="701CAAFE" w:rsidR="00D424DC" w:rsidRDefault="00D424DC" w:rsidP="00D424DC">
      <w:pPr>
        <w:pStyle w:val="SingleTxtGA"/>
        <w:rPr>
          <w:rtl/>
          <w:lang w:bidi="ar-EG"/>
        </w:rPr>
      </w:pPr>
      <w:r w:rsidRPr="00350F98">
        <w:rPr>
          <w:rtl/>
          <w:lang w:bidi="ar-EG"/>
        </w:rPr>
        <w:t>221</w:t>
      </w:r>
      <w:r>
        <w:rPr>
          <w:rtl/>
          <w:lang w:bidi="ar-EG"/>
        </w:rPr>
        <w:t>-</w:t>
      </w:r>
      <w:r w:rsidRPr="0080222E">
        <w:rPr>
          <w:spacing w:val="-4"/>
          <w:rtl/>
          <w:lang w:bidi="ar-EG"/>
        </w:rPr>
        <w:tab/>
        <w:t xml:space="preserve">وقد تعهدت بلجيكا، في إطار هذه الخطة الجديدة التي تشرك السلطات الاتحادية، والجماعات والمناطق، بتنفيذ أكثر من </w:t>
      </w:r>
      <w:r w:rsidR="007501E7" w:rsidRPr="00350F98">
        <w:rPr>
          <w:spacing w:val="-4"/>
          <w:rtl/>
          <w:lang w:bidi="ar-EG"/>
        </w:rPr>
        <w:t>23</w:t>
      </w:r>
      <w:r w:rsidR="000C7FF8" w:rsidRPr="00350F98">
        <w:rPr>
          <w:spacing w:val="-4"/>
          <w:rtl/>
          <w:lang w:bidi="ar-EG"/>
        </w:rPr>
        <w:t>5</w:t>
      </w:r>
      <w:r w:rsidRPr="0080222E">
        <w:rPr>
          <w:spacing w:val="-4"/>
          <w:rtl/>
          <w:lang w:bidi="ar-EG"/>
        </w:rPr>
        <w:t xml:space="preserve"> إجراء جديداً تتمحور حول الأهداف العالمية الستة التالية: (</w:t>
      </w:r>
      <w:r w:rsidR="007501E7" w:rsidRPr="00350F98">
        <w:rPr>
          <w:spacing w:val="-4"/>
          <w:rtl/>
          <w:lang w:bidi="ar-EG"/>
        </w:rPr>
        <w:t>1</w:t>
      </w:r>
      <w:r w:rsidRPr="0080222E">
        <w:rPr>
          <w:spacing w:val="-4"/>
          <w:rtl/>
          <w:lang w:bidi="ar-EG"/>
        </w:rPr>
        <w:t>) اتباع سياسة متكاملة لمكافحة العنف الجنساني وجمع البيانات الكمية والنوعية عن جمي</w:t>
      </w:r>
      <w:r w:rsidRPr="0080222E">
        <w:rPr>
          <w:rFonts w:hint="cs"/>
          <w:spacing w:val="-4"/>
          <w:rtl/>
          <w:lang w:bidi="ar-EG"/>
        </w:rPr>
        <w:t>ع</w:t>
      </w:r>
      <w:r w:rsidRPr="0080222E">
        <w:rPr>
          <w:spacing w:val="-4"/>
          <w:rtl/>
          <w:lang w:bidi="ar-EG"/>
        </w:rPr>
        <w:t xml:space="preserve"> أشكال العنف؛ (</w:t>
      </w:r>
      <w:r w:rsidR="007501E7" w:rsidRPr="00350F98">
        <w:rPr>
          <w:spacing w:val="-4"/>
          <w:rtl/>
          <w:lang w:bidi="ar-EG"/>
        </w:rPr>
        <w:t>2</w:t>
      </w:r>
      <w:r w:rsidRPr="0080222E">
        <w:rPr>
          <w:spacing w:val="-4"/>
          <w:rtl/>
          <w:lang w:bidi="ar-EG"/>
        </w:rPr>
        <w:t>) منع العنف؛</w:t>
      </w:r>
      <w:r>
        <w:rPr>
          <w:rtl/>
          <w:lang w:bidi="ar-EG"/>
        </w:rPr>
        <w:t xml:space="preserve"> </w:t>
      </w:r>
      <w:r w:rsidRPr="0080222E">
        <w:rPr>
          <w:spacing w:val="-4"/>
          <w:rtl/>
          <w:lang w:bidi="ar-EG"/>
        </w:rPr>
        <w:t>(</w:t>
      </w:r>
      <w:r w:rsidR="007501E7" w:rsidRPr="00350F98">
        <w:rPr>
          <w:spacing w:val="-4"/>
          <w:rtl/>
          <w:lang w:bidi="ar-EG"/>
        </w:rPr>
        <w:t>3</w:t>
      </w:r>
      <w:r w:rsidRPr="0080222E">
        <w:rPr>
          <w:spacing w:val="-4"/>
          <w:rtl/>
          <w:lang w:bidi="ar-EG"/>
        </w:rPr>
        <w:t>) حماية الضحايا ومساندتهم؛ (</w:t>
      </w:r>
      <w:r w:rsidR="007501E7" w:rsidRPr="00350F98">
        <w:rPr>
          <w:spacing w:val="-4"/>
          <w:rtl/>
          <w:lang w:bidi="ar-EG"/>
        </w:rPr>
        <w:t>4</w:t>
      </w:r>
      <w:r w:rsidRPr="0080222E">
        <w:rPr>
          <w:spacing w:val="-4"/>
          <w:rtl/>
          <w:lang w:bidi="ar-EG"/>
        </w:rPr>
        <w:t>) التحقيق، والمقاضاة، واعتماد تدابير حماية؛ (</w:t>
      </w:r>
      <w:r w:rsidR="000C7FF8" w:rsidRPr="00350F98">
        <w:rPr>
          <w:spacing w:val="-4"/>
          <w:rtl/>
          <w:lang w:bidi="ar-EG"/>
        </w:rPr>
        <w:t>5</w:t>
      </w:r>
      <w:r w:rsidRPr="0080222E">
        <w:rPr>
          <w:spacing w:val="-4"/>
          <w:rtl/>
          <w:lang w:bidi="ar-EG"/>
        </w:rPr>
        <w:t>) مراعاة البعد الجنساني</w:t>
      </w:r>
      <w:r>
        <w:rPr>
          <w:rtl/>
          <w:lang w:bidi="ar-EG"/>
        </w:rPr>
        <w:t xml:space="preserve"> في سياسات اللجوء والهجرة؛ (</w:t>
      </w:r>
      <w:r w:rsidR="007501E7" w:rsidRPr="00350F98">
        <w:rPr>
          <w:rtl/>
          <w:lang w:bidi="ar-EG"/>
        </w:rPr>
        <w:t>6</w:t>
      </w:r>
      <w:r>
        <w:rPr>
          <w:rtl/>
          <w:lang w:bidi="ar-EG"/>
        </w:rPr>
        <w:t>) مكافحة العنف على الصعيد الدولي. وتشكل مكافحة العنف الجنسي إحدى أولويات هذه الخطة، التي تنعكس أس</w:t>
      </w:r>
      <w:r>
        <w:rPr>
          <w:rFonts w:hint="cs"/>
          <w:rtl/>
          <w:lang w:bidi="ar-EG"/>
        </w:rPr>
        <w:t>اساً</w:t>
      </w:r>
      <w:r>
        <w:rPr>
          <w:rtl/>
          <w:lang w:bidi="ar-EG"/>
        </w:rPr>
        <w:t xml:space="preserve"> في فتح مراكز رعاية متعددة التخصصات، في تشرين الثاني/</w:t>
      </w:r>
      <w:r w:rsidR="0080222E">
        <w:rPr>
          <w:rFonts w:hint="cs"/>
          <w:rtl/>
          <w:lang w:bidi="ar-EG"/>
        </w:rPr>
        <w:t xml:space="preserve"> </w:t>
      </w:r>
      <w:r>
        <w:rPr>
          <w:rtl/>
          <w:lang w:bidi="ar-EG"/>
        </w:rPr>
        <w:t xml:space="preserve">نوفمبر </w:t>
      </w:r>
      <w:r w:rsidR="00F92BBC" w:rsidRPr="00350F98">
        <w:rPr>
          <w:rtl/>
          <w:lang w:bidi="ar-EG"/>
        </w:rPr>
        <w:t>2017</w:t>
      </w:r>
      <w:r>
        <w:rPr>
          <w:rtl/>
          <w:lang w:bidi="ar-EG"/>
        </w:rPr>
        <w:t>، تعنى بالعنف الجنسي.</w:t>
      </w:r>
    </w:p>
    <w:p w14:paraId="31A5A22B" w14:textId="77777777" w:rsidR="00D424DC" w:rsidRDefault="00D424DC" w:rsidP="00D424DC">
      <w:pPr>
        <w:pStyle w:val="SingleTxtGA"/>
        <w:rPr>
          <w:rtl/>
          <w:lang w:bidi="ar-EG"/>
        </w:rPr>
      </w:pPr>
      <w:r w:rsidRPr="00350F98">
        <w:rPr>
          <w:rtl/>
          <w:lang w:bidi="ar-EG"/>
        </w:rPr>
        <w:t>222</w:t>
      </w:r>
      <w:r>
        <w:rPr>
          <w:rtl/>
          <w:lang w:bidi="ar-EG"/>
        </w:rPr>
        <w:t>-</w:t>
      </w:r>
      <w:r>
        <w:rPr>
          <w:rtl/>
          <w:lang w:bidi="ar-EG"/>
        </w:rPr>
        <w:tab/>
      </w:r>
      <w:r w:rsidRPr="0080222E">
        <w:rPr>
          <w:spacing w:val="-2"/>
          <w:rtl/>
          <w:lang w:bidi="ar-EG"/>
        </w:rPr>
        <w:t>وقد وضعت الكيانات الناطقة باللغة الفرنسية (الجماعة الفرنسية والمنطقة الوالونية ولجنة الجماعة</w:t>
      </w:r>
      <w:r>
        <w:rPr>
          <w:rtl/>
          <w:lang w:bidi="ar-EG"/>
        </w:rPr>
        <w:t xml:space="preserve"> الفرنسية) خطة منسقة محددة لمكافحة العنف القائم على الجنس والعنف </w:t>
      </w:r>
      <w:proofErr w:type="gramStart"/>
      <w:r>
        <w:rPr>
          <w:rtl/>
          <w:lang w:bidi="ar-EG"/>
        </w:rPr>
        <w:t>العائلي</w:t>
      </w:r>
      <w:r w:rsidRPr="00B70B24">
        <w:rPr>
          <w:vertAlign w:val="superscript"/>
          <w:rtl/>
        </w:rPr>
        <w:t>(</w:t>
      </w:r>
      <w:proofErr w:type="gramEnd"/>
      <w:r w:rsidRPr="00350F98">
        <w:rPr>
          <w:rStyle w:val="FootnoteReference"/>
          <w:lang w:val="en-US"/>
        </w:rPr>
        <w:footnoteReference w:id="25"/>
      </w:r>
      <w:r w:rsidRPr="00B70B24">
        <w:rPr>
          <w:vertAlign w:val="superscript"/>
          <w:rtl/>
        </w:rPr>
        <w:t>)</w:t>
      </w:r>
      <w:r>
        <w:rPr>
          <w:rtl/>
          <w:lang w:bidi="ar-EG"/>
        </w:rPr>
        <w:t>. وهي تشكل جزءاً من الخطة الوطنية.</w:t>
      </w:r>
    </w:p>
    <w:p w14:paraId="3A4B0C36" w14:textId="77777777" w:rsidR="00D424DC" w:rsidRDefault="00D424DC" w:rsidP="00D424DC">
      <w:pPr>
        <w:pStyle w:val="SingleTxtGA"/>
        <w:rPr>
          <w:rtl/>
          <w:lang w:bidi="ar-EG"/>
        </w:rPr>
      </w:pPr>
      <w:r w:rsidRPr="00350F98">
        <w:rPr>
          <w:rtl/>
          <w:lang w:bidi="ar-EG"/>
        </w:rPr>
        <w:t>223</w:t>
      </w:r>
      <w:r>
        <w:rPr>
          <w:rtl/>
          <w:lang w:bidi="ar-EG"/>
        </w:rPr>
        <w:t>-</w:t>
      </w:r>
      <w:r>
        <w:rPr>
          <w:rtl/>
          <w:lang w:bidi="ar-EG"/>
        </w:rPr>
        <w:tab/>
        <w:t>ويولى في خطط العمل هذه اهتمام خاص لمكافحة العنف ضد النساء والفتيات ذوات الإعاقة.</w:t>
      </w:r>
    </w:p>
    <w:p w14:paraId="6C20489F" w14:textId="0DC38F1D" w:rsidR="00D424DC" w:rsidRDefault="00D424DC" w:rsidP="0080222E">
      <w:pPr>
        <w:pStyle w:val="SingleTxtGA"/>
        <w:spacing w:line="346" w:lineRule="exact"/>
        <w:rPr>
          <w:rtl/>
          <w:lang w:bidi="ar-EG"/>
        </w:rPr>
      </w:pPr>
      <w:r w:rsidRPr="00350F98">
        <w:rPr>
          <w:rtl/>
          <w:lang w:bidi="ar-EG"/>
        </w:rPr>
        <w:t>224</w:t>
      </w:r>
      <w:r>
        <w:rPr>
          <w:rtl/>
          <w:lang w:bidi="ar-EG"/>
        </w:rPr>
        <w:t>-</w:t>
      </w:r>
      <w:r>
        <w:rPr>
          <w:rtl/>
          <w:lang w:bidi="ar-EG"/>
        </w:rPr>
        <w:tab/>
        <w:t xml:space="preserve">وفي بلجيكا، تحكم تجريم العنف العائلي نصوص تشريعية </w:t>
      </w:r>
      <w:proofErr w:type="gramStart"/>
      <w:r>
        <w:rPr>
          <w:rtl/>
          <w:lang w:bidi="ar-EG"/>
        </w:rPr>
        <w:t>مختلفة</w:t>
      </w:r>
      <w:r w:rsidRPr="00B70B24">
        <w:rPr>
          <w:vertAlign w:val="superscript"/>
          <w:rtl/>
        </w:rPr>
        <w:t>(</w:t>
      </w:r>
      <w:proofErr w:type="gramEnd"/>
      <w:r w:rsidRPr="00350F98">
        <w:rPr>
          <w:rStyle w:val="FootnoteReference"/>
          <w:lang w:val="en-US"/>
        </w:rPr>
        <w:footnoteReference w:id="26"/>
      </w:r>
      <w:r w:rsidRPr="00B70B24">
        <w:rPr>
          <w:vertAlign w:val="superscript"/>
          <w:rtl/>
        </w:rPr>
        <w:t>)</w:t>
      </w:r>
      <w:r>
        <w:rPr>
          <w:rtl/>
          <w:lang w:bidi="ar-EG"/>
        </w:rPr>
        <w:t xml:space="preserve">. ويجرّم تشويه الأعضاء التناسلية للإناث منذ عام </w:t>
      </w:r>
      <w:r w:rsidRPr="00350F98">
        <w:rPr>
          <w:rtl/>
          <w:lang w:bidi="ar-EG"/>
        </w:rPr>
        <w:t>2000</w:t>
      </w:r>
      <w:r w:rsidRPr="00B70B24">
        <w:rPr>
          <w:vertAlign w:val="superscript"/>
          <w:rtl/>
        </w:rPr>
        <w:t>(</w:t>
      </w:r>
      <w:r w:rsidRPr="00350F98">
        <w:rPr>
          <w:rStyle w:val="FootnoteReference"/>
          <w:lang w:val="en-US"/>
        </w:rPr>
        <w:footnoteReference w:id="27"/>
      </w:r>
      <w:r w:rsidRPr="00B70B24">
        <w:rPr>
          <w:vertAlign w:val="superscript"/>
          <w:rtl/>
        </w:rPr>
        <w:t>)</w:t>
      </w:r>
      <w:r>
        <w:rPr>
          <w:rtl/>
          <w:lang w:bidi="ar-EG"/>
        </w:rPr>
        <w:t xml:space="preserve">، ويجرم الزواج القسري منذ اعتماد قانون </w:t>
      </w:r>
      <w:r w:rsidRPr="00350F98">
        <w:rPr>
          <w:rtl/>
          <w:lang w:bidi="ar-EG"/>
        </w:rPr>
        <w:t>25</w:t>
      </w:r>
      <w:r>
        <w:rPr>
          <w:rtl/>
          <w:lang w:bidi="ar-EG"/>
        </w:rPr>
        <w:t xml:space="preserve"> نيسان/أبريل </w:t>
      </w:r>
      <w:r w:rsidRPr="00350F98">
        <w:rPr>
          <w:rtl/>
          <w:lang w:bidi="ar-EG"/>
        </w:rPr>
        <w:t>2007</w:t>
      </w:r>
      <w:r>
        <w:rPr>
          <w:rtl/>
          <w:lang w:bidi="ar-EG"/>
        </w:rPr>
        <w:t xml:space="preserve">، </w:t>
      </w:r>
      <w:r w:rsidRPr="0080222E">
        <w:rPr>
          <w:spacing w:val="-4"/>
          <w:rtl/>
          <w:lang w:bidi="ar-EG"/>
        </w:rPr>
        <w:t xml:space="preserve">والمعاشرة القانونية القسرية منذ اعتماد قانون </w:t>
      </w:r>
      <w:r w:rsidRPr="00350F98">
        <w:rPr>
          <w:spacing w:val="-4"/>
          <w:rtl/>
          <w:lang w:bidi="ar-EG"/>
        </w:rPr>
        <w:t>2</w:t>
      </w:r>
      <w:r w:rsidRPr="0080222E">
        <w:rPr>
          <w:spacing w:val="-4"/>
          <w:rtl/>
          <w:lang w:bidi="ar-EG"/>
        </w:rPr>
        <w:t xml:space="preserve"> حزيران/</w:t>
      </w:r>
      <w:proofErr w:type="gramStart"/>
      <w:r w:rsidRPr="0080222E">
        <w:rPr>
          <w:spacing w:val="-4"/>
          <w:rtl/>
          <w:lang w:bidi="ar-EG"/>
        </w:rPr>
        <w:t>يونيه</w:t>
      </w:r>
      <w:proofErr w:type="gramEnd"/>
      <w:r w:rsidRPr="0080222E">
        <w:rPr>
          <w:spacing w:val="-4"/>
          <w:rtl/>
          <w:lang w:bidi="ar-EG"/>
        </w:rPr>
        <w:t xml:space="preserve"> </w:t>
      </w:r>
      <w:r w:rsidRPr="00350F98">
        <w:rPr>
          <w:spacing w:val="-4"/>
          <w:rtl/>
          <w:lang w:bidi="ar-EG"/>
        </w:rPr>
        <w:t>2013</w:t>
      </w:r>
      <w:r w:rsidRPr="0080222E">
        <w:rPr>
          <w:spacing w:val="-4"/>
          <w:vertAlign w:val="superscript"/>
          <w:rtl/>
        </w:rPr>
        <w:t>(</w:t>
      </w:r>
      <w:r w:rsidRPr="00350F98">
        <w:rPr>
          <w:rStyle w:val="FootnoteReference"/>
          <w:spacing w:val="-4"/>
          <w:lang w:val="en-US"/>
        </w:rPr>
        <w:footnoteReference w:id="28"/>
      </w:r>
      <w:r w:rsidRPr="0080222E">
        <w:rPr>
          <w:spacing w:val="-4"/>
          <w:vertAlign w:val="superscript"/>
          <w:rtl/>
        </w:rPr>
        <w:t>)</w:t>
      </w:r>
      <w:r w:rsidRPr="0080222E">
        <w:rPr>
          <w:spacing w:val="-4"/>
          <w:rtl/>
          <w:lang w:bidi="ar-EG"/>
        </w:rPr>
        <w:t xml:space="preserve">. ووسع قانون </w:t>
      </w:r>
      <w:r w:rsidR="007501E7" w:rsidRPr="00350F98">
        <w:rPr>
          <w:spacing w:val="-4"/>
          <w:rtl/>
          <w:lang w:bidi="ar-EG"/>
        </w:rPr>
        <w:t>23</w:t>
      </w:r>
      <w:r w:rsidRPr="0080222E">
        <w:rPr>
          <w:spacing w:val="-4"/>
          <w:rtl/>
          <w:lang w:bidi="ar-EG"/>
        </w:rPr>
        <w:t xml:space="preserve"> شباط/فبراير </w:t>
      </w:r>
      <w:r w:rsidR="007501E7" w:rsidRPr="00350F98">
        <w:rPr>
          <w:spacing w:val="-4"/>
          <w:rtl/>
          <w:lang w:bidi="ar-EG"/>
        </w:rPr>
        <w:t>2012</w:t>
      </w:r>
      <w:r>
        <w:rPr>
          <w:rtl/>
          <w:lang w:bidi="ar-EG"/>
        </w:rPr>
        <w:t xml:space="preserve"> </w:t>
      </w:r>
      <w:r w:rsidRPr="0080222E">
        <w:rPr>
          <w:spacing w:val="-4"/>
          <w:rtl/>
          <w:lang w:bidi="ar-EG"/>
        </w:rPr>
        <w:t xml:space="preserve">قائمة الجرائم المنصوص عليها في المادة </w:t>
      </w:r>
      <w:r w:rsidR="007501E7" w:rsidRPr="00350F98">
        <w:rPr>
          <w:spacing w:val="-4"/>
          <w:rtl/>
          <w:lang w:bidi="ar-EG"/>
        </w:rPr>
        <w:t>4</w:t>
      </w:r>
      <w:r w:rsidR="000C7FF8" w:rsidRPr="00350F98">
        <w:rPr>
          <w:spacing w:val="-4"/>
          <w:rtl/>
          <w:lang w:bidi="ar-EG"/>
        </w:rPr>
        <w:t>5</w:t>
      </w:r>
      <w:r w:rsidR="007501E7" w:rsidRPr="00350F98">
        <w:rPr>
          <w:spacing w:val="-4"/>
          <w:rtl/>
          <w:lang w:bidi="ar-EG"/>
        </w:rPr>
        <w:t>8</w:t>
      </w:r>
      <w:r w:rsidRPr="0080222E">
        <w:rPr>
          <w:spacing w:val="-4"/>
          <w:rtl/>
          <w:lang w:bidi="ar-EG"/>
        </w:rPr>
        <w:t xml:space="preserve"> مكرراً من القانون الجنائي، الذي جاء فيه أن الملزمين بسرية</w:t>
      </w:r>
      <w:r>
        <w:rPr>
          <w:rtl/>
          <w:lang w:bidi="ar-EG"/>
        </w:rPr>
        <w:t xml:space="preserve"> المهنة لهم حق محدد ومشروط في الكلام للإبلاغ عن حوادث العنف المنزلي أمام وكيل الملك. وبالإضافة إلى ذلك، فإن قانون </w:t>
      </w:r>
      <w:r w:rsidR="007501E7" w:rsidRPr="00350F98">
        <w:rPr>
          <w:rtl/>
          <w:lang w:bidi="ar-EG"/>
        </w:rPr>
        <w:t>15</w:t>
      </w:r>
      <w:r>
        <w:rPr>
          <w:rtl/>
          <w:lang w:bidi="ar-EG"/>
        </w:rPr>
        <w:t xml:space="preserve"> أيار/ماي</w:t>
      </w:r>
      <w:r>
        <w:rPr>
          <w:rFonts w:hint="cs"/>
          <w:rtl/>
          <w:lang w:bidi="ar-EG"/>
        </w:rPr>
        <w:t>و</w:t>
      </w:r>
      <w:r>
        <w:rPr>
          <w:rtl/>
          <w:lang w:bidi="ar-EG"/>
        </w:rPr>
        <w:t xml:space="preserve"> </w:t>
      </w:r>
      <w:r w:rsidR="007501E7" w:rsidRPr="00350F98">
        <w:rPr>
          <w:rtl/>
          <w:lang w:bidi="ar-EG"/>
        </w:rPr>
        <w:t>2002</w:t>
      </w:r>
      <w:r>
        <w:rPr>
          <w:rtl/>
          <w:lang w:bidi="ar-EG"/>
        </w:rPr>
        <w:t xml:space="preserve"> يدرج إجراء جديداً للإبعاد من منزل الأسرة يشمل الحالات التي لا تكون فيها أعمال العنف قد ارتكبت بعد. ويقمع قانون </w:t>
      </w:r>
      <w:r w:rsidR="007501E7" w:rsidRPr="00350F98">
        <w:rPr>
          <w:rtl/>
          <w:lang w:bidi="ar-EG"/>
        </w:rPr>
        <w:t>15</w:t>
      </w:r>
      <w:r>
        <w:rPr>
          <w:rtl/>
          <w:lang w:bidi="ar-EG"/>
        </w:rPr>
        <w:t xml:space="preserve"> حزيران/</w:t>
      </w:r>
      <w:proofErr w:type="gramStart"/>
      <w:r>
        <w:rPr>
          <w:rtl/>
          <w:lang w:bidi="ar-EG"/>
        </w:rPr>
        <w:t>يونيه</w:t>
      </w:r>
      <w:proofErr w:type="gramEnd"/>
      <w:r>
        <w:rPr>
          <w:rtl/>
          <w:lang w:bidi="ar-EG"/>
        </w:rPr>
        <w:t xml:space="preserve"> </w:t>
      </w:r>
      <w:r w:rsidR="007501E7" w:rsidRPr="00350F98">
        <w:rPr>
          <w:rtl/>
          <w:lang w:bidi="ar-EG"/>
        </w:rPr>
        <w:t>2012</w:t>
      </w:r>
      <w:r>
        <w:rPr>
          <w:rtl/>
          <w:lang w:bidi="ar-EG"/>
        </w:rPr>
        <w:t xml:space="preserve"> عدم احترام هذا الحظر المؤقت على الإقامة في حالة العنف المنزلي.</w:t>
      </w:r>
    </w:p>
    <w:p w14:paraId="2D8EEB8E" w14:textId="5547C95F" w:rsidR="00D424DC" w:rsidRDefault="00D424DC" w:rsidP="0080222E">
      <w:pPr>
        <w:pStyle w:val="SingleTxtGA"/>
        <w:spacing w:line="346" w:lineRule="exact"/>
        <w:rPr>
          <w:rtl/>
          <w:lang w:bidi="ar-EG"/>
        </w:rPr>
      </w:pPr>
      <w:r w:rsidRPr="00350F98">
        <w:rPr>
          <w:rtl/>
          <w:lang w:bidi="ar-EG"/>
        </w:rPr>
        <w:lastRenderedPageBreak/>
        <w:t>225</w:t>
      </w:r>
      <w:r>
        <w:rPr>
          <w:rtl/>
          <w:lang w:bidi="ar-EG"/>
        </w:rPr>
        <w:t>-</w:t>
      </w:r>
      <w:r>
        <w:rPr>
          <w:rtl/>
          <w:lang w:bidi="ar-EG"/>
        </w:rPr>
        <w:tab/>
      </w:r>
      <w:r w:rsidRPr="00C918AE">
        <w:rPr>
          <w:spacing w:val="-4"/>
          <w:rtl/>
          <w:lang w:bidi="ar-EG"/>
        </w:rPr>
        <w:t>وإضافة إلى ذلك، تشكّل مكافحة العنف (بوجه عام) أولوية بالنسبة إلى الشرطة. فخطة الأمن الوطنية</w:t>
      </w:r>
      <w:r>
        <w:rPr>
          <w:rtl/>
          <w:lang w:bidi="ar-EG"/>
        </w:rPr>
        <w:t xml:space="preserve"> </w:t>
      </w:r>
      <w:r w:rsidRPr="00C918AE">
        <w:rPr>
          <w:spacing w:val="-4"/>
          <w:rtl/>
          <w:lang w:bidi="ar-EG"/>
        </w:rPr>
        <w:t xml:space="preserve">للفترة </w:t>
      </w:r>
      <w:r w:rsidR="00F92BBC" w:rsidRPr="00350F98">
        <w:rPr>
          <w:spacing w:val="-4"/>
          <w:rtl/>
          <w:lang w:bidi="ar-EG"/>
        </w:rPr>
        <w:t>2016</w:t>
      </w:r>
      <w:r w:rsidRPr="00C918AE">
        <w:rPr>
          <w:spacing w:val="-4"/>
          <w:rtl/>
          <w:lang w:bidi="ar-EG"/>
        </w:rPr>
        <w:t>-</w:t>
      </w:r>
      <w:r w:rsidR="007501E7" w:rsidRPr="00350F98">
        <w:rPr>
          <w:spacing w:val="-4"/>
          <w:rtl/>
          <w:lang w:bidi="ar-EG"/>
        </w:rPr>
        <w:t>2019</w:t>
      </w:r>
      <w:r w:rsidRPr="00C918AE">
        <w:rPr>
          <w:spacing w:val="-4"/>
          <w:rtl/>
          <w:lang w:bidi="ar-EG"/>
        </w:rPr>
        <w:t xml:space="preserve"> تقضي بأن تتبع النيابة العامة ودوائر الشرطة نهجاً مكثّفاً</w:t>
      </w:r>
      <w:r w:rsidR="00F92BBC" w:rsidRPr="00C918AE">
        <w:rPr>
          <w:rFonts w:hint="cs"/>
          <w:spacing w:val="-4"/>
          <w:rtl/>
          <w:lang w:bidi="ar-EG"/>
        </w:rPr>
        <w:t xml:space="preserve"> </w:t>
      </w:r>
      <w:r w:rsidRPr="00C918AE">
        <w:rPr>
          <w:spacing w:val="-4"/>
          <w:rtl/>
          <w:lang w:bidi="ar-EG"/>
        </w:rPr>
        <w:t>ومُحكما</w:t>
      </w:r>
      <w:r w:rsidR="00F92BBC" w:rsidRPr="00C918AE">
        <w:rPr>
          <w:rFonts w:hint="cs"/>
          <w:spacing w:val="-4"/>
          <w:rtl/>
          <w:lang w:bidi="ar-EG"/>
        </w:rPr>
        <w:t>ً</w:t>
      </w:r>
      <w:r w:rsidRPr="00C918AE">
        <w:rPr>
          <w:spacing w:val="-4"/>
          <w:rtl/>
          <w:lang w:bidi="ar-EG"/>
        </w:rPr>
        <w:t xml:space="preserve"> في التصدي لجرائم</w:t>
      </w:r>
      <w:r>
        <w:rPr>
          <w:rtl/>
          <w:lang w:bidi="ar-EG"/>
        </w:rPr>
        <w:t xml:space="preserve"> العنف، وانتهاكات السلامة الشخصية والتمييز، ويشمل ذلك العنف </w:t>
      </w:r>
      <w:r>
        <w:rPr>
          <w:rFonts w:hint="cs"/>
          <w:rtl/>
          <w:lang w:bidi="ar-EG"/>
        </w:rPr>
        <w:t>العائلي</w:t>
      </w:r>
      <w:r>
        <w:rPr>
          <w:rtl/>
          <w:lang w:bidi="ar-EG"/>
        </w:rPr>
        <w:t xml:space="preserve"> والعنف الجنسي ضد البالغين، والاستغلال الجنسي للقصر والتمييز. وتندرج المذكرة الإطارية للأمن المتكامل للفترة </w:t>
      </w:r>
      <w:r w:rsidR="00F92BBC" w:rsidRPr="00350F98">
        <w:rPr>
          <w:rtl/>
          <w:lang w:bidi="ar-EG"/>
        </w:rPr>
        <w:t>2016</w:t>
      </w:r>
      <w:r>
        <w:rPr>
          <w:rtl/>
          <w:lang w:bidi="ar-EG"/>
        </w:rPr>
        <w:t>-</w:t>
      </w:r>
      <w:r w:rsidR="007501E7" w:rsidRPr="00350F98">
        <w:rPr>
          <w:rtl/>
          <w:lang w:bidi="ar-EG"/>
        </w:rPr>
        <w:t>2019</w:t>
      </w:r>
      <w:r>
        <w:rPr>
          <w:rtl/>
          <w:lang w:bidi="ar-EG"/>
        </w:rPr>
        <w:t xml:space="preserve"> أيضاً في إطار هذه </w:t>
      </w:r>
      <w:proofErr w:type="gramStart"/>
      <w:r>
        <w:rPr>
          <w:rtl/>
          <w:lang w:bidi="ar-EG"/>
        </w:rPr>
        <w:t>الأولويات</w:t>
      </w:r>
      <w:r w:rsidRPr="00B70B24">
        <w:rPr>
          <w:vertAlign w:val="superscript"/>
          <w:rtl/>
        </w:rPr>
        <w:t>(</w:t>
      </w:r>
      <w:proofErr w:type="gramEnd"/>
      <w:r w:rsidRPr="00350F98">
        <w:rPr>
          <w:rStyle w:val="FootnoteReference"/>
          <w:lang w:val="en-US"/>
        </w:rPr>
        <w:footnoteReference w:id="29"/>
      </w:r>
      <w:r w:rsidRPr="00B70B24">
        <w:rPr>
          <w:vertAlign w:val="superscript"/>
          <w:rtl/>
        </w:rPr>
        <w:t>)</w:t>
      </w:r>
      <w:r>
        <w:rPr>
          <w:rtl/>
          <w:lang w:bidi="ar-EG"/>
        </w:rPr>
        <w:t>.</w:t>
      </w:r>
    </w:p>
    <w:p w14:paraId="5EEF80B9" w14:textId="77777777" w:rsidR="00D424DC" w:rsidRPr="00350F98" w:rsidRDefault="00D424DC" w:rsidP="00F92BBC">
      <w:pPr>
        <w:pStyle w:val="H1GA"/>
        <w:rPr>
          <w:rtl/>
          <w:lang w:bidi="ar-EG"/>
        </w:rPr>
      </w:pPr>
      <w:r w:rsidRPr="00350F98">
        <w:rPr>
          <w:rtl/>
          <w:lang w:bidi="ar-EG"/>
        </w:rPr>
        <w:tab/>
      </w:r>
      <w:bookmarkStart w:id="33" w:name="_Toc73715652"/>
      <w:r w:rsidRPr="00350F98">
        <w:rPr>
          <w:rtl/>
          <w:lang w:bidi="ar-EG"/>
        </w:rPr>
        <w:t>هاء-</w:t>
      </w:r>
      <w:r w:rsidRPr="00350F98">
        <w:rPr>
          <w:rtl/>
          <w:lang w:bidi="ar-EG"/>
        </w:rPr>
        <w:tab/>
        <w:t>حقوق الأشخاص ذوي الإعاقة</w:t>
      </w:r>
      <w:bookmarkEnd w:id="33"/>
    </w:p>
    <w:p w14:paraId="252A26C1" w14:textId="77777777" w:rsidR="00D424DC" w:rsidRDefault="00D424DC" w:rsidP="0080222E">
      <w:pPr>
        <w:pStyle w:val="SingleTxtGA"/>
        <w:spacing w:line="346" w:lineRule="exact"/>
        <w:rPr>
          <w:rFonts w:hint="cs"/>
          <w:rtl/>
        </w:rPr>
      </w:pPr>
      <w:r w:rsidRPr="00350F98">
        <w:rPr>
          <w:rtl/>
          <w:lang w:bidi="ar-EG"/>
        </w:rPr>
        <w:t>226</w:t>
      </w:r>
      <w:r>
        <w:rPr>
          <w:rtl/>
          <w:lang w:bidi="ar-EG"/>
        </w:rPr>
        <w:t>-</w:t>
      </w:r>
      <w:r>
        <w:rPr>
          <w:rtl/>
          <w:lang w:bidi="ar-EG"/>
        </w:rPr>
        <w:tab/>
        <w:t xml:space="preserve">صدّقت بلجيكا على اتفاقية منظمة الأمم المتحدة المتعلقة بحقوق الأشخاص ذوي الإعاقة وبروتوكولها الاختياري في </w:t>
      </w:r>
      <w:r w:rsidRPr="00350F98">
        <w:rPr>
          <w:rtl/>
          <w:lang w:bidi="ar-EG"/>
        </w:rPr>
        <w:t>2</w:t>
      </w:r>
      <w:r>
        <w:rPr>
          <w:rtl/>
          <w:lang w:bidi="ar-EG"/>
        </w:rPr>
        <w:t xml:space="preserve"> تموز/يوليه </w:t>
      </w:r>
      <w:r w:rsidRPr="00350F98">
        <w:rPr>
          <w:rtl/>
          <w:lang w:bidi="ar-EG"/>
        </w:rPr>
        <w:t>2009</w:t>
      </w:r>
      <w:r>
        <w:rPr>
          <w:rtl/>
          <w:lang w:bidi="ar-EG"/>
        </w:rPr>
        <w:t xml:space="preserve">. ومنذ ذلك التاريخ، وضعت مختلف السلطات المختصة آليات متابعة وفقاً للمادة </w:t>
      </w:r>
      <w:r w:rsidRPr="00350F98">
        <w:rPr>
          <w:rtl/>
          <w:lang w:bidi="ar-EG"/>
        </w:rPr>
        <w:t>33</w:t>
      </w:r>
      <w:r>
        <w:rPr>
          <w:rtl/>
          <w:lang w:bidi="ar-EG"/>
        </w:rPr>
        <w:t xml:space="preserve"> من الاتفاقية من أجل تعزيز عملية تقديم التقارير (في عام </w:t>
      </w:r>
      <w:r w:rsidRPr="00350F98">
        <w:rPr>
          <w:rtl/>
          <w:lang w:bidi="ar-EG"/>
        </w:rPr>
        <w:t>2011</w:t>
      </w:r>
      <w:r>
        <w:rPr>
          <w:rtl/>
          <w:lang w:bidi="ar-EG"/>
        </w:rPr>
        <w:t>، قدمت بلجيكا تقريرها الدوري الأول بموجب هذه الاتفاقية إلى لجنة حقوق الأشخاص ذوي الإعاقة)، ووضع الاتفاقية موضع التنفيذ:</w:t>
      </w:r>
    </w:p>
    <w:p w14:paraId="5D1D8304" w14:textId="0F058617" w:rsidR="00D424DC" w:rsidRDefault="00D424DC" w:rsidP="0080222E">
      <w:pPr>
        <w:pStyle w:val="Bullet1GA"/>
        <w:spacing w:line="346" w:lineRule="exact"/>
        <w:rPr>
          <w:rtl/>
          <w:lang w:bidi="ar-EG"/>
        </w:rPr>
      </w:pPr>
      <w:r>
        <w:rPr>
          <w:rtl/>
          <w:lang w:bidi="ar-EG"/>
        </w:rPr>
        <w:t xml:space="preserve">أُنشئت جهات اتصال شتى على مختلف مستويات السلطة، من أجل وضع إجراءات لتنفيذ التوصيات التي قدمتها اللجنة إلى بلجيكا في أيلول/سبتمبر </w:t>
      </w:r>
      <w:r w:rsidR="007501E7" w:rsidRPr="00350F98">
        <w:rPr>
          <w:rtl/>
          <w:lang w:bidi="ar-EG"/>
        </w:rPr>
        <w:t>2014</w:t>
      </w:r>
      <w:r>
        <w:rPr>
          <w:rtl/>
          <w:lang w:bidi="ar-EG"/>
        </w:rPr>
        <w:t>؛</w:t>
      </w:r>
    </w:p>
    <w:p w14:paraId="5038268A" w14:textId="61F5DE9E" w:rsidR="00D424DC" w:rsidRDefault="00D424DC" w:rsidP="0080222E">
      <w:pPr>
        <w:pStyle w:val="Bullet1GA"/>
        <w:spacing w:line="346" w:lineRule="exact"/>
        <w:rPr>
          <w:rtl/>
          <w:lang w:bidi="ar-EG"/>
        </w:rPr>
      </w:pPr>
      <w:r>
        <w:rPr>
          <w:rtl/>
          <w:lang w:bidi="ar-EG"/>
        </w:rPr>
        <w:t>أُحدثت آلية تنسيق مشتركة على الصعيد الاتحادي داخل الهيئة العامة الاتحادية للضمان الاجتماعي؛</w:t>
      </w:r>
    </w:p>
    <w:p w14:paraId="152B602A" w14:textId="306A516E" w:rsidR="00D424DC" w:rsidRPr="00D97AA3" w:rsidRDefault="00D424DC" w:rsidP="0080222E">
      <w:pPr>
        <w:pStyle w:val="Bullet1GA"/>
        <w:spacing w:line="346" w:lineRule="exact"/>
        <w:rPr>
          <w:spacing w:val="-2"/>
          <w:rtl/>
          <w:lang w:bidi="ar-EG"/>
        </w:rPr>
      </w:pPr>
      <w:r w:rsidRPr="0080222E">
        <w:rPr>
          <w:spacing w:val="-4"/>
          <w:rtl/>
          <w:lang w:bidi="ar-EG"/>
        </w:rPr>
        <w:t>آلية مستقلة: أُبرم اتفاق بين الحكومة الاتحادية ومختلف الجماعات والمناطق يقضي بإسناد</w:t>
      </w:r>
      <w:r w:rsidRPr="00D97AA3">
        <w:rPr>
          <w:spacing w:val="-2"/>
          <w:rtl/>
          <w:lang w:bidi="ar-EG"/>
        </w:rPr>
        <w:t xml:space="preserve"> المهام المنصوص عليها في الفقرة </w:t>
      </w:r>
      <w:r w:rsidRPr="00350F98">
        <w:rPr>
          <w:spacing w:val="-2"/>
          <w:rtl/>
          <w:lang w:bidi="ar-EG"/>
        </w:rPr>
        <w:t>2</w:t>
      </w:r>
      <w:r w:rsidRPr="00D97AA3">
        <w:rPr>
          <w:spacing w:val="-2"/>
          <w:rtl/>
          <w:lang w:bidi="ar-EG"/>
        </w:rPr>
        <w:t xml:space="preserve"> من المادة </w:t>
      </w:r>
      <w:r w:rsidRPr="00350F98">
        <w:rPr>
          <w:spacing w:val="-2"/>
          <w:rtl/>
          <w:lang w:bidi="ar-EG"/>
        </w:rPr>
        <w:t>33</w:t>
      </w:r>
      <w:r w:rsidRPr="00D97AA3">
        <w:rPr>
          <w:spacing w:val="-2"/>
          <w:rtl/>
          <w:lang w:bidi="ar-EG"/>
        </w:rPr>
        <w:t xml:space="preserve"> من الاتفاقية إلى مركز أونيا؛</w:t>
      </w:r>
    </w:p>
    <w:p w14:paraId="3C14F18B" w14:textId="79C2B05D" w:rsidR="00D424DC" w:rsidRDefault="00D424DC" w:rsidP="00D97AA3">
      <w:pPr>
        <w:pStyle w:val="Bullet1GA"/>
        <w:rPr>
          <w:rtl/>
          <w:lang w:bidi="ar-EG"/>
        </w:rPr>
      </w:pPr>
      <w:r w:rsidRPr="00D97AA3">
        <w:rPr>
          <w:spacing w:val="-2"/>
          <w:rtl/>
          <w:lang w:bidi="ar-EG"/>
        </w:rPr>
        <w:t>مشاركة المجتمع المدني: يوجد تعاون وثيق مع الأشخاص ذوي الإعاقة أنفسهم وممثليهم</w:t>
      </w:r>
      <w:r>
        <w:rPr>
          <w:rtl/>
          <w:lang w:bidi="ar-EG"/>
        </w:rPr>
        <w:t xml:space="preserve"> ومع جمعيات أخرى تعمل في مجال تحقيق تكافؤ الفرص ومكافحة التمييز، وتعزيز حقوق الإنسان.</w:t>
      </w:r>
    </w:p>
    <w:p w14:paraId="0A832383" w14:textId="77777777" w:rsidR="00D424DC" w:rsidRDefault="00D424DC" w:rsidP="00D424DC">
      <w:pPr>
        <w:pStyle w:val="SingleTxtGA"/>
        <w:rPr>
          <w:rtl/>
          <w:lang w:bidi="ar-EG"/>
        </w:rPr>
      </w:pPr>
      <w:r w:rsidRPr="00350F98">
        <w:rPr>
          <w:rtl/>
          <w:lang w:bidi="ar-EG"/>
        </w:rPr>
        <w:t>227</w:t>
      </w:r>
      <w:r>
        <w:rPr>
          <w:rtl/>
          <w:lang w:bidi="ar-EG"/>
        </w:rPr>
        <w:t>-</w:t>
      </w:r>
      <w:r>
        <w:rPr>
          <w:rtl/>
          <w:lang w:bidi="ar-EG"/>
        </w:rPr>
        <w:tab/>
        <w:t>ومن شأن ترجمة هذه الأعمال إلى واقع أن تدعم سياسة متسقة وواسعة النطاق من أجل تعزيز احترام حقوق الإنسان للأشخاص ذوي الإعاقة.</w:t>
      </w:r>
    </w:p>
    <w:p w14:paraId="63F60D0A" w14:textId="5B60A9E4" w:rsidR="00D424DC" w:rsidRDefault="00D424DC" w:rsidP="00D424DC">
      <w:pPr>
        <w:pStyle w:val="SingleTxtGA"/>
        <w:rPr>
          <w:rtl/>
          <w:lang w:bidi="ar-EG"/>
        </w:rPr>
      </w:pPr>
      <w:r w:rsidRPr="00350F98">
        <w:rPr>
          <w:rtl/>
          <w:lang w:bidi="ar-EG"/>
        </w:rPr>
        <w:t>228</w:t>
      </w:r>
      <w:r>
        <w:rPr>
          <w:rtl/>
          <w:lang w:bidi="ar-EG"/>
        </w:rPr>
        <w:t>-</w:t>
      </w:r>
      <w:r>
        <w:rPr>
          <w:rtl/>
          <w:lang w:bidi="ar-EG"/>
        </w:rPr>
        <w:tab/>
        <w:t xml:space="preserve">ويكرس الدستور البلجيكي (المادتان </w:t>
      </w:r>
      <w:r w:rsidRPr="00350F98">
        <w:rPr>
          <w:rtl/>
          <w:lang w:bidi="ar-EG"/>
        </w:rPr>
        <w:t>10</w:t>
      </w:r>
      <w:r>
        <w:rPr>
          <w:rtl/>
          <w:lang w:bidi="ar-EG"/>
        </w:rPr>
        <w:t xml:space="preserve"> و</w:t>
      </w:r>
      <w:r w:rsidRPr="00350F98">
        <w:rPr>
          <w:rtl/>
          <w:lang w:bidi="ar-EG"/>
        </w:rPr>
        <w:t>11</w:t>
      </w:r>
      <w:r>
        <w:rPr>
          <w:rtl/>
          <w:lang w:bidi="ar-EG"/>
        </w:rPr>
        <w:t xml:space="preserve">)، وكذلك التشريعات التي سُنت على مختلف </w:t>
      </w:r>
      <w:r w:rsidRPr="0080222E">
        <w:rPr>
          <w:spacing w:val="-4"/>
          <w:rtl/>
          <w:lang w:bidi="ar-EG"/>
        </w:rPr>
        <w:t>مستويات السلطة، مبدأ المساواة بين الأشخاص ذوي الإعاقة وحمايتهم من التمييز. وعلى الصعيد الاتحادي</w:t>
      </w:r>
      <w:r>
        <w:rPr>
          <w:rtl/>
          <w:lang w:bidi="ar-EG"/>
        </w:rPr>
        <w:t xml:space="preserve">، فإن قانون </w:t>
      </w:r>
      <w:r w:rsidR="007501E7" w:rsidRPr="00350F98">
        <w:rPr>
          <w:rtl/>
          <w:lang w:bidi="ar-EG"/>
        </w:rPr>
        <w:t>10</w:t>
      </w:r>
      <w:r>
        <w:rPr>
          <w:rtl/>
          <w:lang w:bidi="ar-EG"/>
        </w:rPr>
        <w:t xml:space="preserve"> أيار/مايو </w:t>
      </w:r>
      <w:r w:rsidR="007501E7" w:rsidRPr="00350F98">
        <w:rPr>
          <w:rtl/>
          <w:lang w:bidi="ar-EG"/>
        </w:rPr>
        <w:t>2007</w:t>
      </w:r>
      <w:r>
        <w:rPr>
          <w:rtl/>
          <w:lang w:bidi="ar-EG"/>
        </w:rPr>
        <w:t xml:space="preserve"> الذي يرمي إلى مكافحة أشكال معينة من التمييز، يحظر جميع أشكال </w:t>
      </w:r>
      <w:r w:rsidRPr="0080222E">
        <w:rPr>
          <w:spacing w:val="-2"/>
          <w:rtl/>
          <w:lang w:bidi="ar-EG"/>
        </w:rPr>
        <w:t>التمييز المباشر أو غير المباشر، كما يحظر الحض على التمييز أو التخويف القائم على أسس منها الإعاقة</w:t>
      </w:r>
      <w:r>
        <w:rPr>
          <w:rtl/>
          <w:lang w:bidi="ar-EG"/>
        </w:rPr>
        <w:t xml:space="preserve"> </w:t>
      </w:r>
      <w:r w:rsidRPr="0080222E">
        <w:rPr>
          <w:spacing w:val="-4"/>
          <w:rtl/>
          <w:lang w:bidi="ar-EG"/>
        </w:rPr>
        <w:t>أو الحالة الصحية، حاضراً أو مستقبلاً. وهو يقضي بإجراء تعديلات معقولة من أجل الأشخاص ذوي الإعاقة.</w:t>
      </w:r>
      <w:r>
        <w:rPr>
          <w:rtl/>
          <w:lang w:bidi="ar-EG"/>
        </w:rPr>
        <w:t xml:space="preserve"> </w:t>
      </w:r>
      <w:r w:rsidRPr="0080222E">
        <w:rPr>
          <w:spacing w:val="-4"/>
          <w:rtl/>
          <w:lang w:bidi="ar-EG"/>
        </w:rPr>
        <w:t xml:space="preserve">ويمكن أيضاً اعتبار رفض إجراء مثل هذه التعديلات من الأفعال التمييزية. وينطبق قانون مكافحة التمييز على </w:t>
      </w:r>
      <w:r w:rsidRPr="0080222E">
        <w:rPr>
          <w:spacing w:val="-2"/>
          <w:rtl/>
        </w:rPr>
        <w:t xml:space="preserve">مجالات عدة من الحياة العامة: العمل، وقطاع السلع والخدمات، وأي نشاط اقتصادي أو اجتماعي أو ثقافي </w:t>
      </w:r>
      <w:r w:rsidRPr="0080222E">
        <w:rPr>
          <w:spacing w:val="-4"/>
          <w:rtl/>
        </w:rPr>
        <w:t>أو</w:t>
      </w:r>
      <w:r w:rsidRPr="0080222E">
        <w:rPr>
          <w:spacing w:val="-4"/>
          <w:rtl/>
          <w:lang w:bidi="ar-EG"/>
        </w:rPr>
        <w:t xml:space="preserve"> سياسي، والضمان الاجتماعي والحماية الاجتماعية. ويتيح القانون لضحايا التمييز إمكانية المطالبة بحقوقهم</w:t>
      </w:r>
      <w:r>
        <w:rPr>
          <w:rtl/>
          <w:lang w:bidi="ar-EG"/>
        </w:rPr>
        <w:t xml:space="preserve"> ورفع قضية أمام محكمة مدنية: محكمة العمل أو المحكمة التجارية أو المحكمة الابتدائية.</w:t>
      </w:r>
    </w:p>
    <w:p w14:paraId="715F182A" w14:textId="19DA17BB" w:rsidR="00D424DC" w:rsidRDefault="00D424DC" w:rsidP="00D424DC">
      <w:pPr>
        <w:pStyle w:val="SingleTxtGA"/>
        <w:rPr>
          <w:rtl/>
          <w:lang w:bidi="ar-EG"/>
        </w:rPr>
      </w:pPr>
      <w:r w:rsidRPr="00350F98">
        <w:rPr>
          <w:rtl/>
          <w:lang w:bidi="ar-EG"/>
        </w:rPr>
        <w:t>229</w:t>
      </w:r>
      <w:r>
        <w:rPr>
          <w:rtl/>
          <w:lang w:bidi="ar-EG"/>
        </w:rPr>
        <w:t>-</w:t>
      </w:r>
      <w:r>
        <w:rPr>
          <w:rtl/>
          <w:lang w:bidi="ar-EG"/>
        </w:rPr>
        <w:tab/>
        <w:t>ويضطلع مركز أونيا بمعالجة حالات التمييز القائم على أسس منها الإعاقة. وفي منتصف عام</w:t>
      </w:r>
      <w:r w:rsidR="00D97AA3">
        <w:rPr>
          <w:rFonts w:hint="cs"/>
          <w:rtl/>
          <w:lang w:bidi="ar-EG"/>
        </w:rPr>
        <w:t> </w:t>
      </w:r>
      <w:r w:rsidRPr="00350F98">
        <w:rPr>
          <w:rtl/>
          <w:lang w:bidi="ar-EG"/>
        </w:rPr>
        <w:t>2009</w:t>
      </w:r>
      <w:r>
        <w:rPr>
          <w:rtl/>
          <w:lang w:bidi="ar-EG"/>
        </w:rPr>
        <w:t>،</w:t>
      </w:r>
      <w:r w:rsidR="00F92BBC">
        <w:rPr>
          <w:rFonts w:hint="cs"/>
          <w:rtl/>
          <w:lang w:bidi="ar-EG"/>
        </w:rPr>
        <w:t xml:space="preserve"> </w:t>
      </w:r>
      <w:r>
        <w:rPr>
          <w:rtl/>
          <w:lang w:bidi="ar-EG"/>
        </w:rPr>
        <w:t>استحدث المركز نظاماً إلكترونياً جديداً لتسجيل ومعالجة البلاغات والملفات الفردية ذات الصلة بقوانين مكافحة التمييز. وتُدرج الأرقام المتعلقة بهذه الحالات في التقاري</w:t>
      </w:r>
      <w:r>
        <w:rPr>
          <w:rFonts w:hint="cs"/>
          <w:rtl/>
          <w:lang w:bidi="ar-EG"/>
        </w:rPr>
        <w:t>ر</w:t>
      </w:r>
      <w:r>
        <w:rPr>
          <w:rtl/>
          <w:lang w:bidi="ar-EG"/>
        </w:rPr>
        <w:t xml:space="preserve"> السنوية وتقارير الأنشطة </w:t>
      </w:r>
      <w:r w:rsidRPr="00D97AA3">
        <w:rPr>
          <w:spacing w:val="-2"/>
          <w:rtl/>
          <w:lang w:bidi="ar-EG"/>
        </w:rPr>
        <w:lastRenderedPageBreak/>
        <w:t>التي يصدرها المركز. وهكذا تعالَج جميع البلاغات التي ترد عن التعرُّض للتمييز في بلجيكا بشكل مركزي.</w:t>
      </w:r>
      <w:r>
        <w:rPr>
          <w:rtl/>
          <w:lang w:bidi="ar-EG"/>
        </w:rPr>
        <w:t xml:space="preserve"> وأنشئت في عام </w:t>
      </w:r>
      <w:r w:rsidR="00F92BBC" w:rsidRPr="00350F98">
        <w:rPr>
          <w:rtl/>
          <w:lang w:bidi="ar-EG"/>
        </w:rPr>
        <w:t>2016</w:t>
      </w:r>
      <w:r>
        <w:rPr>
          <w:rtl/>
          <w:lang w:bidi="ar-EG"/>
        </w:rPr>
        <w:t xml:space="preserve"> في جميع أنحاء بلجيكا مكاتب لتقديم الشكاوى، وفتحت أربعة مكاتب فرعية في المنطقة الوالونية.</w:t>
      </w:r>
    </w:p>
    <w:p w14:paraId="682EF3CC" w14:textId="77777777" w:rsidR="00D424DC" w:rsidRDefault="00D424DC" w:rsidP="00D424DC">
      <w:pPr>
        <w:pStyle w:val="SingleTxtGA"/>
        <w:rPr>
          <w:rtl/>
          <w:lang w:bidi="ar-EG"/>
        </w:rPr>
      </w:pPr>
      <w:r w:rsidRPr="00350F98">
        <w:rPr>
          <w:rtl/>
          <w:lang w:bidi="ar-EG"/>
        </w:rPr>
        <w:t>230</w:t>
      </w:r>
      <w:r>
        <w:rPr>
          <w:rtl/>
          <w:lang w:bidi="ar-EG"/>
        </w:rPr>
        <w:t>-</w:t>
      </w:r>
      <w:r>
        <w:rPr>
          <w:rtl/>
          <w:lang w:bidi="ar-EG"/>
        </w:rPr>
        <w:tab/>
        <w:t xml:space="preserve">وإضافة إلى توزيع الاختصاصات بين الكيانات الموحّدة والدولة الاتحادية فيما يتعلق بمسائل الإعاقة، تصب كل الاهتمامات السياسية والمبادرات التشريعية في اتجاه زيادة إدماج الأشخاص ذوي الإعاقة في المجتمع وتلبية احتياجاتهم في عدد من مناحي الحياة (تعميم مراعاة الإعاقة، المسمى أيضاً </w:t>
      </w:r>
      <w:proofErr w:type="spellStart"/>
      <w:r>
        <w:rPr>
          <w:lang w:bidi="ar-EG"/>
        </w:rPr>
        <w:t>handistreaming</w:t>
      </w:r>
      <w:proofErr w:type="spellEnd"/>
      <w:r>
        <w:rPr>
          <w:rtl/>
          <w:lang w:bidi="ar-EG"/>
        </w:rPr>
        <w:t xml:space="preserve"> الذي يعني إدماج بُعد الإعاقة في جميع السياسات العامة). ويتوافق هذا التوجه توافقاً تاماً مع تغيُّر النموذج المبين في اتفاقية الأمم المتحدة.</w:t>
      </w:r>
    </w:p>
    <w:p w14:paraId="6C4BD2B7" w14:textId="2CFF2B10" w:rsidR="00D424DC" w:rsidRDefault="00D424DC" w:rsidP="00D424DC">
      <w:pPr>
        <w:pStyle w:val="SingleTxtGA"/>
        <w:rPr>
          <w:rtl/>
          <w:lang w:bidi="ar-EG"/>
        </w:rPr>
      </w:pPr>
      <w:r w:rsidRPr="00350F98">
        <w:rPr>
          <w:rtl/>
          <w:lang w:bidi="ar-EG"/>
        </w:rPr>
        <w:t>231</w:t>
      </w:r>
      <w:r>
        <w:rPr>
          <w:rtl/>
          <w:lang w:bidi="ar-EG"/>
        </w:rPr>
        <w:t>-</w:t>
      </w:r>
      <w:r>
        <w:rPr>
          <w:rtl/>
          <w:lang w:bidi="ar-EG"/>
        </w:rPr>
        <w:tab/>
        <w:t>وحرصاً على تحقيق تكافؤ الفرص للجميع، وبالنظر أيضاً إلى الاحتياجات المحددة للأشخاص ذوي الإعاقة، بُذلت عناية خاصة من</w:t>
      </w:r>
      <w:r w:rsidR="00F92BBC">
        <w:rPr>
          <w:rFonts w:hint="cs"/>
          <w:rtl/>
          <w:lang w:bidi="ar-EG"/>
        </w:rPr>
        <w:t xml:space="preserve"> </w:t>
      </w:r>
      <w:r>
        <w:rPr>
          <w:rtl/>
          <w:lang w:bidi="ar-EG"/>
        </w:rPr>
        <w:t xml:space="preserve">أجل تيسير إمكانية وصول الأشخاص ذوي الإعاقة إلى المباني ووسائل النقل وتكنولوجيات المعلومات والاتصالات (معايير مُلزِمة) وإلى وسائط الاتصال (إنشاء خدمات لتوفير الترجمة الفورية بلغة الإشارة)، واحترام الحياة العاطفية (تدريب المهنيين)، ولمنح فرص العمل للأشخاص ذوي الإعاقة (عن طريق تفعيل الحوافز ومكافحة عمليات النصب المتعلقة بمنح فرص العمل، ووضع تدابير ترمي إلى دعم فرص العمل)، و"التدريب على العمل"، و(إجراء تعديلات على أماكن العمل) </w:t>
      </w:r>
      <w:r w:rsidRPr="00D97AA3">
        <w:rPr>
          <w:spacing w:val="-4"/>
          <w:rtl/>
          <w:lang w:bidi="ar-EG"/>
        </w:rPr>
        <w:t>ولإدماجهم الاجتماعي (أنشطة</w:t>
      </w:r>
      <w:r w:rsidR="00F92BBC" w:rsidRPr="00D97AA3">
        <w:rPr>
          <w:rFonts w:hint="cs"/>
          <w:spacing w:val="-4"/>
          <w:rtl/>
          <w:lang w:bidi="ar-EG"/>
        </w:rPr>
        <w:t xml:space="preserve"> </w:t>
      </w:r>
      <w:r w:rsidRPr="00D97AA3">
        <w:rPr>
          <w:spacing w:val="-4"/>
          <w:rtl/>
          <w:lang w:bidi="ar-EG"/>
        </w:rPr>
        <w:t>الصالح العام)، وللإسكان (برامج لتقديم المشورة في مجال التهيئة، والمساكن</w:t>
      </w:r>
      <w:r>
        <w:rPr>
          <w:rtl/>
          <w:lang w:bidi="ar-EG"/>
        </w:rPr>
        <w:t xml:space="preserve"> الخاضعة للإشراف)، إضافة إلى دعم الطلاب الذين يعانون من عجز وظيفي (تدابير للإدماج ليس في التعليم المتخصص فحسب، وإنما أيضاً، في الآونة الأخيرة، في التعليم العام، بما فيه التعليم العالي).</w:t>
      </w:r>
    </w:p>
    <w:p w14:paraId="485D5E45" w14:textId="199B4F98" w:rsidR="000D43A8" w:rsidRPr="00D424DC" w:rsidRDefault="00D424DC" w:rsidP="00D424DC">
      <w:pPr>
        <w:pStyle w:val="SingleTxtGA"/>
        <w:jc w:val="center"/>
        <w:rPr>
          <w:u w:val="single"/>
          <w:rtl/>
        </w:rPr>
      </w:pPr>
      <w:r>
        <w:rPr>
          <w:u w:val="single"/>
          <w:rtl/>
        </w:rPr>
        <w:tab/>
      </w:r>
      <w:r>
        <w:rPr>
          <w:u w:val="single"/>
          <w:rtl/>
        </w:rPr>
        <w:tab/>
      </w:r>
      <w:r>
        <w:rPr>
          <w:u w:val="single"/>
          <w:rtl/>
        </w:rPr>
        <w:tab/>
      </w:r>
      <w:bookmarkEnd w:id="0"/>
      <w:bookmarkEnd w:id="1"/>
    </w:p>
    <w:sectPr w:rsidR="000D43A8" w:rsidRPr="00D424DC" w:rsidSect="0021576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AA49" w14:textId="77777777" w:rsidR="00297A84" w:rsidRPr="002901D9" w:rsidRDefault="00297A84" w:rsidP="009815E4">
      <w:pPr>
        <w:spacing w:after="60" w:line="240" w:lineRule="auto"/>
        <w:ind w:left="57"/>
        <w:rPr>
          <w:i/>
          <w:iCs/>
        </w:rPr>
      </w:pPr>
      <w:r>
        <w:rPr>
          <w:rFonts w:hint="cs"/>
          <w:i/>
          <w:iCs/>
          <w:rtl/>
        </w:rPr>
        <w:t>الحواشي</w:t>
      </w:r>
    </w:p>
  </w:endnote>
  <w:endnote w:type="continuationSeparator" w:id="0">
    <w:p w14:paraId="78C46767" w14:textId="77777777" w:rsidR="00297A84" w:rsidRDefault="00297A8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7242" w14:textId="08382624" w:rsidR="00297A84" w:rsidRPr="000D43A8" w:rsidRDefault="00297A84" w:rsidP="000D43A8">
    <w:pPr>
      <w:pStyle w:val="Footer"/>
      <w:tabs>
        <w:tab w:val="right" w:pos="9638"/>
      </w:tabs>
      <w:rPr>
        <w:b/>
        <w:sz w:val="18"/>
        <w:lang w:val="en-US"/>
      </w:rPr>
    </w:pPr>
    <w:r>
      <w:rPr>
        <w:lang w:val="en-US"/>
      </w:rPr>
      <w:t>GE.21-02023</w:t>
    </w:r>
    <w:r>
      <w:rPr>
        <w:lang w:val="en-US"/>
      </w:rPr>
      <w:tab/>
    </w:r>
    <w:r w:rsidRPr="000D43A8">
      <w:rPr>
        <w:b/>
        <w:sz w:val="18"/>
        <w:lang w:val="en-US"/>
      </w:rPr>
      <w:fldChar w:fldCharType="begin"/>
    </w:r>
    <w:r w:rsidRPr="000D43A8">
      <w:rPr>
        <w:b/>
        <w:sz w:val="18"/>
        <w:lang w:val="en-US"/>
      </w:rPr>
      <w:instrText xml:space="preserve"> PAGE  \* MERGEFORMAT </w:instrText>
    </w:r>
    <w:r w:rsidRPr="000D43A8">
      <w:rPr>
        <w:b/>
        <w:sz w:val="18"/>
        <w:lang w:val="en-US"/>
      </w:rPr>
      <w:fldChar w:fldCharType="separate"/>
    </w:r>
    <w:r w:rsidRPr="000D43A8">
      <w:rPr>
        <w:b/>
        <w:noProof/>
        <w:sz w:val="18"/>
        <w:lang w:val="en-US"/>
      </w:rPr>
      <w:t>2</w:t>
    </w:r>
    <w:r w:rsidRPr="000D43A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4B7A" w14:textId="50001547" w:rsidR="00297A84" w:rsidRPr="000D43A8" w:rsidRDefault="00297A84" w:rsidP="000D43A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2948" w14:textId="57C5557C" w:rsidR="00297A84" w:rsidRPr="000D43A8" w:rsidRDefault="00297A84" w:rsidP="000D43A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A81A3BA" wp14:editId="1E1A2A5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21-02023 (A)</w:t>
    </w:r>
    <w:r>
      <w:rPr>
        <w:noProof/>
        <w:sz w:val="20"/>
        <w:lang w:val="en-US"/>
      </w:rPr>
      <w:drawing>
        <wp:anchor distT="0" distB="0" distL="114300" distR="114300" simplePos="0" relativeHeight="251659264" behindDoc="0" locked="0" layoutInCell="1" allowOverlap="1" wp14:anchorId="4F6EC73F" wp14:editId="41A9DC80">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2A92" w14:textId="77777777" w:rsidR="00297A84" w:rsidRPr="00CB28F9" w:rsidRDefault="00297A84" w:rsidP="000B462C">
      <w:pPr>
        <w:pStyle w:val="Footer"/>
        <w:bidi/>
        <w:spacing w:after="80" w:line="200" w:lineRule="exact"/>
        <w:ind w:left="680"/>
      </w:pPr>
      <w:r>
        <w:rPr>
          <w:rtl/>
        </w:rPr>
        <w:t>__________</w:t>
      </w:r>
    </w:p>
  </w:footnote>
  <w:footnote w:type="continuationSeparator" w:id="0">
    <w:p w14:paraId="1B743167" w14:textId="77777777" w:rsidR="00297A84" w:rsidRDefault="00297A84" w:rsidP="00656392">
      <w:pPr>
        <w:spacing w:line="240" w:lineRule="auto"/>
      </w:pPr>
      <w:r>
        <w:continuationSeparator/>
      </w:r>
    </w:p>
  </w:footnote>
  <w:footnote w:id="1">
    <w:p w14:paraId="447EC226" w14:textId="77777777" w:rsidR="00297A84" w:rsidRPr="003430AE" w:rsidRDefault="00297A84" w:rsidP="003430AE">
      <w:pPr>
        <w:pStyle w:val="FootnoteText1"/>
        <w:rPr>
          <w:rtl/>
        </w:rPr>
      </w:pPr>
      <w:r w:rsidRPr="003430AE">
        <w:rPr>
          <w:rtl/>
        </w:rPr>
        <w:t>*</w:t>
      </w:r>
      <w:r w:rsidRPr="003430AE">
        <w:rPr>
          <w:rtl/>
        </w:rPr>
        <w:tab/>
        <w:t>تصدر هذه الوثيقة دون تحرير رسمي.</w:t>
      </w:r>
    </w:p>
  </w:footnote>
  <w:footnote w:id="2">
    <w:p w14:paraId="4DEB0F62" w14:textId="77777777" w:rsidR="00297A84" w:rsidRPr="00F92844" w:rsidRDefault="00297A84" w:rsidP="003430AE">
      <w:pPr>
        <w:pStyle w:val="FootnoteText1"/>
        <w:rPr>
          <w:spacing w:val="-4"/>
          <w:rtl/>
        </w:rPr>
      </w:pPr>
      <w:r w:rsidRPr="003430AE">
        <w:rPr>
          <w:rtl/>
        </w:rPr>
        <w:t>(</w:t>
      </w:r>
      <w:r w:rsidRPr="00350F98">
        <w:footnoteRef/>
      </w:r>
      <w:r w:rsidRPr="003430AE">
        <w:rPr>
          <w:rtl/>
        </w:rPr>
        <w:t>)</w:t>
      </w:r>
      <w:r w:rsidRPr="003430AE">
        <w:rPr>
          <w:rtl/>
        </w:rPr>
        <w:tab/>
      </w:r>
      <w:r w:rsidRPr="00F92844">
        <w:rPr>
          <w:spacing w:val="-4"/>
          <w:rtl/>
        </w:rPr>
        <w:t>تشمل الاختصاصات في مجال العم</w:t>
      </w:r>
      <w:r w:rsidRPr="00F92844">
        <w:rPr>
          <w:rFonts w:hint="cs"/>
          <w:spacing w:val="-4"/>
          <w:rtl/>
        </w:rPr>
        <w:t>ل</w:t>
      </w:r>
      <w:r w:rsidRPr="00F92844">
        <w:rPr>
          <w:spacing w:val="-4"/>
          <w:rtl/>
        </w:rPr>
        <w:t xml:space="preserve"> ما يلي: توظيف اليد العاملة، وإعداد برامج </w:t>
      </w:r>
      <w:r w:rsidRPr="00F92844">
        <w:rPr>
          <w:rFonts w:hint="cs"/>
          <w:spacing w:val="-4"/>
          <w:rtl/>
        </w:rPr>
        <w:t>لإعادة التشغيل</w:t>
      </w:r>
      <w:r w:rsidRPr="00F92844">
        <w:rPr>
          <w:spacing w:val="-4"/>
          <w:rtl/>
        </w:rPr>
        <w:t>، و</w:t>
      </w:r>
      <w:r w:rsidRPr="00F92844">
        <w:rPr>
          <w:rFonts w:hint="cs"/>
          <w:spacing w:val="-4"/>
          <w:rtl/>
        </w:rPr>
        <w:t xml:space="preserve">إعداد </w:t>
      </w:r>
      <w:r w:rsidRPr="00F92844">
        <w:rPr>
          <w:spacing w:val="-4"/>
          <w:rtl/>
        </w:rPr>
        <w:t>المعايير الخاصة بالأجانب</w:t>
      </w:r>
      <w:r w:rsidRPr="00F92844">
        <w:rPr>
          <w:rFonts w:hint="cs"/>
          <w:spacing w:val="-4"/>
          <w:rtl/>
        </w:rPr>
        <w:t xml:space="preserve"> وتطبيقها</w:t>
      </w:r>
      <w:r w:rsidRPr="00F92844">
        <w:rPr>
          <w:spacing w:val="-4"/>
          <w:rtl/>
        </w:rPr>
        <w:t xml:space="preserve">، </w:t>
      </w:r>
      <w:r w:rsidRPr="00F92844">
        <w:rPr>
          <w:rFonts w:hint="cs"/>
          <w:spacing w:val="-4"/>
          <w:rtl/>
        </w:rPr>
        <w:t>والتحقق من توافر</w:t>
      </w:r>
      <w:r w:rsidRPr="00F92844">
        <w:rPr>
          <w:spacing w:val="-4"/>
          <w:rtl/>
        </w:rPr>
        <w:t xml:space="preserve"> العاطلين عن العمل، وخفض </w:t>
      </w:r>
      <w:r w:rsidRPr="00F92844">
        <w:rPr>
          <w:rFonts w:hint="cs"/>
          <w:spacing w:val="-4"/>
          <w:rtl/>
        </w:rPr>
        <w:t>اشتراكات</w:t>
      </w:r>
      <w:r w:rsidRPr="00F92844">
        <w:rPr>
          <w:spacing w:val="-4"/>
          <w:rtl/>
        </w:rPr>
        <w:t xml:space="preserve"> الضمان الاجتماعي المركزة على الفئات المستهدفة من العمال</w:t>
      </w:r>
      <w:r w:rsidRPr="00F92844">
        <w:rPr>
          <w:rFonts w:hint="cs"/>
          <w:spacing w:val="-4"/>
          <w:rtl/>
        </w:rPr>
        <w:t>.</w:t>
      </w:r>
    </w:p>
  </w:footnote>
  <w:footnote w:id="3">
    <w:p w14:paraId="4DBA0BCD" w14:textId="5DE3BF47" w:rsidR="00297A84" w:rsidRPr="00B319E3" w:rsidRDefault="00297A84" w:rsidP="003430AE">
      <w:pPr>
        <w:pStyle w:val="FootnoteText1"/>
        <w:rPr>
          <w:rtl/>
        </w:rPr>
      </w:pPr>
      <w:r w:rsidRPr="003430AE">
        <w:rPr>
          <w:rtl/>
        </w:rPr>
        <w:t>(</w:t>
      </w:r>
      <w:r w:rsidRPr="00350F98">
        <w:footnoteRef/>
      </w:r>
      <w:r w:rsidRPr="003430AE">
        <w:rPr>
          <w:rtl/>
        </w:rPr>
        <w:t>)</w:t>
      </w:r>
      <w:r w:rsidRPr="003430AE">
        <w:rPr>
          <w:rtl/>
        </w:rPr>
        <w:tab/>
      </w:r>
      <w:r w:rsidRPr="00B319E3">
        <w:rPr>
          <w:spacing w:val="-4"/>
          <w:rtl/>
        </w:rPr>
        <w:t xml:space="preserve">التحفظات والإعلانات: من أجل الوفاء بمتطلبات المادة </w:t>
      </w:r>
      <w:r w:rsidRPr="00350F98">
        <w:rPr>
          <w:spacing w:val="-4"/>
          <w:rtl/>
        </w:rPr>
        <w:t>4</w:t>
      </w:r>
      <w:r w:rsidRPr="00B319E3">
        <w:rPr>
          <w:spacing w:val="-4"/>
          <w:rtl/>
        </w:rPr>
        <w:t xml:space="preserve"> من الاتفاقية، ستسعى مملكة بلجيكا إلى تكييف تشريعاتها مع ال</w:t>
      </w:r>
      <w:r w:rsidRPr="00B319E3">
        <w:rPr>
          <w:rFonts w:hint="cs"/>
          <w:spacing w:val="-4"/>
          <w:rtl/>
        </w:rPr>
        <w:t>ا</w:t>
      </w:r>
      <w:r w:rsidRPr="00B319E3">
        <w:rPr>
          <w:spacing w:val="-4"/>
          <w:rtl/>
        </w:rPr>
        <w:t>لتزامات</w:t>
      </w:r>
      <w:r w:rsidRPr="003430AE">
        <w:rPr>
          <w:rtl/>
        </w:rPr>
        <w:t xml:space="preserve"> التي تعهدت بها عندما أصبحت طرفاً في تلك الاتفاقية. إلا أن مملكة بلجيكا تود أن تشدد على الأهمية التي تعلقها على كون المادة </w:t>
      </w:r>
      <w:r w:rsidRPr="00350F98">
        <w:rPr>
          <w:rtl/>
        </w:rPr>
        <w:t>4</w:t>
      </w:r>
      <w:r w:rsidRPr="003430AE">
        <w:rPr>
          <w:rtl/>
        </w:rPr>
        <w:t xml:space="preserve"> </w:t>
      </w:r>
      <w:r w:rsidRPr="00B319E3">
        <w:rPr>
          <w:spacing w:val="-4"/>
          <w:rtl/>
        </w:rPr>
        <w:t xml:space="preserve">من الاتفاقية تنص على أن التدابير المنصوص عليها في الفقرات (أ) و(ب) و(ج) ستعتمد مع إيلاء الاعتبار الواجب للمبادئ الواردة في الإعلان العالمي لحقوق الإنسان والحقوق المذكورة صراحة في المادة </w:t>
      </w:r>
      <w:r w:rsidRPr="00350F98">
        <w:rPr>
          <w:spacing w:val="-4"/>
          <w:rtl/>
        </w:rPr>
        <w:t>5</w:t>
      </w:r>
      <w:r w:rsidRPr="00B319E3">
        <w:rPr>
          <w:spacing w:val="-4"/>
          <w:rtl/>
        </w:rPr>
        <w:t xml:space="preserve"> من الاتفاقية. وترى مملكة بلجيكا أن الالتزامات التي تفرضها المادة </w:t>
      </w:r>
      <w:r w:rsidRPr="00350F98">
        <w:rPr>
          <w:spacing w:val="-4"/>
          <w:rtl/>
        </w:rPr>
        <w:t>4</w:t>
      </w:r>
      <w:r w:rsidRPr="00B319E3">
        <w:rPr>
          <w:spacing w:val="-4"/>
          <w:rtl/>
        </w:rPr>
        <w:t xml:space="preserve"> يجب أن تتوافق مع الحق في حرية الرأي والتعبير ومع الحق في حرية التجمع السلمي وتكوين الجمعيات. فهذان الحقان </w:t>
      </w:r>
      <w:r w:rsidRPr="00B319E3">
        <w:rPr>
          <w:rtl/>
        </w:rPr>
        <w:t xml:space="preserve">منصوص عليهما في المادتين </w:t>
      </w:r>
      <w:r w:rsidRPr="00350F98">
        <w:rPr>
          <w:rFonts w:hint="cs"/>
          <w:rtl/>
        </w:rPr>
        <w:t>19</w:t>
      </w:r>
      <w:r w:rsidRPr="00B319E3">
        <w:rPr>
          <w:rtl/>
        </w:rPr>
        <w:t xml:space="preserve"> و</w:t>
      </w:r>
      <w:r w:rsidRPr="00350F98">
        <w:rPr>
          <w:rtl/>
        </w:rPr>
        <w:t>20</w:t>
      </w:r>
      <w:r w:rsidRPr="00B319E3">
        <w:rPr>
          <w:rtl/>
        </w:rPr>
        <w:t xml:space="preserve"> من الإعلان العالمي لحقوق الإنسان وأعيد تأكيدهما في المادتين </w:t>
      </w:r>
      <w:r w:rsidRPr="00350F98">
        <w:rPr>
          <w:rtl/>
        </w:rPr>
        <w:t>19</w:t>
      </w:r>
      <w:r w:rsidRPr="00B319E3">
        <w:rPr>
          <w:rtl/>
        </w:rPr>
        <w:t xml:space="preserve"> و</w:t>
      </w:r>
      <w:r w:rsidRPr="00350F98">
        <w:rPr>
          <w:rtl/>
        </w:rPr>
        <w:t>21</w:t>
      </w:r>
      <w:r w:rsidRPr="00B319E3">
        <w:rPr>
          <w:rtl/>
        </w:rPr>
        <w:t xml:space="preserve"> من العهد الدولي الخاص بالحقوق المدنية والسياسية. وقد وردا أيضا</w:t>
      </w:r>
      <w:r w:rsidRPr="00B319E3">
        <w:rPr>
          <w:rFonts w:hint="cs"/>
          <w:rtl/>
        </w:rPr>
        <w:t>ً</w:t>
      </w:r>
      <w:r w:rsidRPr="00B319E3">
        <w:rPr>
          <w:rtl/>
        </w:rPr>
        <w:t xml:space="preserve"> في الفقرتين الفرعيتين (</w:t>
      </w:r>
      <w:r w:rsidRPr="00350F98">
        <w:rPr>
          <w:rtl/>
        </w:rPr>
        <w:t>8</w:t>
      </w:r>
      <w:r w:rsidRPr="00B319E3">
        <w:rPr>
          <w:rtl/>
        </w:rPr>
        <w:t>) و(</w:t>
      </w:r>
      <w:r w:rsidRPr="00350F98">
        <w:rPr>
          <w:rtl/>
        </w:rPr>
        <w:t>9</w:t>
      </w:r>
      <w:r w:rsidRPr="00B319E3">
        <w:rPr>
          <w:rtl/>
        </w:rPr>
        <w:t xml:space="preserve">) من المادة </w:t>
      </w:r>
      <w:r w:rsidRPr="00350F98">
        <w:rPr>
          <w:rtl/>
        </w:rPr>
        <w:t>5</w:t>
      </w:r>
      <w:r w:rsidRPr="00B319E3">
        <w:rPr>
          <w:rtl/>
        </w:rPr>
        <w:t>(د) من الاتفاقية المذكورة. وتود مملكة بلجيكا أن تشدد كذلك على الأهمية التي تعلقها أيضا</w:t>
      </w:r>
      <w:r w:rsidRPr="00B319E3">
        <w:rPr>
          <w:rFonts w:hint="cs"/>
          <w:rtl/>
        </w:rPr>
        <w:t>ً</w:t>
      </w:r>
      <w:r w:rsidRPr="00B319E3">
        <w:rPr>
          <w:rtl/>
        </w:rPr>
        <w:t xml:space="preserve"> على احترام الحقوق المبينة في الاتفاقية الأوروبية لحماية حقوق </w:t>
      </w:r>
      <w:r w:rsidRPr="00B319E3">
        <w:rPr>
          <w:spacing w:val="-2"/>
          <w:rtl/>
        </w:rPr>
        <w:t>الإنسان والحريات الأساسية، ولا سيما في</w:t>
      </w:r>
      <w:r w:rsidRPr="00B319E3">
        <w:rPr>
          <w:spacing w:val="-2"/>
        </w:rPr>
        <w:t xml:space="preserve"> </w:t>
      </w:r>
      <w:r w:rsidRPr="00B319E3">
        <w:rPr>
          <w:spacing w:val="-2"/>
          <w:rtl/>
        </w:rPr>
        <w:t xml:space="preserve">مادتيها </w:t>
      </w:r>
      <w:r w:rsidRPr="00350F98">
        <w:rPr>
          <w:spacing w:val="-2"/>
          <w:rtl/>
        </w:rPr>
        <w:t>10</w:t>
      </w:r>
      <w:r w:rsidRPr="00B319E3">
        <w:rPr>
          <w:spacing w:val="-2"/>
          <w:rtl/>
        </w:rPr>
        <w:t xml:space="preserve"> و</w:t>
      </w:r>
      <w:r w:rsidRPr="00350F98">
        <w:rPr>
          <w:spacing w:val="-2"/>
          <w:rtl/>
        </w:rPr>
        <w:t>11</w:t>
      </w:r>
      <w:r w:rsidRPr="00B319E3">
        <w:rPr>
          <w:spacing w:val="-2"/>
          <w:rtl/>
        </w:rPr>
        <w:t xml:space="preserve"> المتعلقتين بحرية الرأي والتعبير وحرية التجمع السلمي وتكوين الجمعيات.</w:t>
      </w:r>
    </w:p>
  </w:footnote>
  <w:footnote w:id="4">
    <w:p w14:paraId="75639235" w14:textId="4C2D63CE" w:rsidR="00297A84" w:rsidRPr="00297A84" w:rsidRDefault="00297A84" w:rsidP="003430AE">
      <w:pPr>
        <w:pStyle w:val="FootnoteText1"/>
        <w:rPr>
          <w:spacing w:val="-4"/>
          <w:rtl/>
        </w:rPr>
      </w:pPr>
      <w:r w:rsidRPr="00297A84">
        <w:rPr>
          <w:spacing w:val="-4"/>
          <w:rtl/>
        </w:rPr>
        <w:t>(</w:t>
      </w:r>
      <w:r w:rsidRPr="00297A84">
        <w:rPr>
          <w:spacing w:val="-4"/>
        </w:rPr>
        <w:footnoteRef/>
      </w:r>
      <w:r w:rsidRPr="00297A84">
        <w:rPr>
          <w:spacing w:val="-4"/>
          <w:rtl/>
        </w:rPr>
        <w:t>)</w:t>
      </w:r>
      <w:r w:rsidRPr="00297A84">
        <w:rPr>
          <w:spacing w:val="-4"/>
          <w:rtl/>
        </w:rPr>
        <w:tab/>
        <w:t>إعلان تفسيري: فيما يتعلق بالفقرة 2 من المادة 2، تفسر الحكومة البلجيكية عدم التمييز على أساس الأصل الوطني على أنه لا</w:t>
      </w:r>
      <w:r w:rsidRPr="00297A84">
        <w:rPr>
          <w:rFonts w:hint="eastAsia"/>
          <w:spacing w:val="-4"/>
          <w:rtl/>
        </w:rPr>
        <w:t> </w:t>
      </w:r>
      <w:r w:rsidRPr="00297A84">
        <w:rPr>
          <w:spacing w:val="-4"/>
          <w:rtl/>
        </w:rPr>
        <w:t>يعني بالضرورة التزام الدول بأن تكفل تلقائيا</w:t>
      </w:r>
      <w:r w:rsidRPr="00297A84">
        <w:rPr>
          <w:rFonts w:hint="cs"/>
          <w:spacing w:val="-4"/>
          <w:rtl/>
        </w:rPr>
        <w:t>ً</w:t>
      </w:r>
      <w:r w:rsidRPr="00297A84">
        <w:rPr>
          <w:spacing w:val="-4"/>
          <w:rtl/>
        </w:rPr>
        <w:t xml:space="preserve"> للأجانب نفس الحقوق التي تكفلها لمواطنيها. وهذا المفهوم يجب أن يفهم على أنه يستبعد أي سلوك تعسفي، و</w:t>
      </w:r>
      <w:r w:rsidRPr="00297A84">
        <w:rPr>
          <w:rFonts w:hint="cs"/>
          <w:spacing w:val="-4"/>
          <w:rtl/>
        </w:rPr>
        <w:t>ليس</w:t>
      </w:r>
      <w:r w:rsidRPr="00297A84">
        <w:rPr>
          <w:spacing w:val="-4"/>
          <w:rtl/>
        </w:rPr>
        <w:t xml:space="preserve"> </w:t>
      </w:r>
      <w:r w:rsidRPr="00297A84">
        <w:rPr>
          <w:rFonts w:hint="cs"/>
          <w:spacing w:val="-4"/>
          <w:rtl/>
        </w:rPr>
        <w:t>اختلاف</w:t>
      </w:r>
      <w:r w:rsidRPr="00297A84">
        <w:rPr>
          <w:spacing w:val="-4"/>
          <w:rtl/>
        </w:rPr>
        <w:t xml:space="preserve"> المعاملة على أساس اعتبارات موضوعية ومعقولة، بما يتسق مع المبادئ التي تسود في المجتمعات الديمقراطية.</w:t>
      </w:r>
    </w:p>
  </w:footnote>
  <w:footnote w:id="5">
    <w:p w14:paraId="6C271FB0"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باستثناء رقمي</w:t>
      </w:r>
      <w:r w:rsidRPr="003430AE">
        <w:rPr>
          <w:rFonts w:hint="cs"/>
          <w:rtl/>
        </w:rPr>
        <w:t xml:space="preserve"> </w:t>
      </w:r>
      <w:r w:rsidRPr="00350F98">
        <w:rPr>
          <w:rtl/>
        </w:rPr>
        <w:t>12</w:t>
      </w:r>
      <w:r w:rsidRPr="003430AE">
        <w:rPr>
          <w:rtl/>
        </w:rPr>
        <w:t xml:space="preserve"> و</w:t>
      </w:r>
      <w:r w:rsidRPr="00350F98">
        <w:rPr>
          <w:rtl/>
        </w:rPr>
        <w:t>16</w:t>
      </w:r>
      <w:r w:rsidRPr="003430AE">
        <w:rPr>
          <w:rtl/>
        </w:rPr>
        <w:t>.</w:t>
      </w:r>
    </w:p>
  </w:footnote>
  <w:footnote w:id="6">
    <w:p w14:paraId="2946AB87"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تختص المحكمة الدستورية أيضاً بالبت في المسائل المتعلقة بتطابق قانون أو مرسوم أو أمر مع القواعد المنصوص عليها في الدستور أو بموجبه لتحديد اختصاصات كل من الدولة والجماعات والمناطق، كما تختص بالبت في الحالات التي تتعارض فيما بينها مراسيمٌ أو أوامر صادرة عن هيئات تشريعية منفصلة، شريطة أن يكون هذا التعارض نابعاً من مجال تطبيق كل منها.</w:t>
      </w:r>
    </w:p>
  </w:footnote>
  <w:footnote w:id="7">
    <w:p w14:paraId="172F1457" w14:textId="3929133F" w:rsidR="00297A84" w:rsidRPr="00F92844" w:rsidRDefault="00297A84" w:rsidP="003430AE">
      <w:pPr>
        <w:pStyle w:val="FootnoteText1"/>
        <w:rPr>
          <w:spacing w:val="-4"/>
          <w:rtl/>
        </w:rPr>
      </w:pPr>
      <w:r w:rsidRPr="00F92844">
        <w:rPr>
          <w:spacing w:val="-4"/>
          <w:rtl/>
        </w:rPr>
        <w:t>(</w:t>
      </w:r>
      <w:r w:rsidRPr="00350F98">
        <w:rPr>
          <w:spacing w:val="-4"/>
        </w:rPr>
        <w:footnoteRef/>
      </w:r>
      <w:r w:rsidRPr="00F92844">
        <w:rPr>
          <w:spacing w:val="-4"/>
          <w:rtl/>
        </w:rPr>
        <w:t>)</w:t>
      </w:r>
      <w:r w:rsidRPr="00F92844">
        <w:rPr>
          <w:spacing w:val="-4"/>
          <w:rtl/>
        </w:rPr>
        <w:tab/>
        <w:t xml:space="preserve">المحكمة الأوروبية لحقوق الإنسان، الحكم في قضية </w:t>
      </w:r>
      <w:proofErr w:type="spellStart"/>
      <w:r w:rsidRPr="00350F98">
        <w:rPr>
          <w:i/>
          <w:iCs/>
          <w:spacing w:val="-4"/>
          <w:rtl/>
        </w:rPr>
        <w:t>غوكتيب</w:t>
      </w:r>
      <w:r w:rsidRPr="00350F98">
        <w:rPr>
          <w:rFonts w:hint="cs"/>
          <w:i/>
          <w:iCs/>
          <w:spacing w:val="-4"/>
          <w:rtl/>
        </w:rPr>
        <w:t>ي</w:t>
      </w:r>
      <w:proofErr w:type="spellEnd"/>
      <w:r w:rsidRPr="00350F98">
        <w:rPr>
          <w:i/>
          <w:iCs/>
          <w:spacing w:val="-4"/>
          <w:rtl/>
        </w:rPr>
        <w:t xml:space="preserve"> ضد بلجيكا</w:t>
      </w:r>
      <w:r w:rsidRPr="00F92844">
        <w:rPr>
          <w:rFonts w:hint="cs"/>
          <w:spacing w:val="-4"/>
          <w:rtl/>
        </w:rPr>
        <w:t xml:space="preserve"> (</w:t>
      </w:r>
      <w:proofErr w:type="spellStart"/>
      <w:r w:rsidRPr="00F92844">
        <w:rPr>
          <w:spacing w:val="-4"/>
        </w:rPr>
        <w:t>arrêt</w:t>
      </w:r>
      <w:proofErr w:type="spellEnd"/>
      <w:r w:rsidRPr="00F92844">
        <w:rPr>
          <w:spacing w:val="-4"/>
        </w:rPr>
        <w:t xml:space="preserve"> </w:t>
      </w:r>
      <w:proofErr w:type="spellStart"/>
      <w:r w:rsidRPr="00D37282">
        <w:rPr>
          <w:i/>
          <w:iCs/>
          <w:spacing w:val="-4"/>
        </w:rPr>
        <w:t>Göktepe</w:t>
      </w:r>
      <w:proofErr w:type="spellEnd"/>
      <w:r w:rsidRPr="00D37282">
        <w:rPr>
          <w:i/>
          <w:iCs/>
          <w:spacing w:val="-4"/>
        </w:rPr>
        <w:t xml:space="preserve"> c. Belgique</w:t>
      </w:r>
      <w:r w:rsidRPr="00F92844">
        <w:rPr>
          <w:rFonts w:hint="cs"/>
          <w:spacing w:val="-4"/>
          <w:rtl/>
        </w:rPr>
        <w:t>)</w:t>
      </w:r>
      <w:r w:rsidRPr="00F92844">
        <w:rPr>
          <w:spacing w:val="-4"/>
          <w:rtl/>
        </w:rPr>
        <w:t xml:space="preserve">، </w:t>
      </w:r>
      <w:r w:rsidRPr="00350F98">
        <w:rPr>
          <w:spacing w:val="-4"/>
          <w:rtl/>
        </w:rPr>
        <w:t>2</w:t>
      </w:r>
      <w:r w:rsidRPr="00F92844">
        <w:rPr>
          <w:rFonts w:hint="cs"/>
          <w:spacing w:val="-4"/>
          <w:rtl/>
        </w:rPr>
        <w:t xml:space="preserve"> </w:t>
      </w:r>
      <w:r w:rsidRPr="00F92844">
        <w:rPr>
          <w:spacing w:val="-4"/>
          <w:rtl/>
        </w:rPr>
        <w:t>حزيران/</w:t>
      </w:r>
      <w:proofErr w:type="gramStart"/>
      <w:r w:rsidRPr="00F92844">
        <w:rPr>
          <w:spacing w:val="-4"/>
          <w:rtl/>
        </w:rPr>
        <w:t>يونيه</w:t>
      </w:r>
      <w:proofErr w:type="gramEnd"/>
      <w:r w:rsidRPr="00F92844">
        <w:rPr>
          <w:spacing w:val="-4"/>
          <w:rtl/>
        </w:rPr>
        <w:t xml:space="preserve"> </w:t>
      </w:r>
      <w:r w:rsidRPr="00350F98">
        <w:rPr>
          <w:spacing w:val="-4"/>
          <w:rtl/>
        </w:rPr>
        <w:t>2005</w:t>
      </w:r>
      <w:r w:rsidRPr="00F92844">
        <w:rPr>
          <w:spacing w:val="-4"/>
          <w:rtl/>
        </w:rPr>
        <w:t>.</w:t>
      </w:r>
    </w:p>
  </w:footnote>
  <w:footnote w:id="8">
    <w:p w14:paraId="042C0D39" w14:textId="3532DE2E"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المحكمة الأوروبية لحقوق الإنسان، الحكم في قضية </w:t>
      </w:r>
      <w:proofErr w:type="spellStart"/>
      <w:proofErr w:type="gramStart"/>
      <w:r w:rsidRPr="00D37282">
        <w:rPr>
          <w:i/>
          <w:iCs/>
          <w:rtl/>
        </w:rPr>
        <w:t>دا</w:t>
      </w:r>
      <w:proofErr w:type="spellEnd"/>
      <w:proofErr w:type="gramEnd"/>
      <w:r w:rsidRPr="00D37282">
        <w:rPr>
          <w:i/>
          <w:iCs/>
          <w:rtl/>
        </w:rPr>
        <w:t xml:space="preserve"> لوز </w:t>
      </w:r>
      <w:proofErr w:type="spellStart"/>
      <w:r w:rsidRPr="00D37282">
        <w:rPr>
          <w:i/>
          <w:iCs/>
          <w:rtl/>
        </w:rPr>
        <w:t>دومنغيز</w:t>
      </w:r>
      <w:proofErr w:type="spellEnd"/>
      <w:r w:rsidRPr="00D37282">
        <w:rPr>
          <w:i/>
          <w:iCs/>
          <w:rtl/>
        </w:rPr>
        <w:t xml:space="preserve"> فيريرا ضد بلجيكا</w:t>
      </w:r>
      <w:r w:rsidRPr="003430AE">
        <w:rPr>
          <w:rFonts w:hint="cs"/>
          <w:rtl/>
        </w:rPr>
        <w:t xml:space="preserve"> (</w:t>
      </w:r>
      <w:proofErr w:type="spellStart"/>
      <w:r w:rsidRPr="003430AE">
        <w:t>arrêt</w:t>
      </w:r>
      <w:proofErr w:type="spellEnd"/>
      <w:r w:rsidRPr="003430AE">
        <w:t xml:space="preserve"> </w:t>
      </w:r>
      <w:r w:rsidRPr="00D37282">
        <w:rPr>
          <w:i/>
          <w:iCs/>
        </w:rPr>
        <w:t xml:space="preserve">Da Luz </w:t>
      </w:r>
      <w:proofErr w:type="spellStart"/>
      <w:r w:rsidRPr="00D37282">
        <w:rPr>
          <w:i/>
          <w:iCs/>
        </w:rPr>
        <w:t>Domingues</w:t>
      </w:r>
      <w:proofErr w:type="spellEnd"/>
      <w:r w:rsidRPr="00D37282">
        <w:rPr>
          <w:i/>
          <w:iCs/>
        </w:rPr>
        <w:t xml:space="preserve"> Ferreira c. Belgique</w:t>
      </w:r>
      <w:r w:rsidRPr="003430AE">
        <w:rPr>
          <w:rFonts w:hint="cs"/>
          <w:rtl/>
        </w:rPr>
        <w:t>)</w:t>
      </w:r>
      <w:r w:rsidRPr="003430AE">
        <w:rPr>
          <w:rtl/>
        </w:rPr>
        <w:t xml:space="preserve">، </w:t>
      </w:r>
      <w:r w:rsidRPr="00350F98">
        <w:rPr>
          <w:rtl/>
        </w:rPr>
        <w:t>24</w:t>
      </w:r>
      <w:r w:rsidRPr="003430AE">
        <w:rPr>
          <w:rtl/>
        </w:rPr>
        <w:t xml:space="preserve"> أيار/مايو </w:t>
      </w:r>
      <w:r w:rsidRPr="00350F98">
        <w:rPr>
          <w:rtl/>
        </w:rPr>
        <w:t>2007</w:t>
      </w:r>
      <w:r w:rsidRPr="003430AE">
        <w:rPr>
          <w:rtl/>
        </w:rPr>
        <w:t>.</w:t>
      </w:r>
    </w:p>
  </w:footnote>
  <w:footnote w:id="9">
    <w:p w14:paraId="2903FF5A" w14:textId="6C64FD32"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اتفاق التعاون المؤرخ </w:t>
      </w:r>
      <w:r w:rsidRPr="00350F98">
        <w:rPr>
          <w:rtl/>
        </w:rPr>
        <w:t>12</w:t>
      </w:r>
      <w:r w:rsidRPr="003430AE">
        <w:rPr>
          <w:rtl/>
        </w:rPr>
        <w:t xml:space="preserve"> حزيران/</w:t>
      </w:r>
      <w:proofErr w:type="gramStart"/>
      <w:r w:rsidRPr="003430AE">
        <w:rPr>
          <w:rtl/>
        </w:rPr>
        <w:t>يونيه</w:t>
      </w:r>
      <w:proofErr w:type="gramEnd"/>
      <w:r w:rsidRPr="003430AE">
        <w:rPr>
          <w:rtl/>
        </w:rPr>
        <w:t xml:space="preserve"> </w:t>
      </w:r>
      <w:r w:rsidRPr="00350F98">
        <w:rPr>
          <w:rtl/>
        </w:rPr>
        <w:t>2013</w:t>
      </w:r>
      <w:r w:rsidRPr="003430AE">
        <w:rPr>
          <w:rtl/>
        </w:rPr>
        <w:t xml:space="preserve"> بين السلطة الاتحادية والمناطق والجماعات المتعلق بإنشاء مركز مشترك على الصعيد الاتحادي معني بتكافؤ الفرص ومكافحة العنصرية وشتى أنواع التمييز في شكل مؤسسة مشتركة بالمعنى المقصود في المادة </w:t>
      </w:r>
      <w:r w:rsidRPr="00350F98">
        <w:rPr>
          <w:rtl/>
        </w:rPr>
        <w:t>92</w:t>
      </w:r>
      <w:r w:rsidRPr="003430AE">
        <w:rPr>
          <w:rtl/>
        </w:rPr>
        <w:t xml:space="preserve"> مكررا</w:t>
      </w:r>
      <w:r w:rsidRPr="003430AE">
        <w:rPr>
          <w:rFonts w:hint="cs"/>
          <w:rtl/>
        </w:rPr>
        <w:t>ً</w:t>
      </w:r>
      <w:r w:rsidRPr="003430AE">
        <w:rPr>
          <w:rtl/>
        </w:rPr>
        <w:t xml:space="preserve"> من القانون الخاص </w:t>
      </w:r>
      <w:r w:rsidRPr="003430AE">
        <w:rPr>
          <w:rFonts w:hint="cs"/>
          <w:rtl/>
        </w:rPr>
        <w:t>المتعلق</w:t>
      </w:r>
      <w:r w:rsidRPr="003430AE">
        <w:rPr>
          <w:rtl/>
        </w:rPr>
        <w:t xml:space="preserve"> </w:t>
      </w:r>
      <w:r w:rsidRPr="003430AE">
        <w:rPr>
          <w:rFonts w:hint="cs"/>
          <w:rtl/>
        </w:rPr>
        <w:t>ب</w:t>
      </w:r>
      <w:r w:rsidRPr="003430AE">
        <w:rPr>
          <w:rtl/>
        </w:rPr>
        <w:t>الإصلاحات المؤسسية المؤرخ</w:t>
      </w:r>
      <w:r w:rsidRPr="003430AE">
        <w:rPr>
          <w:rFonts w:hint="eastAsia"/>
          <w:rtl/>
        </w:rPr>
        <w:t> </w:t>
      </w:r>
      <w:r w:rsidRPr="00350F98">
        <w:rPr>
          <w:rtl/>
        </w:rPr>
        <w:t>8</w:t>
      </w:r>
      <w:r w:rsidRPr="003430AE">
        <w:rPr>
          <w:rtl/>
        </w:rPr>
        <w:t xml:space="preserve"> آب/أغسطس </w:t>
      </w:r>
      <w:r w:rsidRPr="00350F98">
        <w:rPr>
          <w:rtl/>
        </w:rPr>
        <w:t>1980</w:t>
      </w:r>
      <w:r w:rsidRPr="003430AE">
        <w:rPr>
          <w:rtl/>
        </w:rPr>
        <w:t>.</w:t>
      </w:r>
    </w:p>
  </w:footnote>
  <w:footnote w:id="10">
    <w:p w14:paraId="1967E9A7"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فيما يتعلق بالمساعدة المقدمة للضحايا، للمعهد اختصاص</w:t>
      </w:r>
      <w:r w:rsidRPr="003430AE">
        <w:rPr>
          <w:rFonts w:hint="cs"/>
          <w:rtl/>
        </w:rPr>
        <w:t>ٌ</w:t>
      </w:r>
      <w:r w:rsidRPr="003430AE">
        <w:rPr>
          <w:rtl/>
        </w:rPr>
        <w:t xml:space="preserve"> على المستوى الاتحادي ومستوى الكيانات الموحدة، باستثناء الجماعة الناطقة باللغة الفلمنكية.</w:t>
      </w:r>
    </w:p>
  </w:footnote>
  <w:footnote w:id="11">
    <w:p w14:paraId="427B69DC" w14:textId="692C14B4"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للمعهد اختصاص اتحادي وقد أبرمت معه الجماعة الفرنسية (</w:t>
      </w:r>
      <w:r w:rsidRPr="00350F98">
        <w:rPr>
          <w:rtl/>
        </w:rPr>
        <w:t>2008</w:t>
      </w:r>
      <w:r w:rsidRPr="003430AE">
        <w:rPr>
          <w:rtl/>
        </w:rPr>
        <w:t>)، والمنطقة الوالونية (</w:t>
      </w:r>
      <w:r w:rsidRPr="00350F98">
        <w:rPr>
          <w:rtl/>
        </w:rPr>
        <w:t>2009</w:t>
      </w:r>
      <w:r w:rsidRPr="003430AE">
        <w:rPr>
          <w:rtl/>
        </w:rPr>
        <w:t>) ولجنة الجماعة الفرنسية (</w:t>
      </w:r>
      <w:r w:rsidRPr="00350F98">
        <w:rPr>
          <w:rtl/>
        </w:rPr>
        <w:t>2013</w:t>
      </w:r>
      <w:r w:rsidRPr="003430AE">
        <w:rPr>
          <w:rtl/>
        </w:rPr>
        <w:t>)، والجماعة الناطقة باللغة الألمانية (</w:t>
      </w:r>
      <w:r w:rsidRPr="00350F98">
        <w:rPr>
          <w:rtl/>
        </w:rPr>
        <w:t>2016</w:t>
      </w:r>
      <w:r w:rsidRPr="003430AE">
        <w:rPr>
          <w:rtl/>
        </w:rPr>
        <w:t>)</w:t>
      </w:r>
      <w:r w:rsidRPr="003430AE">
        <w:rPr>
          <w:rFonts w:hint="cs"/>
          <w:rtl/>
        </w:rPr>
        <w:t>،</w:t>
      </w:r>
      <w:r w:rsidRPr="003430AE">
        <w:rPr>
          <w:rtl/>
        </w:rPr>
        <w:t xml:space="preserve"> ومنطقة العاصمة بروكسل (</w:t>
      </w:r>
      <w:r w:rsidRPr="00350F98">
        <w:rPr>
          <w:rtl/>
        </w:rPr>
        <w:t>2016</w:t>
      </w:r>
      <w:r w:rsidRPr="003430AE">
        <w:rPr>
          <w:rtl/>
        </w:rPr>
        <w:t>) بروتوكولات تعاون منحته صلاحية معالجة الحالات الفردية المتعلقة بالتمييز القائم على أساس الجنس، وإعلام الجماهير وتوعيتها، وال</w:t>
      </w:r>
      <w:r w:rsidRPr="003430AE">
        <w:rPr>
          <w:rFonts w:hint="cs"/>
          <w:rtl/>
        </w:rPr>
        <w:t>ا</w:t>
      </w:r>
      <w:r w:rsidRPr="003430AE">
        <w:rPr>
          <w:rtl/>
        </w:rPr>
        <w:t>ضطلاع بتدريب الموظفين، وتقديم الآراء والتوصيات للسلطات المجتمعية والإقليمية. ويرتبط المعهد أيضا</w:t>
      </w:r>
      <w:r w:rsidRPr="003430AE">
        <w:rPr>
          <w:rFonts w:hint="cs"/>
          <w:rtl/>
        </w:rPr>
        <w:t>ً</w:t>
      </w:r>
      <w:r w:rsidRPr="003430AE">
        <w:rPr>
          <w:rtl/>
        </w:rPr>
        <w:t xml:space="preserve">، منذ عام </w:t>
      </w:r>
      <w:r w:rsidRPr="00350F98">
        <w:rPr>
          <w:rtl/>
        </w:rPr>
        <w:t>2014</w:t>
      </w:r>
      <w:r w:rsidRPr="003430AE">
        <w:rPr>
          <w:rtl/>
        </w:rPr>
        <w:t xml:space="preserve">، </w:t>
      </w:r>
      <w:proofErr w:type="spellStart"/>
      <w:r w:rsidRPr="003430AE">
        <w:rPr>
          <w:rtl/>
        </w:rPr>
        <w:t>بأكتيريس</w:t>
      </w:r>
      <w:proofErr w:type="spellEnd"/>
      <w:r w:rsidRPr="003430AE">
        <w:rPr>
          <w:rtl/>
        </w:rPr>
        <w:t xml:space="preserve"> (مكتب بروكسل الإقليمي للعمل) بموجب اتفاق شراكة. </w:t>
      </w:r>
      <w:r w:rsidRPr="003430AE">
        <w:rPr>
          <w:rFonts w:hint="cs"/>
          <w:rtl/>
        </w:rPr>
        <w:t xml:space="preserve">وتتولى </w:t>
      </w:r>
      <w:r w:rsidRPr="003430AE">
        <w:rPr>
          <w:rtl/>
        </w:rPr>
        <w:t>غرفة الشؤون الجنسانية ب</w:t>
      </w:r>
      <w:r w:rsidRPr="003430AE">
        <w:rPr>
          <w:rFonts w:hint="cs"/>
          <w:rtl/>
        </w:rPr>
        <w:t xml:space="preserve">مكتب أمين المظالم </w:t>
      </w:r>
      <w:r w:rsidRPr="003430AE">
        <w:rPr>
          <w:rtl/>
        </w:rPr>
        <w:t>الفلمنك</w:t>
      </w:r>
      <w:r w:rsidRPr="003430AE">
        <w:rPr>
          <w:rFonts w:hint="cs"/>
          <w:rtl/>
        </w:rPr>
        <w:t>ي</w:t>
      </w:r>
      <w:r w:rsidRPr="003430AE">
        <w:rPr>
          <w:rtl/>
        </w:rPr>
        <w:t xml:space="preserve"> مسؤول</w:t>
      </w:r>
      <w:r w:rsidRPr="003430AE">
        <w:rPr>
          <w:rFonts w:hint="cs"/>
          <w:rtl/>
        </w:rPr>
        <w:t>ي</w:t>
      </w:r>
      <w:r w:rsidRPr="003430AE">
        <w:rPr>
          <w:rtl/>
        </w:rPr>
        <w:t xml:space="preserve">ة ضمان وتعزيز المساواة بين الرجل والمرأة ومكافحة جميع أشكال التمييز واللامساواة القائمة على الانتماء الجنساني، (الانتماء الجنساني بما في ذلك الجنس والهوية الجنسانية والتعبير الجنساني) </w:t>
      </w:r>
      <w:r w:rsidRPr="003430AE">
        <w:rPr>
          <w:rFonts w:hint="cs"/>
          <w:rtl/>
        </w:rPr>
        <w:t>وذلك في إطار</w:t>
      </w:r>
      <w:r w:rsidRPr="003430AE">
        <w:rPr>
          <w:rtl/>
        </w:rPr>
        <w:t xml:space="preserve"> اختصاص </w:t>
      </w:r>
      <w:r w:rsidRPr="003430AE">
        <w:rPr>
          <w:rFonts w:hint="cs"/>
          <w:rtl/>
        </w:rPr>
        <w:t>المنطقة الفلمنكية</w:t>
      </w:r>
      <w:r w:rsidRPr="003430AE">
        <w:rPr>
          <w:rtl/>
        </w:rPr>
        <w:t xml:space="preserve"> والجماعة الفلمن</w:t>
      </w:r>
      <w:r w:rsidRPr="003430AE">
        <w:rPr>
          <w:rFonts w:hint="cs"/>
          <w:rtl/>
        </w:rPr>
        <w:t>ك</w:t>
      </w:r>
      <w:r w:rsidRPr="003430AE">
        <w:rPr>
          <w:rtl/>
        </w:rPr>
        <w:t>ية. وتقدم الغرفة التوصيات إلى السلطات العامة، وتتولى تنظيم الدعم المقدم للرابطات النشطة في هذا المجال، ويمكنها رفع الدعاوى في المنازعات المتعلقة بالمساواة بين الرجل والمرأة.</w:t>
      </w:r>
    </w:p>
  </w:footnote>
  <w:footnote w:id="12">
    <w:p w14:paraId="1398ED9F"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في السابق، كانت للجنة المعنية بحماية الحياة الخاصة صلاحية الإشعار وليس الرقابة.</w:t>
      </w:r>
    </w:p>
  </w:footnote>
  <w:footnote w:id="13">
    <w:p w14:paraId="6CE0B849"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قانون </w:t>
      </w:r>
      <w:r w:rsidRPr="00350F98">
        <w:rPr>
          <w:rtl/>
        </w:rPr>
        <w:t>1</w:t>
      </w:r>
      <w:r w:rsidRPr="003430AE">
        <w:rPr>
          <w:rtl/>
        </w:rPr>
        <w:t xml:space="preserve"> أيار/مايو </w:t>
      </w:r>
      <w:r w:rsidRPr="00350F98">
        <w:rPr>
          <w:rtl/>
        </w:rPr>
        <w:t>2006</w:t>
      </w:r>
      <w:r w:rsidRPr="003430AE">
        <w:rPr>
          <w:rtl/>
        </w:rPr>
        <w:t xml:space="preserve"> الذي يتضمن الموافقة على اتفاق التعاون بين الدولة والجماعة الفلمنكية والمنطقة الفلمنكية، والجماعة الفرنسية، والمنطقة الوالونية، والجماعة الناطقة باللغة الألمانية، ومنطقة العاصمة بروكسل، ولجنة الجماعات المشتركة</w:t>
      </w:r>
      <w:r w:rsidRPr="003430AE">
        <w:rPr>
          <w:rFonts w:hint="cs"/>
          <w:rtl/>
        </w:rPr>
        <w:t>،</w:t>
      </w:r>
      <w:r w:rsidRPr="003430AE">
        <w:rPr>
          <w:rtl/>
        </w:rPr>
        <w:t xml:space="preserve"> ولجنة الجماعات الفرنسية</w:t>
      </w:r>
      <w:r w:rsidRPr="003430AE">
        <w:rPr>
          <w:rFonts w:hint="cs"/>
          <w:rtl/>
        </w:rPr>
        <w:t>،</w:t>
      </w:r>
      <w:r w:rsidRPr="003430AE">
        <w:rPr>
          <w:rtl/>
        </w:rPr>
        <w:t xml:space="preserve"> المتعلق بإحداث لجنة وطنية لحقوق الطفل، </w:t>
      </w:r>
      <w:r w:rsidRPr="003430AE">
        <w:rPr>
          <w:rFonts w:hint="cs"/>
          <w:rtl/>
        </w:rPr>
        <w:t>و</w:t>
      </w:r>
      <w:r w:rsidRPr="003430AE">
        <w:rPr>
          <w:rtl/>
        </w:rPr>
        <w:t xml:space="preserve">المؤرخ في </w:t>
      </w:r>
      <w:r w:rsidRPr="00350F98">
        <w:rPr>
          <w:rtl/>
        </w:rPr>
        <w:t>19</w:t>
      </w:r>
      <w:r w:rsidRPr="003430AE">
        <w:rPr>
          <w:rFonts w:hint="cs"/>
          <w:rtl/>
        </w:rPr>
        <w:t> </w:t>
      </w:r>
      <w:r w:rsidRPr="003430AE">
        <w:rPr>
          <w:rtl/>
        </w:rPr>
        <w:t xml:space="preserve">أيلول/سبتمبر </w:t>
      </w:r>
      <w:r w:rsidRPr="00350F98">
        <w:rPr>
          <w:rtl/>
        </w:rPr>
        <w:t>2005</w:t>
      </w:r>
      <w:r w:rsidRPr="003430AE">
        <w:rPr>
          <w:rtl/>
        </w:rPr>
        <w:t xml:space="preserve"> (الجريدة الرسمية البلجيكية، </w:t>
      </w:r>
      <w:r w:rsidRPr="00350F98">
        <w:rPr>
          <w:rtl/>
        </w:rPr>
        <w:t>10</w:t>
      </w:r>
      <w:r w:rsidRPr="003430AE">
        <w:rPr>
          <w:rtl/>
        </w:rPr>
        <w:t xml:space="preserve"> تشرين الثاني/نوفمبر </w:t>
      </w:r>
      <w:r w:rsidRPr="00350F98">
        <w:rPr>
          <w:rtl/>
        </w:rPr>
        <w:t>2006</w:t>
      </w:r>
      <w:r w:rsidRPr="003430AE">
        <w:rPr>
          <w:rtl/>
        </w:rPr>
        <w:t>).</w:t>
      </w:r>
    </w:p>
  </w:footnote>
  <w:footnote w:id="14">
    <w:p w14:paraId="040ACC53"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المرسوم المتعلق بإنشاء المفوضية العامة لحقوق الطفل وبإحداث وظيفة </w:t>
      </w:r>
      <w:r w:rsidRPr="003430AE">
        <w:rPr>
          <w:rFonts w:hint="cs"/>
          <w:rtl/>
        </w:rPr>
        <w:t>"</w:t>
      </w:r>
      <w:r w:rsidRPr="003430AE">
        <w:rPr>
          <w:rtl/>
        </w:rPr>
        <w:t>مفوّض معني بحقوق الطفل</w:t>
      </w:r>
      <w:r w:rsidRPr="003430AE">
        <w:rPr>
          <w:rFonts w:hint="cs"/>
          <w:rtl/>
        </w:rPr>
        <w:t>"</w:t>
      </w:r>
      <w:r w:rsidRPr="003430AE">
        <w:rPr>
          <w:rtl/>
        </w:rPr>
        <w:t xml:space="preserve"> (الجريدة الرسمية البلجيكية، </w:t>
      </w:r>
      <w:r w:rsidRPr="00350F98">
        <w:rPr>
          <w:rtl/>
        </w:rPr>
        <w:t>7</w:t>
      </w:r>
      <w:r w:rsidRPr="003430AE">
        <w:rPr>
          <w:rtl/>
        </w:rPr>
        <w:t xml:space="preserve"> تشرين الأول/أكتوبر </w:t>
      </w:r>
      <w:r w:rsidRPr="00350F98">
        <w:rPr>
          <w:rtl/>
        </w:rPr>
        <w:t>1997</w:t>
      </w:r>
      <w:r w:rsidRPr="003430AE">
        <w:rPr>
          <w:rtl/>
        </w:rPr>
        <w:t>).</w:t>
      </w:r>
    </w:p>
  </w:footnote>
  <w:footnote w:id="15">
    <w:p w14:paraId="2D4D2CBF"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أعضاء هذا المنبر هم: اللجنة الدائمة لمراقبة دوائر الشرطة، والهيئة المعنية بحماية البيانات، و</w:t>
      </w:r>
      <w:r w:rsidRPr="003430AE">
        <w:rPr>
          <w:rFonts w:hint="cs"/>
          <w:rtl/>
        </w:rPr>
        <w:t xml:space="preserve">مركز </w:t>
      </w:r>
      <w:r w:rsidRPr="003430AE">
        <w:rPr>
          <w:rtl/>
        </w:rPr>
        <w:t xml:space="preserve">أونيا، وأمينة المظالم الفلمنكية المعنية بالشؤون الجنسانية، ودائرة مكافحة الفقر والضعف والاستبعاد الاجتماعي، وأمين المظالم الاتحادي، ولجنة الاستخبارات، </w:t>
      </w:r>
      <w:proofErr w:type="spellStart"/>
      <w:r w:rsidRPr="003430AE">
        <w:rPr>
          <w:rtl/>
        </w:rPr>
        <w:t>وميريا</w:t>
      </w:r>
      <w:proofErr w:type="spellEnd"/>
      <w:r w:rsidRPr="003430AE">
        <w:rPr>
          <w:rtl/>
        </w:rPr>
        <w:t>، والمجلس الأعلى للقضاء، وأمينة المظالم للجماعة</w:t>
      </w:r>
      <w:r w:rsidRPr="003430AE">
        <w:rPr>
          <w:rFonts w:hint="cs"/>
          <w:rtl/>
        </w:rPr>
        <w:t xml:space="preserve"> </w:t>
      </w:r>
      <w:r w:rsidRPr="003430AE">
        <w:rPr>
          <w:rtl/>
        </w:rPr>
        <w:t>الناطقة باللغة الألمانية، و</w:t>
      </w:r>
      <w:r w:rsidRPr="003430AE">
        <w:rPr>
          <w:rFonts w:hint="cs"/>
          <w:rtl/>
        </w:rPr>
        <w:t xml:space="preserve">هيئة </w:t>
      </w:r>
      <w:r w:rsidRPr="003430AE">
        <w:rPr>
          <w:rtl/>
        </w:rPr>
        <w:t xml:space="preserve">أمناء المظالم الاتحادية، ومعهد المساواة بين المرأة والرجل، واللجنة الوطنية لحقوق الطفل، والمجلس المركزي للإشراف على السجون، والمندوب العام لحقوق الطفل، ولجنة حقوق الطفل، وأمين المظالم </w:t>
      </w:r>
      <w:r w:rsidRPr="003430AE">
        <w:rPr>
          <w:rFonts w:hint="cs"/>
          <w:rtl/>
        </w:rPr>
        <w:t xml:space="preserve">للمنطقة </w:t>
      </w:r>
      <w:proofErr w:type="spellStart"/>
      <w:r w:rsidRPr="003430AE">
        <w:rPr>
          <w:rFonts w:hint="cs"/>
          <w:rtl/>
        </w:rPr>
        <w:t>الوالونية</w:t>
      </w:r>
      <w:proofErr w:type="spellEnd"/>
      <w:r w:rsidRPr="003430AE">
        <w:rPr>
          <w:rtl/>
        </w:rPr>
        <w:t xml:space="preserve"> ولاتحاد </w:t>
      </w:r>
      <w:proofErr w:type="spellStart"/>
      <w:r w:rsidRPr="003430AE">
        <w:rPr>
          <w:rtl/>
        </w:rPr>
        <w:t>والون</w:t>
      </w:r>
      <w:r w:rsidRPr="003430AE">
        <w:rPr>
          <w:rFonts w:hint="cs"/>
          <w:rtl/>
        </w:rPr>
        <w:t>يا</w:t>
      </w:r>
      <w:proofErr w:type="spellEnd"/>
      <w:r w:rsidRPr="003430AE">
        <w:rPr>
          <w:rFonts w:hint="cs"/>
          <w:rtl/>
        </w:rPr>
        <w:t xml:space="preserve"> </w:t>
      </w:r>
      <w:r w:rsidRPr="003430AE">
        <w:rPr>
          <w:rtl/>
        </w:rPr>
        <w:t>-</w:t>
      </w:r>
      <w:r w:rsidRPr="003430AE">
        <w:rPr>
          <w:rFonts w:hint="cs"/>
          <w:rtl/>
        </w:rPr>
        <w:t xml:space="preserve"> </w:t>
      </w:r>
      <w:r w:rsidRPr="003430AE">
        <w:rPr>
          <w:rtl/>
        </w:rPr>
        <w:t>بروكسل.</w:t>
      </w:r>
    </w:p>
  </w:footnote>
  <w:footnote w:id="16">
    <w:p w14:paraId="04BA75C1" w14:textId="55387CCE"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قانون </w:t>
      </w:r>
      <w:r w:rsidRPr="00350F98">
        <w:rPr>
          <w:rtl/>
        </w:rPr>
        <w:t>22</w:t>
      </w:r>
      <w:r w:rsidRPr="003430AE">
        <w:rPr>
          <w:rtl/>
        </w:rPr>
        <w:t xml:space="preserve"> أيار/مايو </w:t>
      </w:r>
      <w:r w:rsidRPr="00350F98">
        <w:rPr>
          <w:rtl/>
        </w:rPr>
        <w:t>2014</w:t>
      </w:r>
      <w:r w:rsidRPr="003430AE">
        <w:rPr>
          <w:rtl/>
        </w:rPr>
        <w:t xml:space="preserve"> الرامي إلى مكافحة التحيز الجنساني في الأماكن العامة، المعدل لقانون </w:t>
      </w:r>
      <w:r w:rsidRPr="00350F98">
        <w:rPr>
          <w:rtl/>
        </w:rPr>
        <w:t>10</w:t>
      </w:r>
      <w:r w:rsidRPr="003430AE">
        <w:rPr>
          <w:rtl/>
        </w:rPr>
        <w:t xml:space="preserve"> أيار/مايو </w:t>
      </w:r>
      <w:r w:rsidRPr="00350F98">
        <w:rPr>
          <w:rtl/>
        </w:rPr>
        <w:t>2007</w:t>
      </w:r>
      <w:r w:rsidRPr="003430AE">
        <w:rPr>
          <w:rtl/>
        </w:rPr>
        <w:t xml:space="preserve"> الرامي إلى مكافحة التمييز بين المرأة والرجل بهدف المعاقبة على أعمال التمييز</w:t>
      </w:r>
      <w:r w:rsidRPr="003430AE">
        <w:rPr>
          <w:rFonts w:hint="cs"/>
          <w:rtl/>
        </w:rPr>
        <w:t>.</w:t>
      </w:r>
    </w:p>
  </w:footnote>
  <w:footnote w:id="17">
    <w:p w14:paraId="004422D7" w14:textId="4E3D1F6F"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قانون </w:t>
      </w:r>
      <w:r w:rsidRPr="00350F98">
        <w:rPr>
          <w:rtl/>
        </w:rPr>
        <w:t>5</w:t>
      </w:r>
      <w:r w:rsidRPr="003430AE">
        <w:rPr>
          <w:rtl/>
        </w:rPr>
        <w:t xml:space="preserve"> أيار/مايو </w:t>
      </w:r>
      <w:r w:rsidRPr="00350F98">
        <w:rPr>
          <w:rtl/>
        </w:rPr>
        <w:t>2014</w:t>
      </w:r>
      <w:r w:rsidRPr="003430AE">
        <w:rPr>
          <w:rtl/>
        </w:rPr>
        <w:t xml:space="preserve"> المتعلق بعلاقة البُنوّة مع الوالدة الشريكة في الحياة، الجريدة الرسمية البلجيكية، </w:t>
      </w:r>
      <w:r w:rsidRPr="00350F98">
        <w:rPr>
          <w:rtl/>
        </w:rPr>
        <w:t>7</w:t>
      </w:r>
      <w:r w:rsidRPr="003430AE">
        <w:rPr>
          <w:rtl/>
        </w:rPr>
        <w:t xml:space="preserve"> تموز/يوليه </w:t>
      </w:r>
      <w:r w:rsidRPr="00350F98">
        <w:rPr>
          <w:rtl/>
        </w:rPr>
        <w:t>2014</w:t>
      </w:r>
      <w:r w:rsidRPr="003430AE">
        <w:rPr>
          <w:rtl/>
        </w:rPr>
        <w:t>.</w:t>
      </w:r>
    </w:p>
  </w:footnote>
  <w:footnote w:id="18">
    <w:p w14:paraId="50F94EA6" w14:textId="39C1532C" w:rsidR="00297A84" w:rsidRPr="009C5CFC" w:rsidRDefault="00297A84" w:rsidP="003430AE">
      <w:pPr>
        <w:pStyle w:val="FootnoteText1"/>
        <w:rPr>
          <w:spacing w:val="2"/>
          <w:rtl/>
        </w:rPr>
      </w:pPr>
      <w:r w:rsidRPr="009C5CFC">
        <w:rPr>
          <w:spacing w:val="2"/>
          <w:rtl/>
        </w:rPr>
        <w:t>(</w:t>
      </w:r>
      <w:r w:rsidRPr="00350F98">
        <w:rPr>
          <w:spacing w:val="2"/>
        </w:rPr>
        <w:footnoteRef/>
      </w:r>
      <w:r w:rsidRPr="009C5CFC">
        <w:rPr>
          <w:spacing w:val="2"/>
          <w:rtl/>
        </w:rPr>
        <w:t>)</w:t>
      </w:r>
      <w:r w:rsidRPr="009C5CFC">
        <w:rPr>
          <w:spacing w:val="2"/>
          <w:rtl/>
        </w:rPr>
        <w:tab/>
        <w:t xml:space="preserve">المرسوم المؤرخ </w:t>
      </w:r>
      <w:r w:rsidRPr="00350F98">
        <w:rPr>
          <w:spacing w:val="2"/>
          <w:rtl/>
        </w:rPr>
        <w:t>28</w:t>
      </w:r>
      <w:r w:rsidRPr="009C5CFC">
        <w:rPr>
          <w:spacing w:val="2"/>
          <w:rtl/>
        </w:rPr>
        <w:t xml:space="preserve"> آذار/مارس </w:t>
      </w:r>
      <w:r w:rsidRPr="00350F98">
        <w:rPr>
          <w:spacing w:val="2"/>
          <w:rtl/>
        </w:rPr>
        <w:t>2014</w:t>
      </w:r>
      <w:r w:rsidRPr="009C5CFC">
        <w:rPr>
          <w:spacing w:val="2"/>
          <w:rtl/>
        </w:rPr>
        <w:t xml:space="preserve"> المعدل للمرسوم المؤرخ </w:t>
      </w:r>
      <w:r w:rsidRPr="00350F98">
        <w:rPr>
          <w:spacing w:val="2"/>
          <w:rtl/>
        </w:rPr>
        <w:t>13</w:t>
      </w:r>
      <w:r w:rsidRPr="009C5CFC">
        <w:rPr>
          <w:spacing w:val="2"/>
          <w:rtl/>
        </w:rPr>
        <w:t xml:space="preserve"> تموز/يوليه </w:t>
      </w:r>
      <w:r w:rsidRPr="00350F98">
        <w:rPr>
          <w:spacing w:val="2"/>
          <w:rtl/>
        </w:rPr>
        <w:t>2007</w:t>
      </w:r>
      <w:r w:rsidRPr="009C5CFC">
        <w:rPr>
          <w:spacing w:val="2"/>
          <w:rtl/>
        </w:rPr>
        <w:t xml:space="preserve"> المتعلق بتشجيع المزيد من التوازن في</w:t>
      </w:r>
      <w:r>
        <w:rPr>
          <w:rFonts w:hint="cs"/>
          <w:spacing w:val="2"/>
          <w:rtl/>
        </w:rPr>
        <w:t> </w:t>
      </w:r>
      <w:r w:rsidRPr="009C5CFC">
        <w:rPr>
          <w:spacing w:val="2"/>
          <w:rtl/>
        </w:rPr>
        <w:t xml:space="preserve">تمثيل الرجال والنساء في الهيئات الاستشارية والإدارية للسلطة الفلمنكية، والمرسوم المؤرخ </w:t>
      </w:r>
      <w:r w:rsidRPr="00350F98">
        <w:rPr>
          <w:spacing w:val="2"/>
          <w:rtl/>
        </w:rPr>
        <w:t>10</w:t>
      </w:r>
      <w:r w:rsidRPr="009C5CFC">
        <w:rPr>
          <w:spacing w:val="2"/>
          <w:rtl/>
        </w:rPr>
        <w:t xml:space="preserve"> تموز/يوليه </w:t>
      </w:r>
      <w:r w:rsidRPr="00350F98">
        <w:rPr>
          <w:spacing w:val="2"/>
          <w:rtl/>
        </w:rPr>
        <w:t>2008</w:t>
      </w:r>
      <w:r w:rsidRPr="009C5CFC">
        <w:rPr>
          <w:spacing w:val="2"/>
          <w:rtl/>
        </w:rPr>
        <w:t xml:space="preserve"> المتعلق</w:t>
      </w:r>
      <w:r>
        <w:rPr>
          <w:rFonts w:hint="cs"/>
          <w:spacing w:val="2"/>
          <w:rtl/>
        </w:rPr>
        <w:t> </w:t>
      </w:r>
      <w:r w:rsidRPr="009C5CFC">
        <w:rPr>
          <w:spacing w:val="2"/>
          <w:rtl/>
        </w:rPr>
        <w:t xml:space="preserve">بإطار السياسة الفلمنكية فيما يخص تكافؤ الفرص والمساواة في المعاملة، وقانون </w:t>
      </w:r>
      <w:r w:rsidRPr="00350F98">
        <w:rPr>
          <w:spacing w:val="2"/>
          <w:rtl/>
        </w:rPr>
        <w:t>22</w:t>
      </w:r>
      <w:r w:rsidRPr="009C5CFC">
        <w:rPr>
          <w:spacing w:val="2"/>
          <w:rtl/>
        </w:rPr>
        <w:t xml:space="preserve"> أيار/مايو </w:t>
      </w:r>
      <w:r w:rsidRPr="00350F98">
        <w:rPr>
          <w:spacing w:val="2"/>
          <w:rtl/>
        </w:rPr>
        <w:t>2014</w:t>
      </w:r>
      <w:r w:rsidRPr="009C5CFC">
        <w:rPr>
          <w:spacing w:val="2"/>
          <w:rtl/>
        </w:rPr>
        <w:t xml:space="preserve"> المعدل لقانون</w:t>
      </w:r>
      <w:r>
        <w:rPr>
          <w:rFonts w:hint="cs"/>
          <w:spacing w:val="2"/>
          <w:rtl/>
        </w:rPr>
        <w:t> </w:t>
      </w:r>
      <w:r w:rsidRPr="00350F98">
        <w:rPr>
          <w:spacing w:val="2"/>
          <w:rtl/>
        </w:rPr>
        <w:t>10</w:t>
      </w:r>
      <w:r w:rsidRPr="009C5CFC">
        <w:rPr>
          <w:rFonts w:hint="cs"/>
          <w:spacing w:val="2"/>
          <w:rtl/>
        </w:rPr>
        <w:t> </w:t>
      </w:r>
      <w:r w:rsidRPr="009C5CFC">
        <w:rPr>
          <w:spacing w:val="2"/>
          <w:rtl/>
        </w:rPr>
        <w:t xml:space="preserve">أيار/مايو </w:t>
      </w:r>
      <w:r w:rsidRPr="00350F98">
        <w:rPr>
          <w:spacing w:val="2"/>
          <w:rtl/>
        </w:rPr>
        <w:t>2007</w:t>
      </w:r>
      <w:r w:rsidRPr="009C5CFC">
        <w:rPr>
          <w:spacing w:val="2"/>
          <w:rtl/>
        </w:rPr>
        <w:t xml:space="preserve"> المتعلق بمكافحة التمييز بين المرأة والرجل، والمرسوم المؤرخ </w:t>
      </w:r>
      <w:r w:rsidRPr="00350F98">
        <w:rPr>
          <w:spacing w:val="2"/>
          <w:rtl/>
        </w:rPr>
        <w:t>13</w:t>
      </w:r>
      <w:r w:rsidRPr="009C5CFC">
        <w:rPr>
          <w:spacing w:val="2"/>
          <w:rtl/>
        </w:rPr>
        <w:t xml:space="preserve"> تشرين الثاني/نوفمبر </w:t>
      </w:r>
      <w:r w:rsidRPr="00350F98">
        <w:rPr>
          <w:spacing w:val="2"/>
          <w:rtl/>
        </w:rPr>
        <w:t>2015</w:t>
      </w:r>
      <w:r w:rsidRPr="009C5CFC">
        <w:rPr>
          <w:spacing w:val="2"/>
          <w:rtl/>
        </w:rPr>
        <w:t xml:space="preserve"> المعدل للمرسوم المؤرخ </w:t>
      </w:r>
      <w:r w:rsidRPr="00350F98">
        <w:rPr>
          <w:spacing w:val="2"/>
          <w:rtl/>
        </w:rPr>
        <w:t>12</w:t>
      </w:r>
      <w:r w:rsidRPr="009C5CFC">
        <w:rPr>
          <w:spacing w:val="2"/>
          <w:rtl/>
        </w:rPr>
        <w:t xml:space="preserve"> كانون الأول/ديسمبر </w:t>
      </w:r>
      <w:r w:rsidRPr="00350F98">
        <w:rPr>
          <w:spacing w:val="2"/>
          <w:rtl/>
        </w:rPr>
        <w:t>2008</w:t>
      </w:r>
      <w:r w:rsidRPr="009C5CFC">
        <w:rPr>
          <w:spacing w:val="2"/>
          <w:rtl/>
        </w:rPr>
        <w:t xml:space="preserve"> المتعلق بمكافحة أشكال معينة من التمييز، والأمر الصادر في </w:t>
      </w:r>
      <w:r w:rsidRPr="00350F98">
        <w:rPr>
          <w:spacing w:val="2"/>
          <w:rtl/>
        </w:rPr>
        <w:t>5</w:t>
      </w:r>
      <w:r w:rsidRPr="009C5CFC">
        <w:rPr>
          <w:spacing w:val="2"/>
          <w:rtl/>
        </w:rPr>
        <w:t xml:space="preserve"> تشرين الأول/أكتوبر </w:t>
      </w:r>
      <w:r w:rsidRPr="00350F98">
        <w:rPr>
          <w:spacing w:val="2"/>
          <w:rtl/>
        </w:rPr>
        <w:t>2017</w:t>
      </w:r>
      <w:r w:rsidRPr="009C5CFC">
        <w:rPr>
          <w:spacing w:val="2"/>
          <w:rtl/>
        </w:rPr>
        <w:t xml:space="preserve"> الرامي إلى مكافحة أشكال معينة من التمييز وتعزيز المساواة في المعاملة.</w:t>
      </w:r>
    </w:p>
  </w:footnote>
  <w:footnote w:id="19">
    <w:p w14:paraId="074B0728" w14:textId="5ABCEBB3"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قانون </w:t>
      </w:r>
      <w:r w:rsidRPr="00350F98">
        <w:rPr>
          <w:rtl/>
        </w:rPr>
        <w:t>28</w:t>
      </w:r>
      <w:r w:rsidRPr="003430AE">
        <w:rPr>
          <w:rtl/>
        </w:rPr>
        <w:t xml:space="preserve"> شباط/فبراير </w:t>
      </w:r>
      <w:r w:rsidRPr="00350F98">
        <w:rPr>
          <w:rtl/>
        </w:rPr>
        <w:t>2014</w:t>
      </w:r>
      <w:r w:rsidRPr="003430AE">
        <w:rPr>
          <w:rtl/>
        </w:rPr>
        <w:t xml:space="preserve">، المكمل لقانون </w:t>
      </w:r>
      <w:r w:rsidRPr="00350F98">
        <w:rPr>
          <w:rtl/>
        </w:rPr>
        <w:t>4</w:t>
      </w:r>
      <w:r w:rsidRPr="003430AE">
        <w:rPr>
          <w:rtl/>
        </w:rPr>
        <w:t xml:space="preserve"> آب/أغسطس </w:t>
      </w:r>
      <w:r w:rsidRPr="00350F98">
        <w:rPr>
          <w:rtl/>
        </w:rPr>
        <w:t>1996</w:t>
      </w:r>
      <w:r w:rsidRPr="003430AE">
        <w:rPr>
          <w:rtl/>
        </w:rPr>
        <w:t xml:space="preserve"> المتعلق برعاية العمال أثناء الاضطلاع بعملهم فيما يتعلق </w:t>
      </w:r>
      <w:r w:rsidRPr="003430AE">
        <w:rPr>
          <w:rFonts w:hint="cs"/>
          <w:rtl/>
        </w:rPr>
        <w:t>بمنع</w:t>
      </w:r>
      <w:r w:rsidRPr="003430AE">
        <w:rPr>
          <w:rtl/>
        </w:rPr>
        <w:t xml:space="preserve"> المخاطر النفسية والاجتماعية في مكان العمل، ولا سيما العنف والتحرش المعنوي أو الجنسي في مكان العمل، وقانون </w:t>
      </w:r>
      <w:r w:rsidRPr="00350F98">
        <w:rPr>
          <w:rtl/>
        </w:rPr>
        <w:t>28</w:t>
      </w:r>
      <w:r w:rsidRPr="003430AE">
        <w:rPr>
          <w:rtl/>
        </w:rPr>
        <w:t xml:space="preserve"> آذار/مارس </w:t>
      </w:r>
      <w:r w:rsidRPr="00350F98">
        <w:rPr>
          <w:rtl/>
        </w:rPr>
        <w:t>2014</w:t>
      </w:r>
      <w:r w:rsidRPr="003430AE">
        <w:rPr>
          <w:rtl/>
        </w:rPr>
        <w:t xml:space="preserve"> المعدل للقانون القضائي وقانون </w:t>
      </w:r>
      <w:r w:rsidRPr="00350F98">
        <w:rPr>
          <w:rtl/>
        </w:rPr>
        <w:t>4</w:t>
      </w:r>
      <w:r w:rsidRPr="003430AE">
        <w:rPr>
          <w:rtl/>
        </w:rPr>
        <w:t xml:space="preserve"> آب/أغسطس </w:t>
      </w:r>
      <w:r w:rsidRPr="00350F98">
        <w:rPr>
          <w:rtl/>
        </w:rPr>
        <w:t>1996</w:t>
      </w:r>
      <w:r w:rsidRPr="003430AE">
        <w:rPr>
          <w:rtl/>
        </w:rPr>
        <w:t xml:space="preserve"> المتعلق برعاية العمال أثناء الاضطلاع بعملهم فيما</w:t>
      </w:r>
      <w:r>
        <w:rPr>
          <w:rFonts w:hint="cs"/>
          <w:rtl/>
        </w:rPr>
        <w:t> </w:t>
      </w:r>
      <w:r w:rsidRPr="003430AE">
        <w:rPr>
          <w:rtl/>
        </w:rPr>
        <w:t>يتعلق بالإجراءات القانونية.</w:t>
      </w:r>
    </w:p>
  </w:footnote>
  <w:footnote w:id="20">
    <w:p w14:paraId="645E4B04"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انظر أعلاه: حقوق المثليات والمثليين ومزدوجي الميل الجنسي ومغايري الهوية الجنسانية في بلجيكا</w:t>
      </w:r>
      <w:r w:rsidRPr="003430AE">
        <w:rPr>
          <w:rFonts w:hint="cs"/>
          <w:rtl/>
        </w:rPr>
        <w:t>.</w:t>
      </w:r>
    </w:p>
  </w:footnote>
  <w:footnote w:id="21">
    <w:p w14:paraId="1070CF38" w14:textId="1D399C8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قانون </w:t>
      </w:r>
      <w:r w:rsidRPr="00350F98">
        <w:rPr>
          <w:rtl/>
        </w:rPr>
        <w:t>22</w:t>
      </w:r>
      <w:r w:rsidRPr="003430AE">
        <w:rPr>
          <w:rtl/>
        </w:rPr>
        <w:t xml:space="preserve"> نيسان/أبريل </w:t>
      </w:r>
      <w:r w:rsidRPr="00350F98">
        <w:rPr>
          <w:rtl/>
        </w:rPr>
        <w:t>2012</w:t>
      </w:r>
      <w:r w:rsidRPr="003430AE">
        <w:rPr>
          <w:rtl/>
        </w:rPr>
        <w:t xml:space="preserve">، المعدل بقانون </w:t>
      </w:r>
      <w:r w:rsidRPr="00350F98">
        <w:rPr>
          <w:rtl/>
        </w:rPr>
        <w:t>12</w:t>
      </w:r>
      <w:r w:rsidRPr="003430AE">
        <w:rPr>
          <w:rtl/>
        </w:rPr>
        <w:t xml:space="preserve"> تموز/يوليه </w:t>
      </w:r>
      <w:r w:rsidRPr="00350F98">
        <w:rPr>
          <w:rtl/>
        </w:rPr>
        <w:t>2013</w:t>
      </w:r>
      <w:r w:rsidRPr="003430AE">
        <w:rPr>
          <w:rtl/>
        </w:rPr>
        <w:t xml:space="preserve"> المتعلق بتعديل التشريع لتقليص الفجوة في الأجور بين الرجل والمرأة، </w:t>
      </w:r>
      <w:r w:rsidRPr="003430AE">
        <w:rPr>
          <w:rFonts w:hint="cs"/>
          <w:rtl/>
        </w:rPr>
        <w:t>و</w:t>
      </w:r>
      <w:r w:rsidRPr="003430AE">
        <w:rPr>
          <w:rtl/>
        </w:rPr>
        <w:t xml:space="preserve">الذي دخل حيز النفاذ في </w:t>
      </w:r>
      <w:r w:rsidRPr="00350F98">
        <w:rPr>
          <w:rtl/>
        </w:rPr>
        <w:t>1</w:t>
      </w:r>
      <w:r w:rsidRPr="003430AE">
        <w:rPr>
          <w:rtl/>
        </w:rPr>
        <w:t xml:space="preserve"> تموز/يوليه </w:t>
      </w:r>
      <w:r w:rsidRPr="00350F98">
        <w:rPr>
          <w:rtl/>
        </w:rPr>
        <w:t>2013</w:t>
      </w:r>
      <w:r w:rsidRPr="003430AE">
        <w:rPr>
          <w:rtl/>
        </w:rPr>
        <w:t>.</w:t>
      </w:r>
    </w:p>
  </w:footnote>
  <w:footnote w:id="22">
    <w:p w14:paraId="52CA46FF" w14:textId="264976C0"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الأمر الملكي المؤرخ </w:t>
      </w:r>
      <w:r w:rsidRPr="00350F98">
        <w:rPr>
          <w:rtl/>
        </w:rPr>
        <w:t>17</w:t>
      </w:r>
      <w:r w:rsidRPr="003430AE">
        <w:rPr>
          <w:rtl/>
        </w:rPr>
        <w:t xml:space="preserve"> آب/أغسطس </w:t>
      </w:r>
      <w:r w:rsidRPr="00350F98">
        <w:rPr>
          <w:rtl/>
        </w:rPr>
        <w:t>2013</w:t>
      </w:r>
      <w:r w:rsidRPr="003430AE">
        <w:rPr>
          <w:rFonts w:hint="cs"/>
          <w:rtl/>
        </w:rPr>
        <w:t xml:space="preserve"> </w:t>
      </w:r>
      <w:r w:rsidRPr="003430AE">
        <w:rPr>
          <w:rtl/>
        </w:rPr>
        <w:t xml:space="preserve">المتعلق بتنفيذ المادة </w:t>
      </w:r>
      <w:r w:rsidRPr="00350F98">
        <w:rPr>
          <w:rtl/>
        </w:rPr>
        <w:t>2</w:t>
      </w:r>
      <w:r w:rsidRPr="003430AE">
        <w:rPr>
          <w:rtl/>
        </w:rPr>
        <w:t xml:space="preserve"> من الباب </w:t>
      </w:r>
      <w:r w:rsidRPr="00350F98">
        <w:rPr>
          <w:rtl/>
        </w:rPr>
        <w:t>4</w:t>
      </w:r>
      <w:r w:rsidRPr="003430AE">
        <w:rPr>
          <w:rtl/>
        </w:rPr>
        <w:t xml:space="preserve"> من قانون </w:t>
      </w:r>
      <w:r w:rsidRPr="00350F98">
        <w:rPr>
          <w:rtl/>
        </w:rPr>
        <w:t>22</w:t>
      </w:r>
      <w:r w:rsidRPr="003430AE">
        <w:rPr>
          <w:rtl/>
        </w:rPr>
        <w:t xml:space="preserve"> نيسان/أبريل</w:t>
      </w:r>
      <w:r w:rsidRPr="003430AE">
        <w:rPr>
          <w:rFonts w:hint="eastAsia"/>
          <w:rtl/>
        </w:rPr>
        <w:t> </w:t>
      </w:r>
      <w:r w:rsidRPr="00350F98">
        <w:rPr>
          <w:rtl/>
        </w:rPr>
        <w:t>2012</w:t>
      </w:r>
      <w:r w:rsidRPr="003430AE">
        <w:rPr>
          <w:rtl/>
        </w:rPr>
        <w:t xml:space="preserve"> الرامي إلى تقليص الفجوة في الأجور بين الرجل والمرأة (يتعلق هذا الأمر بمراقبة تصنيفات الوظائف القطاعية)؛ والأمر الملكي المؤرخ </w:t>
      </w:r>
      <w:r w:rsidRPr="00350F98">
        <w:rPr>
          <w:rtl/>
        </w:rPr>
        <w:t>25</w:t>
      </w:r>
      <w:r w:rsidRPr="003430AE">
        <w:rPr>
          <w:rtl/>
        </w:rPr>
        <w:t xml:space="preserve"> نيسان/أبريل </w:t>
      </w:r>
      <w:r w:rsidRPr="00350F98">
        <w:rPr>
          <w:rtl/>
        </w:rPr>
        <w:t>2014</w:t>
      </w:r>
      <w:r w:rsidRPr="003430AE">
        <w:rPr>
          <w:rtl/>
        </w:rPr>
        <w:t xml:space="preserve"> المتعلق بالتقرير التحليلي عن هيكل أجور العمال؛ والأمر الملكي المؤرخ </w:t>
      </w:r>
      <w:r w:rsidRPr="00350F98">
        <w:rPr>
          <w:rtl/>
        </w:rPr>
        <w:t>25</w:t>
      </w:r>
      <w:r w:rsidRPr="003430AE">
        <w:rPr>
          <w:rFonts w:hint="cs"/>
          <w:rtl/>
        </w:rPr>
        <w:t> </w:t>
      </w:r>
      <w:r w:rsidRPr="003430AE">
        <w:rPr>
          <w:rtl/>
        </w:rPr>
        <w:t xml:space="preserve">نيسان/أبريل </w:t>
      </w:r>
      <w:r w:rsidRPr="00350F98">
        <w:rPr>
          <w:rtl/>
        </w:rPr>
        <w:t>2014</w:t>
      </w:r>
      <w:r w:rsidRPr="003430AE">
        <w:rPr>
          <w:rtl/>
        </w:rPr>
        <w:t xml:space="preserve"> المتعلق بأمين المظالم المعني بمعالجة الفجوة في الأجور بين الرجل والمرأة؛ والأمر الوزاري المؤرخ </w:t>
      </w:r>
      <w:r w:rsidRPr="00350F98">
        <w:rPr>
          <w:rtl/>
        </w:rPr>
        <w:t>25</w:t>
      </w:r>
      <w:r w:rsidRPr="003430AE">
        <w:rPr>
          <w:rFonts w:hint="cs"/>
          <w:rtl/>
        </w:rPr>
        <w:t> </w:t>
      </w:r>
      <w:r w:rsidRPr="003430AE">
        <w:rPr>
          <w:rtl/>
        </w:rPr>
        <w:t xml:space="preserve">نيسان/أبريل </w:t>
      </w:r>
      <w:r w:rsidRPr="00350F98">
        <w:rPr>
          <w:rtl/>
        </w:rPr>
        <w:t>2014</w:t>
      </w:r>
      <w:r w:rsidRPr="003430AE">
        <w:rPr>
          <w:rtl/>
        </w:rPr>
        <w:t xml:space="preserve"> الذي يحدد النماذج التي يستند إليها في التقرير التحليلي عن هيكل أجور العمال.</w:t>
      </w:r>
    </w:p>
  </w:footnote>
  <w:footnote w:id="23">
    <w:p w14:paraId="3512928F"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r>
      <w:hyperlink r:id="rId1" w:history="1">
        <w:r w:rsidRPr="003430AE">
          <w:rPr>
            <w:rStyle w:val="Hyperlink"/>
            <w:color w:val="auto"/>
          </w:rPr>
          <w:t>http://igvm-iefh.belgium.be/fr/publications/lecart_salarial_entre_les_femmes_et_les_hommes_en_</w:t>
        </w:r>
        <w:r w:rsidRPr="003430AE">
          <w:rPr>
            <w:rStyle w:val="Hyperlink"/>
            <w:color w:val="auto"/>
          </w:rPr>
          <w:br/>
          <w:t>belgique_rapport_</w:t>
        </w:r>
        <w:r w:rsidRPr="00350F98">
          <w:rPr>
            <w:rStyle w:val="Hyperlink"/>
            <w:color w:val="auto"/>
          </w:rPr>
          <w:t>2017</w:t>
        </w:r>
      </w:hyperlink>
      <w:r w:rsidRPr="003430AE">
        <w:rPr>
          <w:rtl/>
        </w:rPr>
        <w:t>.</w:t>
      </w:r>
    </w:p>
  </w:footnote>
  <w:footnote w:id="24">
    <w:p w14:paraId="248D3D56"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r>
      <w:hyperlink r:id="rId2" w:history="1">
        <w:r w:rsidRPr="003430AE">
          <w:rPr>
            <w:rStyle w:val="Hyperlink"/>
            <w:color w:val="auto"/>
          </w:rPr>
          <w:t>http://igvm-iefh.belgium.be/fr/publications/plan_daction_national_de_lutte_contre_toutes_les_</w:t>
        </w:r>
        <w:r w:rsidRPr="003430AE">
          <w:rPr>
            <w:rStyle w:val="Hyperlink"/>
            <w:color w:val="auto"/>
          </w:rPr>
          <w:br/>
        </w:r>
        <w:proofErr w:type="spellStart"/>
        <w:r w:rsidRPr="003430AE">
          <w:rPr>
            <w:rStyle w:val="Hyperlink"/>
            <w:color w:val="auto"/>
          </w:rPr>
          <w:t>formes_de_violence_basee_surle_genre</w:t>
        </w:r>
        <w:proofErr w:type="spellEnd"/>
      </w:hyperlink>
      <w:r w:rsidRPr="003430AE">
        <w:rPr>
          <w:rFonts w:hint="cs"/>
          <w:rtl/>
        </w:rPr>
        <w:t>.</w:t>
      </w:r>
    </w:p>
  </w:footnote>
  <w:footnote w:id="25">
    <w:p w14:paraId="5976C75C" w14:textId="076696D6"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تتمحور هذه الخطة حول المواضيع التالية: (</w:t>
      </w:r>
      <w:r w:rsidRPr="00350F98">
        <w:rPr>
          <w:rtl/>
        </w:rPr>
        <w:t>1</w:t>
      </w:r>
      <w:r w:rsidRPr="003430AE">
        <w:rPr>
          <w:rtl/>
        </w:rPr>
        <w:t>) العنف بين الشركاء</w:t>
      </w:r>
      <w:r w:rsidRPr="003430AE">
        <w:rPr>
          <w:rFonts w:hint="cs"/>
          <w:rtl/>
        </w:rPr>
        <w:t xml:space="preserve"> في الحياة</w:t>
      </w:r>
      <w:r w:rsidRPr="003430AE">
        <w:rPr>
          <w:rtl/>
        </w:rPr>
        <w:t xml:space="preserve"> وضد الأطفال؛ (</w:t>
      </w:r>
      <w:r w:rsidRPr="00350F98">
        <w:rPr>
          <w:rtl/>
        </w:rPr>
        <w:t>2</w:t>
      </w:r>
      <w:r w:rsidRPr="003430AE">
        <w:rPr>
          <w:rtl/>
        </w:rPr>
        <w:t>) الزواج القسري</w:t>
      </w:r>
      <w:r w:rsidRPr="003430AE">
        <w:rPr>
          <w:rFonts w:hint="cs"/>
          <w:rtl/>
        </w:rPr>
        <w:t>؛</w:t>
      </w:r>
      <w:r w:rsidRPr="003430AE">
        <w:rPr>
          <w:rtl/>
        </w:rPr>
        <w:t xml:space="preserve"> (</w:t>
      </w:r>
      <w:r w:rsidRPr="00350F98">
        <w:rPr>
          <w:rtl/>
        </w:rPr>
        <w:t>3</w:t>
      </w:r>
      <w:r w:rsidRPr="003430AE">
        <w:rPr>
          <w:rtl/>
        </w:rPr>
        <w:t>)</w:t>
      </w:r>
      <w:r w:rsidRPr="003430AE">
        <w:rPr>
          <w:rFonts w:hint="cs"/>
          <w:rtl/>
        </w:rPr>
        <w:t> </w:t>
      </w:r>
      <w:r w:rsidRPr="003430AE">
        <w:rPr>
          <w:rtl/>
        </w:rPr>
        <w:t>تشويه الأعضاء التناسلية للإناث؛ (</w:t>
      </w:r>
      <w:r w:rsidRPr="00350F98">
        <w:rPr>
          <w:rtl/>
        </w:rPr>
        <w:t>4</w:t>
      </w:r>
      <w:r w:rsidRPr="003430AE">
        <w:rPr>
          <w:rtl/>
        </w:rPr>
        <w:t>) العنف المرتبط بالشرف؛ (</w:t>
      </w:r>
      <w:r w:rsidRPr="00350F98">
        <w:rPr>
          <w:rtl/>
        </w:rPr>
        <w:t>5</w:t>
      </w:r>
      <w:r w:rsidRPr="003430AE">
        <w:rPr>
          <w:rtl/>
        </w:rPr>
        <w:t>) أعمال العنف الجنسي، بما</w:t>
      </w:r>
      <w:r w:rsidRPr="003430AE">
        <w:rPr>
          <w:rFonts w:hint="eastAsia"/>
          <w:rtl/>
        </w:rPr>
        <w:t> </w:t>
      </w:r>
      <w:r w:rsidRPr="003430AE">
        <w:rPr>
          <w:rtl/>
        </w:rPr>
        <w:t>في ذلك الاغتصاب والتحرش الجنسي والبغاء؛ (</w:t>
      </w:r>
      <w:r w:rsidRPr="00350F98">
        <w:rPr>
          <w:rtl/>
        </w:rPr>
        <w:t>6</w:t>
      </w:r>
      <w:r w:rsidRPr="003430AE">
        <w:rPr>
          <w:rtl/>
        </w:rPr>
        <w:t>) أعمال العنف الجنساني.</w:t>
      </w:r>
    </w:p>
  </w:footnote>
  <w:footnote w:id="26">
    <w:p w14:paraId="3CCAFA53" w14:textId="06C8FBDB"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t xml:space="preserve">ينص قانون </w:t>
      </w:r>
      <w:r w:rsidRPr="00350F98">
        <w:rPr>
          <w:rtl/>
        </w:rPr>
        <w:t>24</w:t>
      </w:r>
      <w:r w:rsidRPr="003430AE">
        <w:rPr>
          <w:rtl/>
        </w:rPr>
        <w:t xml:space="preserve"> تشرين الثاني/نوفمبر </w:t>
      </w:r>
      <w:r w:rsidRPr="00350F98">
        <w:rPr>
          <w:rtl/>
        </w:rPr>
        <w:t>1997</w:t>
      </w:r>
      <w:r w:rsidRPr="003430AE">
        <w:rPr>
          <w:rtl/>
        </w:rPr>
        <w:t xml:space="preserve"> على ظروف مشددة في حالات العنف البدني من طرف أحد الزوجين. وعلاوة على ذلك، ينص قانون </w:t>
      </w:r>
      <w:r w:rsidRPr="00350F98">
        <w:rPr>
          <w:rtl/>
        </w:rPr>
        <w:t>28</w:t>
      </w:r>
      <w:r w:rsidRPr="003430AE">
        <w:rPr>
          <w:rtl/>
        </w:rPr>
        <w:t xml:space="preserve"> كانون الثاني/يناير </w:t>
      </w:r>
      <w:r w:rsidRPr="00350F98">
        <w:rPr>
          <w:rtl/>
        </w:rPr>
        <w:t>2003</w:t>
      </w:r>
      <w:r w:rsidRPr="003430AE">
        <w:rPr>
          <w:rtl/>
        </w:rPr>
        <w:t xml:space="preserve"> على</w:t>
      </w:r>
      <w:r w:rsidRPr="003430AE">
        <w:rPr>
          <w:rFonts w:hint="cs"/>
          <w:rtl/>
        </w:rPr>
        <w:t xml:space="preserve"> زيادة</w:t>
      </w:r>
      <w:r w:rsidRPr="003430AE">
        <w:rPr>
          <w:rtl/>
        </w:rPr>
        <w:t xml:space="preserve"> الظروف المشددة الواردة في المادة </w:t>
      </w:r>
      <w:r w:rsidRPr="00350F98">
        <w:rPr>
          <w:rtl/>
        </w:rPr>
        <w:t>410</w:t>
      </w:r>
      <w:r w:rsidRPr="003430AE">
        <w:rPr>
          <w:rtl/>
        </w:rPr>
        <w:t xml:space="preserve"> من القانون الجنائي بتمديد العقوبة القصوى بالسجن إلى سنة. وبالإضافة إلى ذلك، فقد وسع قانون </w:t>
      </w:r>
      <w:r w:rsidRPr="00350F98">
        <w:rPr>
          <w:rtl/>
        </w:rPr>
        <w:t>4</w:t>
      </w:r>
      <w:r w:rsidRPr="003430AE">
        <w:rPr>
          <w:rtl/>
        </w:rPr>
        <w:t xml:space="preserve"> تموز/يوليه </w:t>
      </w:r>
      <w:r w:rsidRPr="00350F98">
        <w:rPr>
          <w:rtl/>
        </w:rPr>
        <w:t>1989</w:t>
      </w:r>
      <w:r w:rsidRPr="003430AE">
        <w:rPr>
          <w:rtl/>
        </w:rPr>
        <w:t xml:space="preserve"> المعدل لبعض الأحكام المتعلقة بجريمة الاغتصاب نطاق تعريف الاغتصاب. ويحاكم مرتكب الاغتصاب في إطار الزوجية ويدان بموجب القانون بنفس الطريقة المتبعة في أشكال الاغتصاب الأخرى؛ ويمثل هذا الشكل من الاغتصاب أحد الظروف المشددة للعقوبة.</w:t>
      </w:r>
    </w:p>
  </w:footnote>
  <w:footnote w:id="27">
    <w:p w14:paraId="51F21D30" w14:textId="36ADEC3A" w:rsidR="00297A84" w:rsidRPr="0080222E" w:rsidRDefault="00297A84" w:rsidP="003430AE">
      <w:pPr>
        <w:pStyle w:val="FootnoteText1"/>
        <w:rPr>
          <w:spacing w:val="-2"/>
          <w:rtl/>
        </w:rPr>
      </w:pPr>
      <w:r w:rsidRPr="003430AE">
        <w:rPr>
          <w:rtl/>
        </w:rPr>
        <w:t>(</w:t>
      </w:r>
      <w:r w:rsidRPr="00350F98">
        <w:footnoteRef/>
      </w:r>
      <w:r w:rsidRPr="003430AE">
        <w:rPr>
          <w:rtl/>
        </w:rPr>
        <w:t>)</w:t>
      </w:r>
      <w:r w:rsidRPr="003430AE">
        <w:rPr>
          <w:rtl/>
        </w:rPr>
        <w:tab/>
      </w:r>
      <w:r w:rsidRPr="0080222E">
        <w:rPr>
          <w:spacing w:val="-4"/>
          <w:rtl/>
        </w:rPr>
        <w:t xml:space="preserve">قانون </w:t>
      </w:r>
      <w:r w:rsidRPr="00350F98">
        <w:rPr>
          <w:spacing w:val="-4"/>
          <w:rtl/>
        </w:rPr>
        <w:t>28</w:t>
      </w:r>
      <w:r w:rsidRPr="0080222E">
        <w:rPr>
          <w:spacing w:val="-4"/>
          <w:rtl/>
        </w:rPr>
        <w:t xml:space="preserve"> تشرين الثاني/نوفمبر </w:t>
      </w:r>
      <w:r w:rsidRPr="00350F98">
        <w:rPr>
          <w:spacing w:val="-4"/>
          <w:rtl/>
        </w:rPr>
        <w:t>2000</w:t>
      </w:r>
      <w:r w:rsidRPr="0080222E">
        <w:rPr>
          <w:spacing w:val="-4"/>
          <w:rtl/>
        </w:rPr>
        <w:t xml:space="preserve"> المتعلق بالحماية الجنائية للقصر (المادة </w:t>
      </w:r>
      <w:r w:rsidRPr="00350F98">
        <w:rPr>
          <w:spacing w:val="-4"/>
          <w:rtl/>
        </w:rPr>
        <w:t>409</w:t>
      </w:r>
      <w:r w:rsidRPr="0080222E">
        <w:rPr>
          <w:spacing w:val="-4"/>
          <w:rtl/>
        </w:rPr>
        <w:t xml:space="preserve"> من القانون الجنائي). ومنذ تموز/يوليه </w:t>
      </w:r>
      <w:r w:rsidRPr="00350F98">
        <w:rPr>
          <w:spacing w:val="-4"/>
          <w:rtl/>
        </w:rPr>
        <w:t>2014</w:t>
      </w:r>
      <w:r w:rsidRPr="0080222E">
        <w:rPr>
          <w:spacing w:val="-4"/>
          <w:rtl/>
        </w:rPr>
        <w:t xml:space="preserve">، </w:t>
      </w:r>
      <w:r w:rsidRPr="0080222E">
        <w:rPr>
          <w:spacing w:val="-2"/>
          <w:rtl/>
        </w:rPr>
        <w:t>يسمح القانون صراحة بمعاقبة ليس فقط الأشخاص الذين يمارسون أي شكل من أشكال تشويه الأعضاء التناسلية للإناث أو ييسّرونه أو يشجعونه، بموافقة الضحية أو بدون موافقتها، وإنما أيضا</w:t>
      </w:r>
      <w:r w:rsidRPr="0080222E">
        <w:rPr>
          <w:rFonts w:hint="cs"/>
          <w:spacing w:val="-2"/>
          <w:rtl/>
        </w:rPr>
        <w:t>ً</w:t>
      </w:r>
      <w:r w:rsidRPr="0080222E">
        <w:rPr>
          <w:spacing w:val="-2"/>
          <w:rtl/>
        </w:rPr>
        <w:t xml:space="preserve"> الأشخاص الذين يحرضون على هذه الممارسة أو يقومون بالدعاية لها.</w:t>
      </w:r>
    </w:p>
  </w:footnote>
  <w:footnote w:id="28">
    <w:p w14:paraId="5056AEE0" w14:textId="7644BA5E"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r>
      <w:r w:rsidRPr="003430AE">
        <w:rPr>
          <w:rFonts w:hint="cs"/>
          <w:rtl/>
        </w:rPr>
        <w:t>شدد</w:t>
      </w:r>
      <w:r w:rsidRPr="003430AE">
        <w:rPr>
          <w:rtl/>
        </w:rPr>
        <w:t xml:space="preserve"> قانون </w:t>
      </w:r>
      <w:r w:rsidRPr="00350F98">
        <w:rPr>
          <w:rtl/>
        </w:rPr>
        <w:t>2</w:t>
      </w:r>
      <w:r w:rsidRPr="003430AE">
        <w:rPr>
          <w:rtl/>
        </w:rPr>
        <w:t xml:space="preserve"> حزيران/</w:t>
      </w:r>
      <w:proofErr w:type="gramStart"/>
      <w:r w:rsidRPr="003430AE">
        <w:rPr>
          <w:rtl/>
        </w:rPr>
        <w:t>يونيه</w:t>
      </w:r>
      <w:proofErr w:type="gramEnd"/>
      <w:r w:rsidRPr="003430AE">
        <w:rPr>
          <w:rtl/>
        </w:rPr>
        <w:t xml:space="preserve"> </w:t>
      </w:r>
      <w:r w:rsidRPr="00350F98">
        <w:rPr>
          <w:rtl/>
        </w:rPr>
        <w:t>2013</w:t>
      </w:r>
      <w:r w:rsidRPr="003430AE">
        <w:rPr>
          <w:rtl/>
        </w:rPr>
        <w:t xml:space="preserve">، </w:t>
      </w:r>
      <w:r w:rsidRPr="003430AE">
        <w:rPr>
          <w:rFonts w:hint="cs"/>
          <w:rtl/>
        </w:rPr>
        <w:t>فيما يتعلق ب</w:t>
      </w:r>
      <w:r w:rsidRPr="003430AE">
        <w:rPr>
          <w:rtl/>
        </w:rPr>
        <w:t>الجوانب الجنائية، العقوبات التي تجرم الزواج القسري (المادة</w:t>
      </w:r>
      <w:r w:rsidRPr="003430AE">
        <w:rPr>
          <w:rFonts w:hint="eastAsia"/>
          <w:rtl/>
        </w:rPr>
        <w:t> </w:t>
      </w:r>
      <w:r w:rsidRPr="00350F98">
        <w:rPr>
          <w:rtl/>
        </w:rPr>
        <w:t>391</w:t>
      </w:r>
      <w:r w:rsidRPr="003430AE">
        <w:rPr>
          <w:rtl/>
        </w:rPr>
        <w:t xml:space="preserve"> </w:t>
      </w:r>
      <w:r w:rsidRPr="009C5CFC">
        <w:rPr>
          <w:i/>
          <w:iCs/>
          <w:rtl/>
        </w:rPr>
        <w:t>سادسا</w:t>
      </w:r>
      <w:r w:rsidRPr="009C5CFC">
        <w:rPr>
          <w:rFonts w:hint="cs"/>
          <w:i/>
          <w:iCs/>
          <w:rtl/>
        </w:rPr>
        <w:t>ً</w:t>
      </w:r>
      <w:r w:rsidRPr="003430AE">
        <w:rPr>
          <w:rtl/>
        </w:rPr>
        <w:t xml:space="preserve"> من القانون الجنائي) والزواج</w:t>
      </w:r>
      <w:r w:rsidRPr="003430AE">
        <w:rPr>
          <w:rFonts w:hint="cs"/>
          <w:rtl/>
        </w:rPr>
        <w:t xml:space="preserve"> </w:t>
      </w:r>
      <w:proofErr w:type="spellStart"/>
      <w:r w:rsidRPr="003430AE">
        <w:rPr>
          <w:rFonts w:hint="cs"/>
          <w:rtl/>
        </w:rPr>
        <w:t>التحايلي</w:t>
      </w:r>
      <w:proofErr w:type="spellEnd"/>
      <w:r w:rsidRPr="003430AE">
        <w:rPr>
          <w:rtl/>
        </w:rPr>
        <w:t xml:space="preserve"> (المادة </w:t>
      </w:r>
      <w:r w:rsidRPr="00350F98">
        <w:rPr>
          <w:rtl/>
        </w:rPr>
        <w:t>79</w:t>
      </w:r>
      <w:r w:rsidRPr="003430AE">
        <w:rPr>
          <w:rtl/>
        </w:rPr>
        <w:t xml:space="preserve"> </w:t>
      </w:r>
      <w:r w:rsidRPr="009C5CFC">
        <w:rPr>
          <w:i/>
          <w:iCs/>
          <w:rtl/>
        </w:rPr>
        <w:t>مكررا</w:t>
      </w:r>
      <w:r w:rsidRPr="009C5CFC">
        <w:rPr>
          <w:rFonts w:hint="cs"/>
          <w:i/>
          <w:iCs/>
          <w:rtl/>
        </w:rPr>
        <w:t>ً</w:t>
      </w:r>
      <w:r w:rsidRPr="003430AE">
        <w:rPr>
          <w:rtl/>
        </w:rPr>
        <w:t xml:space="preserve"> من قانون </w:t>
      </w:r>
      <w:r w:rsidRPr="00350F98">
        <w:rPr>
          <w:rtl/>
        </w:rPr>
        <w:t>15</w:t>
      </w:r>
      <w:r w:rsidRPr="003430AE">
        <w:rPr>
          <w:rtl/>
        </w:rPr>
        <w:t xml:space="preserve"> كانون الأول/ديسمبر </w:t>
      </w:r>
      <w:r w:rsidRPr="00350F98">
        <w:rPr>
          <w:rtl/>
        </w:rPr>
        <w:t>1980</w:t>
      </w:r>
      <w:r w:rsidRPr="003430AE">
        <w:rPr>
          <w:rtl/>
        </w:rPr>
        <w:t xml:space="preserve">) وأنشأ جريمة جديدة </w:t>
      </w:r>
      <w:r w:rsidRPr="003430AE">
        <w:rPr>
          <w:rFonts w:hint="cs"/>
          <w:rtl/>
        </w:rPr>
        <w:t xml:space="preserve">بالنسبة </w:t>
      </w:r>
      <w:r w:rsidRPr="003430AE">
        <w:rPr>
          <w:rtl/>
        </w:rPr>
        <w:t xml:space="preserve">للمعاشرة القانونية القسرية (المادة </w:t>
      </w:r>
      <w:r w:rsidRPr="00350F98">
        <w:rPr>
          <w:rtl/>
        </w:rPr>
        <w:t>391</w:t>
      </w:r>
      <w:r w:rsidRPr="003430AE">
        <w:rPr>
          <w:rtl/>
        </w:rPr>
        <w:t xml:space="preserve"> </w:t>
      </w:r>
      <w:r w:rsidRPr="009C5CFC">
        <w:rPr>
          <w:i/>
          <w:iCs/>
          <w:rtl/>
        </w:rPr>
        <w:t>سابعا</w:t>
      </w:r>
      <w:r w:rsidRPr="009C5CFC">
        <w:rPr>
          <w:rFonts w:hint="cs"/>
          <w:i/>
          <w:iCs/>
          <w:rtl/>
        </w:rPr>
        <w:t>ً</w:t>
      </w:r>
      <w:r w:rsidRPr="003430AE">
        <w:rPr>
          <w:rtl/>
        </w:rPr>
        <w:t xml:space="preserve"> من القانون الجنائي) والمعاشرة القانونية</w:t>
      </w:r>
      <w:r w:rsidRPr="003430AE">
        <w:rPr>
          <w:rFonts w:hint="cs"/>
          <w:rtl/>
        </w:rPr>
        <w:t xml:space="preserve"> </w:t>
      </w:r>
      <w:proofErr w:type="spellStart"/>
      <w:r w:rsidRPr="003430AE">
        <w:rPr>
          <w:rFonts w:hint="cs"/>
          <w:rtl/>
        </w:rPr>
        <w:t>التحايلية</w:t>
      </w:r>
      <w:proofErr w:type="spellEnd"/>
      <w:r w:rsidRPr="003430AE">
        <w:rPr>
          <w:rtl/>
        </w:rPr>
        <w:t xml:space="preserve"> (المادة </w:t>
      </w:r>
      <w:r w:rsidRPr="00350F98">
        <w:rPr>
          <w:rtl/>
        </w:rPr>
        <w:t>79</w:t>
      </w:r>
      <w:r w:rsidRPr="003430AE">
        <w:rPr>
          <w:rtl/>
        </w:rPr>
        <w:t xml:space="preserve"> </w:t>
      </w:r>
      <w:r w:rsidRPr="009C5CFC">
        <w:rPr>
          <w:i/>
          <w:iCs/>
          <w:rtl/>
        </w:rPr>
        <w:t>ثالثا</w:t>
      </w:r>
      <w:r w:rsidRPr="009C5CFC">
        <w:rPr>
          <w:rFonts w:hint="cs"/>
          <w:i/>
          <w:iCs/>
          <w:rtl/>
        </w:rPr>
        <w:t>ً</w:t>
      </w:r>
      <w:r w:rsidRPr="003430AE">
        <w:rPr>
          <w:rtl/>
        </w:rPr>
        <w:t xml:space="preserve"> من قانون </w:t>
      </w:r>
      <w:r w:rsidRPr="00350F98">
        <w:rPr>
          <w:rtl/>
        </w:rPr>
        <w:t>15</w:t>
      </w:r>
      <w:r w:rsidRPr="003430AE">
        <w:rPr>
          <w:rtl/>
        </w:rPr>
        <w:t xml:space="preserve"> كانون الأول/ديسمبر </w:t>
      </w:r>
      <w:r w:rsidRPr="00350F98">
        <w:rPr>
          <w:rtl/>
        </w:rPr>
        <w:t>1980</w:t>
      </w:r>
      <w:r w:rsidRPr="003430AE">
        <w:rPr>
          <w:rtl/>
        </w:rPr>
        <w:t>).</w:t>
      </w:r>
    </w:p>
  </w:footnote>
  <w:footnote w:id="29">
    <w:p w14:paraId="287FAB8E" w14:textId="77777777" w:rsidR="00297A84" w:rsidRPr="003430AE" w:rsidRDefault="00297A84" w:rsidP="003430AE">
      <w:pPr>
        <w:pStyle w:val="FootnoteText1"/>
        <w:rPr>
          <w:rtl/>
        </w:rPr>
      </w:pPr>
      <w:r w:rsidRPr="003430AE">
        <w:rPr>
          <w:rtl/>
        </w:rPr>
        <w:t>(</w:t>
      </w:r>
      <w:r w:rsidRPr="00350F98">
        <w:footnoteRef/>
      </w:r>
      <w:r w:rsidRPr="003430AE">
        <w:rPr>
          <w:rtl/>
        </w:rPr>
        <w:t>)</w:t>
      </w:r>
      <w:r w:rsidRPr="003430AE">
        <w:rPr>
          <w:rtl/>
        </w:rPr>
        <w:tab/>
      </w:r>
      <w:hyperlink r:id="rId3" w:history="1">
        <w:r w:rsidRPr="003430AE">
          <w:rPr>
            <w:rStyle w:val="Hyperlink"/>
            <w:color w:val="auto"/>
          </w:rPr>
          <w:t>http://justice.belgium.be/sites/default/files/downloads/</w:t>
        </w:r>
        <w:r w:rsidRPr="00350F98">
          <w:rPr>
            <w:rStyle w:val="Hyperlink"/>
            <w:color w:val="auto"/>
          </w:rPr>
          <w:t>2016</w:t>
        </w:r>
        <w:r w:rsidRPr="003430AE">
          <w:rPr>
            <w:rStyle w:val="Hyperlink"/>
            <w:color w:val="auto"/>
          </w:rPr>
          <w:t>-</w:t>
        </w:r>
        <w:r w:rsidRPr="00350F98">
          <w:rPr>
            <w:rStyle w:val="Hyperlink"/>
            <w:color w:val="auto"/>
          </w:rPr>
          <w:t>06</w:t>
        </w:r>
        <w:r w:rsidRPr="003430AE">
          <w:rPr>
            <w:rStyle w:val="Hyperlink"/>
            <w:color w:val="auto"/>
          </w:rPr>
          <w:t>-</w:t>
        </w:r>
        <w:r w:rsidRPr="00350F98">
          <w:rPr>
            <w:rStyle w:val="Hyperlink"/>
            <w:color w:val="auto"/>
          </w:rPr>
          <w:t>07</w:t>
        </w:r>
        <w:r w:rsidRPr="003430AE">
          <w:rPr>
            <w:rStyle w:val="Hyperlink"/>
            <w:color w:val="auto"/>
          </w:rPr>
          <w:t>_note-cadre_de_securite_</w:t>
        </w:r>
        <w:r w:rsidRPr="003430AE">
          <w:rPr>
            <w:rStyle w:val="Hyperlink"/>
            <w:color w:val="auto"/>
          </w:rPr>
          <w:br/>
          <w:t>integrale_fr.pdf</w:t>
        </w:r>
      </w:hyperlink>
      <w:r w:rsidRPr="003430A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C7DF" w14:textId="6CEBD1E0" w:rsidR="00297A84" w:rsidRPr="000D43A8" w:rsidRDefault="00297A84" w:rsidP="000D43A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498B">
      <w:t>HRI/CORE/BEL/2020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8B7C" w14:textId="6DD4B5E1" w:rsidR="00297A84" w:rsidRPr="000D43A8" w:rsidRDefault="00297A84" w:rsidP="000D43A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498B">
      <w:t>HRI/CORE/BEL/2020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354E"/>
    <w:multiLevelType w:val="multilevel"/>
    <w:tmpl w:val="5C742E6C"/>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pStyle w:val="RegH4G"/>
      <w:lvlText w:val="(%4)"/>
      <w:lvlJc w:val="right"/>
      <w:pPr>
        <w:tabs>
          <w:tab w:val="num" w:pos="1134"/>
        </w:tabs>
        <w:ind w:left="1135" w:hanging="284"/>
      </w:pPr>
      <w:rPr>
        <w:rFonts w:ascii="Times New Roman" w:hAnsi="Times New Roman" w:cs="Times New Roman" w:hint="default"/>
        <w:b/>
        <w:i w:val="0"/>
        <w:sz w:val="20"/>
      </w:rPr>
    </w:lvl>
    <w:lvl w:ilvl="4">
      <w:start w:val="1"/>
      <w:numFmt w:val="lowerRoman"/>
      <w:pStyle w:val="RegH5G"/>
      <w:lvlText w:val="(%5)"/>
      <w:lvlJc w:val="right"/>
      <w:pPr>
        <w:tabs>
          <w:tab w:val="num" w:pos="1134"/>
        </w:tabs>
        <w:ind w:left="1135" w:hanging="284"/>
      </w:pPr>
      <w:rPr>
        <w:rFonts w:ascii="Times New Roman" w:hAnsi="Times New Roman" w:hint="default"/>
        <w:b w:val="0"/>
        <w:i/>
      </w:rPr>
    </w:lvl>
    <w:lvl w:ilvl="5">
      <w:start w:val="1"/>
      <w:numFmt w:val="decimal"/>
      <w:lvlRestart w:val="0"/>
      <w:pStyle w:val="RegSingleTxtG"/>
      <w:lvlText w:val="%6."/>
      <w:lvlJc w:val="left"/>
      <w:pPr>
        <w:ind w:left="1134" w:firstLine="0"/>
      </w:pPr>
      <w:rPr>
        <w:rFonts w:hint="default"/>
        <w:sz w:val="20"/>
      </w:rPr>
    </w:lvl>
    <w:lvl w:ilvl="6">
      <w:start w:val="1"/>
      <w:numFmt w:val="lowerLetter"/>
      <w:pStyle w:val="RegSingleTxtG2"/>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3"/>
  </w:num>
  <w:num w:numId="3">
    <w:abstractNumId w:val="2"/>
  </w:num>
  <w:num w:numId="4">
    <w:abstractNumId w:val="12"/>
  </w:num>
  <w:num w:numId="5">
    <w:abstractNumId w:val="9"/>
  </w:num>
  <w:num w:numId="6">
    <w:abstractNumId w:val="6"/>
  </w:num>
  <w:num w:numId="7">
    <w:abstractNumId w:val="19"/>
  </w:num>
  <w:num w:numId="8">
    <w:abstractNumId w:val="2"/>
  </w:num>
  <w:num w:numId="9">
    <w:abstractNumId w:val="12"/>
  </w:num>
  <w:num w:numId="10">
    <w:abstractNumId w:val="6"/>
  </w:num>
  <w:num w:numId="11">
    <w:abstractNumId w:val="19"/>
  </w:num>
  <w:num w:numId="12">
    <w:abstractNumId w:val="5"/>
  </w:num>
  <w:num w:numId="13">
    <w:abstractNumId w:val="3"/>
  </w:num>
  <w:num w:numId="14">
    <w:abstractNumId w:val="18"/>
  </w:num>
  <w:num w:numId="15">
    <w:abstractNumId w:val="14"/>
  </w:num>
  <w:num w:numId="16">
    <w:abstractNumId w:val="1"/>
  </w:num>
  <w:num w:numId="17">
    <w:abstractNumId w:val="16"/>
  </w:num>
  <w:num w:numId="18">
    <w:abstractNumId w:val="0"/>
  </w:num>
  <w:num w:numId="19">
    <w:abstractNumId w:val="10"/>
  </w:num>
  <w:num w:numId="20">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15"/>
  </w:num>
  <w:num w:numId="29">
    <w:abstractNumId w:val="4"/>
    <w:lvlOverride w:ilvl="0">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Override>
    <w:lvlOverride w:ilvl="6">
      <w:lvl w:ilvl="6">
        <w:start w:val="1"/>
        <w:numFmt w:val="lowerLetter"/>
        <w:pStyle w:val="RegSingleTxtG2"/>
        <w:lvlText w:val="(%7)"/>
        <w:lvlJc w:val="left"/>
        <w:pPr>
          <w:tabs>
            <w:tab w:val="num" w:pos="1702"/>
          </w:tabs>
          <w:ind w:left="1134" w:firstLine="567"/>
        </w:pPr>
        <w:rPr>
          <w:rFonts w:hint="default"/>
          <w:b w:val="0"/>
          <w:i w:val="0"/>
          <w:color w:val="auto"/>
          <w:sz w:val="20"/>
          <w:szCs w:val="28"/>
        </w:rPr>
      </w:lvl>
    </w:lvlOverride>
  </w:num>
  <w:num w:numId="30">
    <w:abstractNumId w:val="4"/>
    <w:lvlOverride w:ilvl="1">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Override>
    <w:lvlOverride w:ilvl="2">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Override>
    <w:lvlOverride w:ilvl="5">
      <w:lvl w:ilvl="5">
        <w:start w:val="1"/>
        <w:numFmt w:val="decimal"/>
        <w:lvlRestart w:val="0"/>
        <w:pStyle w:val="RegSingleTxtG"/>
        <w:lvlText w:val="%6."/>
        <w:lvlJc w:val="left"/>
        <w:pPr>
          <w:ind w:left="1134" w:firstLine="0"/>
        </w:pPr>
        <w:rPr>
          <w:rFonts w:hint="default"/>
          <w:sz w:val="20"/>
          <w:lang w:val="en-US" w:bidi="ar-S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5"/>
    <w:rsid w:val="000076D5"/>
    <w:rsid w:val="000422C3"/>
    <w:rsid w:val="00043663"/>
    <w:rsid w:val="000505CF"/>
    <w:rsid w:val="0006642E"/>
    <w:rsid w:val="0009460F"/>
    <w:rsid w:val="000B462C"/>
    <w:rsid w:val="000C7FF8"/>
    <w:rsid w:val="000D43A8"/>
    <w:rsid w:val="000D701C"/>
    <w:rsid w:val="000E2A71"/>
    <w:rsid w:val="00160263"/>
    <w:rsid w:val="00181F96"/>
    <w:rsid w:val="001930C2"/>
    <w:rsid w:val="001A1371"/>
    <w:rsid w:val="001B2F42"/>
    <w:rsid w:val="001B346A"/>
    <w:rsid w:val="001E1CAD"/>
    <w:rsid w:val="001E290D"/>
    <w:rsid w:val="001E4659"/>
    <w:rsid w:val="002144FA"/>
    <w:rsid w:val="0021576B"/>
    <w:rsid w:val="0023469A"/>
    <w:rsid w:val="00243C8A"/>
    <w:rsid w:val="00267A0E"/>
    <w:rsid w:val="002705E5"/>
    <w:rsid w:val="002901D9"/>
    <w:rsid w:val="002976C2"/>
    <w:rsid w:val="00297A84"/>
    <w:rsid w:val="002C315A"/>
    <w:rsid w:val="002E196D"/>
    <w:rsid w:val="0030688B"/>
    <w:rsid w:val="003260FF"/>
    <w:rsid w:val="003430AE"/>
    <w:rsid w:val="00343D95"/>
    <w:rsid w:val="00350F98"/>
    <w:rsid w:val="00354CC2"/>
    <w:rsid w:val="00365271"/>
    <w:rsid w:val="0036633E"/>
    <w:rsid w:val="00374341"/>
    <w:rsid w:val="0037597C"/>
    <w:rsid w:val="003957A0"/>
    <w:rsid w:val="003D1062"/>
    <w:rsid w:val="00420D7B"/>
    <w:rsid w:val="0043623F"/>
    <w:rsid w:val="00450B21"/>
    <w:rsid w:val="00453B63"/>
    <w:rsid w:val="00455780"/>
    <w:rsid w:val="004A3298"/>
    <w:rsid w:val="004B0A1C"/>
    <w:rsid w:val="004B784B"/>
    <w:rsid w:val="004D298E"/>
    <w:rsid w:val="004D55E4"/>
    <w:rsid w:val="004F6383"/>
    <w:rsid w:val="0053722C"/>
    <w:rsid w:val="0054472E"/>
    <w:rsid w:val="00547B80"/>
    <w:rsid w:val="00556AB9"/>
    <w:rsid w:val="005662A9"/>
    <w:rsid w:val="005719E2"/>
    <w:rsid w:val="005827D4"/>
    <w:rsid w:val="0059622A"/>
    <w:rsid w:val="005C5878"/>
    <w:rsid w:val="005C7CEA"/>
    <w:rsid w:val="005D3C0B"/>
    <w:rsid w:val="005E5217"/>
    <w:rsid w:val="005F0FA4"/>
    <w:rsid w:val="005F30EE"/>
    <w:rsid w:val="0060473A"/>
    <w:rsid w:val="00623495"/>
    <w:rsid w:val="00624B9B"/>
    <w:rsid w:val="0063775D"/>
    <w:rsid w:val="00656392"/>
    <w:rsid w:val="006721D0"/>
    <w:rsid w:val="00676B5E"/>
    <w:rsid w:val="0068781D"/>
    <w:rsid w:val="006959B0"/>
    <w:rsid w:val="006B3E27"/>
    <w:rsid w:val="006B6507"/>
    <w:rsid w:val="006C104C"/>
    <w:rsid w:val="006E68C4"/>
    <w:rsid w:val="006F53A9"/>
    <w:rsid w:val="00711690"/>
    <w:rsid w:val="00733704"/>
    <w:rsid w:val="007501E7"/>
    <w:rsid w:val="0078071A"/>
    <w:rsid w:val="007A3956"/>
    <w:rsid w:val="007A63CA"/>
    <w:rsid w:val="007C1295"/>
    <w:rsid w:val="007D007B"/>
    <w:rsid w:val="007E37A9"/>
    <w:rsid w:val="00800832"/>
    <w:rsid w:val="0080222E"/>
    <w:rsid w:val="00820D19"/>
    <w:rsid w:val="00852A9A"/>
    <w:rsid w:val="00885FF5"/>
    <w:rsid w:val="008F49E1"/>
    <w:rsid w:val="0090370F"/>
    <w:rsid w:val="00905B80"/>
    <w:rsid w:val="009269D2"/>
    <w:rsid w:val="00942135"/>
    <w:rsid w:val="009521B0"/>
    <w:rsid w:val="00957371"/>
    <w:rsid w:val="00970A38"/>
    <w:rsid w:val="009815E4"/>
    <w:rsid w:val="00994130"/>
    <w:rsid w:val="009A7E9F"/>
    <w:rsid w:val="009C5CFC"/>
    <w:rsid w:val="009E5018"/>
    <w:rsid w:val="009E790E"/>
    <w:rsid w:val="00A12B37"/>
    <w:rsid w:val="00A130A4"/>
    <w:rsid w:val="00A1373C"/>
    <w:rsid w:val="00A26F14"/>
    <w:rsid w:val="00A519EC"/>
    <w:rsid w:val="00A575B0"/>
    <w:rsid w:val="00A6363A"/>
    <w:rsid w:val="00AA29CE"/>
    <w:rsid w:val="00AB6758"/>
    <w:rsid w:val="00AF0202"/>
    <w:rsid w:val="00AF2F75"/>
    <w:rsid w:val="00AF498B"/>
    <w:rsid w:val="00AF6EC9"/>
    <w:rsid w:val="00B13763"/>
    <w:rsid w:val="00B319E3"/>
    <w:rsid w:val="00B452DB"/>
    <w:rsid w:val="00B477A4"/>
    <w:rsid w:val="00B54045"/>
    <w:rsid w:val="00B627BA"/>
    <w:rsid w:val="00B706DA"/>
    <w:rsid w:val="00BA3C3E"/>
    <w:rsid w:val="00BC3DBA"/>
    <w:rsid w:val="00C21BD5"/>
    <w:rsid w:val="00C2304B"/>
    <w:rsid w:val="00C273C5"/>
    <w:rsid w:val="00C438D7"/>
    <w:rsid w:val="00C81B50"/>
    <w:rsid w:val="00C918AE"/>
    <w:rsid w:val="00CB28F9"/>
    <w:rsid w:val="00CD1801"/>
    <w:rsid w:val="00D01CC9"/>
    <w:rsid w:val="00D10EF1"/>
    <w:rsid w:val="00D16080"/>
    <w:rsid w:val="00D37282"/>
    <w:rsid w:val="00D424DC"/>
    <w:rsid w:val="00D42810"/>
    <w:rsid w:val="00D4581E"/>
    <w:rsid w:val="00D72D17"/>
    <w:rsid w:val="00D914A7"/>
    <w:rsid w:val="00D97AA3"/>
    <w:rsid w:val="00DC4300"/>
    <w:rsid w:val="00DD13C3"/>
    <w:rsid w:val="00DD596E"/>
    <w:rsid w:val="00DD621E"/>
    <w:rsid w:val="00DF0575"/>
    <w:rsid w:val="00E103BC"/>
    <w:rsid w:val="00E20734"/>
    <w:rsid w:val="00E40CC2"/>
    <w:rsid w:val="00E64BF7"/>
    <w:rsid w:val="00E70E04"/>
    <w:rsid w:val="00E76499"/>
    <w:rsid w:val="00E777FD"/>
    <w:rsid w:val="00E9006F"/>
    <w:rsid w:val="00EA183B"/>
    <w:rsid w:val="00EC05A7"/>
    <w:rsid w:val="00EC4616"/>
    <w:rsid w:val="00EC4B6B"/>
    <w:rsid w:val="00EC6FD0"/>
    <w:rsid w:val="00EF1EE5"/>
    <w:rsid w:val="00F62C8F"/>
    <w:rsid w:val="00F763B4"/>
    <w:rsid w:val="00F900C3"/>
    <w:rsid w:val="00F92844"/>
    <w:rsid w:val="00F92BBC"/>
    <w:rsid w:val="00FB4E2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0F187"/>
  <w15:docId w15:val="{44393771-CA3B-42E6-B3A9-D5BFE23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8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Table G"/>
    <w:basedOn w:val="SingleTxtGA"/>
    <w:next w:val="Normal"/>
    <w:link w:val="Heading1Char"/>
    <w:qFormat/>
    <w:rsid w:val="00547B80"/>
    <w:pPr>
      <w:bidi w:val="0"/>
      <w:outlineLvl w:val="0"/>
    </w:pPr>
  </w:style>
  <w:style w:type="paragraph" w:styleId="Heading2">
    <w:name w:val="heading 2"/>
    <w:basedOn w:val="Normal"/>
    <w:next w:val="Normal"/>
    <w:link w:val="Heading2Char"/>
    <w:uiPriority w:val="9"/>
    <w:unhideWhenUsed/>
    <w:rsid w:val="00547B8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47B80"/>
    <w:pPr>
      <w:keepNext/>
      <w:keepLines/>
      <w:spacing w:before="200"/>
      <w:outlineLvl w:val="2"/>
    </w:pPr>
    <w:rPr>
      <w:b/>
      <w:bCs/>
      <w:color w:val="4F81BD"/>
    </w:rPr>
  </w:style>
  <w:style w:type="paragraph" w:styleId="Heading4">
    <w:name w:val="heading 4"/>
    <w:basedOn w:val="Normal"/>
    <w:next w:val="Normal"/>
    <w:link w:val="Heading4Char"/>
    <w:uiPriority w:val="9"/>
    <w:unhideWhenUsed/>
    <w:rsid w:val="00547B8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47B80"/>
    <w:pPr>
      <w:keepNext/>
      <w:keepLines/>
      <w:spacing w:before="200"/>
      <w:outlineLvl w:val="4"/>
    </w:pPr>
    <w:rPr>
      <w:color w:val="243F60"/>
    </w:rPr>
  </w:style>
  <w:style w:type="paragraph" w:styleId="Heading6">
    <w:name w:val="heading 6"/>
    <w:basedOn w:val="Normal"/>
    <w:next w:val="Normal"/>
    <w:link w:val="Heading6Char"/>
    <w:uiPriority w:val="9"/>
    <w:unhideWhenUsed/>
    <w:rsid w:val="00547B80"/>
    <w:pPr>
      <w:keepNext/>
      <w:keepLines/>
      <w:spacing w:before="200"/>
      <w:outlineLvl w:val="5"/>
    </w:pPr>
    <w:rPr>
      <w:i/>
      <w:iCs/>
      <w:color w:val="243F60"/>
    </w:rPr>
  </w:style>
  <w:style w:type="paragraph" w:styleId="Heading7">
    <w:name w:val="heading 7"/>
    <w:basedOn w:val="Normal"/>
    <w:next w:val="Normal"/>
    <w:link w:val="Heading7Char"/>
    <w:uiPriority w:val="9"/>
    <w:unhideWhenUsed/>
    <w:rsid w:val="00547B80"/>
    <w:pPr>
      <w:keepNext/>
      <w:keepLines/>
      <w:spacing w:before="200"/>
      <w:outlineLvl w:val="6"/>
    </w:pPr>
    <w:rPr>
      <w:i/>
      <w:iCs/>
      <w:color w:val="404040"/>
    </w:rPr>
  </w:style>
  <w:style w:type="paragraph" w:styleId="Heading8">
    <w:name w:val="heading 8"/>
    <w:basedOn w:val="Normal"/>
    <w:next w:val="Normal"/>
    <w:link w:val="Heading8Char"/>
    <w:uiPriority w:val="9"/>
    <w:unhideWhenUsed/>
    <w:rsid w:val="00547B8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47B8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47B8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47B8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547B80"/>
    <w:rPr>
      <w:szCs w:val="18"/>
      <w:vertAlign w:val="superscript"/>
    </w:rPr>
  </w:style>
  <w:style w:type="paragraph" w:customStyle="1" w:styleId="HMGA">
    <w:name w:val="_ H __M_GA"/>
    <w:basedOn w:val="Normal"/>
    <w:next w:val="SingleTxtGA"/>
    <w:qFormat/>
    <w:rsid w:val="00547B8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47B8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47B8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47B8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47B8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47B8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47B8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47B8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47B8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47B8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47B8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47B8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47B8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47B80"/>
    <w:pPr>
      <w:numPr>
        <w:numId w:val="5"/>
      </w:numPr>
      <w:bidi w:val="0"/>
    </w:pPr>
    <w:rPr>
      <w:lang w:val="en-US"/>
    </w:rPr>
  </w:style>
  <w:style w:type="paragraph" w:customStyle="1" w:styleId="Roman1GA">
    <w:name w:val="_Roman 1_GA"/>
    <w:basedOn w:val="Bullet1GA"/>
    <w:qFormat/>
    <w:rsid w:val="00547B80"/>
    <w:pPr>
      <w:numPr>
        <w:numId w:val="6"/>
      </w:numPr>
      <w:tabs>
        <w:tab w:val="clear" w:pos="2310"/>
        <w:tab w:val="left" w:pos="2486"/>
      </w:tabs>
      <w:ind w:left="2486" w:hanging="378"/>
    </w:pPr>
  </w:style>
  <w:style w:type="paragraph" w:customStyle="1" w:styleId="Roman2GA">
    <w:name w:val="_Roman 2_GA"/>
    <w:basedOn w:val="Bullet2GA"/>
    <w:qFormat/>
    <w:rsid w:val="00547B8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47B8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47B80"/>
    <w:rPr>
      <w:rFonts w:ascii="Times New Roman" w:eastAsia="PMingLiU" w:hAnsi="Times New Roman" w:cs="Simplified Arabic"/>
      <w:sz w:val="18"/>
      <w:szCs w:val="20"/>
      <w:lang w:val="en-GB"/>
    </w:rPr>
  </w:style>
  <w:style w:type="character" w:customStyle="1" w:styleId="EndtnoteReference">
    <w:name w:val="Endtnote Reference"/>
    <w:aliases w:val="1_GA"/>
    <w:qFormat/>
    <w:rsid w:val="00547B8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47B80"/>
    <w:pPr>
      <w:suppressAutoHyphens/>
      <w:bidi w:val="0"/>
      <w:spacing w:line="240" w:lineRule="auto"/>
    </w:pPr>
    <w:rPr>
      <w:sz w:val="16"/>
      <w:lang w:val="en-GB"/>
    </w:rPr>
  </w:style>
  <w:style w:type="character" w:customStyle="1" w:styleId="FooterChar">
    <w:name w:val="Footer Char"/>
    <w:aliases w:val="3_GA Char,3_G Char"/>
    <w:link w:val="Footer"/>
    <w:rsid w:val="00547B80"/>
    <w:rPr>
      <w:rFonts w:ascii="Times New Roman" w:eastAsia="PMingLiU" w:hAnsi="Times New Roman" w:cs="Simplified Arabic"/>
      <w:sz w:val="16"/>
      <w:lang w:val="en-GB"/>
    </w:rPr>
  </w:style>
  <w:style w:type="paragraph" w:customStyle="1" w:styleId="FootnoteText1">
    <w:name w:val="Footnote Text1"/>
    <w:aliases w:val="5_GA"/>
    <w:basedOn w:val="Normal"/>
    <w:qFormat/>
    <w:rsid w:val="00547B8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47B80"/>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547B80"/>
    <w:rPr>
      <w:rFonts w:ascii="Times New Roman" w:eastAsia="PMingLiU" w:hAnsi="Times New Roman" w:cs="Simplified Arabic"/>
      <w:b/>
      <w:bCs/>
      <w:sz w:val="18"/>
      <w:szCs w:val="18"/>
    </w:rPr>
  </w:style>
  <w:style w:type="character" w:customStyle="1" w:styleId="Heading1Char">
    <w:name w:val="Heading 1 Char"/>
    <w:aliases w:val="Table_GA Char,Table_G Char,Table G Char"/>
    <w:link w:val="Heading1"/>
    <w:rsid w:val="00547B80"/>
    <w:rPr>
      <w:rFonts w:ascii="Times New Roman" w:eastAsia="PMingLiU" w:hAnsi="Times New Roman" w:cs="Simplified Arabic"/>
      <w:lang w:val="en-GB"/>
    </w:rPr>
  </w:style>
  <w:style w:type="character" w:styleId="PageNumber">
    <w:name w:val="page number"/>
    <w:aliases w:val="7_GA,7_G"/>
    <w:qFormat/>
    <w:rsid w:val="00547B80"/>
    <w:rPr>
      <w:rFonts w:ascii="Times New Roman Bold" w:hAnsi="Times New Roman Bold"/>
      <w:b/>
      <w:i w:val="0"/>
      <w:sz w:val="18"/>
      <w:szCs w:val="18"/>
    </w:rPr>
  </w:style>
  <w:style w:type="paragraph" w:customStyle="1" w:styleId="XXLargeGA">
    <w:name w:val="XXLarge_GA"/>
    <w:basedOn w:val="Normal"/>
    <w:next w:val="SingleTxtGA"/>
    <w:qFormat/>
    <w:rsid w:val="00547B80"/>
    <w:pPr>
      <w:suppressAutoHyphens/>
      <w:spacing w:line="820" w:lineRule="exact"/>
    </w:pPr>
    <w:rPr>
      <w:spacing w:val="-8"/>
      <w:w w:val="96"/>
      <w:sz w:val="57"/>
      <w:szCs w:val="86"/>
      <w:lang w:val="en-GB"/>
    </w:rPr>
  </w:style>
  <w:style w:type="character" w:customStyle="1" w:styleId="Heading2Char">
    <w:name w:val="Heading 2 Char"/>
    <w:link w:val="Heading2"/>
    <w:uiPriority w:val="9"/>
    <w:rsid w:val="00547B80"/>
    <w:rPr>
      <w:rFonts w:ascii="Times New Roman" w:eastAsia="PMingLiU" w:hAnsi="Times New Roman" w:cs="Simplified Arabic"/>
      <w:b/>
      <w:bCs/>
      <w:color w:val="4F81BD"/>
      <w:sz w:val="26"/>
      <w:szCs w:val="26"/>
    </w:rPr>
  </w:style>
  <w:style w:type="character" w:styleId="BookTitle">
    <w:name w:val="Book Title"/>
    <w:uiPriority w:val="33"/>
    <w:rsid w:val="00547B80"/>
    <w:rPr>
      <w:b/>
      <w:bCs/>
      <w:smallCaps/>
      <w:spacing w:val="5"/>
    </w:rPr>
  </w:style>
  <w:style w:type="character" w:customStyle="1" w:styleId="Heading3Char">
    <w:name w:val="Heading 3 Char"/>
    <w:link w:val="Heading3"/>
    <w:uiPriority w:val="9"/>
    <w:rsid w:val="00547B80"/>
    <w:rPr>
      <w:rFonts w:ascii="Times New Roman" w:eastAsia="PMingLiU" w:hAnsi="Times New Roman" w:cs="Simplified Arabic"/>
      <w:b/>
      <w:bCs/>
      <w:color w:val="4F81BD"/>
      <w:sz w:val="20"/>
    </w:rPr>
  </w:style>
  <w:style w:type="character" w:customStyle="1" w:styleId="Heading4Char">
    <w:name w:val="Heading 4 Char"/>
    <w:link w:val="Heading4"/>
    <w:uiPriority w:val="9"/>
    <w:rsid w:val="00547B8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547B80"/>
    <w:rPr>
      <w:rFonts w:ascii="Times New Roman" w:eastAsia="PMingLiU" w:hAnsi="Times New Roman" w:cs="Simplified Arabic"/>
      <w:color w:val="243F60"/>
      <w:sz w:val="20"/>
    </w:rPr>
  </w:style>
  <w:style w:type="character" w:customStyle="1" w:styleId="Heading6Char">
    <w:name w:val="Heading 6 Char"/>
    <w:link w:val="Heading6"/>
    <w:uiPriority w:val="9"/>
    <w:rsid w:val="00547B80"/>
    <w:rPr>
      <w:rFonts w:ascii="Times New Roman" w:eastAsia="PMingLiU" w:hAnsi="Times New Roman" w:cs="Simplified Arabic"/>
      <w:i/>
      <w:iCs/>
      <w:color w:val="243F60"/>
      <w:sz w:val="20"/>
    </w:rPr>
  </w:style>
  <w:style w:type="character" w:customStyle="1" w:styleId="Heading7Char">
    <w:name w:val="Heading 7 Char"/>
    <w:link w:val="Heading7"/>
    <w:uiPriority w:val="9"/>
    <w:rsid w:val="00547B80"/>
    <w:rPr>
      <w:rFonts w:ascii="Times New Roman" w:eastAsia="PMingLiU" w:hAnsi="Times New Roman" w:cs="Simplified Arabic"/>
      <w:i/>
      <w:iCs/>
      <w:color w:val="404040"/>
      <w:sz w:val="20"/>
    </w:rPr>
  </w:style>
  <w:style w:type="character" w:customStyle="1" w:styleId="Heading8Char">
    <w:name w:val="Heading 8 Char"/>
    <w:link w:val="Heading8"/>
    <w:uiPriority w:val="9"/>
    <w:rsid w:val="00547B8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547B8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547B8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47B8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547B80"/>
    <w:pPr>
      <w:numPr>
        <w:ilvl w:val="1"/>
      </w:numPr>
    </w:pPr>
    <w:rPr>
      <w:i/>
      <w:iCs/>
      <w:color w:val="4F81BD"/>
      <w:spacing w:val="15"/>
      <w:sz w:val="24"/>
      <w:szCs w:val="24"/>
    </w:rPr>
  </w:style>
  <w:style w:type="character" w:customStyle="1" w:styleId="SubtitleChar">
    <w:name w:val="Subtitle Char"/>
    <w:link w:val="Subtitle"/>
    <w:uiPriority w:val="11"/>
    <w:rsid w:val="00547B80"/>
    <w:rPr>
      <w:rFonts w:ascii="Times New Roman" w:eastAsia="PMingLiU" w:hAnsi="Times New Roman" w:cs="Simplified Arabic"/>
      <w:i/>
      <w:iCs/>
      <w:color w:val="4F81BD"/>
      <w:spacing w:val="15"/>
      <w:sz w:val="24"/>
      <w:szCs w:val="24"/>
    </w:rPr>
  </w:style>
  <w:style w:type="character" w:styleId="SubtleEmphasis">
    <w:name w:val="Subtle Emphasis"/>
    <w:uiPriority w:val="19"/>
    <w:rsid w:val="00547B80"/>
    <w:rPr>
      <w:i/>
      <w:iCs/>
      <w:color w:val="808080"/>
    </w:rPr>
  </w:style>
  <w:style w:type="table" w:styleId="ColorfulGrid-Accent6">
    <w:name w:val="Colorful Grid Accent 6"/>
    <w:basedOn w:val="TableNormal"/>
    <w:uiPriority w:val="73"/>
    <w:rsid w:val="00547B8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47B80"/>
    <w:rPr>
      <w:i/>
      <w:iCs/>
    </w:rPr>
  </w:style>
  <w:style w:type="character" w:styleId="IntenseEmphasis">
    <w:name w:val="Intense Emphasis"/>
    <w:uiPriority w:val="21"/>
    <w:rsid w:val="00547B80"/>
    <w:rPr>
      <w:b/>
      <w:bCs/>
      <w:i/>
      <w:iCs/>
      <w:color w:val="4F81BD"/>
    </w:rPr>
  </w:style>
  <w:style w:type="character" w:styleId="Strong">
    <w:name w:val="Strong"/>
    <w:uiPriority w:val="22"/>
    <w:rsid w:val="00547B80"/>
    <w:rPr>
      <w:b/>
      <w:bCs/>
    </w:rPr>
  </w:style>
  <w:style w:type="paragraph" w:styleId="Quote">
    <w:name w:val="Quote"/>
    <w:basedOn w:val="Normal"/>
    <w:next w:val="Normal"/>
    <w:link w:val="QuoteChar"/>
    <w:uiPriority w:val="29"/>
    <w:rsid w:val="00547B80"/>
    <w:rPr>
      <w:i/>
      <w:iCs/>
      <w:color w:val="000000"/>
    </w:rPr>
  </w:style>
  <w:style w:type="character" w:customStyle="1" w:styleId="QuoteChar">
    <w:name w:val="Quote Char"/>
    <w:link w:val="Quote"/>
    <w:uiPriority w:val="29"/>
    <w:rsid w:val="00547B8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547B8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7B80"/>
    <w:rPr>
      <w:rFonts w:ascii="Times New Roman" w:eastAsia="PMingLiU" w:hAnsi="Times New Roman" w:cs="Simplified Arabic"/>
      <w:b/>
      <w:bCs/>
      <w:i/>
      <w:iCs/>
      <w:color w:val="4F81BD"/>
      <w:sz w:val="20"/>
    </w:rPr>
  </w:style>
  <w:style w:type="character" w:styleId="SubtleReference">
    <w:name w:val="Subtle Reference"/>
    <w:uiPriority w:val="31"/>
    <w:rsid w:val="00547B80"/>
    <w:rPr>
      <w:smallCaps/>
      <w:color w:val="C0504D"/>
      <w:u w:val="single"/>
    </w:rPr>
  </w:style>
  <w:style w:type="character" w:styleId="IntenseReference">
    <w:name w:val="Intense Reference"/>
    <w:uiPriority w:val="32"/>
    <w:rsid w:val="00547B80"/>
    <w:rPr>
      <w:b/>
      <w:bCs/>
      <w:smallCaps/>
      <w:color w:val="C0504D"/>
      <w:spacing w:val="5"/>
      <w:u w:val="single"/>
    </w:rPr>
  </w:style>
  <w:style w:type="paragraph" w:styleId="ListParagraph">
    <w:name w:val="List Paragraph"/>
    <w:basedOn w:val="Normal"/>
    <w:uiPriority w:val="34"/>
    <w:rsid w:val="00547B80"/>
    <w:pPr>
      <w:ind w:left="720"/>
      <w:contextualSpacing/>
    </w:pPr>
  </w:style>
  <w:style w:type="table" w:styleId="MediumShading1-Accent4">
    <w:name w:val="Medium Shading 1 Accent 4"/>
    <w:basedOn w:val="TableNormal"/>
    <w:uiPriority w:val="63"/>
    <w:rsid w:val="00547B8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47B80"/>
    <w:rPr>
      <w:rFonts w:eastAsia="MS Mincho"/>
      <w:sz w:val="18"/>
      <w:vertAlign w:val="superscript"/>
    </w:rPr>
  </w:style>
  <w:style w:type="table" w:styleId="TableGrid">
    <w:name w:val="Table Grid"/>
    <w:basedOn w:val="TableNormal"/>
    <w:rsid w:val="00547B8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B80"/>
    <w:pPr>
      <w:spacing w:line="240" w:lineRule="auto"/>
    </w:pPr>
    <w:rPr>
      <w:sz w:val="16"/>
      <w:szCs w:val="16"/>
    </w:rPr>
  </w:style>
  <w:style w:type="character" w:customStyle="1" w:styleId="BalloonTextChar">
    <w:name w:val="Balloon Text Char"/>
    <w:link w:val="BalloonText"/>
    <w:uiPriority w:val="99"/>
    <w:semiHidden/>
    <w:rsid w:val="00547B80"/>
    <w:rPr>
      <w:rFonts w:ascii="Times New Roman" w:eastAsia="PMingLiU" w:hAnsi="Times New Roman" w:cs="Simplified Arabic"/>
      <w:sz w:val="16"/>
      <w:szCs w:val="16"/>
    </w:rPr>
  </w:style>
  <w:style w:type="character" w:styleId="Hyperlink">
    <w:name w:val="Hyperlink"/>
    <w:uiPriority w:val="99"/>
    <w:unhideWhenUsed/>
    <w:rsid w:val="00547B80"/>
    <w:rPr>
      <w:color w:val="0000FF"/>
      <w:u w:val="none"/>
    </w:rPr>
  </w:style>
  <w:style w:type="paragraph" w:styleId="TOC1">
    <w:name w:val="toc 1"/>
    <w:basedOn w:val="Normal"/>
    <w:link w:val="TOC1Char"/>
    <w:autoRedefine/>
    <w:uiPriority w:val="39"/>
    <w:unhideWhenUsed/>
    <w:rsid w:val="00547B8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47B8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47B8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47B80"/>
    <w:rPr>
      <w:rFonts w:eastAsia="DengXian"/>
      <w:color w:val="auto"/>
      <w:sz w:val="20"/>
      <w:szCs w:val="20"/>
      <w:u w:val="none"/>
      <w:lang w:eastAsia="zh-CN" w:bidi="ar-EG"/>
    </w:rPr>
  </w:style>
  <w:style w:type="paragraph" w:styleId="TOC4">
    <w:name w:val="toc 4"/>
    <w:basedOn w:val="Normal"/>
    <w:link w:val="TOC4Char"/>
    <w:autoRedefine/>
    <w:uiPriority w:val="39"/>
    <w:unhideWhenUsed/>
    <w:rsid w:val="00547B8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47B8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47B8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47B8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547B8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47B8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547B80"/>
    <w:rPr>
      <w:color w:val="605E5C"/>
      <w:shd w:val="clear" w:color="auto" w:fill="E1DFDD"/>
    </w:rPr>
  </w:style>
  <w:style w:type="character" w:customStyle="1" w:styleId="TOC1Char">
    <w:name w:val="TOC 1 Char"/>
    <w:basedOn w:val="DefaultParagraphFont"/>
    <w:link w:val="TOC1"/>
    <w:uiPriority w:val="39"/>
    <w:rsid w:val="00547B8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547B8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547B8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547B8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547B8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547B80"/>
    <w:rPr>
      <w:rFonts w:ascii="Times New Roman" w:eastAsia="PMingLiU" w:hAnsi="Times New Roman" w:cs="Simplified Arabic"/>
      <w:sz w:val="20"/>
      <w:szCs w:val="20"/>
      <w:lang w:val="en-GB"/>
    </w:rPr>
  </w:style>
  <w:style w:type="paragraph" w:customStyle="1" w:styleId="SessionDate">
    <w:name w:val="Session_Date"/>
    <w:basedOn w:val="Normal"/>
    <w:qFormat/>
    <w:rsid w:val="00547B80"/>
    <w:pPr>
      <w:spacing w:before="240" w:after="240" w:line="460" w:lineRule="exact"/>
      <w:ind w:left="1247"/>
    </w:pPr>
    <w:rPr>
      <w:b/>
      <w:bCs/>
      <w:sz w:val="32"/>
      <w:szCs w:val="44"/>
    </w:rPr>
  </w:style>
  <w:style w:type="paragraph" w:customStyle="1" w:styleId="SessionNumber">
    <w:name w:val="Session_Number"/>
    <w:basedOn w:val="Normal"/>
    <w:qFormat/>
    <w:rsid w:val="00547B80"/>
    <w:pPr>
      <w:spacing w:line="480" w:lineRule="exact"/>
      <w:ind w:left="1247"/>
    </w:pPr>
    <w:rPr>
      <w:b/>
      <w:bCs/>
      <w:sz w:val="28"/>
      <w:szCs w:val="38"/>
    </w:rPr>
  </w:style>
  <w:style w:type="paragraph" w:customStyle="1" w:styleId="CityandYear">
    <w:name w:val="City and Year"/>
    <w:basedOn w:val="SingleTxtGA"/>
    <w:qFormat/>
    <w:rsid w:val="00547B80"/>
    <w:pPr>
      <w:spacing w:line="480" w:lineRule="exact"/>
    </w:pPr>
    <w:rPr>
      <w:b/>
      <w:bCs/>
      <w:sz w:val="30"/>
      <w:szCs w:val="38"/>
      <w:lang w:eastAsia="ar-SA"/>
    </w:rPr>
  </w:style>
  <w:style w:type="paragraph" w:customStyle="1" w:styleId="NormalA">
    <w:name w:val="Normal_A"/>
    <w:basedOn w:val="Normal"/>
    <w:qFormat/>
    <w:rsid w:val="00547B80"/>
  </w:style>
  <w:style w:type="paragraph" w:customStyle="1" w:styleId="SingleTxtG">
    <w:name w:val="_ Single Txt_G"/>
    <w:basedOn w:val="Normal"/>
    <w:link w:val="SingleTxtGChar"/>
    <w:qFormat/>
    <w:rsid w:val="00547B80"/>
    <w:pPr>
      <w:suppressAutoHyphens/>
      <w:bidi w:val="0"/>
      <w:spacing w:after="120"/>
      <w:ind w:left="1134" w:right="1134"/>
      <w:jc w:val="both"/>
    </w:pPr>
    <w:rPr>
      <w:szCs w:val="20"/>
      <w:lang w:val="en-GB"/>
    </w:rPr>
  </w:style>
  <w:style w:type="paragraph" w:customStyle="1" w:styleId="HChG">
    <w:name w:val="_ H _Ch_G"/>
    <w:basedOn w:val="Normal"/>
    <w:next w:val="Normal"/>
    <w:qFormat/>
    <w:rsid w:val="00547B8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547B8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547B8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47B8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547B8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47B80"/>
    <w:rPr>
      <w:sz w:val="44"/>
      <w:szCs w:val="44"/>
      <w:lang w:val="en-US" w:bidi="ar-DZ"/>
    </w:rPr>
  </w:style>
  <w:style w:type="paragraph" w:customStyle="1" w:styleId="FootnoteGA0">
    <w:name w:val="Footnote_GA"/>
    <w:basedOn w:val="Normal"/>
    <w:qFormat/>
    <w:rsid w:val="00547B8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47B80"/>
    <w:pPr>
      <w:keepNext/>
      <w:keepLines/>
      <w:spacing w:after="120" w:line="400" w:lineRule="exact"/>
      <w:outlineLvl w:val="0"/>
    </w:pPr>
    <w:rPr>
      <w:b/>
      <w:bCs/>
      <w:kern w:val="14"/>
      <w:sz w:val="24"/>
      <w:szCs w:val="32"/>
    </w:rPr>
  </w:style>
  <w:style w:type="paragraph" w:customStyle="1" w:styleId="HCh">
    <w:name w:val="_ H _Ch"/>
    <w:basedOn w:val="H1"/>
    <w:next w:val="SingleTxt"/>
    <w:qFormat/>
    <w:rsid w:val="00547B80"/>
    <w:pPr>
      <w:spacing w:line="440" w:lineRule="exact"/>
    </w:pPr>
    <w:rPr>
      <w:spacing w:val="-2"/>
      <w:sz w:val="28"/>
      <w:szCs w:val="36"/>
    </w:rPr>
  </w:style>
  <w:style w:type="character" w:styleId="CommentReference">
    <w:name w:val="annotation reference"/>
    <w:uiPriority w:val="99"/>
    <w:semiHidden/>
    <w:rsid w:val="00547B80"/>
    <w:rPr>
      <w:sz w:val="6"/>
      <w:szCs w:val="9"/>
    </w:rPr>
  </w:style>
  <w:style w:type="paragraph" w:customStyle="1" w:styleId="HM">
    <w:name w:val="_ H __M"/>
    <w:basedOn w:val="HCh"/>
    <w:next w:val="Normal"/>
    <w:qFormat/>
    <w:rsid w:val="00547B80"/>
    <w:pPr>
      <w:suppressAutoHyphens/>
      <w:spacing w:line="520" w:lineRule="exact"/>
    </w:pPr>
    <w:rPr>
      <w:spacing w:val="-3"/>
      <w:sz w:val="34"/>
      <w:szCs w:val="48"/>
    </w:rPr>
  </w:style>
  <w:style w:type="paragraph" w:customStyle="1" w:styleId="SingleTxt">
    <w:name w:val="__Single Txt"/>
    <w:basedOn w:val="Normal"/>
    <w:qFormat/>
    <w:rsid w:val="00547B8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547B80"/>
    <w:pPr>
      <w:suppressAutoHyphens/>
      <w:spacing w:line="360" w:lineRule="exact"/>
      <w:outlineLvl w:val="1"/>
    </w:pPr>
    <w:rPr>
      <w:spacing w:val="2"/>
      <w:sz w:val="20"/>
      <w:szCs w:val="28"/>
    </w:rPr>
  </w:style>
  <w:style w:type="paragraph" w:customStyle="1" w:styleId="H4">
    <w:name w:val="_ H_4"/>
    <w:basedOn w:val="Normal"/>
    <w:next w:val="Normal"/>
    <w:qFormat/>
    <w:rsid w:val="00547B80"/>
    <w:pPr>
      <w:keepNext/>
      <w:keepLines/>
      <w:spacing w:after="120" w:line="360" w:lineRule="exact"/>
      <w:outlineLvl w:val="3"/>
    </w:pPr>
    <w:rPr>
      <w:i/>
      <w:iCs/>
      <w:kern w:val="14"/>
      <w:szCs w:val="28"/>
    </w:rPr>
  </w:style>
  <w:style w:type="paragraph" w:customStyle="1" w:styleId="H56">
    <w:name w:val="_ H_5/6"/>
    <w:basedOn w:val="Normal"/>
    <w:next w:val="Normal"/>
    <w:qFormat/>
    <w:rsid w:val="00547B80"/>
    <w:pPr>
      <w:keepNext/>
      <w:keepLines/>
      <w:spacing w:after="120" w:line="360" w:lineRule="exact"/>
      <w:outlineLvl w:val="4"/>
    </w:pPr>
    <w:rPr>
      <w:kern w:val="14"/>
      <w:szCs w:val="28"/>
    </w:rPr>
  </w:style>
  <w:style w:type="paragraph" w:customStyle="1" w:styleId="DualTxt">
    <w:name w:val="__Dual Txt"/>
    <w:basedOn w:val="Normal"/>
    <w:qFormat/>
    <w:rsid w:val="00547B8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47B8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47B8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47B80"/>
    <w:pPr>
      <w:spacing w:after="120" w:line="440" w:lineRule="exact"/>
      <w:jc w:val="center"/>
    </w:pPr>
    <w:rPr>
      <w:b/>
      <w:bCs/>
      <w:sz w:val="25"/>
      <w:szCs w:val="38"/>
    </w:rPr>
  </w:style>
  <w:style w:type="paragraph" w:customStyle="1" w:styleId="JH1">
    <w:name w:val="J_H_1"/>
    <w:basedOn w:val="JCH"/>
    <w:qFormat/>
    <w:rsid w:val="00547B80"/>
    <w:pPr>
      <w:spacing w:line="420" w:lineRule="exact"/>
    </w:pPr>
    <w:rPr>
      <w:sz w:val="23"/>
      <w:szCs w:val="34"/>
    </w:rPr>
  </w:style>
  <w:style w:type="paragraph" w:customStyle="1" w:styleId="JH2">
    <w:name w:val="J_H_2"/>
    <w:basedOn w:val="JH1"/>
    <w:qFormat/>
    <w:rsid w:val="00547B80"/>
    <w:pPr>
      <w:spacing w:line="400" w:lineRule="exact"/>
    </w:pPr>
    <w:rPr>
      <w:sz w:val="20"/>
      <w:szCs w:val="30"/>
    </w:rPr>
  </w:style>
  <w:style w:type="paragraph" w:customStyle="1" w:styleId="JSmall">
    <w:name w:val="J_Small"/>
    <w:basedOn w:val="JSingleTxt"/>
    <w:next w:val="JSingleTxt"/>
    <w:qFormat/>
    <w:rsid w:val="00547B8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47B80"/>
    <w:pPr>
      <w:tabs>
        <w:tab w:val="right" w:leader="dot" w:pos="360"/>
      </w:tabs>
      <w:spacing w:line="310" w:lineRule="exact"/>
      <w:jc w:val="right"/>
    </w:pPr>
    <w:rPr>
      <w:spacing w:val="5"/>
      <w:w w:val="104"/>
      <w:kern w:val="14"/>
      <w:sz w:val="17"/>
      <w:szCs w:val="25"/>
    </w:rPr>
  </w:style>
  <w:style w:type="character" w:styleId="LineNumber">
    <w:name w:val="line number"/>
    <w:qFormat/>
    <w:rsid w:val="00547B80"/>
    <w:rPr>
      <w:sz w:val="14"/>
      <w:szCs w:val="16"/>
    </w:rPr>
  </w:style>
  <w:style w:type="paragraph" w:customStyle="1" w:styleId="SmallX">
    <w:name w:val="SmallX"/>
    <w:basedOn w:val="Small"/>
    <w:next w:val="Normal"/>
    <w:qFormat/>
    <w:rsid w:val="00547B80"/>
    <w:pPr>
      <w:spacing w:line="240" w:lineRule="exact"/>
    </w:pPr>
    <w:rPr>
      <w:spacing w:val="6"/>
      <w:w w:val="106"/>
      <w:sz w:val="14"/>
      <w:szCs w:val="21"/>
    </w:rPr>
  </w:style>
  <w:style w:type="paragraph" w:customStyle="1" w:styleId="XLarge">
    <w:name w:val="XLarge"/>
    <w:basedOn w:val="HM"/>
    <w:qFormat/>
    <w:rsid w:val="00547B8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47B80"/>
    <w:pPr>
      <w:spacing w:line="820" w:lineRule="exact"/>
    </w:pPr>
    <w:rPr>
      <w:spacing w:val="-8"/>
      <w:w w:val="96"/>
      <w:sz w:val="57"/>
      <w:szCs w:val="86"/>
    </w:rPr>
  </w:style>
  <w:style w:type="paragraph" w:customStyle="1" w:styleId="Distribution">
    <w:name w:val="Distribution"/>
    <w:basedOn w:val="Normal"/>
    <w:next w:val="Normal"/>
    <w:qFormat/>
    <w:rsid w:val="00547B8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47B8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47B8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47B8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547B80"/>
    <w:pPr>
      <w:tabs>
        <w:tab w:val="left" w:pos="662"/>
        <w:tab w:val="left" w:pos="1267"/>
        <w:tab w:val="left" w:pos="1987"/>
        <w:tab w:val="left" w:pos="2650"/>
      </w:tabs>
      <w:spacing w:after="0"/>
      <w:ind w:left="662" w:hanging="662"/>
    </w:pPr>
  </w:style>
  <w:style w:type="paragraph" w:customStyle="1" w:styleId="Committee">
    <w:name w:val="Committee"/>
    <w:basedOn w:val="H1"/>
    <w:qFormat/>
    <w:rsid w:val="00547B80"/>
    <w:pPr>
      <w:tabs>
        <w:tab w:val="left" w:pos="662"/>
        <w:tab w:val="left" w:pos="1267"/>
        <w:tab w:val="left" w:pos="1987"/>
        <w:tab w:val="left" w:pos="2650"/>
      </w:tabs>
      <w:ind w:right="1264"/>
    </w:pPr>
  </w:style>
  <w:style w:type="paragraph" w:customStyle="1" w:styleId="AgendaItemNormal">
    <w:name w:val="Agenda_Item_Normal"/>
    <w:next w:val="Normal"/>
    <w:qFormat/>
    <w:rsid w:val="00547B8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547B8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47B8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47B8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47B8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47B80"/>
    <w:rPr>
      <w:i w:val="0"/>
      <w:color w:val="0000FF"/>
      <w:u w:val="none"/>
    </w:rPr>
  </w:style>
  <w:style w:type="paragraph" w:customStyle="1" w:styleId="Bullet1">
    <w:name w:val="Bullet 1"/>
    <w:basedOn w:val="Normal"/>
    <w:qFormat/>
    <w:rsid w:val="00547B8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47B80"/>
    <w:pPr>
      <w:numPr>
        <w:numId w:val="14"/>
      </w:numPr>
      <w:spacing w:after="120" w:line="360" w:lineRule="exact"/>
      <w:ind w:right="1264"/>
    </w:pPr>
    <w:rPr>
      <w:kern w:val="14"/>
      <w:szCs w:val="28"/>
    </w:rPr>
  </w:style>
  <w:style w:type="paragraph" w:customStyle="1" w:styleId="Bullet3">
    <w:name w:val="Bullet 3"/>
    <w:basedOn w:val="SingleTxt"/>
    <w:qFormat/>
    <w:rsid w:val="00547B8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547B80"/>
    <w:pPr>
      <w:ind w:right="5760"/>
      <w:outlineLvl w:val="1"/>
    </w:pPr>
    <w:rPr>
      <w:spacing w:val="2"/>
      <w:sz w:val="20"/>
      <w:szCs w:val="28"/>
    </w:rPr>
  </w:style>
  <w:style w:type="paragraph" w:customStyle="1" w:styleId="STitleM">
    <w:name w:val="S_Title_M"/>
    <w:basedOn w:val="Normal"/>
    <w:next w:val="Normal"/>
    <w:qFormat/>
    <w:rsid w:val="00547B8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47B80"/>
    <w:pPr>
      <w:spacing w:line="600" w:lineRule="exact"/>
      <w:ind w:left="1267" w:right="1267"/>
    </w:pPr>
    <w:rPr>
      <w:w w:val="103"/>
      <w:sz w:val="60"/>
      <w:szCs w:val="60"/>
    </w:rPr>
  </w:style>
  <w:style w:type="paragraph" w:customStyle="1" w:styleId="STitleL">
    <w:name w:val="S_Title_L"/>
    <w:basedOn w:val="XLarge"/>
    <w:next w:val="Normal"/>
    <w:qFormat/>
    <w:rsid w:val="00547B80"/>
    <w:rPr>
      <w:spacing w:val="-8"/>
      <w:w w:val="96"/>
      <w:sz w:val="57"/>
    </w:rPr>
  </w:style>
  <w:style w:type="paragraph" w:styleId="CommentText">
    <w:name w:val="annotation text"/>
    <w:basedOn w:val="Normal"/>
    <w:link w:val="CommentTextChar"/>
    <w:uiPriority w:val="99"/>
    <w:semiHidden/>
    <w:unhideWhenUsed/>
    <w:rsid w:val="00547B80"/>
    <w:pPr>
      <w:spacing w:line="240" w:lineRule="auto"/>
    </w:pPr>
    <w:rPr>
      <w:kern w:val="14"/>
    </w:rPr>
  </w:style>
  <w:style w:type="character" w:customStyle="1" w:styleId="CommentTextChar">
    <w:name w:val="Comment Text Char"/>
    <w:basedOn w:val="DefaultParagraphFont"/>
    <w:link w:val="CommentText"/>
    <w:uiPriority w:val="99"/>
    <w:semiHidden/>
    <w:rsid w:val="00547B8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547B80"/>
    <w:rPr>
      <w:b/>
      <w:bCs/>
    </w:rPr>
  </w:style>
  <w:style w:type="character" w:customStyle="1" w:styleId="CommentSubjectChar">
    <w:name w:val="Comment Subject Char"/>
    <w:basedOn w:val="CommentTextChar"/>
    <w:link w:val="CommentSubject"/>
    <w:uiPriority w:val="99"/>
    <w:semiHidden/>
    <w:rsid w:val="00547B80"/>
    <w:rPr>
      <w:rFonts w:ascii="Times New Roman" w:eastAsia="PMingLiU" w:hAnsi="Times New Roman" w:cs="Simplified Arabic"/>
      <w:b/>
      <w:bCs/>
      <w:kern w:val="14"/>
      <w:sz w:val="20"/>
    </w:rPr>
  </w:style>
  <w:style w:type="paragraph" w:customStyle="1" w:styleId="Bullet1G">
    <w:name w:val="_Bullet 1_G"/>
    <w:basedOn w:val="Normal"/>
    <w:qFormat/>
    <w:rsid w:val="00547B80"/>
    <w:pPr>
      <w:numPr>
        <w:numId w:val="16"/>
      </w:numPr>
      <w:bidi w:val="0"/>
      <w:spacing w:after="120"/>
      <w:ind w:right="1134"/>
      <w:jc w:val="both"/>
    </w:pPr>
    <w:rPr>
      <w:sz w:val="22"/>
    </w:rPr>
  </w:style>
  <w:style w:type="character" w:customStyle="1" w:styleId="SingleTxtGChar">
    <w:name w:val="_ Single Txt_G Char"/>
    <w:link w:val="SingleTxtG"/>
    <w:rsid w:val="00547B80"/>
    <w:rPr>
      <w:rFonts w:ascii="Times New Roman" w:eastAsia="PMingLiU" w:hAnsi="Times New Roman" w:cs="Simplified Arabic"/>
      <w:sz w:val="20"/>
      <w:szCs w:val="20"/>
      <w:lang w:val="en-GB"/>
    </w:rPr>
  </w:style>
  <w:style w:type="paragraph" w:customStyle="1" w:styleId="Preparedby">
    <w:name w:val="Prepared by:"/>
    <w:basedOn w:val="H23GA"/>
    <w:qFormat/>
    <w:rsid w:val="00547B80"/>
    <w:rPr>
      <w:sz w:val="32"/>
      <w:szCs w:val="32"/>
    </w:rPr>
  </w:style>
  <w:style w:type="paragraph" w:customStyle="1" w:styleId="ParaNoG">
    <w:name w:val="_ParaNo._G"/>
    <w:basedOn w:val="SingleTxtG"/>
    <w:rsid w:val="00547B80"/>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547B8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47B8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47B8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47B8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47B8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47B8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47B8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47B80"/>
    <w:pPr>
      <w:spacing w:after="0" w:line="240" w:lineRule="auto"/>
    </w:pPr>
    <w:rPr>
      <w:rFonts w:eastAsiaTheme="minorEastAsia"/>
      <w:sz w:val="24"/>
      <w:szCs w:val="24"/>
      <w:lang w:val="fr-FR" w:eastAsia="fr-FR"/>
    </w:rPr>
  </w:style>
  <w:style w:type="paragraph" w:customStyle="1" w:styleId="Default">
    <w:name w:val="Default"/>
    <w:semiHidden/>
    <w:rsid w:val="00547B8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547B80"/>
  </w:style>
  <w:style w:type="character" w:customStyle="1" w:styleId="preferred">
    <w:name w:val="preferred"/>
    <w:basedOn w:val="DefaultParagraphFont"/>
    <w:rsid w:val="00547B80"/>
  </w:style>
  <w:style w:type="character" w:customStyle="1" w:styleId="admitted">
    <w:name w:val="admitted"/>
    <w:basedOn w:val="DefaultParagraphFont"/>
    <w:rsid w:val="00547B80"/>
  </w:style>
  <w:style w:type="character" w:customStyle="1" w:styleId="badge">
    <w:name w:val="badge"/>
    <w:basedOn w:val="DefaultParagraphFont"/>
    <w:rsid w:val="00D424DC"/>
  </w:style>
  <w:style w:type="character" w:customStyle="1" w:styleId="date-display-single">
    <w:name w:val="date-display-single"/>
    <w:basedOn w:val="DefaultParagraphFont"/>
    <w:rsid w:val="00D424DC"/>
  </w:style>
  <w:style w:type="paragraph" w:customStyle="1" w:styleId="RegHChG">
    <w:name w:val="Reg_H__Ch_G"/>
    <w:basedOn w:val="Normal"/>
    <w:next w:val="RegH1G"/>
    <w:rsid w:val="00D424DC"/>
    <w:pPr>
      <w:keepNext/>
      <w:keepLines/>
      <w:numPr>
        <w:numId w:val="29"/>
      </w:numPr>
      <w:suppressAutoHyphens/>
      <w:bidi w:val="0"/>
      <w:spacing w:before="360" w:after="240" w:line="300" w:lineRule="exact"/>
      <w:ind w:right="1134"/>
      <w:jc w:val="left"/>
    </w:pPr>
    <w:rPr>
      <w:rFonts w:eastAsia="Times New Roman" w:cs="Traditional Arabic" w:hint="cs"/>
      <w:b/>
      <w:sz w:val="28"/>
      <w:szCs w:val="30"/>
    </w:rPr>
  </w:style>
  <w:style w:type="paragraph" w:customStyle="1" w:styleId="RegH1G">
    <w:name w:val="Reg_H_1_G"/>
    <w:basedOn w:val="Normal"/>
    <w:next w:val="RegH23G"/>
    <w:rsid w:val="00D424DC"/>
    <w:pPr>
      <w:keepNext/>
      <w:keepLines/>
      <w:numPr>
        <w:ilvl w:val="1"/>
        <w:numId w:val="29"/>
      </w:numPr>
      <w:suppressAutoHyphens/>
      <w:bidi w:val="0"/>
      <w:spacing w:before="360" w:after="240" w:line="270" w:lineRule="exact"/>
      <w:ind w:right="1134"/>
      <w:jc w:val="left"/>
    </w:pPr>
    <w:rPr>
      <w:rFonts w:eastAsia="Times New Roman" w:cs="Traditional Arabic" w:hint="cs"/>
      <w:b/>
      <w:sz w:val="24"/>
      <w:szCs w:val="30"/>
    </w:rPr>
  </w:style>
  <w:style w:type="paragraph" w:customStyle="1" w:styleId="RegH23G">
    <w:name w:val="Reg_H_2/3_G"/>
    <w:basedOn w:val="Normal"/>
    <w:next w:val="RegH4G"/>
    <w:rsid w:val="00D424DC"/>
    <w:pPr>
      <w:keepNext/>
      <w:keepLines/>
      <w:numPr>
        <w:ilvl w:val="2"/>
        <w:numId w:val="29"/>
      </w:numPr>
      <w:suppressAutoHyphens/>
      <w:bidi w:val="0"/>
      <w:spacing w:before="240" w:after="120" w:line="240" w:lineRule="exact"/>
      <w:ind w:right="1134"/>
      <w:jc w:val="left"/>
    </w:pPr>
    <w:rPr>
      <w:rFonts w:eastAsia="Times New Roman" w:cs="Traditional Arabic" w:hint="cs"/>
      <w:b/>
      <w:szCs w:val="30"/>
    </w:rPr>
  </w:style>
  <w:style w:type="paragraph" w:customStyle="1" w:styleId="RegSingleTxtG">
    <w:name w:val="Reg_Single Txt_G"/>
    <w:basedOn w:val="Normal"/>
    <w:rsid w:val="00D424DC"/>
    <w:pPr>
      <w:numPr>
        <w:ilvl w:val="5"/>
        <w:numId w:val="29"/>
      </w:numPr>
      <w:tabs>
        <w:tab w:val="left" w:pos="1701"/>
      </w:tabs>
      <w:suppressAutoHyphens/>
      <w:bidi w:val="0"/>
      <w:spacing w:after="120"/>
      <w:ind w:right="1134"/>
      <w:jc w:val="both"/>
    </w:pPr>
    <w:rPr>
      <w:rFonts w:eastAsia="Times New Roman" w:cs="Traditional Arabic" w:hint="cs"/>
      <w:szCs w:val="30"/>
    </w:rPr>
  </w:style>
  <w:style w:type="paragraph" w:customStyle="1" w:styleId="RegH4G">
    <w:name w:val="Reg_H_4_G"/>
    <w:basedOn w:val="RegH23G"/>
    <w:next w:val="RegH5G"/>
    <w:qFormat/>
    <w:rsid w:val="00D424DC"/>
    <w:pPr>
      <w:numPr>
        <w:ilvl w:val="3"/>
      </w:numPr>
    </w:pPr>
  </w:style>
  <w:style w:type="paragraph" w:customStyle="1" w:styleId="RegH5G">
    <w:name w:val="Reg_H_5_G"/>
    <w:basedOn w:val="RegH4G"/>
    <w:qFormat/>
    <w:rsid w:val="00D424DC"/>
    <w:pPr>
      <w:numPr>
        <w:ilvl w:val="4"/>
      </w:numPr>
    </w:pPr>
    <w:rPr>
      <w:b w:val="0"/>
      <w:i/>
    </w:rPr>
  </w:style>
  <w:style w:type="paragraph" w:customStyle="1" w:styleId="RegSingleTxtG2">
    <w:name w:val="Reg_Single Txt_G2"/>
    <w:basedOn w:val="RegSingleTxtG"/>
    <w:qFormat/>
    <w:rsid w:val="00D424DC"/>
    <w:pPr>
      <w:numPr>
        <w:ilvl w:val="6"/>
      </w:numPr>
      <w:tabs>
        <w:tab w:val="clear" w:pos="1702"/>
      </w:tabs>
    </w:pPr>
  </w:style>
  <w:style w:type="paragraph" w:customStyle="1" w:styleId="FootnoteTable">
    <w:name w:val="Footnote Table"/>
    <w:basedOn w:val="Normal"/>
    <w:rsid w:val="00D424DC"/>
    <w:pPr>
      <w:suppressAutoHyphens/>
      <w:bidi w:val="0"/>
      <w:spacing w:before="60" w:line="220" w:lineRule="atLeast"/>
      <w:contextualSpacing/>
      <w:jc w:val="both"/>
    </w:pPr>
    <w:rPr>
      <w:rFonts w:eastAsia="Times New Roman" w:cs="Traditional Arabic" w:hint="cs"/>
      <w:sz w:val="1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toitescas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justice.belgium.be/sites/default/files/downloads/2016-06-07_note-cadre_de_securite_integrale_fr.pdf" TargetMode="External"/><Relationship Id="rId2" Type="http://schemas.openxmlformats.org/officeDocument/2006/relationships/hyperlink" Target="http://igvm-iefh.belgium.be/fr/publications/plan_daction_national_de_lutte_contre_toutes_les_formes_de_violence_basee_surle_genre" TargetMode="External"/><Relationship Id="rId1" Type="http://schemas.openxmlformats.org/officeDocument/2006/relationships/hyperlink" Target="http://igvm-iefh.belgium.be/fr/publications/lecart_salarial_entre_les_femmes_et_les_hommes_en_belgique_rapport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16141</Words>
  <Characters>86683</Characters>
  <Application>Microsoft Office Word</Application>
  <DocSecurity>0</DocSecurity>
  <Lines>1494</Lines>
  <Paragraphs>729</Paragraphs>
  <ScaleCrop>false</ScaleCrop>
  <HeadingPairs>
    <vt:vector size="2" baseType="variant">
      <vt:variant>
        <vt:lpstr>Title</vt:lpstr>
      </vt:variant>
      <vt:variant>
        <vt:i4>1</vt:i4>
      </vt:variant>
    </vt:vector>
  </HeadingPairs>
  <TitlesOfParts>
    <vt:vector size="1" baseType="lpstr">
      <vt:lpstr>HRI/CORE/BEL/2020</vt:lpstr>
    </vt:vector>
  </TitlesOfParts>
  <Company>DCM</Company>
  <LinksUpToDate>false</LinksUpToDate>
  <CharactersWithSpaces>102095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HRI/CORE/BEL/2020</dc:title>
  <dc:subject>GE.2102023(A)</dc:subject>
  <dc:creator>Gamal MAHMOUD - MEL</dc:creator>
  <cp:keywords>GE.2103318(A)</cp:keywords>
  <dc:description>Distr.: General_x000d_
15 February 2021_x000d_
Original: French</dc:description>
  <cp:lastModifiedBy>Ibrahim Balan</cp:lastModifiedBy>
  <cp:revision>3</cp:revision>
  <cp:lastPrinted>2021-06-07T13:31:00Z</cp:lastPrinted>
  <dcterms:created xsi:type="dcterms:W3CDTF">2021-06-07T13:31:00Z</dcterms:created>
  <dcterms:modified xsi:type="dcterms:W3CDTF">2021-06-07T13:35:00Z</dcterms:modified>
</cp:coreProperties>
</file>