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C8" w:rsidRDefault="00983EC8" w:rsidP="00983EC8">
      <w:pPr>
        <w:spacing w:line="240" w:lineRule="auto"/>
        <w:jc w:val="left"/>
        <w:rPr>
          <w:szCs w:val="6"/>
        </w:rPr>
        <w:sectPr w:rsidR="00983EC8" w:rsidSect="00983EC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r>
        <w:rPr>
          <w:rStyle w:val="CommentReference"/>
        </w:rPr>
        <w:commentReference w:id="0"/>
      </w:r>
      <w:bookmarkStart w:id="1" w:name="_GoBack"/>
      <w:bookmarkEnd w:id="1"/>
    </w:p>
    <w:p w:rsidR="00E1404F" w:rsidRPr="00E1404F" w:rsidRDefault="00E1404F" w:rsidP="00E1404F">
      <w:pPr>
        <w:pStyle w:val="HM"/>
        <w:tabs>
          <w:tab w:val="right" w:pos="1022"/>
        </w:tabs>
        <w:spacing w:line="120" w:lineRule="exact"/>
        <w:ind w:left="1324" w:right="1304" w:hanging="1324"/>
        <w:rPr>
          <w:sz w:val="10"/>
          <w:rtl/>
          <w:lang w:bidi="ar"/>
        </w:rPr>
      </w:pPr>
    </w:p>
    <w:p w:rsidR="00E1404F" w:rsidRPr="00E1404F" w:rsidRDefault="00E1404F" w:rsidP="00E1404F">
      <w:pPr>
        <w:pStyle w:val="HM"/>
        <w:tabs>
          <w:tab w:val="right" w:pos="1022"/>
        </w:tabs>
        <w:spacing w:line="120" w:lineRule="exact"/>
        <w:ind w:left="1324" w:right="1304" w:hanging="1324"/>
        <w:rPr>
          <w:sz w:val="10"/>
          <w:rtl/>
          <w:lang w:bidi="ar"/>
        </w:rPr>
      </w:pPr>
    </w:p>
    <w:p w:rsidR="00E1404F" w:rsidRPr="00E1404F" w:rsidRDefault="00E1404F" w:rsidP="00E1404F">
      <w:pPr>
        <w:pStyle w:val="HM"/>
        <w:tabs>
          <w:tab w:val="right" w:pos="1022"/>
        </w:tabs>
        <w:spacing w:line="120" w:lineRule="exact"/>
        <w:ind w:left="1324" w:right="1304" w:hanging="1324"/>
        <w:rPr>
          <w:sz w:val="10"/>
          <w:rtl/>
          <w:lang w:bidi="ar"/>
        </w:rPr>
      </w:pPr>
    </w:p>
    <w:p w:rsidR="00750F90" w:rsidRPr="00307AAE" w:rsidRDefault="00750F90" w:rsidP="00E1404F">
      <w:pPr>
        <w:pStyle w:val="HM"/>
        <w:tabs>
          <w:tab w:val="right" w:pos="1022"/>
        </w:tabs>
        <w:ind w:left="1324" w:right="1304" w:hanging="1324"/>
        <w:rPr>
          <w:spacing w:val="0"/>
          <w:w w:val="100"/>
          <w:kern w:val="0"/>
          <w:rtl/>
          <w:lang w:eastAsia="zh-TW"/>
        </w:rPr>
      </w:pPr>
      <w:r w:rsidRPr="00307AAE">
        <w:rPr>
          <w:rFonts w:hint="cs"/>
          <w:spacing w:val="0"/>
          <w:w w:val="100"/>
          <w:kern w:val="0"/>
          <w:rtl/>
          <w:lang w:bidi="ar"/>
        </w:rPr>
        <w:tab/>
      </w:r>
      <w:r w:rsidRPr="00307AAE">
        <w:rPr>
          <w:rFonts w:hint="cs"/>
          <w:spacing w:val="0"/>
          <w:w w:val="100"/>
          <w:kern w:val="0"/>
          <w:rtl/>
          <w:lang w:bidi="ar"/>
        </w:rPr>
        <w:tab/>
      </w:r>
      <w:r w:rsidRPr="00307AAE">
        <w:rPr>
          <w:rFonts w:hint="cs"/>
          <w:spacing w:val="0"/>
          <w:w w:val="100"/>
          <w:kern w:val="0"/>
          <w:rtl/>
          <w:lang w:eastAsia="zh-TW"/>
        </w:rPr>
        <w:t>وثيقة أساسية تشكّل جزءاً لا يتجزأ من تقارير الدول الأطراف</w:t>
      </w:r>
    </w:p>
    <w:p w:rsidR="00E1404F" w:rsidRPr="00307AAE" w:rsidRDefault="00E1404F" w:rsidP="00E1404F">
      <w:pPr>
        <w:pStyle w:val="SingleTxt"/>
        <w:spacing w:after="0" w:line="120" w:lineRule="exact"/>
        <w:rPr>
          <w:w w:val="100"/>
          <w:kern w:val="0"/>
          <w:sz w:val="10"/>
          <w:rtl/>
          <w:lang w:eastAsia="zh-TW"/>
        </w:rPr>
      </w:pPr>
    </w:p>
    <w:p w:rsidR="00E1404F" w:rsidRPr="00307AAE" w:rsidRDefault="00E1404F" w:rsidP="00E1404F">
      <w:pPr>
        <w:pStyle w:val="SingleTxt"/>
        <w:spacing w:after="0" w:line="120" w:lineRule="exact"/>
        <w:rPr>
          <w:w w:val="100"/>
          <w:kern w:val="0"/>
          <w:sz w:val="10"/>
          <w:rtl/>
          <w:lang w:eastAsia="zh-TW"/>
        </w:rPr>
      </w:pPr>
    </w:p>
    <w:p w:rsidR="00E1404F" w:rsidRPr="00307AAE" w:rsidRDefault="00E1404F" w:rsidP="00E1404F">
      <w:pPr>
        <w:pStyle w:val="SingleTxt"/>
        <w:spacing w:after="0" w:line="120" w:lineRule="exact"/>
        <w:rPr>
          <w:w w:val="100"/>
          <w:kern w:val="0"/>
          <w:sz w:val="10"/>
          <w:rtl/>
          <w:lang w:eastAsia="zh-TW"/>
        </w:rPr>
      </w:pPr>
    </w:p>
    <w:p w:rsidR="00E1404F" w:rsidRPr="00307AAE" w:rsidRDefault="00E1404F" w:rsidP="00E1404F">
      <w:pPr>
        <w:framePr w:w="9792" w:h="432" w:hSpace="187" w:wrap="around" w:hAnchor="page" w:x="1196" w:yAlign="bottom"/>
        <w:spacing w:line="240" w:lineRule="auto"/>
        <w:rPr>
          <w:w w:val="100"/>
          <w:kern w:val="0"/>
          <w:szCs w:val="10"/>
          <w:rtl/>
        </w:rPr>
      </w:pPr>
    </w:p>
    <w:p w:rsidR="00E1404F" w:rsidRPr="00307AAE" w:rsidRDefault="00E1404F" w:rsidP="00E1404F">
      <w:pPr>
        <w:framePr w:w="9792" w:h="432" w:hSpace="187" w:wrap="around" w:hAnchor="page" w:x="1196" w:yAlign="bottom"/>
        <w:spacing w:line="240" w:lineRule="auto"/>
        <w:rPr>
          <w:w w:val="100"/>
          <w:kern w:val="0"/>
          <w:szCs w:val="6"/>
          <w:rtl/>
        </w:rPr>
      </w:pPr>
      <w:r w:rsidRPr="00307AAE">
        <w:rPr>
          <w:noProof/>
          <w:w w:val="100"/>
          <w:kern w:val="0"/>
          <w:szCs w:val="6"/>
          <w:rtl/>
        </w:rPr>
        <mc:AlternateContent>
          <mc:Choice Requires="wps">
            <w:drawing>
              <wp:anchor distT="0" distB="0" distL="114300" distR="114300" simplePos="0" relativeHeight="251659264" behindDoc="0" locked="0" layoutInCell="1" allowOverlap="1" wp14:anchorId="15468981" wp14:editId="4E15E17F">
                <wp:simplePos x="0" y="0"/>
                <wp:positionH relativeFrom="column">
                  <wp:posOffset>5029327</wp:posOffset>
                </wp:positionH>
                <wp:positionV relativeFrom="paragraph">
                  <wp:posOffset>-12700</wp:posOffset>
                </wp:positionV>
                <wp:extent cx="9144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MP4SQ/RAQAABQQA&#10;AA4AAAAAAAAAAAAAAAAALgIAAGRycy9lMm9Eb2MueG1sUEsBAi0AFAAGAAgAAAAhAPIk/q3dAAAA&#10;CQEAAA8AAAAAAAAAAAAAAAAAKwQAAGRycy9kb3ducmV2LnhtbFBLBQYAAAAABAAEAPMAAAA1BQAA&#10;AAA=&#10;" strokecolor="#010000"/>
            </w:pict>
          </mc:Fallback>
        </mc:AlternateContent>
      </w:r>
    </w:p>
    <w:p w:rsidR="00E1404F" w:rsidRPr="00307AAE" w:rsidRDefault="00E1404F" w:rsidP="00E1404F">
      <w:pPr>
        <w:framePr w:w="9792" w:h="432" w:hSpace="187" w:wrap="around" w:hAnchor="page" w:x="1196" w:yAlign="bottom"/>
        <w:spacing w:after="80" w:line="300" w:lineRule="exact"/>
        <w:ind w:left="1335" w:right="1267" w:hanging="406"/>
        <w:rPr>
          <w:w w:val="100"/>
          <w:kern w:val="0"/>
          <w:sz w:val="17"/>
          <w:szCs w:val="26"/>
        </w:rPr>
      </w:pPr>
      <w:r w:rsidRPr="00307AAE">
        <w:rPr>
          <w:rFonts w:hint="cs"/>
          <w:w w:val="100"/>
          <w:kern w:val="0"/>
          <w:sz w:val="17"/>
          <w:szCs w:val="26"/>
          <w:rtl/>
        </w:rPr>
        <w:t>*</w:t>
      </w:r>
      <w:r w:rsidRPr="00307AAE">
        <w:rPr>
          <w:rFonts w:hint="cs"/>
          <w:w w:val="100"/>
          <w:kern w:val="0"/>
          <w:sz w:val="17"/>
          <w:szCs w:val="26"/>
          <w:rtl/>
        </w:rPr>
        <w:tab/>
      </w:r>
      <w:r w:rsidRPr="00307AAE">
        <w:rPr>
          <w:w w:val="100"/>
          <w:kern w:val="0"/>
          <w:sz w:val="17"/>
          <w:szCs w:val="26"/>
          <w:rtl/>
        </w:rPr>
        <w:t>تصدر هذه الوثيقة دون تحرير رسمي.</w:t>
      </w:r>
    </w:p>
    <w:p w:rsidR="00750F90" w:rsidRPr="00307AAE" w:rsidRDefault="00750F90" w:rsidP="00E1404F">
      <w:pPr>
        <w:pStyle w:val="HM"/>
        <w:tabs>
          <w:tab w:val="right" w:pos="1022"/>
        </w:tabs>
        <w:rPr>
          <w:spacing w:val="0"/>
          <w:w w:val="100"/>
          <w:kern w:val="0"/>
          <w:rtl/>
          <w:lang w:eastAsia="zh-TW"/>
        </w:rPr>
      </w:pPr>
      <w:r w:rsidRPr="00307AAE">
        <w:rPr>
          <w:rFonts w:hint="cs"/>
          <w:spacing w:val="0"/>
          <w:w w:val="100"/>
          <w:kern w:val="0"/>
          <w:rtl/>
          <w:lang w:eastAsia="zh-TW"/>
        </w:rPr>
        <w:tab/>
      </w:r>
      <w:r w:rsidRPr="00307AAE">
        <w:rPr>
          <w:rFonts w:hint="cs"/>
          <w:spacing w:val="0"/>
          <w:w w:val="100"/>
          <w:kern w:val="0"/>
          <w:rtl/>
          <w:lang w:eastAsia="zh-TW"/>
        </w:rPr>
        <w:tab/>
        <w:t>الأرجنتين</w:t>
      </w:r>
    </w:p>
    <w:p w:rsidR="00E1404F" w:rsidRPr="00307AAE" w:rsidRDefault="00E1404F" w:rsidP="00E1404F">
      <w:pPr>
        <w:pStyle w:val="SingleTxt"/>
        <w:spacing w:after="0" w:line="120" w:lineRule="exact"/>
        <w:rPr>
          <w:w w:val="100"/>
          <w:kern w:val="0"/>
          <w:sz w:val="10"/>
          <w:rtl/>
          <w:lang w:eastAsia="zh-TW"/>
        </w:rPr>
      </w:pPr>
    </w:p>
    <w:p w:rsidR="00E1404F" w:rsidRPr="00307AAE" w:rsidRDefault="00E1404F" w:rsidP="00E1404F">
      <w:pPr>
        <w:pStyle w:val="SingleTxt"/>
        <w:spacing w:after="0" w:line="120" w:lineRule="exact"/>
        <w:rPr>
          <w:w w:val="100"/>
          <w:kern w:val="0"/>
          <w:sz w:val="10"/>
          <w:rtl/>
          <w:lang w:eastAsia="zh-TW"/>
        </w:rPr>
      </w:pPr>
    </w:p>
    <w:p w:rsidR="00750F90" w:rsidRPr="00307AAE" w:rsidRDefault="00750F90" w:rsidP="00750F90">
      <w:pPr>
        <w:pStyle w:val="SingleTxtGA"/>
        <w:spacing w:before="360"/>
        <w:jc w:val="right"/>
        <w:rPr>
          <w:rtl/>
        </w:rPr>
      </w:pPr>
      <w:r w:rsidRPr="00307AAE">
        <w:rPr>
          <w:rFonts w:hint="cs"/>
          <w:rtl/>
        </w:rPr>
        <w:t>[تاريخ الاستلام: 27 أيار/مايو 2014]</w:t>
      </w:r>
    </w:p>
    <w:p w:rsidR="00955E01" w:rsidRDefault="00750F90" w:rsidP="00357674">
      <w:pPr>
        <w:bidi w:val="0"/>
        <w:spacing w:line="240" w:lineRule="auto"/>
        <w:jc w:val="left"/>
        <w:rPr>
          <w:w w:val="100"/>
        </w:rPr>
      </w:pPr>
      <w:r w:rsidRPr="00307AAE">
        <w:rPr>
          <w:w w:val="100"/>
          <w:rtl/>
        </w:rPr>
        <w:br w:type="page"/>
      </w:r>
    </w:p>
    <w:p w:rsidR="00357674" w:rsidRPr="00357674" w:rsidRDefault="00357674" w:rsidP="00357674">
      <w:pPr>
        <w:pStyle w:val="HCh"/>
        <w:spacing w:after="120"/>
        <w:rPr>
          <w:w w:val="100"/>
        </w:rPr>
      </w:pPr>
      <w:bookmarkStart w:id="2" w:name="_Toc430532830"/>
      <w:r>
        <w:rPr>
          <w:w w:val="100"/>
          <w:rtl/>
        </w:rPr>
        <w:lastRenderedPageBreak/>
        <w:t>المحتويات</w:t>
      </w:r>
      <w:bookmarkEnd w:id="2"/>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5"/>
        <w:gridCol w:w="823"/>
      </w:tblGrid>
      <w:tr w:rsidR="00357674" w:rsidRPr="00357674" w:rsidTr="00357674">
        <w:tc>
          <w:tcPr>
            <w:tcW w:w="9015" w:type="dxa"/>
          </w:tcPr>
          <w:p w:rsidR="00357674" w:rsidRDefault="00357674" w:rsidP="00357674">
            <w:pPr>
              <w:rPr>
                <w:w w:val="100"/>
                <w:rtl/>
              </w:rPr>
            </w:pPr>
          </w:p>
        </w:tc>
        <w:tc>
          <w:tcPr>
            <w:tcW w:w="823" w:type="dxa"/>
          </w:tcPr>
          <w:p w:rsidR="00357674" w:rsidRPr="00357674" w:rsidRDefault="00357674" w:rsidP="00357674">
            <w:pPr>
              <w:spacing w:after="120" w:line="240" w:lineRule="auto"/>
              <w:jc w:val="right"/>
              <w:rPr>
                <w:i/>
                <w:iCs/>
                <w:w w:val="100"/>
                <w:rtl/>
              </w:rPr>
            </w:pPr>
            <w:r w:rsidRPr="00357674">
              <w:rPr>
                <w:rFonts w:eastAsiaTheme="minorHAnsi" w:cs="Traditional Arabic" w:hint="cs"/>
                <w:iCs/>
                <w:w w:val="100"/>
                <w:sz w:val="14"/>
                <w:rtl/>
              </w:rPr>
              <w:t>الصفحة</w:t>
            </w:r>
          </w:p>
        </w:tc>
      </w:tr>
      <w:tr w:rsidR="00357674" w:rsidRPr="00357674" w:rsidTr="00357674">
        <w:tc>
          <w:tcPr>
            <w:tcW w:w="9015" w:type="dxa"/>
          </w:tcPr>
          <w:p w:rsidR="00357674" w:rsidRPr="00357674" w:rsidRDefault="00357674" w:rsidP="00357674">
            <w:pPr>
              <w:tabs>
                <w:tab w:val="right" w:pos="1080"/>
                <w:tab w:val="left" w:pos="1296"/>
                <w:tab w:val="left" w:pos="1728"/>
                <w:tab w:val="left" w:pos="2160"/>
                <w:tab w:val="left" w:pos="2592"/>
                <w:tab w:val="left" w:pos="3024"/>
                <w:tab w:val="right" w:leader="dot" w:pos="9029"/>
              </w:tabs>
              <w:rPr>
                <w:rFonts w:eastAsiaTheme="minorHAnsi" w:cs="Traditional Arabic"/>
                <w:spacing w:val="60"/>
                <w:w w:val="100"/>
                <w:sz w:val="17"/>
                <w:rtl/>
              </w:rPr>
            </w:pPr>
            <w:r>
              <w:rPr>
                <w:rFonts w:eastAsiaTheme="minorHAnsi" w:cs="Traditional Arabic" w:hint="cs"/>
                <w:w w:val="100"/>
                <w:rtl/>
              </w:rPr>
              <w:tab/>
            </w:r>
            <w:r w:rsidRPr="00357674">
              <w:rPr>
                <w:rFonts w:eastAsiaTheme="minorHAnsi" w:cs="Traditional Arabic"/>
                <w:w w:val="100"/>
                <w:rtl/>
              </w:rPr>
              <w:t>أولاً-</w:t>
            </w:r>
            <w:r>
              <w:rPr>
                <w:rFonts w:eastAsiaTheme="minorHAnsi" w:cs="Traditional Arabic" w:hint="cs"/>
                <w:w w:val="100"/>
                <w:rtl/>
              </w:rPr>
              <w:tab/>
            </w:r>
            <w:r w:rsidRPr="00357674">
              <w:rPr>
                <w:rFonts w:eastAsiaTheme="minorHAnsi" w:cs="Traditional Arabic"/>
                <w:w w:val="100"/>
                <w:rtl/>
              </w:rPr>
              <w:t>معلومات عامة عن الدولة</w:t>
            </w:r>
            <w:r>
              <w:rPr>
                <w:rFonts w:eastAsiaTheme="minorHAnsi" w:cs="Traditional Arabic"/>
                <w:spacing w:val="60"/>
                <w:w w:val="100"/>
                <w:sz w:val="17"/>
                <w:rtl/>
              </w:rPr>
              <w:tab/>
            </w:r>
            <w:r>
              <w:rPr>
                <w:rFonts w:eastAsiaTheme="minorHAnsi" w:cs="Traditional Arabic"/>
                <w:spacing w:val="60"/>
                <w:w w:val="100"/>
                <w:sz w:val="17"/>
                <w:rtl/>
              </w:rPr>
              <w:tab/>
            </w:r>
          </w:p>
        </w:tc>
        <w:tc>
          <w:tcPr>
            <w:tcW w:w="823" w:type="dxa"/>
          </w:tcPr>
          <w:p w:rsidR="00357674" w:rsidRPr="00357674" w:rsidRDefault="00357674" w:rsidP="00357674">
            <w:pPr>
              <w:spacing w:after="120" w:line="240" w:lineRule="auto"/>
              <w:jc w:val="right"/>
              <w:rPr>
                <w:rFonts w:eastAsiaTheme="minorHAnsi" w:cs="Traditional Arabic"/>
                <w:i/>
                <w:w w:val="100"/>
                <w:sz w:val="14"/>
                <w:rtl/>
              </w:rPr>
            </w:pPr>
            <w:r w:rsidRPr="00357674">
              <w:rPr>
                <w:rFonts w:eastAsiaTheme="minorHAnsi" w:cs="Traditional Arabic"/>
                <w:i/>
                <w:w w:val="100"/>
                <w:sz w:val="14"/>
                <w:rtl/>
              </w:rPr>
              <w:t>3</w:t>
            </w:r>
          </w:p>
        </w:tc>
      </w:tr>
      <w:tr w:rsidR="00357674" w:rsidRPr="00357674" w:rsidTr="00357674">
        <w:tc>
          <w:tcPr>
            <w:tcW w:w="9015" w:type="dxa"/>
          </w:tcPr>
          <w:p w:rsidR="00357674" w:rsidRPr="00357674" w:rsidRDefault="00357674" w:rsidP="0035767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rPr>
                <w:rFonts w:eastAsiaTheme="minorHAnsi" w:cs="Traditional Arabic"/>
                <w:spacing w:val="60"/>
                <w:w w:val="100"/>
                <w:sz w:val="17"/>
                <w:rtl/>
              </w:rPr>
            </w:pPr>
            <w:r>
              <w:rPr>
                <w:rFonts w:eastAsiaTheme="minorHAnsi" w:cs="Traditional Arabic" w:hint="cs"/>
                <w:w w:val="100"/>
                <w:rtl/>
              </w:rPr>
              <w:tab/>
            </w:r>
            <w:r>
              <w:rPr>
                <w:rFonts w:eastAsiaTheme="minorHAnsi" w:cs="Traditional Arabic"/>
                <w:w w:val="100"/>
                <w:rtl/>
              </w:rPr>
              <w:tab/>
            </w:r>
            <w:r w:rsidRPr="00357674">
              <w:rPr>
                <w:rFonts w:eastAsiaTheme="minorHAnsi" w:cs="Traditional Arabic"/>
                <w:w w:val="100"/>
                <w:rtl/>
              </w:rPr>
              <w:t>ألف</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357674">
              <w:rPr>
                <w:rFonts w:eastAsiaTheme="minorHAnsi" w:cs="Traditional Arabic"/>
                <w:w w:val="100"/>
                <w:rtl/>
              </w:rPr>
              <w:t>الخصائص الديمغرافية والاقتصادية والاجتماعية والثقافية</w:t>
            </w:r>
            <w:r>
              <w:rPr>
                <w:rFonts w:eastAsiaTheme="minorHAnsi" w:cs="Traditional Arabic"/>
                <w:spacing w:val="60"/>
                <w:w w:val="100"/>
                <w:sz w:val="17"/>
                <w:rtl/>
              </w:rPr>
              <w:tab/>
            </w:r>
            <w:r>
              <w:rPr>
                <w:rFonts w:eastAsiaTheme="minorHAnsi" w:cs="Traditional Arabic"/>
                <w:spacing w:val="60"/>
                <w:w w:val="100"/>
                <w:sz w:val="17"/>
                <w:rtl/>
              </w:rPr>
              <w:tab/>
            </w:r>
          </w:p>
        </w:tc>
        <w:tc>
          <w:tcPr>
            <w:tcW w:w="823" w:type="dxa"/>
          </w:tcPr>
          <w:p w:rsidR="00357674" w:rsidRPr="00357674" w:rsidRDefault="00357674" w:rsidP="00357674">
            <w:pPr>
              <w:spacing w:after="120" w:line="240" w:lineRule="auto"/>
              <w:jc w:val="right"/>
              <w:rPr>
                <w:rFonts w:eastAsiaTheme="minorHAnsi" w:cs="Traditional Arabic"/>
                <w:i/>
                <w:w w:val="100"/>
                <w:sz w:val="14"/>
                <w:rtl/>
              </w:rPr>
            </w:pPr>
            <w:r w:rsidRPr="00357674">
              <w:rPr>
                <w:rFonts w:eastAsiaTheme="minorHAnsi" w:cs="Traditional Arabic"/>
                <w:i/>
                <w:w w:val="100"/>
                <w:sz w:val="14"/>
                <w:rtl/>
              </w:rPr>
              <w:t>4</w:t>
            </w:r>
          </w:p>
        </w:tc>
      </w:tr>
      <w:tr w:rsidR="00357674" w:rsidRPr="00357674" w:rsidTr="00357674">
        <w:tc>
          <w:tcPr>
            <w:tcW w:w="9015" w:type="dxa"/>
          </w:tcPr>
          <w:p w:rsidR="00357674" w:rsidRPr="00357674" w:rsidRDefault="00357674" w:rsidP="0035767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spacing w:after="120"/>
              <w:rPr>
                <w:rFonts w:eastAsiaTheme="minorHAnsi" w:cs="Traditional Arabic"/>
                <w:spacing w:val="60"/>
                <w:w w:val="100"/>
                <w:sz w:val="17"/>
                <w:rtl/>
              </w:rPr>
            </w:pPr>
            <w:r>
              <w:rPr>
                <w:rFonts w:eastAsiaTheme="minorHAnsi" w:cs="Traditional Arabic" w:hint="cs"/>
                <w:w w:val="100"/>
                <w:rtl/>
              </w:rPr>
              <w:tab/>
            </w:r>
            <w:r>
              <w:rPr>
                <w:rFonts w:eastAsiaTheme="minorHAnsi" w:cs="Traditional Arabic"/>
                <w:w w:val="100"/>
                <w:rtl/>
              </w:rPr>
              <w:tab/>
            </w:r>
            <w:r w:rsidRPr="00357674">
              <w:rPr>
                <w:rFonts w:eastAsiaTheme="minorHAnsi" w:cs="Traditional Arabic"/>
                <w:w w:val="100"/>
                <w:rtl/>
              </w:rPr>
              <w:t>باء</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357674">
              <w:rPr>
                <w:rFonts w:eastAsiaTheme="minorHAnsi" w:cs="Traditional Arabic"/>
                <w:w w:val="100"/>
                <w:rtl/>
              </w:rPr>
              <w:t>الهيكل الدستوري والسياسي والقانوني للدولة</w:t>
            </w:r>
            <w:r>
              <w:rPr>
                <w:rFonts w:eastAsiaTheme="minorHAnsi" w:cs="Traditional Arabic"/>
                <w:spacing w:val="60"/>
                <w:w w:val="100"/>
                <w:sz w:val="17"/>
                <w:rtl/>
              </w:rPr>
              <w:tab/>
            </w:r>
            <w:r>
              <w:rPr>
                <w:rFonts w:eastAsiaTheme="minorHAnsi" w:cs="Traditional Arabic"/>
                <w:spacing w:val="60"/>
                <w:w w:val="100"/>
                <w:sz w:val="17"/>
                <w:rtl/>
              </w:rPr>
              <w:tab/>
            </w:r>
          </w:p>
        </w:tc>
        <w:tc>
          <w:tcPr>
            <w:tcW w:w="823" w:type="dxa"/>
          </w:tcPr>
          <w:p w:rsidR="00357674" w:rsidRPr="00357674" w:rsidRDefault="00357674" w:rsidP="00357674">
            <w:pPr>
              <w:spacing w:after="120" w:line="240" w:lineRule="auto"/>
              <w:jc w:val="right"/>
              <w:rPr>
                <w:rFonts w:eastAsiaTheme="minorHAnsi" w:cs="Traditional Arabic"/>
                <w:i/>
                <w:w w:val="100"/>
                <w:sz w:val="14"/>
                <w:rtl/>
              </w:rPr>
            </w:pPr>
            <w:r w:rsidRPr="00357674">
              <w:rPr>
                <w:rFonts w:eastAsiaTheme="minorHAnsi" w:cs="Traditional Arabic"/>
                <w:i/>
                <w:w w:val="100"/>
                <w:sz w:val="14"/>
                <w:rtl/>
              </w:rPr>
              <w:t>14</w:t>
            </w:r>
          </w:p>
        </w:tc>
      </w:tr>
      <w:tr w:rsidR="00357674" w:rsidRPr="00357674" w:rsidTr="00357674">
        <w:tc>
          <w:tcPr>
            <w:tcW w:w="9015" w:type="dxa"/>
          </w:tcPr>
          <w:p w:rsidR="00357674" w:rsidRPr="00357674" w:rsidRDefault="00357674" w:rsidP="00357674">
            <w:pPr>
              <w:tabs>
                <w:tab w:val="right" w:pos="1080"/>
                <w:tab w:val="left" w:pos="1296"/>
                <w:tab w:val="left" w:pos="1728"/>
                <w:tab w:val="left" w:pos="2160"/>
                <w:tab w:val="left" w:pos="2592"/>
                <w:tab w:val="left" w:pos="3024"/>
                <w:tab w:val="left" w:pos="3456"/>
                <w:tab w:val="left" w:pos="3888"/>
                <w:tab w:val="left" w:pos="4320"/>
                <w:tab w:val="right" w:leader="dot" w:pos="9029"/>
              </w:tabs>
              <w:rPr>
                <w:rFonts w:eastAsiaTheme="minorHAnsi" w:cs="Traditional Arabic"/>
                <w:spacing w:val="60"/>
                <w:w w:val="100"/>
                <w:sz w:val="17"/>
                <w:rtl/>
              </w:rPr>
            </w:pPr>
            <w:r>
              <w:rPr>
                <w:rFonts w:eastAsiaTheme="minorHAnsi" w:cs="Traditional Arabic" w:hint="cs"/>
                <w:w w:val="100"/>
                <w:rtl/>
              </w:rPr>
              <w:tab/>
            </w:r>
            <w:r w:rsidRPr="00357674">
              <w:rPr>
                <w:rFonts w:eastAsiaTheme="minorHAnsi" w:cs="Traditional Arabic"/>
                <w:w w:val="100"/>
                <w:rtl/>
              </w:rPr>
              <w:t>ثانياً</w:t>
            </w:r>
            <w:r>
              <w:rPr>
                <w:rFonts w:eastAsiaTheme="minorHAnsi" w:cs="Traditional Arabic"/>
                <w:w w:val="100"/>
                <w:rtl/>
              </w:rPr>
              <w:t>-</w:t>
            </w:r>
            <w:r>
              <w:rPr>
                <w:rFonts w:eastAsiaTheme="minorHAnsi" w:cs="Traditional Arabic"/>
                <w:w w:val="100"/>
                <w:rtl/>
              </w:rPr>
              <w:tab/>
            </w:r>
            <w:r w:rsidRPr="00357674">
              <w:rPr>
                <w:rFonts w:eastAsiaTheme="minorHAnsi" w:cs="Traditional Arabic"/>
                <w:w w:val="100"/>
                <w:rtl/>
              </w:rPr>
              <w:t>الإطار العام لحماية حقوق الإنسان وتعزيزها</w:t>
            </w:r>
            <w:r>
              <w:rPr>
                <w:rFonts w:eastAsiaTheme="minorHAnsi" w:cs="Traditional Arabic"/>
                <w:spacing w:val="60"/>
                <w:w w:val="100"/>
                <w:sz w:val="17"/>
                <w:rtl/>
              </w:rPr>
              <w:tab/>
            </w:r>
            <w:r>
              <w:rPr>
                <w:rFonts w:eastAsiaTheme="minorHAnsi" w:cs="Traditional Arabic"/>
                <w:spacing w:val="60"/>
                <w:w w:val="100"/>
                <w:sz w:val="17"/>
                <w:rtl/>
              </w:rPr>
              <w:tab/>
            </w:r>
          </w:p>
        </w:tc>
        <w:tc>
          <w:tcPr>
            <w:tcW w:w="823" w:type="dxa"/>
          </w:tcPr>
          <w:p w:rsidR="00357674" w:rsidRPr="00357674" w:rsidRDefault="00357674" w:rsidP="00357674">
            <w:pPr>
              <w:spacing w:after="120" w:line="240" w:lineRule="auto"/>
              <w:jc w:val="right"/>
              <w:rPr>
                <w:rFonts w:eastAsiaTheme="minorHAnsi" w:cs="Traditional Arabic"/>
                <w:i/>
                <w:w w:val="100"/>
                <w:sz w:val="14"/>
                <w:rtl/>
              </w:rPr>
            </w:pPr>
            <w:r w:rsidRPr="00357674">
              <w:rPr>
                <w:rFonts w:eastAsiaTheme="minorHAnsi" w:cs="Traditional Arabic"/>
                <w:i/>
                <w:w w:val="100"/>
                <w:sz w:val="14"/>
                <w:rtl/>
              </w:rPr>
              <w:t>19</w:t>
            </w:r>
          </w:p>
        </w:tc>
      </w:tr>
      <w:tr w:rsidR="00357674" w:rsidRPr="00357674" w:rsidTr="00357674">
        <w:tc>
          <w:tcPr>
            <w:tcW w:w="9015" w:type="dxa"/>
          </w:tcPr>
          <w:p w:rsidR="00357674" w:rsidRPr="00357674" w:rsidRDefault="00357674" w:rsidP="00357674">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rPr>
                <w:rFonts w:eastAsiaTheme="minorHAnsi" w:cs="Traditional Arabic"/>
                <w:spacing w:val="60"/>
                <w:w w:val="100"/>
                <w:sz w:val="17"/>
                <w:rtl/>
              </w:rPr>
            </w:pPr>
            <w:r>
              <w:rPr>
                <w:rFonts w:eastAsiaTheme="minorHAnsi" w:cs="Traditional Arabic" w:hint="cs"/>
                <w:w w:val="100"/>
                <w:rtl/>
              </w:rPr>
              <w:tab/>
            </w:r>
            <w:r>
              <w:rPr>
                <w:rFonts w:eastAsiaTheme="minorHAnsi" w:cs="Traditional Arabic"/>
                <w:w w:val="100"/>
                <w:rtl/>
              </w:rPr>
              <w:tab/>
            </w:r>
            <w:r w:rsidRPr="00357674">
              <w:rPr>
                <w:rFonts w:eastAsiaTheme="minorHAnsi" w:cs="Traditional Arabic"/>
                <w:w w:val="100"/>
                <w:rtl/>
              </w:rPr>
              <w:t>ألف</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357674">
              <w:rPr>
                <w:rFonts w:eastAsiaTheme="minorHAnsi" w:cs="Traditional Arabic"/>
                <w:w w:val="100"/>
                <w:rtl/>
              </w:rPr>
              <w:t>الموافقة على المعايير الدولية لحقوق الإنسان</w:t>
            </w:r>
            <w:r>
              <w:rPr>
                <w:rFonts w:eastAsiaTheme="minorHAnsi" w:cs="Traditional Arabic"/>
                <w:spacing w:val="60"/>
                <w:w w:val="100"/>
                <w:sz w:val="17"/>
                <w:rtl/>
              </w:rPr>
              <w:tab/>
            </w:r>
          </w:p>
        </w:tc>
        <w:tc>
          <w:tcPr>
            <w:tcW w:w="823" w:type="dxa"/>
          </w:tcPr>
          <w:p w:rsidR="00357674" w:rsidRPr="00357674" w:rsidRDefault="00357674" w:rsidP="00357674">
            <w:pPr>
              <w:spacing w:after="120" w:line="240" w:lineRule="auto"/>
              <w:jc w:val="right"/>
              <w:rPr>
                <w:rFonts w:eastAsiaTheme="minorHAnsi" w:cs="Traditional Arabic"/>
                <w:i/>
                <w:w w:val="100"/>
                <w:sz w:val="14"/>
                <w:rtl/>
              </w:rPr>
            </w:pPr>
            <w:r w:rsidRPr="00357674">
              <w:rPr>
                <w:rFonts w:eastAsiaTheme="minorHAnsi" w:cs="Traditional Arabic"/>
                <w:i/>
                <w:w w:val="100"/>
                <w:sz w:val="14"/>
                <w:rtl/>
              </w:rPr>
              <w:t>20</w:t>
            </w:r>
          </w:p>
        </w:tc>
      </w:tr>
      <w:tr w:rsidR="00357674" w:rsidRPr="00357674" w:rsidTr="00357674">
        <w:tc>
          <w:tcPr>
            <w:tcW w:w="9015" w:type="dxa"/>
          </w:tcPr>
          <w:p w:rsidR="00357674" w:rsidRPr="00357674" w:rsidRDefault="00357674" w:rsidP="0035767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rPr>
                <w:rFonts w:eastAsiaTheme="minorHAnsi" w:cs="Traditional Arabic"/>
                <w:spacing w:val="60"/>
                <w:w w:val="100"/>
                <w:sz w:val="17"/>
                <w:rtl/>
              </w:rPr>
            </w:pPr>
            <w:r>
              <w:rPr>
                <w:rFonts w:eastAsiaTheme="minorHAnsi" w:cs="Traditional Arabic" w:hint="cs"/>
                <w:w w:val="100"/>
                <w:rtl/>
              </w:rPr>
              <w:tab/>
            </w:r>
            <w:r>
              <w:rPr>
                <w:rFonts w:eastAsiaTheme="minorHAnsi" w:cs="Traditional Arabic"/>
                <w:w w:val="100"/>
                <w:rtl/>
              </w:rPr>
              <w:tab/>
            </w:r>
            <w:r w:rsidRPr="00357674">
              <w:rPr>
                <w:rFonts w:eastAsiaTheme="minorHAnsi" w:cs="Traditional Arabic"/>
                <w:w w:val="100"/>
                <w:rtl/>
              </w:rPr>
              <w:t>باء</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357674">
              <w:rPr>
                <w:rFonts w:eastAsiaTheme="minorHAnsi" w:cs="Traditional Arabic"/>
                <w:w w:val="100"/>
                <w:rtl/>
              </w:rPr>
              <w:t>الإطار القانوني لحماية حقوق الإنسان على الصعيد الوطني</w:t>
            </w:r>
            <w:r>
              <w:rPr>
                <w:rFonts w:eastAsiaTheme="minorHAnsi" w:cs="Traditional Arabic"/>
                <w:spacing w:val="60"/>
                <w:w w:val="100"/>
                <w:sz w:val="17"/>
                <w:rtl/>
              </w:rPr>
              <w:tab/>
            </w:r>
            <w:r>
              <w:rPr>
                <w:rFonts w:eastAsiaTheme="minorHAnsi" w:cs="Traditional Arabic"/>
                <w:spacing w:val="60"/>
                <w:w w:val="100"/>
                <w:sz w:val="17"/>
                <w:rtl/>
              </w:rPr>
              <w:tab/>
            </w:r>
          </w:p>
        </w:tc>
        <w:tc>
          <w:tcPr>
            <w:tcW w:w="823" w:type="dxa"/>
          </w:tcPr>
          <w:p w:rsidR="00357674" w:rsidRPr="00357674" w:rsidRDefault="00357674" w:rsidP="00357674">
            <w:pPr>
              <w:spacing w:after="120" w:line="240" w:lineRule="auto"/>
              <w:jc w:val="right"/>
              <w:rPr>
                <w:rFonts w:eastAsiaTheme="minorHAnsi" w:cs="Traditional Arabic"/>
                <w:i/>
                <w:w w:val="100"/>
                <w:sz w:val="14"/>
                <w:rtl/>
              </w:rPr>
            </w:pPr>
            <w:r w:rsidRPr="00357674">
              <w:rPr>
                <w:rFonts w:eastAsiaTheme="minorHAnsi" w:cs="Traditional Arabic"/>
                <w:i/>
                <w:w w:val="100"/>
                <w:sz w:val="14"/>
                <w:rtl/>
              </w:rPr>
              <w:t>22</w:t>
            </w:r>
          </w:p>
        </w:tc>
      </w:tr>
      <w:tr w:rsidR="00357674" w:rsidRPr="00357674" w:rsidTr="00357674">
        <w:tc>
          <w:tcPr>
            <w:tcW w:w="9015" w:type="dxa"/>
          </w:tcPr>
          <w:p w:rsidR="00357674" w:rsidRPr="00357674" w:rsidRDefault="00357674" w:rsidP="0035767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rPr>
                <w:rFonts w:eastAsiaTheme="minorHAnsi" w:cs="Traditional Arabic"/>
                <w:spacing w:val="60"/>
                <w:w w:val="100"/>
                <w:sz w:val="17"/>
                <w:rtl/>
              </w:rPr>
            </w:pPr>
            <w:r>
              <w:rPr>
                <w:rFonts w:eastAsiaTheme="minorHAnsi" w:cs="Traditional Arabic" w:hint="cs"/>
                <w:w w:val="100"/>
                <w:rtl/>
              </w:rPr>
              <w:tab/>
            </w:r>
            <w:r>
              <w:rPr>
                <w:rFonts w:eastAsiaTheme="minorHAnsi" w:cs="Traditional Arabic"/>
                <w:w w:val="100"/>
                <w:rtl/>
              </w:rPr>
              <w:tab/>
            </w:r>
            <w:r w:rsidRPr="00357674">
              <w:rPr>
                <w:rFonts w:eastAsiaTheme="minorHAnsi" w:cs="Traditional Arabic"/>
                <w:w w:val="100"/>
                <w:rtl/>
              </w:rPr>
              <w:t>جيم</w:t>
            </w:r>
            <w:r>
              <w:rPr>
                <w:rFonts w:eastAsiaTheme="minorHAnsi" w:cs="Traditional Arabic"/>
                <w:w w:val="100"/>
                <w:rtl/>
              </w:rPr>
              <w:t>-</w:t>
            </w:r>
            <w:r>
              <w:rPr>
                <w:rFonts w:eastAsiaTheme="minorHAnsi" w:cs="Traditional Arabic"/>
                <w:w w:val="100"/>
                <w:rtl/>
              </w:rPr>
              <w:tab/>
            </w:r>
            <w:r w:rsidRPr="00357674">
              <w:rPr>
                <w:rFonts w:eastAsiaTheme="minorHAnsi" w:cs="Traditional Arabic"/>
                <w:w w:val="100"/>
                <w:rtl/>
              </w:rPr>
              <w:t>إطار تعزيز حقوق الإنسان على الصعيد الوطني</w:t>
            </w:r>
            <w:r>
              <w:rPr>
                <w:rFonts w:eastAsiaTheme="minorHAnsi" w:cs="Traditional Arabic"/>
                <w:spacing w:val="60"/>
                <w:w w:val="100"/>
                <w:sz w:val="17"/>
                <w:rtl/>
              </w:rPr>
              <w:tab/>
            </w:r>
          </w:p>
        </w:tc>
        <w:tc>
          <w:tcPr>
            <w:tcW w:w="823" w:type="dxa"/>
          </w:tcPr>
          <w:p w:rsidR="00357674" w:rsidRPr="00357674" w:rsidRDefault="00357674" w:rsidP="00357674">
            <w:pPr>
              <w:spacing w:after="120" w:line="240" w:lineRule="auto"/>
              <w:jc w:val="right"/>
              <w:rPr>
                <w:rFonts w:eastAsiaTheme="minorHAnsi" w:cs="Traditional Arabic"/>
                <w:i/>
                <w:w w:val="100"/>
                <w:sz w:val="14"/>
                <w:rtl/>
              </w:rPr>
            </w:pPr>
            <w:r w:rsidRPr="00357674">
              <w:rPr>
                <w:rFonts w:eastAsiaTheme="minorHAnsi" w:cs="Traditional Arabic"/>
                <w:i/>
                <w:w w:val="100"/>
                <w:sz w:val="14"/>
                <w:rtl/>
              </w:rPr>
              <w:t>29</w:t>
            </w:r>
          </w:p>
        </w:tc>
      </w:tr>
      <w:tr w:rsidR="00357674" w:rsidRPr="00357674" w:rsidTr="00357674">
        <w:tc>
          <w:tcPr>
            <w:tcW w:w="9015" w:type="dxa"/>
          </w:tcPr>
          <w:p w:rsidR="00357674" w:rsidRPr="00357674" w:rsidRDefault="00357674" w:rsidP="0035767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rPr>
                <w:rFonts w:eastAsiaTheme="minorHAnsi" w:cs="Traditional Arabic"/>
                <w:spacing w:val="60"/>
                <w:w w:val="100"/>
                <w:sz w:val="17"/>
                <w:rtl/>
              </w:rPr>
            </w:pPr>
            <w:r>
              <w:rPr>
                <w:rFonts w:eastAsiaTheme="minorHAnsi" w:cs="Traditional Arabic" w:hint="cs"/>
                <w:w w:val="100"/>
                <w:rtl/>
              </w:rPr>
              <w:tab/>
            </w:r>
            <w:r w:rsidRPr="00357674">
              <w:rPr>
                <w:rFonts w:eastAsiaTheme="minorHAnsi" w:cs="Traditional Arabic"/>
                <w:w w:val="100"/>
                <w:rtl/>
              </w:rPr>
              <w:t>ثالثاً</w:t>
            </w:r>
            <w:r>
              <w:rPr>
                <w:rFonts w:eastAsiaTheme="minorHAnsi" w:cs="Traditional Arabic"/>
                <w:w w:val="100"/>
                <w:rtl/>
              </w:rPr>
              <w:t>-</w:t>
            </w:r>
            <w:r>
              <w:rPr>
                <w:rFonts w:eastAsiaTheme="minorHAnsi" w:cs="Traditional Arabic"/>
                <w:w w:val="100"/>
                <w:rtl/>
              </w:rPr>
              <w:tab/>
            </w:r>
            <w:r w:rsidRPr="00357674">
              <w:rPr>
                <w:rFonts w:eastAsiaTheme="minorHAnsi" w:cs="Traditional Arabic"/>
                <w:w w:val="100"/>
                <w:rtl/>
              </w:rPr>
              <w:t>معلومات بشأن المساواة وعدم التمييز وسبل الانتصاف الفعالة</w:t>
            </w:r>
            <w:r>
              <w:rPr>
                <w:rFonts w:eastAsiaTheme="minorHAnsi" w:cs="Traditional Arabic"/>
                <w:spacing w:val="60"/>
                <w:w w:val="100"/>
                <w:sz w:val="17"/>
                <w:rtl/>
              </w:rPr>
              <w:tab/>
            </w:r>
            <w:r>
              <w:rPr>
                <w:rFonts w:eastAsiaTheme="minorHAnsi" w:cs="Traditional Arabic"/>
                <w:spacing w:val="60"/>
                <w:w w:val="100"/>
                <w:sz w:val="17"/>
                <w:rtl/>
              </w:rPr>
              <w:tab/>
            </w:r>
          </w:p>
        </w:tc>
        <w:tc>
          <w:tcPr>
            <w:tcW w:w="823" w:type="dxa"/>
          </w:tcPr>
          <w:p w:rsidR="00357674" w:rsidRPr="00706E77" w:rsidRDefault="00357674" w:rsidP="00357674">
            <w:pPr>
              <w:spacing w:after="120" w:line="240" w:lineRule="auto"/>
              <w:jc w:val="right"/>
              <w:rPr>
                <w:rFonts w:eastAsiaTheme="minorHAnsi" w:cs="Traditional Arabic"/>
                <w:i/>
                <w:w w:val="100"/>
                <w:sz w:val="14"/>
                <w:rtl/>
              </w:rPr>
            </w:pPr>
            <w:r w:rsidRPr="00706E77">
              <w:rPr>
                <w:rFonts w:eastAsiaTheme="minorHAnsi" w:cs="Traditional Arabic"/>
                <w:i/>
                <w:w w:val="100"/>
                <w:sz w:val="14"/>
                <w:rtl/>
              </w:rPr>
              <w:t>36</w:t>
            </w:r>
          </w:p>
        </w:tc>
      </w:tr>
      <w:tr w:rsidR="00357674" w:rsidRPr="00357674" w:rsidTr="00357674">
        <w:tc>
          <w:tcPr>
            <w:tcW w:w="9015" w:type="dxa"/>
          </w:tcPr>
          <w:p w:rsidR="00357674" w:rsidRPr="00357674" w:rsidRDefault="00357674" w:rsidP="00357674">
            <w:pPr>
              <w:tabs>
                <w:tab w:val="right" w:pos="1080"/>
                <w:tab w:val="left" w:pos="1296"/>
                <w:tab w:val="left" w:pos="1728"/>
                <w:tab w:val="left" w:pos="2160"/>
                <w:tab w:val="left" w:pos="2592"/>
                <w:tab w:val="left" w:pos="3024"/>
                <w:tab w:val="left" w:pos="3456"/>
                <w:tab w:val="right" w:leader="dot" w:pos="9029"/>
              </w:tabs>
              <w:rPr>
                <w:rFonts w:eastAsiaTheme="minorHAnsi" w:cs="Traditional Arabic"/>
                <w:spacing w:val="60"/>
                <w:w w:val="100"/>
                <w:sz w:val="17"/>
                <w:rtl/>
              </w:rPr>
            </w:pPr>
            <w:r>
              <w:rPr>
                <w:rFonts w:eastAsiaTheme="minorHAnsi" w:cs="Traditional Arabic" w:hint="cs"/>
                <w:w w:val="100"/>
                <w:rtl/>
              </w:rPr>
              <w:tab/>
            </w:r>
            <w:r>
              <w:rPr>
                <w:rFonts w:eastAsiaTheme="minorHAnsi" w:cs="Traditional Arabic"/>
                <w:w w:val="100"/>
                <w:rtl/>
              </w:rPr>
              <w:tab/>
            </w:r>
            <w:r w:rsidRPr="00357674">
              <w:rPr>
                <w:rFonts w:eastAsiaTheme="minorHAnsi" w:cs="Traditional Arabic"/>
                <w:w w:val="100"/>
                <w:rtl/>
              </w:rPr>
              <w:t>ألف</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357674">
              <w:rPr>
                <w:rFonts w:eastAsiaTheme="minorHAnsi" w:cs="Traditional Arabic"/>
                <w:w w:val="100"/>
                <w:rtl/>
              </w:rPr>
              <w:t>المساواة وعدم التمييز</w:t>
            </w:r>
            <w:r>
              <w:rPr>
                <w:rFonts w:eastAsiaTheme="minorHAnsi" w:cs="Traditional Arabic"/>
                <w:spacing w:val="60"/>
                <w:w w:val="100"/>
                <w:sz w:val="17"/>
                <w:rtl/>
              </w:rPr>
              <w:tab/>
            </w:r>
          </w:p>
        </w:tc>
        <w:tc>
          <w:tcPr>
            <w:tcW w:w="823" w:type="dxa"/>
          </w:tcPr>
          <w:p w:rsidR="00357674" w:rsidRPr="00357674" w:rsidRDefault="00357674" w:rsidP="00357674">
            <w:pPr>
              <w:spacing w:after="120" w:line="240" w:lineRule="auto"/>
              <w:jc w:val="right"/>
              <w:rPr>
                <w:rFonts w:eastAsiaTheme="minorHAnsi" w:cs="Traditional Arabic"/>
                <w:i/>
                <w:w w:val="100"/>
                <w:sz w:val="14"/>
                <w:rtl/>
              </w:rPr>
            </w:pPr>
            <w:r w:rsidRPr="00357674">
              <w:rPr>
                <w:rFonts w:eastAsiaTheme="minorHAnsi" w:cs="Traditional Arabic"/>
                <w:i/>
                <w:w w:val="100"/>
                <w:sz w:val="14"/>
                <w:rtl/>
              </w:rPr>
              <w:t>36</w:t>
            </w:r>
          </w:p>
        </w:tc>
      </w:tr>
      <w:tr w:rsidR="00357674" w:rsidRPr="00357674" w:rsidTr="00357674">
        <w:tc>
          <w:tcPr>
            <w:tcW w:w="9015" w:type="dxa"/>
          </w:tcPr>
          <w:p w:rsidR="00357674" w:rsidRPr="00357674" w:rsidRDefault="00357674" w:rsidP="00357674">
            <w:pPr>
              <w:tabs>
                <w:tab w:val="right" w:pos="1080"/>
                <w:tab w:val="left" w:pos="1296"/>
                <w:tab w:val="left" w:pos="1728"/>
                <w:tab w:val="left" w:pos="2160"/>
                <w:tab w:val="left" w:pos="2592"/>
                <w:tab w:val="left" w:pos="3024"/>
                <w:tab w:val="left" w:pos="3456"/>
                <w:tab w:val="right" w:leader="dot" w:pos="9029"/>
              </w:tabs>
              <w:rPr>
                <w:rFonts w:eastAsiaTheme="minorHAnsi" w:cs="Traditional Arabic"/>
                <w:spacing w:val="60"/>
                <w:w w:val="100"/>
                <w:sz w:val="17"/>
                <w:rtl/>
              </w:rPr>
            </w:pPr>
            <w:r>
              <w:rPr>
                <w:rFonts w:eastAsiaTheme="minorHAnsi" w:cs="Traditional Arabic" w:hint="cs"/>
                <w:w w:val="100"/>
                <w:rtl/>
              </w:rPr>
              <w:tab/>
            </w:r>
            <w:r>
              <w:rPr>
                <w:rFonts w:eastAsiaTheme="minorHAnsi" w:cs="Traditional Arabic"/>
                <w:w w:val="100"/>
                <w:rtl/>
              </w:rPr>
              <w:tab/>
            </w:r>
            <w:r w:rsidRPr="00357674">
              <w:rPr>
                <w:rFonts w:eastAsiaTheme="minorHAnsi" w:cs="Traditional Arabic"/>
                <w:w w:val="100"/>
                <w:rtl/>
              </w:rPr>
              <w:t>باء</w:t>
            </w:r>
            <w:r>
              <w:rPr>
                <w:rFonts w:eastAsiaTheme="minorHAnsi" w:cs="Traditional Arabic" w:hint="cs"/>
                <w:w w:val="100"/>
                <w:rtl/>
              </w:rPr>
              <w:tab/>
            </w:r>
            <w:r>
              <w:rPr>
                <w:rFonts w:eastAsiaTheme="minorHAnsi" w:cs="Traditional Arabic"/>
                <w:w w:val="100"/>
                <w:rtl/>
              </w:rPr>
              <w:t>-</w:t>
            </w:r>
            <w:r>
              <w:rPr>
                <w:rFonts w:eastAsiaTheme="minorHAnsi" w:cs="Traditional Arabic"/>
                <w:w w:val="100"/>
                <w:rtl/>
              </w:rPr>
              <w:tab/>
            </w:r>
            <w:r w:rsidRPr="00357674">
              <w:rPr>
                <w:rFonts w:eastAsiaTheme="minorHAnsi" w:cs="Traditional Arabic"/>
                <w:w w:val="100"/>
                <w:rtl/>
              </w:rPr>
              <w:t>سبل الانتصاف الفعالة</w:t>
            </w:r>
            <w:r>
              <w:rPr>
                <w:rFonts w:eastAsiaTheme="minorHAnsi" w:cs="Traditional Arabic"/>
                <w:spacing w:val="60"/>
                <w:w w:val="100"/>
                <w:sz w:val="17"/>
                <w:rtl/>
              </w:rPr>
              <w:tab/>
            </w:r>
            <w:r>
              <w:rPr>
                <w:rFonts w:eastAsiaTheme="minorHAnsi" w:cs="Traditional Arabic"/>
                <w:spacing w:val="60"/>
                <w:w w:val="100"/>
                <w:sz w:val="17"/>
                <w:rtl/>
              </w:rPr>
              <w:tab/>
            </w:r>
          </w:p>
        </w:tc>
        <w:tc>
          <w:tcPr>
            <w:tcW w:w="823" w:type="dxa"/>
          </w:tcPr>
          <w:p w:rsidR="00357674" w:rsidRPr="00357674" w:rsidRDefault="00357674" w:rsidP="00357674">
            <w:pPr>
              <w:spacing w:after="120" w:line="240" w:lineRule="auto"/>
              <w:jc w:val="right"/>
              <w:rPr>
                <w:rFonts w:eastAsiaTheme="minorHAnsi" w:cs="Traditional Arabic"/>
                <w:i/>
                <w:w w:val="100"/>
                <w:sz w:val="14"/>
                <w:rtl/>
              </w:rPr>
            </w:pPr>
            <w:r w:rsidRPr="00357674">
              <w:rPr>
                <w:rFonts w:eastAsiaTheme="minorHAnsi" w:cs="Traditional Arabic"/>
                <w:i/>
                <w:w w:val="100"/>
                <w:sz w:val="14"/>
                <w:rtl/>
              </w:rPr>
              <w:t>38</w:t>
            </w:r>
          </w:p>
        </w:tc>
      </w:tr>
      <w:tr w:rsidR="00357674" w:rsidRPr="00357674" w:rsidTr="00357674">
        <w:tc>
          <w:tcPr>
            <w:tcW w:w="9015" w:type="dxa"/>
          </w:tcPr>
          <w:p w:rsidR="00357674" w:rsidRPr="00357674" w:rsidRDefault="00357674" w:rsidP="0035767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029"/>
              </w:tabs>
              <w:rPr>
                <w:rFonts w:eastAsiaTheme="minorHAnsi" w:cs="Traditional Arabic"/>
                <w:spacing w:val="60"/>
                <w:w w:val="100"/>
                <w:sz w:val="17"/>
                <w:rtl/>
              </w:rPr>
            </w:pPr>
            <w:r>
              <w:rPr>
                <w:rFonts w:eastAsiaTheme="minorHAnsi" w:cs="Traditional Arabic" w:hint="cs"/>
                <w:w w:val="100"/>
                <w:rtl/>
              </w:rPr>
              <w:tab/>
            </w:r>
            <w:r>
              <w:rPr>
                <w:rFonts w:eastAsiaTheme="minorHAnsi" w:cs="Traditional Arabic"/>
                <w:w w:val="100"/>
                <w:rtl/>
              </w:rPr>
              <w:tab/>
            </w:r>
            <w:r w:rsidRPr="00357674">
              <w:rPr>
                <w:rFonts w:eastAsiaTheme="minorHAnsi" w:cs="Traditional Arabic"/>
                <w:w w:val="100"/>
                <w:rtl/>
              </w:rPr>
              <w:t>جيم</w:t>
            </w:r>
            <w:r>
              <w:rPr>
                <w:rFonts w:eastAsiaTheme="minorHAnsi" w:cs="Traditional Arabic"/>
                <w:w w:val="100"/>
                <w:rtl/>
              </w:rPr>
              <w:t>-</w:t>
            </w:r>
            <w:r>
              <w:rPr>
                <w:rFonts w:eastAsiaTheme="minorHAnsi" w:cs="Traditional Arabic"/>
                <w:w w:val="100"/>
                <w:rtl/>
              </w:rPr>
              <w:tab/>
            </w:r>
            <w:r w:rsidRPr="00357674">
              <w:rPr>
                <w:rFonts w:eastAsiaTheme="minorHAnsi" w:cs="Traditional Arabic"/>
                <w:w w:val="100"/>
                <w:rtl/>
              </w:rPr>
              <w:t>معلومات أخرى ذات صلة متعلقة بحقوق الإنسان</w:t>
            </w:r>
            <w:r>
              <w:rPr>
                <w:rFonts w:eastAsiaTheme="minorHAnsi" w:cs="Traditional Arabic"/>
                <w:spacing w:val="60"/>
                <w:w w:val="100"/>
                <w:sz w:val="17"/>
                <w:rtl/>
              </w:rPr>
              <w:tab/>
            </w:r>
          </w:p>
        </w:tc>
        <w:tc>
          <w:tcPr>
            <w:tcW w:w="823" w:type="dxa"/>
          </w:tcPr>
          <w:p w:rsidR="00357674" w:rsidRPr="00357674" w:rsidRDefault="00357674" w:rsidP="00357674">
            <w:pPr>
              <w:spacing w:after="120" w:line="240" w:lineRule="auto"/>
              <w:jc w:val="right"/>
              <w:rPr>
                <w:rFonts w:eastAsiaTheme="minorHAnsi" w:cs="Traditional Arabic"/>
                <w:i/>
                <w:w w:val="100"/>
                <w:sz w:val="14"/>
                <w:rtl/>
              </w:rPr>
            </w:pPr>
            <w:r w:rsidRPr="00357674">
              <w:rPr>
                <w:rFonts w:eastAsiaTheme="minorHAnsi" w:cs="Traditional Arabic"/>
                <w:i/>
                <w:w w:val="100"/>
                <w:sz w:val="14"/>
                <w:rtl/>
              </w:rPr>
              <w:t>42</w:t>
            </w:r>
          </w:p>
        </w:tc>
      </w:tr>
    </w:tbl>
    <w:p w:rsidR="00357674" w:rsidRDefault="00357674">
      <w:pPr>
        <w:bidi w:val="0"/>
        <w:spacing w:line="240" w:lineRule="auto"/>
        <w:jc w:val="left"/>
        <w:rPr>
          <w:b/>
          <w:bCs/>
          <w:w w:val="100"/>
          <w:kern w:val="0"/>
          <w:sz w:val="28"/>
          <w:szCs w:val="38"/>
          <w:rtl/>
        </w:rPr>
      </w:pPr>
      <w:r>
        <w:rPr>
          <w:w w:val="100"/>
          <w:kern w:val="0"/>
          <w:rtl/>
        </w:rPr>
        <w:br w:type="page"/>
      </w:r>
    </w:p>
    <w:p w:rsidR="00750F90" w:rsidRPr="00307AAE" w:rsidRDefault="00750F90" w:rsidP="00E1404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rPr>
      </w:pPr>
      <w:r w:rsidRPr="00307AAE">
        <w:rPr>
          <w:rFonts w:hint="cs"/>
          <w:spacing w:val="0"/>
          <w:w w:val="100"/>
          <w:kern w:val="0"/>
          <w:rtl/>
        </w:rPr>
        <w:lastRenderedPageBreak/>
        <w:tab/>
      </w:r>
      <w:bookmarkStart w:id="3" w:name="_Toc430532831"/>
      <w:r w:rsidRPr="00307AAE">
        <w:rPr>
          <w:rFonts w:hint="cs"/>
          <w:spacing w:val="0"/>
          <w:w w:val="100"/>
          <w:kern w:val="0"/>
          <w:rtl/>
        </w:rPr>
        <w:t>أولاً-</w:t>
      </w:r>
      <w:r w:rsidRPr="00307AAE">
        <w:rPr>
          <w:rFonts w:hint="cs"/>
          <w:spacing w:val="0"/>
          <w:w w:val="100"/>
          <w:kern w:val="0"/>
          <w:rtl/>
        </w:rPr>
        <w:tab/>
        <w:t>معلومات عامة عن الدولة</w:t>
      </w:r>
      <w:bookmarkEnd w:id="3"/>
    </w:p>
    <w:p w:rsidR="00E1404F" w:rsidRPr="00307AAE" w:rsidRDefault="00E1404F" w:rsidP="00E1404F">
      <w:pPr>
        <w:pStyle w:val="SingleTxt"/>
        <w:spacing w:after="0" w:line="120" w:lineRule="exact"/>
        <w:rPr>
          <w:w w:val="100"/>
          <w:kern w:val="0"/>
          <w:sz w:val="10"/>
          <w:rtl/>
        </w:rPr>
      </w:pPr>
    </w:p>
    <w:p w:rsidR="00750F90" w:rsidRPr="00307AAE" w:rsidRDefault="00750F90" w:rsidP="00442A76">
      <w:pPr>
        <w:pStyle w:val="SingleTxt"/>
        <w:tabs>
          <w:tab w:val="clear" w:pos="4579"/>
          <w:tab w:val="clear" w:pos="5242"/>
          <w:tab w:val="left" w:pos="5075"/>
        </w:tabs>
        <w:rPr>
          <w:w w:val="100"/>
          <w:kern w:val="0"/>
          <w:rtl/>
        </w:rPr>
      </w:pPr>
      <w:r w:rsidRPr="00307AAE">
        <w:rPr>
          <w:rFonts w:hint="cs"/>
          <w:w w:val="100"/>
          <w:kern w:val="0"/>
          <w:rtl/>
        </w:rPr>
        <w:t>العاصمة (وأكبر مدينة من حيث السكان)</w:t>
      </w:r>
      <w:r w:rsidRPr="00307AAE">
        <w:rPr>
          <w:rFonts w:hint="cs"/>
          <w:w w:val="100"/>
          <w:kern w:val="0"/>
          <w:rtl/>
        </w:rPr>
        <w:tab/>
      </w:r>
      <w:r w:rsidRPr="00307AAE">
        <w:rPr>
          <w:color w:val="000000"/>
          <w:w w:val="100"/>
          <w:kern w:val="0"/>
          <w:sz w:val="30"/>
          <w:rtl/>
        </w:rPr>
        <w:t>بوينس آيرس</w:t>
      </w:r>
    </w:p>
    <w:p w:rsidR="00750F90" w:rsidRPr="00307AAE" w:rsidRDefault="00442A76" w:rsidP="00442A76">
      <w:pPr>
        <w:pStyle w:val="SingleTxt"/>
        <w:tabs>
          <w:tab w:val="clear" w:pos="2592"/>
          <w:tab w:val="clear" w:pos="3254"/>
          <w:tab w:val="clear" w:pos="3917"/>
          <w:tab w:val="clear" w:pos="4579"/>
          <w:tab w:val="clear" w:pos="5242"/>
          <w:tab w:val="left" w:pos="5075"/>
        </w:tabs>
        <w:rPr>
          <w:w w:val="100"/>
          <w:kern w:val="0"/>
          <w:rtl/>
        </w:rPr>
      </w:pPr>
      <w:r>
        <w:rPr>
          <w:rFonts w:hint="cs"/>
          <w:w w:val="100"/>
          <w:kern w:val="0"/>
          <w:rtl/>
        </w:rPr>
        <w:t>اللغة الرسمية</w:t>
      </w:r>
      <w:r w:rsidR="00750F90" w:rsidRPr="00307AAE">
        <w:rPr>
          <w:rFonts w:hint="cs"/>
          <w:w w:val="100"/>
          <w:kern w:val="0"/>
          <w:rtl/>
        </w:rPr>
        <w:tab/>
        <w:t>الإسبانية</w:t>
      </w:r>
    </w:p>
    <w:p w:rsidR="00750F90" w:rsidRPr="00307AAE" w:rsidRDefault="00750F90" w:rsidP="00442A76">
      <w:pPr>
        <w:pStyle w:val="SingleTxt"/>
        <w:tabs>
          <w:tab w:val="clear" w:pos="2592"/>
          <w:tab w:val="clear" w:pos="3254"/>
          <w:tab w:val="clear" w:pos="3917"/>
          <w:tab w:val="clear" w:pos="4579"/>
          <w:tab w:val="clear" w:pos="5242"/>
          <w:tab w:val="left" w:pos="5075"/>
        </w:tabs>
        <w:rPr>
          <w:w w:val="100"/>
          <w:kern w:val="0"/>
          <w:rtl/>
        </w:rPr>
      </w:pPr>
      <w:r w:rsidRPr="00307AAE">
        <w:rPr>
          <w:rFonts w:hint="cs"/>
          <w:w w:val="100"/>
          <w:kern w:val="0"/>
          <w:rtl/>
        </w:rPr>
        <w:t>نظام الحكم</w:t>
      </w:r>
      <w:r w:rsidRPr="00307AAE">
        <w:rPr>
          <w:rFonts w:hint="cs"/>
          <w:w w:val="100"/>
          <w:kern w:val="0"/>
          <w:rtl/>
        </w:rPr>
        <w:tab/>
        <w:t>جمهورية اتحادية ديمقراطية</w:t>
      </w:r>
    </w:p>
    <w:p w:rsidR="00750F90" w:rsidRPr="00307AAE" w:rsidRDefault="00750F90" w:rsidP="00442A76">
      <w:pPr>
        <w:pStyle w:val="SingleTxt"/>
        <w:tabs>
          <w:tab w:val="clear" w:pos="3254"/>
          <w:tab w:val="clear" w:pos="3917"/>
          <w:tab w:val="clear" w:pos="4579"/>
          <w:tab w:val="clear" w:pos="5242"/>
          <w:tab w:val="left" w:pos="5075"/>
        </w:tabs>
        <w:rPr>
          <w:w w:val="100"/>
          <w:kern w:val="0"/>
          <w:rtl/>
        </w:rPr>
      </w:pPr>
      <w:r w:rsidRPr="00307AAE">
        <w:rPr>
          <w:rFonts w:hint="cs"/>
          <w:w w:val="100"/>
          <w:kern w:val="0"/>
          <w:rtl/>
        </w:rPr>
        <w:t>المساحة الإجمالية</w:t>
      </w:r>
      <w:r w:rsidRPr="00307AAE">
        <w:rPr>
          <w:rFonts w:hint="cs"/>
          <w:w w:val="100"/>
          <w:kern w:val="0"/>
          <w:rtl/>
        </w:rPr>
        <w:tab/>
      </w:r>
      <w:r w:rsidRPr="00307AAE">
        <w:rPr>
          <w:rFonts w:hint="cs"/>
          <w:w w:val="100"/>
          <w:kern w:val="0"/>
          <w:rtl/>
        </w:rPr>
        <w:tab/>
        <w:t>274 761 3 كيلومترا</w:t>
      </w:r>
      <w:r w:rsidR="00442A76">
        <w:rPr>
          <w:rFonts w:hint="cs"/>
          <w:w w:val="100"/>
          <w:kern w:val="0"/>
          <w:rtl/>
        </w:rPr>
        <w:t>ً</w:t>
      </w:r>
      <w:r w:rsidRPr="00307AAE">
        <w:rPr>
          <w:rFonts w:hint="cs"/>
          <w:w w:val="100"/>
          <w:kern w:val="0"/>
          <w:rtl/>
        </w:rPr>
        <w:t xml:space="preserve"> مربعا</w:t>
      </w:r>
      <w:r w:rsidR="00442A76">
        <w:rPr>
          <w:rFonts w:hint="cs"/>
          <w:w w:val="100"/>
          <w:kern w:val="0"/>
          <w:rtl/>
        </w:rPr>
        <w:t>ً</w:t>
      </w:r>
    </w:p>
    <w:p w:rsidR="00750F90" w:rsidRPr="00307AAE" w:rsidRDefault="00750F90" w:rsidP="00442A76">
      <w:pPr>
        <w:pStyle w:val="SingleTxt"/>
        <w:tabs>
          <w:tab w:val="clear" w:pos="3917"/>
          <w:tab w:val="clear" w:pos="4579"/>
          <w:tab w:val="clear" w:pos="5242"/>
          <w:tab w:val="left" w:pos="5075"/>
        </w:tabs>
        <w:rPr>
          <w:w w:val="100"/>
          <w:kern w:val="0"/>
          <w:rtl/>
          <w:lang w:val="fr-FR"/>
        </w:rPr>
      </w:pPr>
      <w:r w:rsidRPr="00307AAE">
        <w:rPr>
          <w:rFonts w:hint="cs"/>
          <w:w w:val="100"/>
          <w:kern w:val="0"/>
          <w:rtl/>
        </w:rPr>
        <w:t>نسبة المساحة المغطاة بالمياه</w:t>
      </w:r>
      <w:r w:rsidRPr="00307AAE">
        <w:rPr>
          <w:rFonts w:hint="cs"/>
          <w:w w:val="100"/>
          <w:kern w:val="0"/>
          <w:rtl/>
        </w:rPr>
        <w:tab/>
      </w:r>
      <w:r w:rsidRPr="00307AAE">
        <w:rPr>
          <w:rFonts w:hint="cs"/>
          <w:w w:val="100"/>
          <w:kern w:val="0"/>
          <w:rtl/>
          <w:lang w:val="fr-FR"/>
        </w:rPr>
        <w:t>1</w:t>
      </w:r>
      <w:r w:rsidR="00307AAE" w:rsidRPr="00307AAE">
        <w:rPr>
          <w:rFonts w:hint="cs"/>
          <w:w w:val="100"/>
          <w:kern w:val="0"/>
          <w:rtl/>
          <w:lang w:val="fr-FR"/>
        </w:rPr>
        <w:t>.</w:t>
      </w:r>
      <w:r w:rsidRPr="00307AAE">
        <w:rPr>
          <w:rFonts w:hint="cs"/>
          <w:w w:val="100"/>
          <w:kern w:val="0"/>
          <w:rtl/>
          <w:lang w:val="fr-FR"/>
        </w:rPr>
        <w:t xml:space="preserve">1 في المائة </w:t>
      </w:r>
    </w:p>
    <w:p w:rsidR="00750F90" w:rsidRPr="00307AAE" w:rsidRDefault="00750F90" w:rsidP="00442A76">
      <w:pPr>
        <w:pStyle w:val="SingleTxt"/>
        <w:tabs>
          <w:tab w:val="clear" w:pos="1930"/>
          <w:tab w:val="clear" w:pos="2592"/>
          <w:tab w:val="clear" w:pos="3254"/>
          <w:tab w:val="clear" w:pos="3917"/>
          <w:tab w:val="clear" w:pos="4579"/>
          <w:tab w:val="clear" w:pos="5242"/>
          <w:tab w:val="left" w:pos="5075"/>
        </w:tabs>
        <w:rPr>
          <w:w w:val="100"/>
          <w:kern w:val="0"/>
          <w:rtl/>
        </w:rPr>
      </w:pPr>
      <w:r w:rsidRPr="00307AAE">
        <w:rPr>
          <w:rFonts w:hint="cs"/>
          <w:w w:val="100"/>
          <w:kern w:val="0"/>
          <w:rtl/>
        </w:rPr>
        <w:t>الحدود</w:t>
      </w:r>
      <w:r w:rsidRPr="00307AAE">
        <w:rPr>
          <w:rFonts w:hint="cs"/>
          <w:w w:val="100"/>
          <w:kern w:val="0"/>
          <w:rtl/>
        </w:rPr>
        <w:tab/>
        <w:t>665 9 كيلومترا</w:t>
      </w:r>
      <w:r w:rsidR="00442A76">
        <w:rPr>
          <w:rFonts w:hint="cs"/>
          <w:w w:val="100"/>
          <w:kern w:val="0"/>
          <w:rtl/>
        </w:rPr>
        <w:t>ً</w:t>
      </w:r>
    </w:p>
    <w:p w:rsidR="00750F90" w:rsidRPr="00307AAE" w:rsidRDefault="00750F90" w:rsidP="00442A76">
      <w:pPr>
        <w:pStyle w:val="SingleTxt"/>
        <w:tabs>
          <w:tab w:val="clear" w:pos="2592"/>
          <w:tab w:val="clear" w:pos="3254"/>
          <w:tab w:val="clear" w:pos="3917"/>
          <w:tab w:val="clear" w:pos="4579"/>
          <w:tab w:val="clear" w:pos="5242"/>
          <w:tab w:val="left" w:pos="5075"/>
        </w:tabs>
        <w:rPr>
          <w:w w:val="100"/>
          <w:kern w:val="0"/>
          <w:rtl/>
        </w:rPr>
      </w:pPr>
      <w:r w:rsidRPr="00307AAE">
        <w:rPr>
          <w:rFonts w:hint="cs"/>
          <w:w w:val="100"/>
          <w:kern w:val="0"/>
          <w:rtl/>
        </w:rPr>
        <w:t>مجموع السكان</w:t>
      </w:r>
      <w:r w:rsidRPr="00307AAE">
        <w:rPr>
          <w:rFonts w:hint="cs"/>
          <w:w w:val="100"/>
          <w:kern w:val="0"/>
          <w:rtl/>
        </w:rPr>
        <w:tab/>
        <w:t>المرتبة الثانية والثلاثون</w:t>
      </w:r>
    </w:p>
    <w:p w:rsidR="00750F90" w:rsidRPr="00307AAE" w:rsidRDefault="00750F90" w:rsidP="00442A76">
      <w:pPr>
        <w:pStyle w:val="SingleTxt"/>
        <w:tabs>
          <w:tab w:val="clear" w:pos="1930"/>
          <w:tab w:val="clear" w:pos="2592"/>
          <w:tab w:val="clear" w:pos="3254"/>
          <w:tab w:val="clear" w:pos="3917"/>
          <w:tab w:val="clear" w:pos="4579"/>
          <w:tab w:val="clear" w:pos="5242"/>
          <w:tab w:val="left" w:pos="5075"/>
        </w:tabs>
        <w:ind w:left="5075" w:hanging="3811"/>
        <w:rPr>
          <w:w w:val="100"/>
          <w:kern w:val="0"/>
          <w:rtl/>
        </w:rPr>
      </w:pPr>
      <w:r w:rsidRPr="00307AAE">
        <w:rPr>
          <w:rFonts w:hint="cs"/>
          <w:w w:val="100"/>
          <w:kern w:val="0"/>
          <w:rtl/>
        </w:rPr>
        <w:t>المجموع</w:t>
      </w:r>
      <w:r w:rsidRPr="00307AAE">
        <w:rPr>
          <w:rFonts w:hint="cs"/>
          <w:w w:val="100"/>
          <w:kern w:val="0"/>
          <w:rtl/>
        </w:rPr>
        <w:tab/>
        <w:t xml:space="preserve">096 117 40 نسمة بحسب تعداد السكان </w:t>
      </w:r>
      <w:r w:rsidRPr="00442A76">
        <w:rPr>
          <w:rFonts w:hint="cs"/>
          <w:i/>
          <w:iCs/>
          <w:w w:val="100"/>
          <w:kern w:val="0"/>
          <w:rtl/>
        </w:rPr>
        <w:t>لعام 2010</w:t>
      </w:r>
    </w:p>
    <w:p w:rsidR="00750F90" w:rsidRPr="00442A76" w:rsidRDefault="00750F90" w:rsidP="00442A76">
      <w:pPr>
        <w:pStyle w:val="SingleTxt"/>
        <w:tabs>
          <w:tab w:val="clear" w:pos="1930"/>
          <w:tab w:val="clear" w:pos="2592"/>
          <w:tab w:val="clear" w:pos="3254"/>
          <w:tab w:val="clear" w:pos="3917"/>
          <w:tab w:val="clear" w:pos="4579"/>
          <w:tab w:val="clear" w:pos="5242"/>
          <w:tab w:val="left" w:pos="5075"/>
        </w:tabs>
        <w:rPr>
          <w:spacing w:val="-8"/>
          <w:w w:val="100"/>
          <w:kern w:val="0"/>
          <w:rtl/>
        </w:rPr>
      </w:pPr>
      <w:r w:rsidRPr="00442A76">
        <w:rPr>
          <w:rFonts w:hint="cs"/>
          <w:spacing w:val="-8"/>
          <w:w w:val="100"/>
          <w:kern w:val="0"/>
          <w:rtl/>
        </w:rPr>
        <w:tab/>
        <w:t xml:space="preserve">500 192 42 نسمة بحسب تقديرات </w:t>
      </w:r>
      <w:r w:rsidRPr="00442A76">
        <w:rPr>
          <w:rFonts w:hint="cs"/>
          <w:i/>
          <w:iCs/>
          <w:spacing w:val="-8"/>
          <w:w w:val="100"/>
          <w:kern w:val="0"/>
          <w:rtl/>
        </w:rPr>
        <w:t>عام 2012</w:t>
      </w:r>
    </w:p>
    <w:p w:rsidR="00750F90" w:rsidRPr="00307AAE" w:rsidRDefault="00750F90" w:rsidP="00442A76">
      <w:pPr>
        <w:pStyle w:val="SingleTxt"/>
        <w:tabs>
          <w:tab w:val="clear" w:pos="2592"/>
          <w:tab w:val="clear" w:pos="3254"/>
          <w:tab w:val="clear" w:pos="3917"/>
          <w:tab w:val="clear" w:pos="4579"/>
          <w:tab w:val="clear" w:pos="5242"/>
          <w:tab w:val="left" w:pos="5075"/>
        </w:tabs>
        <w:rPr>
          <w:w w:val="100"/>
          <w:kern w:val="0"/>
          <w:rtl/>
        </w:rPr>
      </w:pPr>
      <w:r w:rsidRPr="00307AAE">
        <w:rPr>
          <w:rFonts w:hint="cs"/>
          <w:w w:val="100"/>
          <w:kern w:val="0"/>
          <w:rtl/>
        </w:rPr>
        <w:t>الكثافة السكانية</w:t>
      </w:r>
      <w:r w:rsidRPr="00307AAE">
        <w:rPr>
          <w:rFonts w:hint="cs"/>
          <w:w w:val="100"/>
          <w:kern w:val="0"/>
          <w:rtl/>
        </w:rPr>
        <w:tab/>
        <w:t>14</w:t>
      </w:r>
      <w:r w:rsidR="00307AAE" w:rsidRPr="00307AAE">
        <w:rPr>
          <w:rFonts w:hint="cs"/>
          <w:w w:val="100"/>
          <w:kern w:val="0"/>
          <w:rtl/>
        </w:rPr>
        <w:t>.</w:t>
      </w:r>
      <w:r w:rsidRPr="00307AAE">
        <w:rPr>
          <w:rFonts w:hint="cs"/>
          <w:w w:val="100"/>
          <w:kern w:val="0"/>
          <w:rtl/>
        </w:rPr>
        <w:t>43 نسمة في الكيلومتر المربع</w:t>
      </w:r>
    </w:p>
    <w:p w:rsidR="00750F90" w:rsidRPr="00307AAE" w:rsidRDefault="00750F90" w:rsidP="00442A76">
      <w:pPr>
        <w:pStyle w:val="SingleTxt"/>
        <w:tabs>
          <w:tab w:val="clear" w:pos="2592"/>
          <w:tab w:val="clear" w:pos="3254"/>
          <w:tab w:val="clear" w:pos="3917"/>
          <w:tab w:val="clear" w:pos="5242"/>
          <w:tab w:val="left" w:pos="5075"/>
        </w:tabs>
        <w:rPr>
          <w:w w:val="100"/>
          <w:kern w:val="0"/>
          <w:rtl/>
        </w:rPr>
      </w:pPr>
      <w:r w:rsidRPr="00307AAE">
        <w:rPr>
          <w:rFonts w:hint="cs"/>
          <w:w w:val="100"/>
          <w:kern w:val="0"/>
          <w:rtl/>
        </w:rPr>
        <w:t>الناتج المحلي الإجمالي (تعادل القدرة الشرائية)</w:t>
      </w:r>
      <w:r w:rsidRPr="00307AAE">
        <w:rPr>
          <w:rFonts w:hint="cs"/>
          <w:w w:val="100"/>
          <w:kern w:val="0"/>
          <w:rtl/>
        </w:rPr>
        <w:tab/>
        <w:t>المرتبة العشرون</w:t>
      </w:r>
    </w:p>
    <w:p w:rsidR="00750F90" w:rsidRPr="00442A76" w:rsidRDefault="00442A76" w:rsidP="00442A76">
      <w:pPr>
        <w:pStyle w:val="SingleTxt"/>
        <w:tabs>
          <w:tab w:val="clear" w:pos="2592"/>
          <w:tab w:val="clear" w:pos="3254"/>
          <w:tab w:val="clear" w:pos="3917"/>
          <w:tab w:val="clear" w:pos="4579"/>
          <w:tab w:val="clear" w:pos="5242"/>
          <w:tab w:val="left" w:pos="5075"/>
        </w:tabs>
        <w:rPr>
          <w:spacing w:val="-4"/>
          <w:w w:val="100"/>
          <w:kern w:val="0"/>
          <w:rtl/>
        </w:rPr>
      </w:pPr>
      <w:r>
        <w:rPr>
          <w:rFonts w:hint="cs"/>
          <w:w w:val="100"/>
          <w:kern w:val="0"/>
          <w:rtl/>
        </w:rPr>
        <w:t>المجموع (2012)</w:t>
      </w:r>
      <w:r w:rsidR="00750F90" w:rsidRPr="00307AAE">
        <w:rPr>
          <w:rFonts w:hint="cs"/>
          <w:w w:val="100"/>
          <w:kern w:val="0"/>
          <w:rtl/>
        </w:rPr>
        <w:tab/>
      </w:r>
      <w:r w:rsidR="00750F90" w:rsidRPr="00442A76">
        <w:rPr>
          <w:rFonts w:hint="cs"/>
          <w:spacing w:val="-4"/>
          <w:w w:val="100"/>
          <w:kern w:val="0"/>
          <w:rtl/>
        </w:rPr>
        <w:t>226 756 دولارا</w:t>
      </w:r>
      <w:r>
        <w:rPr>
          <w:rFonts w:hint="cs"/>
          <w:spacing w:val="-4"/>
          <w:w w:val="100"/>
          <w:kern w:val="0"/>
          <w:rtl/>
        </w:rPr>
        <w:t>ً</w:t>
      </w:r>
      <w:r w:rsidR="00750F90" w:rsidRPr="00442A76">
        <w:rPr>
          <w:rFonts w:hint="cs"/>
          <w:spacing w:val="-4"/>
          <w:w w:val="100"/>
          <w:kern w:val="0"/>
          <w:rtl/>
        </w:rPr>
        <w:t xml:space="preserve"> من دولارات الولايات المتحدة</w:t>
      </w:r>
    </w:p>
    <w:p w:rsidR="00750F90" w:rsidRPr="00307AAE" w:rsidRDefault="00750F90" w:rsidP="00442A76">
      <w:pPr>
        <w:pStyle w:val="SingleTxt"/>
        <w:tabs>
          <w:tab w:val="clear" w:pos="2592"/>
          <w:tab w:val="clear" w:pos="3254"/>
          <w:tab w:val="clear" w:pos="3917"/>
          <w:tab w:val="clear" w:pos="4579"/>
          <w:tab w:val="clear" w:pos="5242"/>
          <w:tab w:val="left" w:pos="5075"/>
        </w:tabs>
        <w:rPr>
          <w:w w:val="100"/>
          <w:kern w:val="0"/>
          <w:rtl/>
        </w:rPr>
      </w:pPr>
      <w:r w:rsidRPr="00307AAE">
        <w:rPr>
          <w:rFonts w:hint="cs"/>
          <w:w w:val="100"/>
          <w:kern w:val="0"/>
          <w:rtl/>
        </w:rPr>
        <w:t>الناتج المحلي الإجمالي (الاسمي)</w:t>
      </w:r>
      <w:r w:rsidRPr="00307AAE">
        <w:rPr>
          <w:rFonts w:hint="cs"/>
          <w:w w:val="100"/>
          <w:kern w:val="0"/>
          <w:rtl/>
        </w:rPr>
        <w:tab/>
        <w:t>المرتبة الخامسة والعشرون</w:t>
      </w:r>
    </w:p>
    <w:p w:rsidR="00750F90" w:rsidRPr="00307AAE" w:rsidRDefault="00750F90" w:rsidP="00442A76">
      <w:pPr>
        <w:pStyle w:val="SingleTxt"/>
        <w:tabs>
          <w:tab w:val="clear" w:pos="2592"/>
          <w:tab w:val="clear" w:pos="3254"/>
          <w:tab w:val="clear" w:pos="3917"/>
          <w:tab w:val="clear" w:pos="4579"/>
          <w:tab w:val="clear" w:pos="5242"/>
          <w:tab w:val="left" w:pos="5075"/>
        </w:tabs>
        <w:ind w:left="5075" w:hanging="3811"/>
        <w:rPr>
          <w:w w:val="100"/>
          <w:kern w:val="0"/>
          <w:rtl/>
        </w:rPr>
      </w:pPr>
      <w:r w:rsidRPr="00307AAE">
        <w:rPr>
          <w:rFonts w:hint="cs"/>
          <w:w w:val="100"/>
          <w:kern w:val="0"/>
          <w:rtl/>
        </w:rPr>
        <w:t>المجموع (2012)</w:t>
      </w:r>
      <w:r w:rsidRPr="00307AAE">
        <w:rPr>
          <w:rFonts w:hint="cs"/>
          <w:w w:val="100"/>
          <w:kern w:val="0"/>
          <w:rtl/>
        </w:rPr>
        <w:tab/>
        <w:t>812 474 مليون دولار من دولارات الولايات المتحدة</w:t>
      </w:r>
    </w:p>
    <w:p w:rsidR="00750F90" w:rsidRPr="00307AAE" w:rsidRDefault="00750F90" w:rsidP="00442A76">
      <w:pPr>
        <w:pStyle w:val="SingleTxt"/>
        <w:tabs>
          <w:tab w:val="clear" w:pos="2592"/>
          <w:tab w:val="clear" w:pos="3254"/>
          <w:tab w:val="clear" w:pos="3917"/>
          <w:tab w:val="clear" w:pos="4579"/>
          <w:tab w:val="clear" w:pos="5242"/>
          <w:tab w:val="left" w:pos="5075"/>
        </w:tabs>
        <w:ind w:left="5075" w:hanging="3811"/>
        <w:rPr>
          <w:w w:val="100"/>
          <w:kern w:val="0"/>
          <w:rtl/>
        </w:rPr>
      </w:pPr>
      <w:r w:rsidRPr="00307AAE">
        <w:rPr>
          <w:rFonts w:hint="cs"/>
          <w:w w:val="100"/>
          <w:kern w:val="0"/>
          <w:rtl/>
        </w:rPr>
        <w:t>نصيب الفرد من الناتج المحلي الإجمالي</w:t>
      </w:r>
      <w:r w:rsidRPr="00307AAE">
        <w:rPr>
          <w:rFonts w:hint="cs"/>
          <w:w w:val="100"/>
          <w:kern w:val="0"/>
          <w:rtl/>
        </w:rPr>
        <w:tab/>
        <w:t>835 11 دولار</w:t>
      </w:r>
      <w:r w:rsidR="00A71B00">
        <w:rPr>
          <w:rFonts w:hint="cs"/>
          <w:w w:val="100"/>
          <w:kern w:val="0"/>
          <w:rtl/>
        </w:rPr>
        <w:t xml:space="preserve">اً </w:t>
      </w:r>
      <w:r w:rsidRPr="00307AAE">
        <w:rPr>
          <w:rFonts w:hint="cs"/>
          <w:w w:val="100"/>
          <w:kern w:val="0"/>
          <w:rtl/>
        </w:rPr>
        <w:t>من دولارات الولايات المتحدة</w:t>
      </w:r>
    </w:p>
    <w:p w:rsidR="00750F90" w:rsidRPr="00307AAE" w:rsidRDefault="00750F90" w:rsidP="00442A76">
      <w:pPr>
        <w:pStyle w:val="SingleTxt"/>
        <w:rPr>
          <w:w w:val="100"/>
          <w:rtl/>
        </w:rPr>
      </w:pPr>
      <w:r w:rsidRPr="00307AAE">
        <w:rPr>
          <w:rFonts w:hint="cs"/>
          <w:w w:val="100"/>
          <w:rtl/>
        </w:rPr>
        <w:t>1-</w:t>
      </w:r>
      <w:r w:rsidRPr="00307AAE">
        <w:rPr>
          <w:rFonts w:hint="cs"/>
          <w:w w:val="100"/>
          <w:rtl/>
        </w:rPr>
        <w:tab/>
        <w:t xml:space="preserve">جمهورية الأرجنتين دولة ذات سيادة، </w:t>
      </w:r>
      <w:r w:rsidRPr="00307AAE">
        <w:rPr>
          <w:rFonts w:hint="cs"/>
          <w:w w:val="100"/>
          <w:rtl/>
          <w:lang w:val="fr-CH"/>
        </w:rPr>
        <w:t>تعتمد نظام</w:t>
      </w:r>
      <w:r w:rsidR="00A71B00">
        <w:rPr>
          <w:rFonts w:hint="cs"/>
          <w:w w:val="100"/>
          <w:rtl/>
          <w:lang w:val="fr-CH"/>
        </w:rPr>
        <w:t xml:space="preserve">اً </w:t>
      </w:r>
      <w:r w:rsidRPr="00307AAE">
        <w:rPr>
          <w:rFonts w:hint="cs"/>
          <w:w w:val="100"/>
          <w:rtl/>
          <w:lang w:val="fr-CH"/>
        </w:rPr>
        <w:t>جمهوري</w:t>
      </w:r>
      <w:r w:rsidR="00A71B00">
        <w:rPr>
          <w:rFonts w:hint="cs"/>
          <w:w w:val="100"/>
          <w:rtl/>
          <w:lang w:val="fr-CH"/>
        </w:rPr>
        <w:t xml:space="preserve">اً </w:t>
      </w:r>
      <w:r w:rsidRPr="00307AAE">
        <w:rPr>
          <w:rFonts w:hint="cs"/>
          <w:w w:val="100"/>
          <w:rtl/>
          <w:lang w:val="fr-CH"/>
        </w:rPr>
        <w:t>تمثيلي</w:t>
      </w:r>
      <w:r w:rsidR="00A71B00">
        <w:rPr>
          <w:rFonts w:hint="cs"/>
          <w:w w:val="100"/>
          <w:rtl/>
          <w:lang w:val="fr-CH"/>
        </w:rPr>
        <w:t xml:space="preserve">اً </w:t>
      </w:r>
      <w:r w:rsidRPr="00307AAE">
        <w:rPr>
          <w:rFonts w:hint="cs"/>
          <w:w w:val="100"/>
          <w:rtl/>
          <w:lang w:val="fr-CH"/>
        </w:rPr>
        <w:t>اتحادي</w:t>
      </w:r>
      <w:r w:rsidR="00955E01">
        <w:rPr>
          <w:rFonts w:hint="cs"/>
          <w:w w:val="100"/>
          <w:rtl/>
          <w:lang w:val="fr-CH"/>
        </w:rPr>
        <w:t>اً،</w:t>
      </w:r>
      <w:r w:rsidRPr="00307AAE">
        <w:rPr>
          <w:rFonts w:hint="cs"/>
          <w:w w:val="100"/>
          <w:rtl/>
          <w:lang w:val="fr-CH"/>
        </w:rPr>
        <w:t xml:space="preserve"> وتقع في أقصى الجنوب الشرقي لأمريكا الجنوبية</w:t>
      </w:r>
      <w:r w:rsidR="00442A76">
        <w:rPr>
          <w:rFonts w:hint="cs"/>
          <w:w w:val="100"/>
          <w:rtl/>
        </w:rPr>
        <w:t>.</w:t>
      </w:r>
    </w:p>
    <w:p w:rsidR="00750F90" w:rsidRPr="00442A76" w:rsidRDefault="00750F90" w:rsidP="00442A76">
      <w:pPr>
        <w:pStyle w:val="SingleTxt"/>
        <w:rPr>
          <w:w w:val="100"/>
          <w:rtl/>
        </w:rPr>
      </w:pPr>
      <w:r w:rsidRPr="00442A76">
        <w:rPr>
          <w:rFonts w:hint="cs"/>
          <w:w w:val="100"/>
          <w:rtl/>
        </w:rPr>
        <w:t>2-</w:t>
      </w:r>
      <w:r w:rsidRPr="00442A76">
        <w:rPr>
          <w:rFonts w:hint="cs"/>
          <w:w w:val="100"/>
          <w:rtl/>
        </w:rPr>
        <w:tab/>
        <w:t>وينقسم إقليم</w:t>
      </w:r>
      <w:r w:rsidRPr="00442A76">
        <w:rPr>
          <w:rFonts w:hint="cs"/>
          <w:w w:val="100"/>
          <w:rtl/>
          <w:lang w:val="fr-CH"/>
        </w:rPr>
        <w:t>ها</w:t>
      </w:r>
      <w:r w:rsidRPr="00442A76">
        <w:rPr>
          <w:rFonts w:hint="cs"/>
          <w:w w:val="100"/>
          <w:rtl/>
        </w:rPr>
        <w:t xml:space="preserve"> إلى 23 محافظة بالإضافة إلى مدينة </w:t>
      </w:r>
      <w:r w:rsidRPr="00442A76">
        <w:rPr>
          <w:w w:val="100"/>
          <w:rtl/>
        </w:rPr>
        <w:t>بوينس آيرس</w:t>
      </w:r>
      <w:r w:rsidRPr="00442A76">
        <w:rPr>
          <w:rFonts w:hint="cs"/>
          <w:w w:val="100"/>
          <w:rtl/>
        </w:rPr>
        <w:t xml:space="preserve"> المستقلة ذاتياً، وهي</w:t>
      </w:r>
      <w:r w:rsidR="00442A76">
        <w:rPr>
          <w:rFonts w:hint="cs"/>
          <w:w w:val="100"/>
          <w:rtl/>
        </w:rPr>
        <w:t xml:space="preserve"> </w:t>
      </w:r>
      <w:r w:rsidRPr="00442A76">
        <w:rPr>
          <w:rFonts w:hint="cs"/>
          <w:w w:val="100"/>
          <w:rtl/>
        </w:rPr>
        <w:t xml:space="preserve">عاصمة الدولة ومقر الحكومة الاتحادية. ويسجل سكانها البالغ عددهم 40 مليون نسمة معدلات في مؤشرات التنمية البشرية والدخل الفردي ومستوى المعيشة من بين المعدلات الأعلى في أمريكا اللاتينية. </w:t>
      </w:r>
    </w:p>
    <w:p w:rsidR="00750F90" w:rsidRPr="00307AAE" w:rsidRDefault="00750F90" w:rsidP="00CD4175">
      <w:pPr>
        <w:pStyle w:val="SingleTxt"/>
        <w:rPr>
          <w:w w:val="100"/>
          <w:kern w:val="0"/>
          <w:rtl/>
        </w:rPr>
      </w:pPr>
      <w:r w:rsidRPr="00307AAE">
        <w:rPr>
          <w:rFonts w:hint="cs"/>
          <w:w w:val="100"/>
          <w:kern w:val="0"/>
          <w:rtl/>
        </w:rPr>
        <w:t>3-</w:t>
      </w:r>
      <w:r w:rsidRPr="00307AAE">
        <w:rPr>
          <w:rFonts w:hint="cs"/>
          <w:w w:val="100"/>
          <w:kern w:val="0"/>
          <w:rtl/>
        </w:rPr>
        <w:tab/>
        <w:t>والأرجنتين أكبر بلد ناطق بالإسبانية مساحةً في العالم، وهي الدولة الثانية الأكبر في أمريكا الجنوبية، والرابعة في القارة الأمريكية والسابعة في العالم.</w:t>
      </w:r>
    </w:p>
    <w:p w:rsidR="00750F90" w:rsidRPr="00307AAE" w:rsidRDefault="00750F90" w:rsidP="00CD4175">
      <w:pPr>
        <w:pStyle w:val="SingleTxt"/>
        <w:rPr>
          <w:w w:val="100"/>
          <w:kern w:val="0"/>
          <w:rtl/>
        </w:rPr>
      </w:pPr>
      <w:r w:rsidRPr="00307AAE">
        <w:rPr>
          <w:rFonts w:hint="cs"/>
          <w:w w:val="100"/>
          <w:kern w:val="0"/>
          <w:rtl/>
        </w:rPr>
        <w:t>4-</w:t>
      </w:r>
      <w:r w:rsidRPr="00307AAE">
        <w:rPr>
          <w:rFonts w:hint="cs"/>
          <w:w w:val="100"/>
          <w:kern w:val="0"/>
          <w:rtl/>
        </w:rPr>
        <w:tab/>
        <w:t>ويحد هذا الإقليم الواقع في القارة الأمريكية، الذي يضم جزء</w:t>
      </w:r>
      <w:r w:rsidR="00A71B00">
        <w:rPr>
          <w:rFonts w:hint="cs"/>
          <w:w w:val="100"/>
          <w:kern w:val="0"/>
          <w:rtl/>
        </w:rPr>
        <w:t xml:space="preserve">اً </w:t>
      </w:r>
      <w:r w:rsidRPr="00307AAE">
        <w:rPr>
          <w:rFonts w:hint="cs"/>
          <w:w w:val="100"/>
          <w:kern w:val="0"/>
          <w:rtl/>
        </w:rPr>
        <w:t>كبير</w:t>
      </w:r>
      <w:r w:rsidR="00A71B00">
        <w:rPr>
          <w:rFonts w:hint="cs"/>
          <w:w w:val="100"/>
          <w:kern w:val="0"/>
          <w:rtl/>
        </w:rPr>
        <w:t xml:space="preserve">اً </w:t>
      </w:r>
      <w:r w:rsidRPr="00307AAE">
        <w:rPr>
          <w:rFonts w:hint="cs"/>
          <w:w w:val="100"/>
          <w:kern w:val="0"/>
          <w:rtl/>
        </w:rPr>
        <w:t>من المخروط الجنوبي، بوليفيا وباراغواي من الشمال، والبرازيل من الشمال الشرقي، وأوروغواي والمحيط الأطلسي من الشرق وشيلي من الجنوب والغرب.</w:t>
      </w:r>
    </w:p>
    <w:p w:rsidR="00750F90" w:rsidRPr="00307AAE" w:rsidRDefault="00750F90" w:rsidP="00CD4175">
      <w:pPr>
        <w:pStyle w:val="SingleTxt"/>
        <w:rPr>
          <w:w w:val="100"/>
          <w:kern w:val="0"/>
          <w:rtl/>
          <w:lang w:val="fr-CH"/>
        </w:rPr>
      </w:pPr>
      <w:r w:rsidRPr="00307AAE">
        <w:rPr>
          <w:rFonts w:hint="cs"/>
          <w:w w:val="100"/>
          <w:kern w:val="0"/>
          <w:rtl/>
        </w:rPr>
        <w:t>5-</w:t>
      </w:r>
      <w:r w:rsidRPr="00307AAE">
        <w:rPr>
          <w:rFonts w:hint="cs"/>
          <w:w w:val="100"/>
          <w:kern w:val="0"/>
          <w:rtl/>
        </w:rPr>
        <w:tab/>
        <w:t>ووفق</w:t>
      </w:r>
      <w:r w:rsidR="00A71B00">
        <w:rPr>
          <w:rFonts w:hint="cs"/>
          <w:w w:val="100"/>
          <w:kern w:val="0"/>
          <w:rtl/>
        </w:rPr>
        <w:t xml:space="preserve">اً </w:t>
      </w:r>
      <w:r w:rsidRPr="00307AAE">
        <w:rPr>
          <w:rFonts w:hint="cs"/>
          <w:w w:val="100"/>
          <w:kern w:val="0"/>
          <w:rtl/>
        </w:rPr>
        <w:t xml:space="preserve">للبنك الدولي، يحتل الناتج المحلي الإجمالي الاسمي للأرجنتين المرتبة الخامسة والعشرين في العالم من حيث الأهمية، غير </w:t>
      </w:r>
      <w:r w:rsidRPr="00307AAE">
        <w:rPr>
          <w:rFonts w:hint="cs"/>
          <w:w w:val="100"/>
          <w:kern w:val="0"/>
          <w:rtl/>
          <w:lang w:val="fr-CH"/>
        </w:rPr>
        <w:t>أن ناتجها المحلي الإجمالي، إذا ما أُخذت في الاعتبار القدرة الشرائية، يضع اقتصادها في المرتبة العشرين من حيث الأهمية في العالم. وفي عام 2010، صنّف البنك الدولي البلد ضمن الشريحة الأعلى من الدول المتوسطة الدخل أو اعتبره سوقاً ناشئة.</w:t>
      </w:r>
    </w:p>
    <w:p w:rsidR="00307AAE" w:rsidRPr="00307AAE" w:rsidRDefault="00307AAE" w:rsidP="00307AA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rPr>
      </w:pPr>
    </w:p>
    <w:p w:rsidR="00307AAE" w:rsidRPr="00307AAE" w:rsidRDefault="00307AAE" w:rsidP="00307AA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rPr>
      </w:pPr>
    </w:p>
    <w:p w:rsidR="00750F90" w:rsidRPr="00307AAE" w:rsidRDefault="00750F90" w:rsidP="00307AA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rPr>
      </w:pPr>
      <w:r w:rsidRPr="00307AAE">
        <w:rPr>
          <w:rFonts w:hint="cs"/>
          <w:w w:val="100"/>
          <w:kern w:val="0"/>
          <w:rtl/>
        </w:rPr>
        <w:tab/>
      </w:r>
      <w:bookmarkStart w:id="4" w:name="_Toc430532832"/>
      <w:r w:rsidRPr="00307AAE">
        <w:rPr>
          <w:rFonts w:hint="cs"/>
          <w:w w:val="100"/>
          <w:kern w:val="0"/>
          <w:rtl/>
        </w:rPr>
        <w:t>ألف</w:t>
      </w:r>
      <w:r w:rsidR="00307AAE" w:rsidRPr="00307AAE">
        <w:rPr>
          <w:rFonts w:hint="cs"/>
          <w:w w:val="100"/>
          <w:kern w:val="0"/>
          <w:rtl/>
        </w:rPr>
        <w:t>-</w:t>
      </w:r>
      <w:r w:rsidR="00307AAE" w:rsidRPr="00307AAE">
        <w:rPr>
          <w:rFonts w:hint="cs"/>
          <w:w w:val="100"/>
          <w:kern w:val="0"/>
          <w:rtl/>
        </w:rPr>
        <w:tab/>
      </w:r>
      <w:r w:rsidRPr="00307AAE">
        <w:rPr>
          <w:rFonts w:hint="cs"/>
          <w:w w:val="100"/>
          <w:kern w:val="0"/>
          <w:rtl/>
        </w:rPr>
        <w:t>الخصائص الديمغرافية والاقتصادية والاجتماعية والثقافية</w:t>
      </w:r>
      <w:bookmarkEnd w:id="4"/>
    </w:p>
    <w:p w:rsidR="00307AAE" w:rsidRPr="00307AAE" w:rsidRDefault="00307AAE" w:rsidP="00307AAE">
      <w:pPr>
        <w:pStyle w:val="SingleTxt"/>
        <w:spacing w:after="0" w:line="120" w:lineRule="exact"/>
        <w:rPr>
          <w:w w:val="100"/>
          <w:kern w:val="0"/>
          <w:sz w:val="10"/>
          <w:rtl/>
        </w:rPr>
      </w:pPr>
    </w:p>
    <w:p w:rsidR="00750F90" w:rsidRPr="00307AAE" w:rsidRDefault="00442A76" w:rsidP="00442A7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t>1-</w:t>
      </w:r>
      <w:r>
        <w:rPr>
          <w:rFonts w:hint="cs"/>
          <w:w w:val="100"/>
          <w:rtl/>
        </w:rPr>
        <w:tab/>
      </w:r>
      <w:r w:rsidR="00750F90" w:rsidRPr="00307AAE">
        <w:rPr>
          <w:rFonts w:hint="cs"/>
          <w:w w:val="100"/>
          <w:rtl/>
        </w:rPr>
        <w:t>الخصائص الإثنية والديمغرافية للبلد وسكانه وفق</w:t>
      </w:r>
      <w:r w:rsidR="00A71B00">
        <w:rPr>
          <w:rFonts w:hint="cs"/>
          <w:w w:val="100"/>
          <w:rtl/>
        </w:rPr>
        <w:t xml:space="preserve">اً </w:t>
      </w:r>
      <w:r w:rsidR="00750F90" w:rsidRPr="00307AAE">
        <w:rPr>
          <w:rFonts w:hint="cs"/>
          <w:w w:val="100"/>
          <w:rtl/>
        </w:rPr>
        <w:t>للمؤشرات التالية</w:t>
      </w:r>
    </w:p>
    <w:p w:rsidR="00750F90" w:rsidRPr="00307AAE" w:rsidRDefault="00750F90" w:rsidP="00442A76">
      <w:pPr>
        <w:pStyle w:val="SingleTxt"/>
        <w:spacing w:after="0"/>
        <w:rPr>
          <w:w w:val="100"/>
          <w:kern w:val="0"/>
          <w:rtl/>
        </w:rPr>
      </w:pPr>
      <w:r w:rsidRPr="00307AAE">
        <w:rPr>
          <w:rFonts w:hint="cs"/>
          <w:w w:val="100"/>
          <w:kern w:val="0"/>
          <w:rtl/>
        </w:rPr>
        <w:t>الجدول 1</w:t>
      </w:r>
    </w:p>
    <w:p w:rsidR="00750F90" w:rsidRDefault="00750F90" w:rsidP="00307AAE">
      <w:pPr>
        <w:pStyle w:val="SingleTxt"/>
        <w:rPr>
          <w:w w:val="100"/>
          <w:kern w:val="0"/>
          <w:vertAlign w:val="superscript"/>
          <w:rtl/>
        </w:rPr>
      </w:pPr>
      <w:r w:rsidRPr="00307AAE">
        <w:rPr>
          <w:rFonts w:hint="cs"/>
          <w:b/>
          <w:bCs/>
          <w:w w:val="100"/>
          <w:kern w:val="0"/>
          <w:rtl/>
        </w:rPr>
        <w:t>حجم السكان</w:t>
      </w:r>
      <w:r w:rsidR="00307AAE" w:rsidRPr="00307AAE">
        <w:rPr>
          <w:w w:val="100"/>
          <w:kern w:val="0"/>
          <w:vertAlign w:val="superscript"/>
          <w:rtl/>
        </w:rPr>
        <w:t>(</w:t>
      </w:r>
      <w:r w:rsidR="00307AAE" w:rsidRPr="00307AAE">
        <w:rPr>
          <w:rStyle w:val="FootnoteReference"/>
          <w:color w:val="000000" w:themeColor="text1"/>
          <w:spacing w:val="0"/>
          <w:w w:val="100"/>
          <w:kern w:val="0"/>
          <w:sz w:val="18"/>
          <w:szCs w:val="32"/>
          <w:rtl/>
        </w:rPr>
        <w:footnoteReference w:id="1"/>
      </w:r>
      <w:r w:rsidR="00307AAE" w:rsidRPr="00307AAE">
        <w:rPr>
          <w:w w:val="100"/>
          <w:kern w:val="0"/>
          <w:vertAlign w:val="superscript"/>
          <w:rtl/>
        </w:rPr>
        <w:t>)</w:t>
      </w:r>
    </w:p>
    <w:p w:rsidR="00122E26" w:rsidRPr="00122E26" w:rsidRDefault="00122E26" w:rsidP="00122E26">
      <w:pPr>
        <w:pStyle w:val="SingleTxt"/>
        <w:spacing w:after="0" w:line="120" w:lineRule="exact"/>
        <w:rPr>
          <w:w w:val="100"/>
          <w:kern w:val="0"/>
          <w:sz w:val="10"/>
          <w:rtl/>
        </w:rPr>
      </w:pPr>
    </w:p>
    <w:tbl>
      <w:tblPr>
        <w:bidiVisual/>
        <w:tblW w:w="0" w:type="auto"/>
        <w:tblInd w:w="1382" w:type="dxa"/>
        <w:tblBorders>
          <w:top w:val="single" w:sz="4" w:space="0" w:color="auto"/>
          <w:bottom w:val="single" w:sz="4" w:space="0" w:color="auto"/>
        </w:tblBorders>
        <w:tblLook w:val="04A0" w:firstRow="1" w:lastRow="0" w:firstColumn="1" w:lastColumn="0" w:noHBand="0" w:noVBand="1"/>
      </w:tblPr>
      <w:tblGrid>
        <w:gridCol w:w="5928"/>
        <w:gridCol w:w="1597"/>
      </w:tblGrid>
      <w:tr w:rsidR="00750F90" w:rsidRPr="00307AAE" w:rsidTr="00706E77">
        <w:tc>
          <w:tcPr>
            <w:tcW w:w="5928" w:type="dxa"/>
            <w:tcBorders>
              <w:top w:val="single" w:sz="12" w:space="0" w:color="auto"/>
              <w:bottom w:val="nil"/>
            </w:tcBorders>
          </w:tcPr>
          <w:p w:rsidR="00750F90" w:rsidRPr="00307AAE" w:rsidRDefault="00750F90" w:rsidP="00122E26">
            <w:pPr>
              <w:pStyle w:val="SingleTxtGA"/>
              <w:spacing w:before="40" w:after="40" w:line="300" w:lineRule="exact"/>
              <w:ind w:left="0"/>
              <w:rPr>
                <w:i/>
                <w:iCs/>
                <w:rtl/>
              </w:rPr>
            </w:pPr>
            <w:r w:rsidRPr="00307AAE">
              <w:rPr>
                <w:rFonts w:hint="cs"/>
                <w:i/>
                <w:iCs/>
                <w:rtl/>
              </w:rPr>
              <w:t>مجموع السكان</w:t>
            </w:r>
          </w:p>
        </w:tc>
        <w:tc>
          <w:tcPr>
            <w:tcW w:w="1597" w:type="dxa"/>
            <w:tcBorders>
              <w:top w:val="single" w:sz="12" w:space="0" w:color="auto"/>
              <w:bottom w:val="nil"/>
            </w:tcBorders>
          </w:tcPr>
          <w:p w:rsidR="00750F90" w:rsidRPr="00706E77" w:rsidRDefault="00750F90" w:rsidP="00122E26">
            <w:pPr>
              <w:pStyle w:val="SingleTxtGA"/>
              <w:spacing w:before="40" w:after="40" w:line="300" w:lineRule="exact"/>
              <w:ind w:left="0" w:right="0"/>
              <w:rPr>
                <w:rtl/>
              </w:rPr>
            </w:pPr>
            <w:r w:rsidRPr="00706E77">
              <w:rPr>
                <w:rFonts w:hint="cs"/>
                <w:rtl/>
              </w:rPr>
              <w:t>096 117 40</w:t>
            </w:r>
          </w:p>
        </w:tc>
      </w:tr>
      <w:tr w:rsidR="00750F90" w:rsidRPr="00307AAE" w:rsidTr="00706E77">
        <w:tc>
          <w:tcPr>
            <w:tcW w:w="5928" w:type="dxa"/>
            <w:tcBorders>
              <w:top w:val="nil"/>
              <w:bottom w:val="single" w:sz="12" w:space="0" w:color="auto"/>
            </w:tcBorders>
          </w:tcPr>
          <w:p w:rsidR="00750F90" w:rsidRPr="00307AAE" w:rsidRDefault="00750F90" w:rsidP="00122E26">
            <w:pPr>
              <w:pStyle w:val="SingleTxtGA"/>
              <w:spacing w:before="40" w:after="40" w:line="300" w:lineRule="exact"/>
              <w:ind w:left="0"/>
              <w:rPr>
                <w:rtl/>
              </w:rPr>
            </w:pPr>
            <w:r w:rsidRPr="00307AAE">
              <w:rPr>
                <w:rFonts w:hint="cs"/>
                <w:rtl/>
              </w:rPr>
              <w:t>الذكور</w:t>
            </w:r>
          </w:p>
          <w:p w:rsidR="00750F90" w:rsidRPr="00307AAE" w:rsidRDefault="00750F90" w:rsidP="00122E26">
            <w:pPr>
              <w:pStyle w:val="SingleTxtGA"/>
              <w:spacing w:before="40" w:after="40" w:line="300" w:lineRule="exact"/>
              <w:ind w:left="0"/>
              <w:rPr>
                <w:rtl/>
              </w:rPr>
            </w:pPr>
            <w:r w:rsidRPr="00307AAE">
              <w:rPr>
                <w:rFonts w:hint="cs"/>
                <w:rtl/>
              </w:rPr>
              <w:t>الإناث</w:t>
            </w:r>
          </w:p>
        </w:tc>
        <w:tc>
          <w:tcPr>
            <w:tcW w:w="1597" w:type="dxa"/>
            <w:tcBorders>
              <w:top w:val="nil"/>
              <w:bottom w:val="single" w:sz="12" w:space="0" w:color="auto"/>
            </w:tcBorders>
          </w:tcPr>
          <w:p w:rsidR="00750F90" w:rsidRPr="00307AAE" w:rsidRDefault="00750F90" w:rsidP="00122E26">
            <w:pPr>
              <w:pStyle w:val="SingleTxtGA"/>
              <w:spacing w:before="40" w:after="40" w:line="300" w:lineRule="exact"/>
              <w:ind w:left="0" w:right="0"/>
              <w:rPr>
                <w:rtl/>
              </w:rPr>
            </w:pPr>
            <w:r w:rsidRPr="00307AAE">
              <w:rPr>
                <w:rFonts w:hint="cs"/>
                <w:rtl/>
              </w:rPr>
              <w:t>766 523 19</w:t>
            </w:r>
          </w:p>
          <w:p w:rsidR="00750F90" w:rsidRPr="00307AAE" w:rsidRDefault="00750F90" w:rsidP="00122E26">
            <w:pPr>
              <w:pStyle w:val="SingleTxtGA"/>
              <w:spacing w:before="40" w:after="40" w:line="300" w:lineRule="exact"/>
              <w:ind w:left="0" w:right="0"/>
              <w:rPr>
                <w:rtl/>
              </w:rPr>
            </w:pPr>
            <w:r w:rsidRPr="00307AAE">
              <w:rPr>
                <w:rFonts w:hint="cs"/>
                <w:rtl/>
              </w:rPr>
              <w:t>330 593 20</w:t>
            </w:r>
          </w:p>
        </w:tc>
      </w:tr>
    </w:tbl>
    <w:p w:rsidR="00122E26" w:rsidRPr="00122E26" w:rsidRDefault="00122E26" w:rsidP="00122E26">
      <w:pPr>
        <w:pStyle w:val="SingleTxt"/>
        <w:spacing w:after="0" w:line="120" w:lineRule="exact"/>
        <w:rPr>
          <w:w w:val="100"/>
          <w:kern w:val="0"/>
          <w:sz w:val="10"/>
          <w:rtl/>
        </w:rPr>
      </w:pPr>
    </w:p>
    <w:p w:rsidR="00122E26" w:rsidRPr="00122E26" w:rsidRDefault="00122E26" w:rsidP="00122E26">
      <w:pPr>
        <w:pStyle w:val="SingleTxt"/>
        <w:spacing w:after="0" w:line="120" w:lineRule="exact"/>
        <w:rPr>
          <w:w w:val="100"/>
          <w:kern w:val="0"/>
          <w:sz w:val="10"/>
          <w:rtl/>
        </w:rPr>
      </w:pPr>
    </w:p>
    <w:p w:rsidR="00750F90" w:rsidRPr="00307AAE" w:rsidRDefault="00750F90" w:rsidP="00CD4175">
      <w:pPr>
        <w:pStyle w:val="SingleTxt"/>
        <w:rPr>
          <w:w w:val="100"/>
          <w:kern w:val="0"/>
          <w:rtl/>
        </w:rPr>
      </w:pPr>
      <w:r w:rsidRPr="00307AAE">
        <w:rPr>
          <w:rFonts w:hint="cs"/>
          <w:w w:val="100"/>
          <w:kern w:val="0"/>
          <w:rtl/>
        </w:rPr>
        <w:t>6-</w:t>
      </w:r>
      <w:r w:rsidRPr="00307AAE">
        <w:rPr>
          <w:rFonts w:hint="cs"/>
          <w:w w:val="100"/>
          <w:kern w:val="0"/>
          <w:rtl/>
        </w:rPr>
        <w:tab/>
        <w:t>وفق</w:t>
      </w:r>
      <w:r w:rsidR="00A71B00">
        <w:rPr>
          <w:rFonts w:hint="cs"/>
          <w:w w:val="100"/>
          <w:kern w:val="0"/>
          <w:rtl/>
        </w:rPr>
        <w:t xml:space="preserve">اً </w:t>
      </w:r>
      <w:r w:rsidRPr="00307AAE">
        <w:rPr>
          <w:rFonts w:hint="cs"/>
          <w:w w:val="100"/>
          <w:kern w:val="0"/>
          <w:rtl/>
        </w:rPr>
        <w:t>لنتائج تعداد السكان لعام 2010، يبلغ مجموع السكان 096 117 40 نسمة في الإقليم الوطني ككل، 330 593 20 منهم إناث و766 523 19 ذكور. وبالمقارنة مع تعداد السكان السابق (2001)، يلاحظ تغيرٌ نسبته 10</w:t>
      </w:r>
      <w:r w:rsidR="00307AAE" w:rsidRPr="00307AAE">
        <w:rPr>
          <w:rFonts w:hint="cs"/>
          <w:w w:val="100"/>
          <w:kern w:val="0"/>
          <w:rtl/>
        </w:rPr>
        <w:t>.</w:t>
      </w:r>
      <w:r w:rsidRPr="00307AAE">
        <w:rPr>
          <w:rFonts w:hint="cs"/>
          <w:w w:val="100"/>
          <w:kern w:val="0"/>
          <w:rtl/>
        </w:rPr>
        <w:t>6 في المائة في الفترة ما بين التعدادين، ما يمثل زيادة قدرها 966 856 3 نسمة عن عام 2001.</w:t>
      </w:r>
    </w:p>
    <w:p w:rsidR="00750F90" w:rsidRPr="00307AAE" w:rsidRDefault="00750F90" w:rsidP="00A71B00">
      <w:pPr>
        <w:pStyle w:val="SingleTxt"/>
        <w:rPr>
          <w:w w:val="100"/>
          <w:kern w:val="0"/>
          <w:rtl/>
        </w:rPr>
      </w:pPr>
      <w:r w:rsidRPr="00307AAE">
        <w:rPr>
          <w:rFonts w:hint="cs"/>
          <w:w w:val="100"/>
          <w:kern w:val="0"/>
          <w:rtl/>
        </w:rPr>
        <w:t>7-</w:t>
      </w:r>
      <w:r w:rsidRPr="00307AAE">
        <w:rPr>
          <w:rFonts w:hint="cs"/>
          <w:w w:val="100"/>
          <w:kern w:val="0"/>
          <w:rtl/>
        </w:rPr>
        <w:tab/>
        <w:t>ومن حيث النمو الديمغرافي، تحتل الأرجنتين المرتبة الرابعة ضمن بلدان أمريكا اللاتينية. كما</w:t>
      </w:r>
      <w:r w:rsidR="00A71B00">
        <w:rPr>
          <w:rFonts w:hint="eastAsia"/>
          <w:w w:val="100"/>
          <w:kern w:val="0"/>
          <w:rtl/>
        </w:rPr>
        <w:t> </w:t>
      </w:r>
      <w:r w:rsidRPr="00307AAE">
        <w:rPr>
          <w:rFonts w:hint="cs"/>
          <w:w w:val="100"/>
          <w:kern w:val="0"/>
          <w:rtl/>
        </w:rPr>
        <w:t>تبلغ مشاركة الأرجنتين النسبية في السوق الجنوبية المشتركة 14</w:t>
      </w:r>
      <w:r w:rsidR="00307AAE" w:rsidRPr="00307AAE">
        <w:rPr>
          <w:rFonts w:hint="cs"/>
          <w:w w:val="100"/>
          <w:kern w:val="0"/>
          <w:rtl/>
        </w:rPr>
        <w:t>.</w:t>
      </w:r>
      <w:r w:rsidRPr="00307AAE">
        <w:rPr>
          <w:rFonts w:hint="cs"/>
          <w:w w:val="100"/>
          <w:kern w:val="0"/>
          <w:rtl/>
        </w:rPr>
        <w:t>7 في المائة.</w:t>
      </w:r>
    </w:p>
    <w:p w:rsidR="00750F90" w:rsidRPr="00307AAE" w:rsidRDefault="00750F90" w:rsidP="00CD4175">
      <w:pPr>
        <w:pStyle w:val="SingleTxt"/>
        <w:rPr>
          <w:w w:val="100"/>
          <w:kern w:val="0"/>
          <w:rtl/>
        </w:rPr>
      </w:pPr>
      <w:r w:rsidRPr="00307AAE">
        <w:rPr>
          <w:rFonts w:hint="cs"/>
          <w:w w:val="100"/>
          <w:kern w:val="0"/>
          <w:rtl/>
        </w:rPr>
        <w:t>8-</w:t>
      </w:r>
      <w:r w:rsidRPr="00307AAE">
        <w:rPr>
          <w:rFonts w:hint="cs"/>
          <w:w w:val="100"/>
          <w:kern w:val="0"/>
          <w:rtl/>
        </w:rPr>
        <w:tab/>
        <w:t>وفيما يتعلق بالتوزيع الجغرافي بالنسبة لعام 2010 يلاحظ أن ما نسبته 70 في المائة من السكان يتركز في ست محافظات أرجنتينية هي: مدينة بوينس آيرس المستقلة ذاتياً، ومحافظة بوينس آيرس، وقرطبة، وسانتا في، وميندوزا وت</w:t>
      </w:r>
      <w:r w:rsidR="00122E26">
        <w:rPr>
          <w:rFonts w:hint="cs"/>
          <w:w w:val="100"/>
          <w:kern w:val="0"/>
          <w:rtl/>
        </w:rPr>
        <w:t>وكومان. وضمن هذه المحافظات، تضم</w:t>
      </w:r>
      <w:r w:rsidRPr="00307AAE">
        <w:rPr>
          <w:rFonts w:hint="cs"/>
          <w:w w:val="100"/>
          <w:kern w:val="0"/>
          <w:rtl/>
        </w:rPr>
        <w:t xml:space="preserve"> بوينس آيرس تاريخياً أعلى نسبة سكانية من مجموع سكان البلد.</w:t>
      </w:r>
    </w:p>
    <w:p w:rsidR="00750F90" w:rsidRPr="00307AAE" w:rsidRDefault="00750F90" w:rsidP="00CD4175">
      <w:pPr>
        <w:pStyle w:val="SingleTxt"/>
        <w:rPr>
          <w:w w:val="100"/>
          <w:kern w:val="0"/>
          <w:rtl/>
        </w:rPr>
      </w:pPr>
      <w:r w:rsidRPr="00307AAE">
        <w:rPr>
          <w:rFonts w:hint="cs"/>
          <w:w w:val="100"/>
          <w:kern w:val="0"/>
          <w:rtl/>
        </w:rPr>
        <w:t>9-</w:t>
      </w:r>
      <w:r w:rsidRPr="00307AAE">
        <w:rPr>
          <w:rFonts w:hint="cs"/>
          <w:w w:val="100"/>
          <w:kern w:val="0"/>
          <w:rtl/>
        </w:rPr>
        <w:tab/>
        <w:t>ومن جهة أخرى، تعتبر مدينة بوينس آيرس المستقلة ذاتياً أعلى مقاطعة من حيث الكثافة السكانية، إذ تبلغ بها 450</w:t>
      </w:r>
      <w:r w:rsidR="00307AAE" w:rsidRPr="00307AAE">
        <w:rPr>
          <w:rFonts w:hint="cs"/>
          <w:w w:val="100"/>
          <w:kern w:val="0"/>
          <w:rtl/>
        </w:rPr>
        <w:t>.</w:t>
      </w:r>
      <w:r w:rsidRPr="00307AAE">
        <w:rPr>
          <w:rFonts w:hint="cs"/>
          <w:w w:val="100"/>
          <w:kern w:val="0"/>
          <w:rtl/>
        </w:rPr>
        <w:t xml:space="preserve">8 14 نسمة في الكيلومتر المربع. </w:t>
      </w:r>
      <w:r w:rsidRPr="00307AAE">
        <w:rPr>
          <w:rFonts w:hint="cs"/>
          <w:w w:val="100"/>
          <w:kern w:val="0"/>
          <w:rtl/>
          <w:lang w:val="fr-CH"/>
        </w:rPr>
        <w:t>وتأتي في المرتبة الثانية دوائر بوينس آيرس الكبرى البالغ عددها 24، حيث تبلغ الكثافة السكانية بها 694</w:t>
      </w:r>
      <w:r w:rsidR="00307AAE" w:rsidRPr="00307AAE">
        <w:rPr>
          <w:rFonts w:hint="cs"/>
          <w:w w:val="100"/>
          <w:kern w:val="0"/>
          <w:rtl/>
          <w:lang w:val="fr-CH"/>
        </w:rPr>
        <w:t>.</w:t>
      </w:r>
      <w:r w:rsidRPr="00307AAE">
        <w:rPr>
          <w:rFonts w:hint="cs"/>
          <w:w w:val="100"/>
          <w:kern w:val="0"/>
          <w:rtl/>
          <w:lang w:val="fr-CH"/>
        </w:rPr>
        <w:t>8 2 نسمة في الكيلومتر المربع. ويفوق معدل الكثافة السكانية في كلتا المنطقتين، اللتين تشكلان منطقة العاصمة، معدلاتها في باقي أنحاء البلد بكثير</w:t>
      </w:r>
      <w:r w:rsidRPr="00307AAE">
        <w:rPr>
          <w:rFonts w:hint="cs"/>
          <w:w w:val="100"/>
          <w:kern w:val="0"/>
          <w:rtl/>
        </w:rPr>
        <w:t>.</w:t>
      </w:r>
    </w:p>
    <w:p w:rsidR="00750F90" w:rsidRPr="00307AAE" w:rsidRDefault="00750F90" w:rsidP="00CD4175">
      <w:pPr>
        <w:pStyle w:val="SingleTxt"/>
        <w:rPr>
          <w:w w:val="100"/>
          <w:kern w:val="0"/>
          <w:rtl/>
        </w:rPr>
      </w:pPr>
      <w:r w:rsidRPr="00307AAE">
        <w:rPr>
          <w:rFonts w:hint="cs"/>
          <w:w w:val="100"/>
          <w:kern w:val="0"/>
          <w:rtl/>
        </w:rPr>
        <w:t>10-</w:t>
      </w:r>
      <w:r w:rsidRPr="00307AAE">
        <w:rPr>
          <w:rFonts w:hint="cs"/>
          <w:w w:val="100"/>
          <w:kern w:val="0"/>
          <w:rtl/>
        </w:rPr>
        <w:tab/>
        <w:t>أما بخصوص البنية السكانية لبلدنا، فيلاحظ تزايد نسبة المسنين (65 سنة وما فوق) بمرور السنين. وفي تركيبة السكان المسنين، تفوق نسبة الإناث إلى حد كبير نسبة الذكور، ويزداد هذا الفارق أكثر لدى فئات الأعمار المتقدمة جد</w:t>
      </w:r>
      <w:r w:rsidR="00A71B00">
        <w:rPr>
          <w:rFonts w:hint="cs"/>
          <w:w w:val="100"/>
          <w:kern w:val="0"/>
          <w:rtl/>
        </w:rPr>
        <w:t xml:space="preserve">اً </w:t>
      </w:r>
      <w:r w:rsidRPr="00307AAE">
        <w:rPr>
          <w:rFonts w:hint="cs"/>
          <w:w w:val="100"/>
          <w:kern w:val="0"/>
          <w:rtl/>
        </w:rPr>
        <w:t>(75 عام</w:t>
      </w:r>
      <w:r w:rsidR="00A71B00">
        <w:rPr>
          <w:rFonts w:hint="cs"/>
          <w:w w:val="100"/>
          <w:kern w:val="0"/>
          <w:rtl/>
        </w:rPr>
        <w:t xml:space="preserve">اً </w:t>
      </w:r>
      <w:r w:rsidRPr="00307AAE">
        <w:rPr>
          <w:rFonts w:hint="cs"/>
          <w:w w:val="100"/>
          <w:kern w:val="0"/>
          <w:rtl/>
        </w:rPr>
        <w:t>وما فوق).</w:t>
      </w:r>
    </w:p>
    <w:p w:rsidR="00750F90" w:rsidRPr="00307AAE" w:rsidRDefault="00750F90" w:rsidP="00122E26">
      <w:pPr>
        <w:pStyle w:val="SingleTxt"/>
        <w:spacing w:after="0"/>
        <w:rPr>
          <w:w w:val="100"/>
          <w:rtl/>
        </w:rPr>
      </w:pPr>
      <w:r w:rsidRPr="00307AAE">
        <w:rPr>
          <w:rFonts w:hint="cs"/>
          <w:w w:val="100"/>
          <w:rtl/>
        </w:rPr>
        <w:t>الجدول 2</w:t>
      </w:r>
    </w:p>
    <w:p w:rsidR="00750F90" w:rsidRDefault="00750F90" w:rsidP="00122E26">
      <w:pPr>
        <w:pStyle w:val="SingleTxt"/>
        <w:rPr>
          <w:b/>
          <w:bCs/>
          <w:w w:val="100"/>
          <w:rtl/>
        </w:rPr>
      </w:pPr>
      <w:r w:rsidRPr="00307AAE">
        <w:rPr>
          <w:rFonts w:hint="cs"/>
          <w:b/>
          <w:bCs/>
          <w:w w:val="100"/>
          <w:rtl/>
        </w:rPr>
        <w:t>التغير المطلق والتغير النسبي للسكان في فترة ما بين التعدادين ومعدل النمو في البلد ككل، للفترة 1869-2010</w:t>
      </w:r>
    </w:p>
    <w:p w:rsidR="00122E26" w:rsidRPr="00122E26" w:rsidRDefault="00122E26" w:rsidP="00122E26">
      <w:pPr>
        <w:pStyle w:val="SingleTxt"/>
        <w:spacing w:after="0" w:line="120" w:lineRule="exact"/>
        <w:rPr>
          <w:b/>
          <w:bCs/>
          <w:w w:val="100"/>
          <w:sz w:val="10"/>
          <w:rtl/>
        </w:rPr>
      </w:pPr>
    </w:p>
    <w:tbl>
      <w:tblPr>
        <w:bidiVisual/>
        <w:tblW w:w="0" w:type="auto"/>
        <w:tblInd w:w="1382" w:type="dxa"/>
        <w:tblBorders>
          <w:top w:val="single" w:sz="4" w:space="0" w:color="auto"/>
          <w:bottom w:val="single" w:sz="4" w:space="0" w:color="auto"/>
        </w:tblBorders>
        <w:tblLayout w:type="fixed"/>
        <w:tblLook w:val="04A0" w:firstRow="1" w:lastRow="0" w:firstColumn="1" w:lastColumn="0" w:noHBand="0" w:noVBand="1"/>
      </w:tblPr>
      <w:tblGrid>
        <w:gridCol w:w="1022"/>
        <w:gridCol w:w="1862"/>
        <w:gridCol w:w="1819"/>
        <w:gridCol w:w="1650"/>
        <w:gridCol w:w="1206"/>
      </w:tblGrid>
      <w:tr w:rsidR="00750F90" w:rsidRPr="00122E26" w:rsidTr="00122E26">
        <w:trPr>
          <w:tblHeader/>
        </w:trPr>
        <w:tc>
          <w:tcPr>
            <w:tcW w:w="1022" w:type="dxa"/>
            <w:tcBorders>
              <w:top w:val="single" w:sz="4" w:space="0" w:color="auto"/>
              <w:bottom w:val="single" w:sz="12" w:space="0" w:color="auto"/>
            </w:tcBorders>
          </w:tcPr>
          <w:p w:rsidR="00750F90" w:rsidRPr="00122E26" w:rsidRDefault="00750F90" w:rsidP="00122E26">
            <w:pPr>
              <w:pStyle w:val="SingleTxtGA"/>
              <w:spacing w:before="40" w:after="40" w:line="300" w:lineRule="exact"/>
              <w:ind w:left="-57" w:right="0"/>
              <w:jc w:val="left"/>
              <w:rPr>
                <w:rFonts w:ascii="Traditional Arabic" w:hAnsi="Traditional Arabic"/>
                <w:i/>
                <w:iCs/>
                <w:sz w:val="28"/>
                <w:szCs w:val="28"/>
                <w:rtl/>
              </w:rPr>
            </w:pPr>
          </w:p>
          <w:p w:rsidR="00750F90" w:rsidRPr="00122E26" w:rsidRDefault="00750F90" w:rsidP="00122E26">
            <w:pPr>
              <w:pStyle w:val="SingleTxtGA"/>
              <w:spacing w:before="40" w:after="40" w:line="300" w:lineRule="exact"/>
              <w:ind w:left="-57" w:right="0"/>
              <w:jc w:val="left"/>
              <w:rPr>
                <w:rFonts w:ascii="Traditional Arabic" w:hAnsi="Traditional Arabic"/>
                <w:i/>
                <w:iCs/>
                <w:sz w:val="28"/>
                <w:szCs w:val="28"/>
                <w:rtl/>
              </w:rPr>
            </w:pPr>
          </w:p>
          <w:p w:rsidR="00750F90" w:rsidRPr="00122E26" w:rsidRDefault="00750F90" w:rsidP="00122E26">
            <w:pPr>
              <w:pStyle w:val="SingleTxtGA"/>
              <w:spacing w:before="40" w:after="40" w:line="300" w:lineRule="exact"/>
              <w:ind w:left="-57" w:right="0"/>
              <w:jc w:val="left"/>
              <w:rPr>
                <w:rFonts w:ascii="Traditional Arabic" w:hAnsi="Traditional Arabic"/>
                <w:i/>
                <w:iCs/>
                <w:sz w:val="28"/>
                <w:szCs w:val="28"/>
                <w:rtl/>
              </w:rPr>
            </w:pPr>
            <w:r w:rsidRPr="00122E26">
              <w:rPr>
                <w:rFonts w:ascii="Traditional Arabic" w:hAnsi="Traditional Arabic"/>
                <w:i/>
                <w:iCs/>
                <w:sz w:val="28"/>
                <w:szCs w:val="28"/>
                <w:rtl/>
              </w:rPr>
              <w:t>الأعوام</w:t>
            </w:r>
          </w:p>
        </w:tc>
        <w:tc>
          <w:tcPr>
            <w:tcW w:w="1862" w:type="dxa"/>
            <w:tcBorders>
              <w:top w:val="single" w:sz="4" w:space="0" w:color="auto"/>
              <w:bottom w:val="single" w:sz="12" w:space="0" w:color="auto"/>
            </w:tcBorders>
          </w:tcPr>
          <w:p w:rsidR="00750F90" w:rsidRPr="00122E26" w:rsidRDefault="00750F90" w:rsidP="00122E26">
            <w:pPr>
              <w:pStyle w:val="SingleTxtGA"/>
              <w:spacing w:before="40" w:after="40" w:line="300" w:lineRule="exact"/>
              <w:ind w:left="0" w:right="0"/>
              <w:jc w:val="left"/>
              <w:rPr>
                <w:rFonts w:ascii="Traditional Arabic" w:hAnsi="Traditional Arabic"/>
                <w:i/>
                <w:iCs/>
                <w:sz w:val="28"/>
                <w:szCs w:val="28"/>
                <w:rtl/>
              </w:rPr>
            </w:pPr>
          </w:p>
          <w:p w:rsidR="00750F90" w:rsidRPr="00122E26" w:rsidRDefault="00750F90" w:rsidP="00122E26">
            <w:pPr>
              <w:pStyle w:val="SingleTxtGA"/>
              <w:spacing w:before="40" w:after="40" w:line="300" w:lineRule="exact"/>
              <w:ind w:left="0" w:right="0"/>
              <w:jc w:val="left"/>
              <w:rPr>
                <w:rFonts w:ascii="Traditional Arabic" w:hAnsi="Traditional Arabic"/>
                <w:i/>
                <w:iCs/>
                <w:sz w:val="28"/>
                <w:szCs w:val="28"/>
                <w:rtl/>
              </w:rPr>
            </w:pPr>
          </w:p>
          <w:p w:rsidR="00750F90" w:rsidRPr="00122E26" w:rsidRDefault="00750F90" w:rsidP="00122E26">
            <w:pPr>
              <w:pStyle w:val="SingleTxtGA"/>
              <w:spacing w:before="40" w:after="40" w:line="300" w:lineRule="exact"/>
              <w:ind w:left="0" w:right="0"/>
              <w:jc w:val="left"/>
              <w:rPr>
                <w:rFonts w:ascii="Traditional Arabic" w:hAnsi="Traditional Arabic"/>
                <w:i/>
                <w:iCs/>
                <w:sz w:val="28"/>
                <w:szCs w:val="28"/>
                <w:rtl/>
              </w:rPr>
            </w:pPr>
            <w:r w:rsidRPr="00122E26">
              <w:rPr>
                <w:rFonts w:ascii="Traditional Arabic" w:hAnsi="Traditional Arabic"/>
                <w:i/>
                <w:iCs/>
                <w:sz w:val="28"/>
                <w:szCs w:val="28"/>
                <w:rtl/>
              </w:rPr>
              <w:t>عدد السكان</w:t>
            </w:r>
          </w:p>
        </w:tc>
        <w:tc>
          <w:tcPr>
            <w:tcW w:w="1819" w:type="dxa"/>
            <w:tcBorders>
              <w:top w:val="single" w:sz="4" w:space="0" w:color="auto"/>
              <w:bottom w:val="single" w:sz="12" w:space="0" w:color="auto"/>
            </w:tcBorders>
          </w:tcPr>
          <w:p w:rsidR="00750F90" w:rsidRPr="00122E26" w:rsidRDefault="00750F90" w:rsidP="00122E26">
            <w:pPr>
              <w:pStyle w:val="SingleTxtGA"/>
              <w:spacing w:before="40" w:after="40" w:line="300" w:lineRule="exact"/>
              <w:ind w:left="0" w:right="0"/>
              <w:jc w:val="left"/>
              <w:rPr>
                <w:rFonts w:ascii="Traditional Arabic" w:hAnsi="Traditional Arabic"/>
                <w:i/>
                <w:iCs/>
                <w:sz w:val="28"/>
                <w:szCs w:val="28"/>
                <w:rtl/>
              </w:rPr>
            </w:pPr>
          </w:p>
          <w:p w:rsidR="00750F90" w:rsidRPr="00122E26" w:rsidRDefault="00750F90" w:rsidP="00122E26">
            <w:pPr>
              <w:pStyle w:val="SingleTxtGA"/>
              <w:spacing w:before="40" w:after="40" w:line="300" w:lineRule="exact"/>
              <w:ind w:left="0" w:right="0"/>
              <w:jc w:val="left"/>
              <w:rPr>
                <w:rFonts w:ascii="Traditional Arabic" w:hAnsi="Traditional Arabic"/>
                <w:i/>
                <w:iCs/>
                <w:sz w:val="28"/>
                <w:szCs w:val="28"/>
                <w:rtl/>
              </w:rPr>
            </w:pPr>
          </w:p>
          <w:p w:rsidR="00750F90" w:rsidRPr="00122E26" w:rsidRDefault="00750F90" w:rsidP="00122E26">
            <w:pPr>
              <w:pStyle w:val="SingleTxtGA"/>
              <w:spacing w:before="40" w:after="40" w:line="300" w:lineRule="exact"/>
              <w:ind w:left="0" w:right="0"/>
              <w:jc w:val="left"/>
              <w:rPr>
                <w:rFonts w:ascii="Traditional Arabic" w:hAnsi="Traditional Arabic"/>
                <w:i/>
                <w:iCs/>
                <w:sz w:val="28"/>
                <w:szCs w:val="28"/>
                <w:rtl/>
              </w:rPr>
            </w:pPr>
            <w:r w:rsidRPr="00122E26">
              <w:rPr>
                <w:rFonts w:ascii="Traditional Arabic" w:hAnsi="Traditional Arabic"/>
                <w:i/>
                <w:iCs/>
                <w:sz w:val="28"/>
                <w:szCs w:val="28"/>
                <w:rtl/>
              </w:rPr>
              <w:t>التغير المطلق</w:t>
            </w:r>
          </w:p>
        </w:tc>
        <w:tc>
          <w:tcPr>
            <w:tcW w:w="1650" w:type="dxa"/>
            <w:tcBorders>
              <w:top w:val="single" w:sz="4" w:space="0" w:color="auto"/>
              <w:bottom w:val="single" w:sz="12" w:space="0" w:color="auto"/>
            </w:tcBorders>
          </w:tcPr>
          <w:p w:rsidR="00750F90" w:rsidRPr="00122E26" w:rsidRDefault="00750F90" w:rsidP="00122E26">
            <w:pPr>
              <w:pStyle w:val="SingleTxtGA"/>
              <w:spacing w:before="40" w:after="40" w:line="300" w:lineRule="exact"/>
              <w:ind w:left="0" w:right="0"/>
              <w:jc w:val="left"/>
              <w:rPr>
                <w:rFonts w:ascii="Traditional Arabic" w:hAnsi="Traditional Arabic"/>
                <w:i/>
                <w:iCs/>
                <w:sz w:val="28"/>
                <w:szCs w:val="28"/>
                <w:rtl/>
              </w:rPr>
            </w:pPr>
            <w:r w:rsidRPr="00122E26">
              <w:rPr>
                <w:rFonts w:ascii="Traditional Arabic" w:hAnsi="Traditional Arabic"/>
                <w:i/>
                <w:iCs/>
                <w:sz w:val="28"/>
                <w:szCs w:val="28"/>
                <w:rtl/>
              </w:rPr>
              <w:t>التغير النسبي في فترة ما بين التعدادين</w:t>
            </w:r>
          </w:p>
          <w:p w:rsidR="00750F90" w:rsidRPr="00122E26" w:rsidRDefault="00750F90" w:rsidP="00122E26">
            <w:pPr>
              <w:pStyle w:val="SingleTxtGA"/>
              <w:spacing w:before="40" w:after="40" w:line="300" w:lineRule="exact"/>
              <w:ind w:left="0" w:right="0"/>
              <w:jc w:val="left"/>
              <w:rPr>
                <w:rFonts w:ascii="Traditional Arabic" w:hAnsi="Traditional Arabic"/>
                <w:i/>
                <w:iCs/>
                <w:sz w:val="28"/>
                <w:szCs w:val="28"/>
                <w:rtl/>
              </w:rPr>
            </w:pPr>
            <w:r w:rsidRPr="00122E26">
              <w:rPr>
                <w:rFonts w:ascii="Traditional Arabic" w:hAnsi="Traditional Arabic" w:hint="cs"/>
                <w:i/>
                <w:iCs/>
                <w:sz w:val="28"/>
                <w:szCs w:val="28"/>
                <w:rtl/>
              </w:rPr>
              <w:t>ب</w:t>
            </w:r>
            <w:r w:rsidRPr="00122E26">
              <w:rPr>
                <w:rFonts w:ascii="Traditional Arabic" w:hAnsi="Traditional Arabic"/>
                <w:i/>
                <w:iCs/>
                <w:sz w:val="28"/>
                <w:szCs w:val="28"/>
                <w:rtl/>
              </w:rPr>
              <w:t>النسبة المئوية</w:t>
            </w:r>
          </w:p>
        </w:tc>
        <w:tc>
          <w:tcPr>
            <w:tcW w:w="1206" w:type="dxa"/>
            <w:tcBorders>
              <w:top w:val="single" w:sz="4" w:space="0" w:color="auto"/>
              <w:bottom w:val="single" w:sz="12" w:space="0" w:color="auto"/>
            </w:tcBorders>
          </w:tcPr>
          <w:p w:rsidR="00750F90" w:rsidRPr="00122E26" w:rsidRDefault="00750F90" w:rsidP="00122E26">
            <w:pPr>
              <w:pStyle w:val="SingleTxtGA"/>
              <w:spacing w:before="40" w:after="40" w:line="300" w:lineRule="exact"/>
              <w:ind w:left="0" w:right="0"/>
              <w:jc w:val="left"/>
              <w:rPr>
                <w:rFonts w:ascii="Traditional Arabic" w:hAnsi="Traditional Arabic"/>
                <w:i/>
                <w:iCs/>
                <w:sz w:val="28"/>
                <w:szCs w:val="28"/>
                <w:rtl/>
              </w:rPr>
            </w:pPr>
            <w:r w:rsidRPr="00122E26">
              <w:rPr>
                <w:rFonts w:ascii="Traditional Arabic" w:hAnsi="Traditional Arabic"/>
                <w:i/>
                <w:iCs/>
                <w:sz w:val="28"/>
                <w:szCs w:val="28"/>
                <w:rtl/>
              </w:rPr>
              <w:t>متوسط معدل النمو السنوي</w:t>
            </w:r>
          </w:p>
          <w:p w:rsidR="00750F90" w:rsidRPr="00122E26" w:rsidRDefault="00750F90" w:rsidP="00122E26">
            <w:pPr>
              <w:pStyle w:val="SingleTxtGA"/>
              <w:spacing w:before="40" w:after="40" w:line="300" w:lineRule="exact"/>
              <w:ind w:left="0" w:right="0"/>
              <w:jc w:val="left"/>
              <w:rPr>
                <w:rFonts w:ascii="Traditional Arabic" w:hAnsi="Traditional Arabic"/>
                <w:i/>
                <w:iCs/>
                <w:sz w:val="28"/>
                <w:szCs w:val="28"/>
                <w:rtl/>
              </w:rPr>
            </w:pPr>
            <w:r w:rsidRPr="00122E26">
              <w:rPr>
                <w:rFonts w:ascii="Traditional Arabic" w:hAnsi="Traditional Arabic" w:hint="cs"/>
                <w:i/>
                <w:iCs/>
                <w:sz w:val="28"/>
                <w:szCs w:val="28"/>
                <w:rtl/>
              </w:rPr>
              <w:t>ب</w:t>
            </w:r>
            <w:r w:rsidRPr="00122E26">
              <w:rPr>
                <w:rFonts w:ascii="Traditional Arabic" w:hAnsi="Traditional Arabic"/>
                <w:i/>
                <w:iCs/>
                <w:sz w:val="28"/>
                <w:szCs w:val="28"/>
                <w:rtl/>
              </w:rPr>
              <w:t>النسبة المئوية</w:t>
            </w:r>
          </w:p>
        </w:tc>
      </w:tr>
      <w:tr w:rsidR="00750F90" w:rsidRPr="00122E26" w:rsidTr="00122E26">
        <w:tc>
          <w:tcPr>
            <w:tcW w:w="1022" w:type="dxa"/>
            <w:tcBorders>
              <w:top w:val="single" w:sz="12" w:space="0" w:color="auto"/>
            </w:tcBorders>
          </w:tcPr>
          <w:p w:rsidR="00750F90" w:rsidRPr="00122E26" w:rsidRDefault="00750F90" w:rsidP="00122E26">
            <w:pPr>
              <w:pStyle w:val="SingleTxtGA"/>
              <w:spacing w:before="40" w:after="40" w:line="300" w:lineRule="exact"/>
              <w:ind w:left="-57" w:right="0"/>
              <w:rPr>
                <w:rFonts w:ascii="Traditional Arabic" w:hAnsi="Traditional Arabic"/>
                <w:sz w:val="30"/>
                <w:szCs w:val="28"/>
                <w:rtl/>
              </w:rPr>
            </w:pPr>
            <w:r w:rsidRPr="00122E26">
              <w:rPr>
                <w:rFonts w:ascii="Traditional Arabic" w:hAnsi="Traditional Arabic"/>
                <w:sz w:val="30"/>
                <w:szCs w:val="28"/>
                <w:rtl/>
              </w:rPr>
              <w:t>18</w:t>
            </w:r>
            <w:r w:rsidRPr="00122E26">
              <w:rPr>
                <w:rFonts w:ascii="Traditional Arabic" w:hAnsi="Traditional Arabic" w:hint="cs"/>
                <w:sz w:val="30"/>
                <w:szCs w:val="28"/>
                <w:rtl/>
              </w:rPr>
              <w:t>69</w:t>
            </w:r>
          </w:p>
        </w:tc>
        <w:tc>
          <w:tcPr>
            <w:tcW w:w="1862" w:type="dxa"/>
            <w:tcBorders>
              <w:top w:val="single" w:sz="12" w:space="0" w:color="auto"/>
            </w:tcBorders>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hint="cs"/>
                <w:sz w:val="30"/>
                <w:szCs w:val="28"/>
                <w:rtl/>
              </w:rPr>
              <w:t>214 830 1</w:t>
            </w:r>
          </w:p>
        </w:tc>
        <w:tc>
          <w:tcPr>
            <w:tcW w:w="1819" w:type="dxa"/>
            <w:tcBorders>
              <w:top w:val="single" w:sz="12" w:space="0" w:color="auto"/>
            </w:tcBorders>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p>
        </w:tc>
        <w:tc>
          <w:tcPr>
            <w:tcW w:w="1650" w:type="dxa"/>
            <w:tcBorders>
              <w:top w:val="single" w:sz="12" w:space="0" w:color="auto"/>
            </w:tcBorders>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p>
        </w:tc>
        <w:tc>
          <w:tcPr>
            <w:tcW w:w="1206" w:type="dxa"/>
            <w:tcBorders>
              <w:top w:val="single" w:sz="12" w:space="0" w:color="auto"/>
            </w:tcBorders>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p>
        </w:tc>
      </w:tr>
      <w:tr w:rsidR="00750F90" w:rsidRPr="00122E26" w:rsidTr="00122E26">
        <w:tc>
          <w:tcPr>
            <w:tcW w:w="1022" w:type="dxa"/>
          </w:tcPr>
          <w:p w:rsidR="00750F90" w:rsidRPr="00122E26" w:rsidRDefault="00750F90" w:rsidP="00122E26">
            <w:pPr>
              <w:pStyle w:val="SingleTxtGA"/>
              <w:spacing w:before="40" w:after="40" w:line="300" w:lineRule="exact"/>
              <w:ind w:left="-57" w:right="0"/>
              <w:rPr>
                <w:rFonts w:ascii="Traditional Arabic" w:hAnsi="Traditional Arabic"/>
                <w:sz w:val="30"/>
                <w:szCs w:val="28"/>
                <w:rtl/>
              </w:rPr>
            </w:pPr>
            <w:r w:rsidRPr="00122E26">
              <w:rPr>
                <w:rFonts w:ascii="Traditional Arabic" w:hAnsi="Traditional Arabic"/>
                <w:sz w:val="30"/>
                <w:szCs w:val="28"/>
                <w:rtl/>
              </w:rPr>
              <w:t>1895</w:t>
            </w:r>
          </w:p>
        </w:tc>
        <w:tc>
          <w:tcPr>
            <w:tcW w:w="1862"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911 044 4</w:t>
            </w:r>
          </w:p>
        </w:tc>
        <w:tc>
          <w:tcPr>
            <w:tcW w:w="1819"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697 214 2</w:t>
            </w:r>
          </w:p>
        </w:tc>
        <w:tc>
          <w:tcPr>
            <w:tcW w:w="1650"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121</w:t>
            </w:r>
          </w:p>
        </w:tc>
        <w:tc>
          <w:tcPr>
            <w:tcW w:w="1206"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31</w:t>
            </w:r>
          </w:p>
        </w:tc>
      </w:tr>
      <w:tr w:rsidR="00750F90" w:rsidRPr="00122E26" w:rsidTr="00122E26">
        <w:tc>
          <w:tcPr>
            <w:tcW w:w="1022" w:type="dxa"/>
          </w:tcPr>
          <w:p w:rsidR="00750F90" w:rsidRPr="00122E26" w:rsidRDefault="00750F90" w:rsidP="00122E26">
            <w:pPr>
              <w:pStyle w:val="SingleTxtGA"/>
              <w:spacing w:before="40" w:after="40" w:line="300" w:lineRule="exact"/>
              <w:ind w:left="-57" w:right="0"/>
              <w:rPr>
                <w:rFonts w:ascii="Traditional Arabic" w:hAnsi="Traditional Arabic"/>
                <w:sz w:val="30"/>
                <w:szCs w:val="28"/>
                <w:rtl/>
              </w:rPr>
            </w:pPr>
            <w:r w:rsidRPr="00122E26">
              <w:rPr>
                <w:rFonts w:ascii="Traditional Arabic" w:hAnsi="Traditional Arabic"/>
                <w:sz w:val="30"/>
                <w:szCs w:val="28"/>
                <w:rtl/>
              </w:rPr>
              <w:t>1914</w:t>
            </w:r>
          </w:p>
        </w:tc>
        <w:tc>
          <w:tcPr>
            <w:tcW w:w="1862"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662 903 7</w:t>
            </w:r>
          </w:p>
        </w:tc>
        <w:tc>
          <w:tcPr>
            <w:tcW w:w="1819"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751 858 3</w:t>
            </w:r>
          </w:p>
        </w:tc>
        <w:tc>
          <w:tcPr>
            <w:tcW w:w="1650"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95</w:t>
            </w:r>
            <w:r w:rsidR="00307AAE" w:rsidRPr="00122E26">
              <w:rPr>
                <w:rFonts w:ascii="Traditional Arabic" w:hAnsi="Traditional Arabic"/>
                <w:sz w:val="30"/>
                <w:szCs w:val="28"/>
                <w:rtl/>
              </w:rPr>
              <w:t>.</w:t>
            </w:r>
            <w:r w:rsidRPr="00122E26">
              <w:rPr>
                <w:rFonts w:ascii="Traditional Arabic" w:hAnsi="Traditional Arabic"/>
                <w:sz w:val="30"/>
                <w:szCs w:val="28"/>
                <w:rtl/>
              </w:rPr>
              <w:t>4</w:t>
            </w:r>
          </w:p>
        </w:tc>
        <w:tc>
          <w:tcPr>
            <w:tcW w:w="1206"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35</w:t>
            </w:r>
            <w:r w:rsidR="00307AAE" w:rsidRPr="00122E26">
              <w:rPr>
                <w:rFonts w:ascii="Traditional Arabic" w:hAnsi="Traditional Arabic"/>
                <w:sz w:val="30"/>
                <w:szCs w:val="28"/>
                <w:rtl/>
              </w:rPr>
              <w:t>.</w:t>
            </w:r>
            <w:r w:rsidRPr="00122E26">
              <w:rPr>
                <w:rFonts w:ascii="Traditional Arabic" w:hAnsi="Traditional Arabic"/>
                <w:sz w:val="30"/>
                <w:szCs w:val="28"/>
                <w:rtl/>
              </w:rPr>
              <w:t>7</w:t>
            </w:r>
          </w:p>
        </w:tc>
      </w:tr>
      <w:tr w:rsidR="00750F90" w:rsidRPr="00122E26" w:rsidTr="00122E26">
        <w:tc>
          <w:tcPr>
            <w:tcW w:w="1022" w:type="dxa"/>
          </w:tcPr>
          <w:p w:rsidR="00750F90" w:rsidRPr="00122E26" w:rsidRDefault="00750F90" w:rsidP="00122E26">
            <w:pPr>
              <w:pStyle w:val="SingleTxtGA"/>
              <w:spacing w:before="40" w:after="40" w:line="300" w:lineRule="exact"/>
              <w:ind w:left="-57" w:right="0"/>
              <w:rPr>
                <w:rFonts w:ascii="Traditional Arabic" w:hAnsi="Traditional Arabic"/>
                <w:sz w:val="30"/>
                <w:szCs w:val="28"/>
                <w:rtl/>
              </w:rPr>
            </w:pPr>
            <w:r w:rsidRPr="00122E26">
              <w:rPr>
                <w:rFonts w:ascii="Traditional Arabic" w:hAnsi="Traditional Arabic"/>
                <w:sz w:val="30"/>
                <w:szCs w:val="28"/>
                <w:rtl/>
              </w:rPr>
              <w:t>1947</w:t>
            </w:r>
          </w:p>
        </w:tc>
        <w:tc>
          <w:tcPr>
            <w:tcW w:w="1862"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 xml:space="preserve">811 893 </w:t>
            </w:r>
            <w:r w:rsidRPr="00122E26">
              <w:rPr>
                <w:rFonts w:ascii="Traditional Arabic" w:hAnsi="Traditional Arabic" w:hint="cs"/>
                <w:sz w:val="30"/>
                <w:szCs w:val="28"/>
                <w:rtl/>
              </w:rPr>
              <w:t>15</w:t>
            </w:r>
          </w:p>
        </w:tc>
        <w:tc>
          <w:tcPr>
            <w:tcW w:w="1819"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165 990 7</w:t>
            </w:r>
          </w:p>
        </w:tc>
        <w:tc>
          <w:tcPr>
            <w:tcW w:w="1650"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101</w:t>
            </w:r>
            <w:r w:rsidR="00307AAE" w:rsidRPr="00122E26">
              <w:rPr>
                <w:rFonts w:ascii="Traditional Arabic" w:hAnsi="Traditional Arabic"/>
                <w:sz w:val="30"/>
                <w:szCs w:val="28"/>
                <w:rtl/>
              </w:rPr>
              <w:t>.</w:t>
            </w:r>
            <w:r w:rsidRPr="00122E26">
              <w:rPr>
                <w:rFonts w:ascii="Traditional Arabic" w:hAnsi="Traditional Arabic"/>
                <w:sz w:val="30"/>
                <w:szCs w:val="28"/>
                <w:rtl/>
              </w:rPr>
              <w:t>1</w:t>
            </w:r>
          </w:p>
        </w:tc>
        <w:tc>
          <w:tcPr>
            <w:tcW w:w="1206"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21</w:t>
            </w:r>
            <w:r w:rsidR="00307AAE" w:rsidRPr="00122E26">
              <w:rPr>
                <w:rFonts w:ascii="Traditional Arabic" w:hAnsi="Traditional Arabic"/>
                <w:sz w:val="30"/>
                <w:szCs w:val="28"/>
                <w:rtl/>
              </w:rPr>
              <w:t>.</w:t>
            </w:r>
            <w:r w:rsidRPr="00122E26">
              <w:rPr>
                <w:rFonts w:ascii="Traditional Arabic" w:hAnsi="Traditional Arabic"/>
                <w:sz w:val="30"/>
                <w:szCs w:val="28"/>
                <w:rtl/>
              </w:rPr>
              <w:t>4</w:t>
            </w:r>
          </w:p>
        </w:tc>
      </w:tr>
      <w:tr w:rsidR="00750F90" w:rsidRPr="00122E26" w:rsidTr="00122E26">
        <w:tc>
          <w:tcPr>
            <w:tcW w:w="1022" w:type="dxa"/>
          </w:tcPr>
          <w:p w:rsidR="00750F90" w:rsidRPr="00122E26" w:rsidRDefault="00750F90" w:rsidP="00122E26">
            <w:pPr>
              <w:pStyle w:val="SingleTxtGA"/>
              <w:spacing w:before="40" w:after="40" w:line="300" w:lineRule="exact"/>
              <w:ind w:left="-57" w:right="0"/>
              <w:rPr>
                <w:rFonts w:ascii="Traditional Arabic" w:hAnsi="Traditional Arabic"/>
                <w:sz w:val="30"/>
                <w:szCs w:val="28"/>
                <w:rtl/>
              </w:rPr>
            </w:pPr>
            <w:r w:rsidRPr="00122E26">
              <w:rPr>
                <w:rFonts w:ascii="Traditional Arabic" w:hAnsi="Traditional Arabic"/>
                <w:sz w:val="30"/>
                <w:szCs w:val="28"/>
                <w:rtl/>
              </w:rPr>
              <w:t>1960</w:t>
            </w:r>
          </w:p>
        </w:tc>
        <w:tc>
          <w:tcPr>
            <w:tcW w:w="1862"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793 013 20</w:t>
            </w:r>
          </w:p>
        </w:tc>
        <w:tc>
          <w:tcPr>
            <w:tcW w:w="1819"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966 119 4</w:t>
            </w:r>
          </w:p>
        </w:tc>
        <w:tc>
          <w:tcPr>
            <w:tcW w:w="1650"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25</w:t>
            </w:r>
            <w:r w:rsidR="00307AAE" w:rsidRPr="00122E26">
              <w:rPr>
                <w:rFonts w:ascii="Traditional Arabic" w:hAnsi="Traditional Arabic"/>
                <w:sz w:val="30"/>
                <w:szCs w:val="28"/>
                <w:rtl/>
              </w:rPr>
              <w:t>.</w:t>
            </w:r>
            <w:r w:rsidRPr="00122E26">
              <w:rPr>
                <w:rFonts w:ascii="Traditional Arabic" w:hAnsi="Traditional Arabic"/>
                <w:sz w:val="30"/>
                <w:szCs w:val="28"/>
                <w:rtl/>
              </w:rPr>
              <w:t>9</w:t>
            </w:r>
          </w:p>
        </w:tc>
        <w:tc>
          <w:tcPr>
            <w:tcW w:w="1206"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17</w:t>
            </w:r>
            <w:r w:rsidR="00307AAE" w:rsidRPr="00122E26">
              <w:rPr>
                <w:rFonts w:ascii="Traditional Arabic" w:hAnsi="Traditional Arabic"/>
                <w:sz w:val="30"/>
                <w:szCs w:val="28"/>
                <w:rtl/>
              </w:rPr>
              <w:t>.</w:t>
            </w:r>
            <w:r w:rsidRPr="00122E26">
              <w:rPr>
                <w:rFonts w:ascii="Traditional Arabic" w:hAnsi="Traditional Arabic"/>
                <w:sz w:val="30"/>
                <w:szCs w:val="28"/>
                <w:rtl/>
              </w:rPr>
              <w:t>4</w:t>
            </w:r>
          </w:p>
        </w:tc>
      </w:tr>
      <w:tr w:rsidR="00750F90" w:rsidRPr="00122E26" w:rsidTr="00122E26">
        <w:tc>
          <w:tcPr>
            <w:tcW w:w="1022" w:type="dxa"/>
          </w:tcPr>
          <w:p w:rsidR="00750F90" w:rsidRPr="00122E26" w:rsidRDefault="00750F90" w:rsidP="00122E26">
            <w:pPr>
              <w:pStyle w:val="SingleTxtGA"/>
              <w:spacing w:before="40" w:after="40" w:line="300" w:lineRule="exact"/>
              <w:ind w:left="-57" w:right="0"/>
              <w:rPr>
                <w:rFonts w:ascii="Traditional Arabic" w:hAnsi="Traditional Arabic"/>
                <w:sz w:val="30"/>
                <w:szCs w:val="28"/>
                <w:rtl/>
              </w:rPr>
            </w:pPr>
            <w:r w:rsidRPr="00122E26">
              <w:rPr>
                <w:rFonts w:ascii="Traditional Arabic" w:hAnsi="Traditional Arabic"/>
                <w:sz w:val="30"/>
                <w:szCs w:val="28"/>
                <w:rtl/>
              </w:rPr>
              <w:t>1970</w:t>
            </w:r>
          </w:p>
        </w:tc>
        <w:tc>
          <w:tcPr>
            <w:tcW w:w="1862"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431 364 23</w:t>
            </w:r>
          </w:p>
        </w:tc>
        <w:tc>
          <w:tcPr>
            <w:tcW w:w="1819"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638 350 3</w:t>
            </w:r>
          </w:p>
        </w:tc>
        <w:tc>
          <w:tcPr>
            <w:tcW w:w="1650"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16</w:t>
            </w:r>
            <w:r w:rsidR="00307AAE" w:rsidRPr="00122E26">
              <w:rPr>
                <w:rFonts w:ascii="Traditional Arabic" w:hAnsi="Traditional Arabic"/>
                <w:sz w:val="30"/>
                <w:szCs w:val="28"/>
                <w:rtl/>
              </w:rPr>
              <w:t>.</w:t>
            </w:r>
            <w:r w:rsidRPr="00122E26">
              <w:rPr>
                <w:rFonts w:ascii="Traditional Arabic" w:hAnsi="Traditional Arabic"/>
                <w:sz w:val="30"/>
                <w:szCs w:val="28"/>
                <w:rtl/>
              </w:rPr>
              <w:t>7</w:t>
            </w:r>
          </w:p>
        </w:tc>
        <w:tc>
          <w:tcPr>
            <w:tcW w:w="1206"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15</w:t>
            </w:r>
            <w:r w:rsidR="00307AAE" w:rsidRPr="00122E26">
              <w:rPr>
                <w:rFonts w:ascii="Traditional Arabic" w:hAnsi="Traditional Arabic"/>
                <w:sz w:val="30"/>
                <w:szCs w:val="28"/>
                <w:rtl/>
              </w:rPr>
              <w:t>.</w:t>
            </w:r>
            <w:r w:rsidRPr="00122E26">
              <w:rPr>
                <w:rFonts w:ascii="Traditional Arabic" w:hAnsi="Traditional Arabic"/>
                <w:sz w:val="30"/>
                <w:szCs w:val="28"/>
                <w:rtl/>
              </w:rPr>
              <w:t>6</w:t>
            </w:r>
          </w:p>
        </w:tc>
      </w:tr>
      <w:tr w:rsidR="00750F90" w:rsidRPr="00122E26" w:rsidTr="00122E26">
        <w:tc>
          <w:tcPr>
            <w:tcW w:w="1022" w:type="dxa"/>
          </w:tcPr>
          <w:p w:rsidR="00750F90" w:rsidRPr="00122E26" w:rsidRDefault="00750F90" w:rsidP="00122E26">
            <w:pPr>
              <w:pStyle w:val="SingleTxtGA"/>
              <w:spacing w:before="40" w:after="40" w:line="300" w:lineRule="exact"/>
              <w:ind w:left="-57" w:right="0"/>
              <w:rPr>
                <w:rFonts w:ascii="Traditional Arabic" w:hAnsi="Traditional Arabic"/>
                <w:sz w:val="30"/>
                <w:szCs w:val="28"/>
                <w:rtl/>
              </w:rPr>
            </w:pPr>
            <w:r w:rsidRPr="00122E26">
              <w:rPr>
                <w:rFonts w:ascii="Traditional Arabic" w:hAnsi="Traditional Arabic"/>
                <w:sz w:val="30"/>
                <w:szCs w:val="28"/>
                <w:rtl/>
              </w:rPr>
              <w:t>1980</w:t>
            </w:r>
          </w:p>
        </w:tc>
        <w:tc>
          <w:tcPr>
            <w:tcW w:w="1862"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480 949 27</w:t>
            </w:r>
          </w:p>
        </w:tc>
        <w:tc>
          <w:tcPr>
            <w:tcW w:w="1819"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049 585 4</w:t>
            </w:r>
          </w:p>
        </w:tc>
        <w:tc>
          <w:tcPr>
            <w:tcW w:w="1650"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19</w:t>
            </w:r>
            <w:r w:rsidR="00307AAE" w:rsidRPr="00122E26">
              <w:rPr>
                <w:rFonts w:ascii="Traditional Arabic" w:hAnsi="Traditional Arabic"/>
                <w:sz w:val="30"/>
                <w:szCs w:val="28"/>
                <w:rtl/>
              </w:rPr>
              <w:t>.</w:t>
            </w:r>
            <w:r w:rsidRPr="00122E26">
              <w:rPr>
                <w:rFonts w:ascii="Traditional Arabic" w:hAnsi="Traditional Arabic"/>
                <w:sz w:val="30"/>
                <w:szCs w:val="28"/>
                <w:rtl/>
              </w:rPr>
              <w:t>6</w:t>
            </w:r>
          </w:p>
        </w:tc>
        <w:tc>
          <w:tcPr>
            <w:tcW w:w="1206"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18</w:t>
            </w:r>
            <w:r w:rsidR="00307AAE" w:rsidRPr="00122E26">
              <w:rPr>
                <w:rFonts w:ascii="Traditional Arabic" w:hAnsi="Traditional Arabic"/>
                <w:sz w:val="30"/>
                <w:szCs w:val="28"/>
                <w:rtl/>
              </w:rPr>
              <w:t>.</w:t>
            </w:r>
            <w:r w:rsidRPr="00122E26">
              <w:rPr>
                <w:rFonts w:ascii="Traditional Arabic" w:hAnsi="Traditional Arabic"/>
                <w:sz w:val="30"/>
                <w:szCs w:val="28"/>
                <w:rtl/>
              </w:rPr>
              <w:t>1</w:t>
            </w:r>
          </w:p>
        </w:tc>
      </w:tr>
      <w:tr w:rsidR="00750F90" w:rsidRPr="00122E26" w:rsidTr="00122E26">
        <w:tc>
          <w:tcPr>
            <w:tcW w:w="1022" w:type="dxa"/>
          </w:tcPr>
          <w:p w:rsidR="00750F90" w:rsidRPr="00122E26" w:rsidRDefault="00750F90" w:rsidP="00122E26">
            <w:pPr>
              <w:pStyle w:val="SingleTxtGA"/>
              <w:spacing w:before="40" w:after="40" w:line="300" w:lineRule="exact"/>
              <w:ind w:left="-57" w:right="0"/>
              <w:rPr>
                <w:rFonts w:ascii="Traditional Arabic" w:hAnsi="Traditional Arabic"/>
                <w:sz w:val="30"/>
                <w:szCs w:val="28"/>
                <w:rtl/>
              </w:rPr>
            </w:pPr>
            <w:r w:rsidRPr="00122E26">
              <w:rPr>
                <w:rFonts w:ascii="Traditional Arabic" w:hAnsi="Traditional Arabic"/>
                <w:sz w:val="30"/>
                <w:szCs w:val="28"/>
                <w:rtl/>
              </w:rPr>
              <w:t>1991</w:t>
            </w:r>
          </w:p>
        </w:tc>
        <w:tc>
          <w:tcPr>
            <w:tcW w:w="1862"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528 615 32</w:t>
            </w:r>
          </w:p>
        </w:tc>
        <w:tc>
          <w:tcPr>
            <w:tcW w:w="1819"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048 666 4</w:t>
            </w:r>
          </w:p>
        </w:tc>
        <w:tc>
          <w:tcPr>
            <w:tcW w:w="1650"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16</w:t>
            </w:r>
            <w:r w:rsidR="00307AAE" w:rsidRPr="00122E26">
              <w:rPr>
                <w:rFonts w:ascii="Traditional Arabic" w:hAnsi="Traditional Arabic"/>
                <w:sz w:val="30"/>
                <w:szCs w:val="28"/>
                <w:rtl/>
              </w:rPr>
              <w:t>.</w:t>
            </w:r>
            <w:r w:rsidRPr="00122E26">
              <w:rPr>
                <w:rFonts w:ascii="Traditional Arabic" w:hAnsi="Traditional Arabic"/>
                <w:sz w:val="30"/>
                <w:szCs w:val="28"/>
                <w:rtl/>
              </w:rPr>
              <w:t>7</w:t>
            </w:r>
          </w:p>
        </w:tc>
        <w:tc>
          <w:tcPr>
            <w:tcW w:w="1206" w:type="dxa"/>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14</w:t>
            </w:r>
            <w:r w:rsidR="00307AAE" w:rsidRPr="00122E26">
              <w:rPr>
                <w:rFonts w:ascii="Traditional Arabic" w:hAnsi="Traditional Arabic"/>
                <w:sz w:val="30"/>
                <w:szCs w:val="28"/>
                <w:rtl/>
              </w:rPr>
              <w:t>.</w:t>
            </w:r>
            <w:r w:rsidRPr="00122E26">
              <w:rPr>
                <w:rFonts w:ascii="Traditional Arabic" w:hAnsi="Traditional Arabic"/>
                <w:sz w:val="30"/>
                <w:szCs w:val="28"/>
                <w:rtl/>
              </w:rPr>
              <w:t>7</w:t>
            </w:r>
          </w:p>
        </w:tc>
      </w:tr>
      <w:tr w:rsidR="00750F90" w:rsidRPr="00122E26" w:rsidTr="00122E26">
        <w:tc>
          <w:tcPr>
            <w:tcW w:w="1022" w:type="dxa"/>
            <w:tcBorders>
              <w:bottom w:val="nil"/>
            </w:tcBorders>
          </w:tcPr>
          <w:p w:rsidR="00750F90" w:rsidRPr="00122E26" w:rsidRDefault="00750F90" w:rsidP="00122E26">
            <w:pPr>
              <w:pStyle w:val="SingleTxtGA"/>
              <w:spacing w:before="40" w:after="40" w:line="300" w:lineRule="exact"/>
              <w:ind w:left="-57" w:right="0"/>
              <w:rPr>
                <w:rFonts w:ascii="Traditional Arabic" w:hAnsi="Traditional Arabic"/>
                <w:sz w:val="30"/>
                <w:szCs w:val="28"/>
                <w:rtl/>
              </w:rPr>
            </w:pPr>
            <w:r w:rsidRPr="00122E26">
              <w:rPr>
                <w:rFonts w:ascii="Traditional Arabic" w:hAnsi="Traditional Arabic"/>
                <w:sz w:val="30"/>
                <w:szCs w:val="28"/>
                <w:rtl/>
              </w:rPr>
              <w:t>2001</w:t>
            </w:r>
          </w:p>
        </w:tc>
        <w:tc>
          <w:tcPr>
            <w:tcW w:w="1862" w:type="dxa"/>
            <w:tcBorders>
              <w:bottom w:val="nil"/>
            </w:tcBorders>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130 260 36</w:t>
            </w:r>
          </w:p>
        </w:tc>
        <w:tc>
          <w:tcPr>
            <w:tcW w:w="1819" w:type="dxa"/>
            <w:tcBorders>
              <w:bottom w:val="nil"/>
            </w:tcBorders>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602 644 3</w:t>
            </w:r>
          </w:p>
        </w:tc>
        <w:tc>
          <w:tcPr>
            <w:tcW w:w="1650" w:type="dxa"/>
            <w:tcBorders>
              <w:bottom w:val="nil"/>
            </w:tcBorders>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11</w:t>
            </w:r>
            <w:r w:rsidR="00307AAE" w:rsidRPr="00122E26">
              <w:rPr>
                <w:rFonts w:ascii="Traditional Arabic" w:hAnsi="Traditional Arabic"/>
                <w:sz w:val="30"/>
                <w:szCs w:val="28"/>
                <w:rtl/>
              </w:rPr>
              <w:t>.</w:t>
            </w:r>
            <w:r w:rsidRPr="00122E26">
              <w:rPr>
                <w:rFonts w:ascii="Traditional Arabic" w:hAnsi="Traditional Arabic"/>
                <w:sz w:val="30"/>
                <w:szCs w:val="28"/>
                <w:rtl/>
              </w:rPr>
              <w:t>2</w:t>
            </w:r>
          </w:p>
        </w:tc>
        <w:tc>
          <w:tcPr>
            <w:tcW w:w="1206" w:type="dxa"/>
            <w:tcBorders>
              <w:bottom w:val="nil"/>
            </w:tcBorders>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10</w:t>
            </w:r>
            <w:r w:rsidR="00307AAE" w:rsidRPr="00122E26">
              <w:rPr>
                <w:rFonts w:ascii="Traditional Arabic" w:hAnsi="Traditional Arabic"/>
                <w:sz w:val="30"/>
                <w:szCs w:val="28"/>
                <w:rtl/>
              </w:rPr>
              <w:t>.</w:t>
            </w:r>
            <w:r w:rsidRPr="00122E26">
              <w:rPr>
                <w:rFonts w:ascii="Traditional Arabic" w:hAnsi="Traditional Arabic"/>
                <w:sz w:val="30"/>
                <w:szCs w:val="28"/>
                <w:rtl/>
              </w:rPr>
              <w:t>1</w:t>
            </w:r>
          </w:p>
        </w:tc>
      </w:tr>
      <w:tr w:rsidR="00750F90" w:rsidRPr="00122E26" w:rsidTr="00122E26">
        <w:tc>
          <w:tcPr>
            <w:tcW w:w="1022" w:type="dxa"/>
            <w:tcBorders>
              <w:top w:val="nil"/>
              <w:bottom w:val="single" w:sz="12" w:space="0" w:color="auto"/>
            </w:tcBorders>
          </w:tcPr>
          <w:p w:rsidR="00750F90" w:rsidRPr="00122E26" w:rsidRDefault="00750F90" w:rsidP="00122E26">
            <w:pPr>
              <w:pStyle w:val="SingleTxtGA"/>
              <w:spacing w:before="40" w:after="40" w:line="300" w:lineRule="exact"/>
              <w:ind w:left="-57" w:right="0"/>
              <w:rPr>
                <w:rFonts w:ascii="Traditional Arabic" w:hAnsi="Traditional Arabic"/>
                <w:sz w:val="30"/>
                <w:szCs w:val="28"/>
                <w:rtl/>
              </w:rPr>
            </w:pPr>
            <w:r w:rsidRPr="00122E26">
              <w:rPr>
                <w:rFonts w:ascii="Traditional Arabic" w:hAnsi="Traditional Arabic"/>
                <w:sz w:val="30"/>
                <w:szCs w:val="28"/>
                <w:rtl/>
              </w:rPr>
              <w:t>2010</w:t>
            </w:r>
          </w:p>
        </w:tc>
        <w:tc>
          <w:tcPr>
            <w:tcW w:w="1862" w:type="dxa"/>
            <w:tcBorders>
              <w:top w:val="nil"/>
              <w:bottom w:val="single" w:sz="12" w:space="0" w:color="auto"/>
            </w:tcBorders>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096 117 40</w:t>
            </w:r>
          </w:p>
        </w:tc>
        <w:tc>
          <w:tcPr>
            <w:tcW w:w="1819" w:type="dxa"/>
            <w:tcBorders>
              <w:top w:val="nil"/>
              <w:bottom w:val="single" w:sz="12" w:space="0" w:color="auto"/>
            </w:tcBorders>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966 856 3</w:t>
            </w:r>
          </w:p>
        </w:tc>
        <w:tc>
          <w:tcPr>
            <w:tcW w:w="1650" w:type="dxa"/>
            <w:tcBorders>
              <w:top w:val="nil"/>
              <w:bottom w:val="single" w:sz="12" w:space="0" w:color="auto"/>
            </w:tcBorders>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10</w:t>
            </w:r>
            <w:r w:rsidR="00307AAE" w:rsidRPr="00122E26">
              <w:rPr>
                <w:rFonts w:ascii="Traditional Arabic" w:hAnsi="Traditional Arabic"/>
                <w:sz w:val="30"/>
                <w:szCs w:val="28"/>
                <w:rtl/>
              </w:rPr>
              <w:t>.</w:t>
            </w:r>
            <w:r w:rsidRPr="00122E26">
              <w:rPr>
                <w:rFonts w:ascii="Traditional Arabic" w:hAnsi="Traditional Arabic"/>
                <w:sz w:val="30"/>
                <w:szCs w:val="28"/>
                <w:rtl/>
              </w:rPr>
              <w:t>6</w:t>
            </w:r>
          </w:p>
        </w:tc>
        <w:tc>
          <w:tcPr>
            <w:tcW w:w="1206" w:type="dxa"/>
            <w:tcBorders>
              <w:top w:val="nil"/>
              <w:bottom w:val="single" w:sz="12" w:space="0" w:color="auto"/>
            </w:tcBorders>
          </w:tcPr>
          <w:p w:rsidR="00750F90" w:rsidRPr="00122E26" w:rsidRDefault="00750F90" w:rsidP="00122E26">
            <w:pPr>
              <w:pStyle w:val="SingleTxtGA"/>
              <w:spacing w:before="40" w:after="40" w:line="300" w:lineRule="exact"/>
              <w:ind w:left="0" w:right="0"/>
              <w:rPr>
                <w:rFonts w:ascii="Traditional Arabic" w:hAnsi="Traditional Arabic"/>
                <w:sz w:val="30"/>
                <w:szCs w:val="28"/>
                <w:rtl/>
              </w:rPr>
            </w:pPr>
            <w:r w:rsidRPr="00122E26">
              <w:rPr>
                <w:rFonts w:ascii="Traditional Arabic" w:hAnsi="Traditional Arabic"/>
                <w:sz w:val="30"/>
                <w:szCs w:val="28"/>
                <w:rtl/>
              </w:rPr>
              <w:t>11</w:t>
            </w:r>
            <w:r w:rsidR="00307AAE" w:rsidRPr="00122E26">
              <w:rPr>
                <w:rFonts w:ascii="Traditional Arabic" w:hAnsi="Traditional Arabic"/>
                <w:sz w:val="30"/>
                <w:szCs w:val="28"/>
                <w:rtl/>
              </w:rPr>
              <w:t>.</w:t>
            </w:r>
            <w:r w:rsidRPr="00122E26">
              <w:rPr>
                <w:rFonts w:ascii="Traditional Arabic" w:hAnsi="Traditional Arabic"/>
                <w:sz w:val="30"/>
                <w:szCs w:val="28"/>
                <w:rtl/>
              </w:rPr>
              <w:t>4</w:t>
            </w:r>
          </w:p>
        </w:tc>
      </w:tr>
    </w:tbl>
    <w:p w:rsidR="00706E77" w:rsidRPr="00706E77" w:rsidRDefault="00706E77" w:rsidP="00706E77">
      <w:pPr>
        <w:pStyle w:val="SingleTxtGA"/>
        <w:tabs>
          <w:tab w:val="clear" w:pos="1928"/>
          <w:tab w:val="left" w:pos="2240"/>
        </w:tabs>
        <w:spacing w:after="0" w:line="120" w:lineRule="exact"/>
        <w:ind w:left="2240" w:hanging="910"/>
        <w:rPr>
          <w:rFonts w:ascii="Traditional Arabic" w:hAnsi="Traditional Arabic"/>
          <w:i/>
          <w:iCs/>
          <w:spacing w:val="-4"/>
          <w:sz w:val="10"/>
          <w:szCs w:val="26"/>
          <w:rtl/>
        </w:rPr>
      </w:pPr>
    </w:p>
    <w:p w:rsidR="00750F90" w:rsidRPr="00122E26" w:rsidRDefault="00750F90" w:rsidP="00122E26">
      <w:pPr>
        <w:pStyle w:val="SingleTxtGA"/>
        <w:tabs>
          <w:tab w:val="clear" w:pos="1928"/>
          <w:tab w:val="left" w:pos="2240"/>
        </w:tabs>
        <w:ind w:left="2240" w:hanging="910"/>
        <w:rPr>
          <w:rFonts w:ascii="Traditional Arabic" w:hAnsi="Traditional Arabic"/>
          <w:spacing w:val="-4"/>
          <w:sz w:val="26"/>
          <w:szCs w:val="26"/>
          <w:rtl/>
        </w:rPr>
      </w:pPr>
      <w:r w:rsidRPr="00122E26">
        <w:rPr>
          <w:rFonts w:ascii="Traditional Arabic" w:hAnsi="Traditional Arabic"/>
          <w:i/>
          <w:iCs/>
          <w:spacing w:val="-4"/>
          <w:sz w:val="26"/>
          <w:szCs w:val="26"/>
          <w:rtl/>
        </w:rPr>
        <w:t>المصدر</w:t>
      </w:r>
      <w:r w:rsidRPr="00122E26">
        <w:rPr>
          <w:rFonts w:ascii="Traditional Arabic" w:hAnsi="Traditional Arabic"/>
          <w:spacing w:val="-4"/>
          <w:sz w:val="26"/>
          <w:szCs w:val="26"/>
          <w:rtl/>
        </w:rPr>
        <w:t>:</w:t>
      </w:r>
      <w:r w:rsidR="00122E26" w:rsidRPr="00122E26">
        <w:rPr>
          <w:rFonts w:ascii="Traditional Arabic" w:hAnsi="Traditional Arabic" w:hint="cs"/>
          <w:spacing w:val="-4"/>
          <w:sz w:val="26"/>
          <w:szCs w:val="26"/>
          <w:rtl/>
        </w:rPr>
        <w:tab/>
      </w:r>
      <w:r w:rsidRPr="00122E26">
        <w:rPr>
          <w:rFonts w:ascii="Traditional Arabic" w:hAnsi="Traditional Arabic"/>
          <w:spacing w:val="-4"/>
          <w:sz w:val="26"/>
          <w:szCs w:val="26"/>
          <w:rtl/>
        </w:rPr>
        <w:t>المعهد الوطني للإحصاءات وتعداد السكان. التعدادات الوطنية للسكان من عام 1869 إلى عام 2010.</w:t>
      </w:r>
    </w:p>
    <w:p w:rsidR="00122E26" w:rsidRPr="00122E26" w:rsidRDefault="00122E26" w:rsidP="00122E26">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706E77" w:rsidRPr="00706E77" w:rsidRDefault="00706E77" w:rsidP="00706E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750F90" w:rsidRPr="00307AAE" w:rsidRDefault="00122E26" w:rsidP="00122E2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Pr>
          <w:rFonts w:hint="cs"/>
          <w:w w:val="100"/>
          <w:rtl/>
        </w:rPr>
        <w:tab/>
      </w:r>
      <w:r w:rsidR="00750F90" w:rsidRPr="00307AAE">
        <w:rPr>
          <w:w w:val="100"/>
          <w:rtl/>
        </w:rPr>
        <w:t>الكثافة السكانية</w:t>
      </w:r>
    </w:p>
    <w:p w:rsidR="00750F90" w:rsidRPr="00307AAE" w:rsidRDefault="00750F90" w:rsidP="00122E26">
      <w:pPr>
        <w:pStyle w:val="SingleTxt"/>
        <w:rPr>
          <w:w w:val="100"/>
          <w:rtl/>
        </w:rPr>
      </w:pPr>
      <w:r w:rsidRPr="00307AAE">
        <w:rPr>
          <w:rFonts w:hint="cs"/>
          <w:w w:val="100"/>
          <w:rtl/>
        </w:rPr>
        <w:t>11-</w:t>
      </w:r>
      <w:r w:rsidRPr="00307AAE">
        <w:rPr>
          <w:rFonts w:hint="cs"/>
          <w:w w:val="100"/>
          <w:rtl/>
        </w:rPr>
        <w:tab/>
      </w:r>
      <w:r w:rsidRPr="00307AAE">
        <w:rPr>
          <w:w w:val="100"/>
          <w:rtl/>
        </w:rPr>
        <w:t>المساحة الإجمالية للبلد: 277 761 3 كيلومتر</w:t>
      </w:r>
      <w:r w:rsidR="00A71B00">
        <w:rPr>
          <w:w w:val="100"/>
          <w:rtl/>
        </w:rPr>
        <w:t xml:space="preserve">اً </w:t>
      </w:r>
      <w:r w:rsidRPr="00307AAE">
        <w:rPr>
          <w:w w:val="100"/>
          <w:rtl/>
        </w:rPr>
        <w:t>مربع</w:t>
      </w:r>
      <w:r w:rsidR="00A71B00">
        <w:rPr>
          <w:w w:val="100"/>
          <w:rtl/>
        </w:rPr>
        <w:t xml:space="preserve">اً </w:t>
      </w:r>
      <w:r w:rsidRPr="00307AAE">
        <w:rPr>
          <w:w w:val="100"/>
          <w:rtl/>
        </w:rPr>
        <w:t>(التعداد الوطني للسكان و</w:t>
      </w:r>
      <w:r w:rsidRPr="00307AAE">
        <w:rPr>
          <w:rFonts w:hint="cs"/>
          <w:w w:val="100"/>
          <w:rtl/>
        </w:rPr>
        <w:t>الأسر المعيشية و</w:t>
      </w:r>
      <w:r w:rsidRPr="00307AAE">
        <w:rPr>
          <w:w w:val="100"/>
          <w:rtl/>
        </w:rPr>
        <w:t>المساكن لعام 2010).</w:t>
      </w:r>
    </w:p>
    <w:p w:rsidR="00750F90" w:rsidRPr="00307AAE" w:rsidRDefault="00750F90" w:rsidP="00307AAE">
      <w:pPr>
        <w:pStyle w:val="SingleTxt"/>
        <w:rPr>
          <w:w w:val="100"/>
          <w:kern w:val="0"/>
          <w:rtl/>
        </w:rPr>
      </w:pPr>
      <w:r w:rsidRPr="00307AAE">
        <w:rPr>
          <w:rFonts w:hint="cs"/>
          <w:w w:val="100"/>
          <w:kern w:val="0"/>
          <w:rtl/>
        </w:rPr>
        <w:t>12-</w:t>
      </w:r>
      <w:r w:rsidRPr="00307AAE">
        <w:rPr>
          <w:rFonts w:hint="cs"/>
          <w:w w:val="100"/>
          <w:kern w:val="0"/>
          <w:rtl/>
        </w:rPr>
        <w:tab/>
      </w:r>
      <w:r w:rsidRPr="00307AAE">
        <w:rPr>
          <w:w w:val="100"/>
          <w:kern w:val="0"/>
          <w:rtl/>
        </w:rPr>
        <w:t>المساحة لغرض حساب الكثافة السكانية: 403 780 2 كيلومترات مربعة (تشمل مدينة بوينس آيرس المستقلة</w:t>
      </w:r>
      <w:r w:rsidRPr="00307AAE">
        <w:rPr>
          <w:rFonts w:hint="cs"/>
          <w:w w:val="100"/>
          <w:kern w:val="0"/>
          <w:rtl/>
        </w:rPr>
        <w:t xml:space="preserve"> ذاتياً</w:t>
      </w:r>
      <w:r w:rsidRPr="00307AAE">
        <w:rPr>
          <w:w w:val="100"/>
          <w:kern w:val="0"/>
          <w:rtl/>
        </w:rPr>
        <w:t>، و22 محافظة ودائرتي ريو غراندي وأوشوايا التابعتين لمحافظة تييرا ديل فويغو، وأنتاركتيكا وجزر جنوب المحيط الأطلسي)</w:t>
      </w:r>
      <w:r w:rsidR="00307AAE" w:rsidRPr="00307AAE">
        <w:rPr>
          <w:w w:val="100"/>
          <w:kern w:val="0"/>
          <w:vertAlign w:val="superscript"/>
          <w:rtl/>
        </w:rPr>
        <w:t>(</w:t>
      </w:r>
      <w:r w:rsidR="00307AAE" w:rsidRPr="00307AAE">
        <w:rPr>
          <w:rStyle w:val="FootnoteReference"/>
          <w:color w:val="000000" w:themeColor="text1"/>
          <w:spacing w:val="0"/>
          <w:w w:val="100"/>
          <w:kern w:val="0"/>
          <w:sz w:val="18"/>
          <w:szCs w:val="32"/>
          <w:rtl/>
        </w:rPr>
        <w:footnoteReference w:id="2"/>
      </w:r>
      <w:r w:rsidR="00307AAE" w:rsidRPr="00307AAE">
        <w:rPr>
          <w:w w:val="100"/>
          <w:kern w:val="0"/>
          <w:vertAlign w:val="superscript"/>
          <w:rtl/>
        </w:rPr>
        <w:t>)</w:t>
      </w:r>
      <w:r w:rsidRPr="00307AAE">
        <w:rPr>
          <w:w w:val="100"/>
          <w:kern w:val="0"/>
          <w:rtl/>
        </w:rPr>
        <w:t>.</w:t>
      </w:r>
    </w:p>
    <w:p w:rsidR="00706E77" w:rsidRPr="00706E77" w:rsidRDefault="00706E77" w:rsidP="00706E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750F90" w:rsidRPr="00307AAE" w:rsidRDefault="00727841" w:rsidP="0072784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Pr>
          <w:rFonts w:hint="cs"/>
          <w:w w:val="100"/>
          <w:rtl/>
        </w:rPr>
        <w:tab/>
      </w:r>
      <w:r w:rsidR="00750F90" w:rsidRPr="00307AAE">
        <w:rPr>
          <w:w w:val="100"/>
          <w:rtl/>
        </w:rPr>
        <w:t>البنية العمرية</w:t>
      </w:r>
    </w:p>
    <w:p w:rsidR="00750F90" w:rsidRPr="00307AAE" w:rsidRDefault="00750F90" w:rsidP="00727841">
      <w:pPr>
        <w:pStyle w:val="SingleTxt"/>
        <w:spacing w:after="0"/>
        <w:rPr>
          <w:w w:val="100"/>
          <w:rtl/>
        </w:rPr>
      </w:pPr>
      <w:r w:rsidRPr="00307AAE">
        <w:rPr>
          <w:rFonts w:hint="cs"/>
          <w:w w:val="100"/>
          <w:rtl/>
        </w:rPr>
        <w:t>الجدول 3</w:t>
      </w:r>
    </w:p>
    <w:p w:rsidR="00750F90" w:rsidRDefault="00750F90" w:rsidP="00727841">
      <w:pPr>
        <w:pStyle w:val="SingleTxt"/>
        <w:rPr>
          <w:b/>
          <w:bCs/>
          <w:w w:val="100"/>
          <w:rtl/>
        </w:rPr>
      </w:pPr>
      <w:r w:rsidRPr="00307AAE">
        <w:rPr>
          <w:b/>
          <w:bCs/>
          <w:w w:val="100"/>
          <w:rtl/>
        </w:rPr>
        <w:t>مجموع السكان بحسب نوع الجنس ومؤشر الذكورة</w:t>
      </w:r>
      <w:r w:rsidRPr="00307AAE">
        <w:rPr>
          <w:rFonts w:hint="cs"/>
          <w:b/>
          <w:bCs/>
          <w:w w:val="100"/>
          <w:rtl/>
        </w:rPr>
        <w:t xml:space="preserve"> في البلد ككل</w:t>
      </w:r>
      <w:r w:rsidRPr="00307AAE">
        <w:rPr>
          <w:b/>
          <w:bCs/>
          <w:w w:val="100"/>
          <w:rtl/>
        </w:rPr>
        <w:t xml:space="preserve">، </w:t>
      </w:r>
      <w:r w:rsidRPr="00307AAE">
        <w:rPr>
          <w:rFonts w:hint="cs"/>
          <w:b/>
          <w:bCs/>
          <w:w w:val="100"/>
          <w:rtl/>
        </w:rPr>
        <w:t>ب</w:t>
      </w:r>
      <w:r w:rsidRPr="00307AAE">
        <w:rPr>
          <w:b/>
          <w:bCs/>
          <w:w w:val="100"/>
          <w:rtl/>
        </w:rPr>
        <w:t>حسب الفئات العمرية الخماسية السنوات</w:t>
      </w:r>
      <w:r w:rsidRPr="00307AAE">
        <w:rPr>
          <w:rFonts w:hint="cs"/>
          <w:b/>
          <w:bCs/>
          <w:w w:val="100"/>
          <w:rtl/>
        </w:rPr>
        <w:t>،</w:t>
      </w:r>
      <w:r w:rsidRPr="00307AAE">
        <w:rPr>
          <w:b/>
          <w:bCs/>
          <w:w w:val="100"/>
          <w:rtl/>
        </w:rPr>
        <w:t xml:space="preserve"> </w:t>
      </w:r>
      <w:r w:rsidRPr="00307AAE">
        <w:rPr>
          <w:rFonts w:hint="cs"/>
          <w:b/>
          <w:bCs/>
          <w:w w:val="100"/>
          <w:rtl/>
        </w:rPr>
        <w:t>ل</w:t>
      </w:r>
      <w:r w:rsidRPr="00307AAE">
        <w:rPr>
          <w:b/>
          <w:bCs/>
          <w:w w:val="100"/>
          <w:rtl/>
        </w:rPr>
        <w:t>عام 2010</w:t>
      </w:r>
    </w:p>
    <w:p w:rsidR="00727841" w:rsidRPr="00727841" w:rsidRDefault="00727841" w:rsidP="00727841">
      <w:pPr>
        <w:pStyle w:val="SingleTxt"/>
        <w:spacing w:after="0" w:line="120" w:lineRule="exact"/>
        <w:rPr>
          <w:b/>
          <w:bCs/>
          <w:w w:val="100"/>
          <w:sz w:val="10"/>
          <w:rtl/>
        </w:rPr>
      </w:pPr>
    </w:p>
    <w:tbl>
      <w:tblPr>
        <w:bidiVisual/>
        <w:tblW w:w="0" w:type="auto"/>
        <w:tblInd w:w="1356" w:type="dxa"/>
        <w:tblBorders>
          <w:top w:val="single" w:sz="4" w:space="0" w:color="auto"/>
          <w:bottom w:val="single" w:sz="4" w:space="0" w:color="auto"/>
        </w:tblBorders>
        <w:tblLook w:val="04A0" w:firstRow="1" w:lastRow="0" w:firstColumn="1" w:lastColumn="0" w:noHBand="0" w:noVBand="1"/>
      </w:tblPr>
      <w:tblGrid>
        <w:gridCol w:w="1276"/>
        <w:gridCol w:w="1843"/>
        <w:gridCol w:w="1701"/>
        <w:gridCol w:w="1533"/>
        <w:gridCol w:w="1190"/>
      </w:tblGrid>
      <w:tr w:rsidR="00750F90" w:rsidRPr="00122E26" w:rsidTr="00727841">
        <w:trPr>
          <w:trHeight w:val="156"/>
          <w:tblHeader/>
        </w:trPr>
        <w:tc>
          <w:tcPr>
            <w:tcW w:w="1276" w:type="dxa"/>
            <w:vMerge w:val="restart"/>
            <w:tcBorders>
              <w:top w:val="single" w:sz="4" w:space="0" w:color="auto"/>
              <w:bottom w:val="single" w:sz="12" w:space="0" w:color="auto"/>
            </w:tcBorders>
            <w:vAlign w:val="bottom"/>
          </w:tcPr>
          <w:p w:rsidR="00750F90" w:rsidRPr="00122E26" w:rsidRDefault="00750F90" w:rsidP="00727841">
            <w:pPr>
              <w:pStyle w:val="SingleTxtGA"/>
              <w:spacing w:before="40" w:after="40" w:line="300" w:lineRule="exact"/>
              <w:ind w:left="0" w:right="0"/>
              <w:jc w:val="left"/>
              <w:rPr>
                <w:rFonts w:ascii="Traditional Arabic" w:hAnsi="Traditional Arabic"/>
                <w:i/>
                <w:iCs/>
                <w:sz w:val="30"/>
                <w:szCs w:val="28"/>
                <w:rtl/>
              </w:rPr>
            </w:pPr>
            <w:r w:rsidRPr="00122E26">
              <w:rPr>
                <w:rFonts w:ascii="Traditional Arabic" w:hAnsi="Traditional Arabic"/>
                <w:i/>
                <w:iCs/>
                <w:sz w:val="30"/>
                <w:szCs w:val="28"/>
                <w:rtl/>
              </w:rPr>
              <w:t>الفئة العمرية</w:t>
            </w:r>
          </w:p>
        </w:tc>
        <w:tc>
          <w:tcPr>
            <w:tcW w:w="1843" w:type="dxa"/>
            <w:vMerge w:val="restart"/>
            <w:tcBorders>
              <w:top w:val="single" w:sz="4" w:space="0" w:color="auto"/>
              <w:bottom w:val="single" w:sz="12" w:space="0" w:color="auto"/>
            </w:tcBorders>
            <w:vAlign w:val="bottom"/>
          </w:tcPr>
          <w:p w:rsidR="00750F90" w:rsidRPr="00122E26" w:rsidRDefault="00750F90" w:rsidP="00727841">
            <w:pPr>
              <w:pStyle w:val="SingleTxtGA"/>
              <w:spacing w:before="40" w:after="40" w:line="300" w:lineRule="exact"/>
              <w:ind w:left="0" w:right="0"/>
              <w:jc w:val="left"/>
              <w:rPr>
                <w:rFonts w:ascii="Traditional Arabic" w:hAnsi="Traditional Arabic"/>
                <w:i/>
                <w:iCs/>
                <w:sz w:val="30"/>
                <w:szCs w:val="28"/>
                <w:rtl/>
              </w:rPr>
            </w:pPr>
            <w:r w:rsidRPr="00122E26">
              <w:rPr>
                <w:rFonts w:ascii="Traditional Arabic" w:hAnsi="Traditional Arabic"/>
                <w:i/>
                <w:iCs/>
                <w:sz w:val="30"/>
                <w:szCs w:val="28"/>
                <w:rtl/>
              </w:rPr>
              <w:t>مجموع السكان</w:t>
            </w:r>
          </w:p>
        </w:tc>
        <w:tc>
          <w:tcPr>
            <w:tcW w:w="3234" w:type="dxa"/>
            <w:gridSpan w:val="2"/>
            <w:tcBorders>
              <w:bottom w:val="single" w:sz="4" w:space="0" w:color="auto"/>
            </w:tcBorders>
          </w:tcPr>
          <w:p w:rsidR="00750F90" w:rsidRPr="00122E26" w:rsidRDefault="00750F90" w:rsidP="00727841">
            <w:pPr>
              <w:pStyle w:val="SingleTxtGA"/>
              <w:spacing w:before="40" w:after="40" w:line="300" w:lineRule="exact"/>
              <w:ind w:left="0" w:right="0"/>
              <w:jc w:val="center"/>
              <w:rPr>
                <w:rFonts w:ascii="Traditional Arabic" w:hAnsi="Traditional Arabic"/>
                <w:i/>
                <w:iCs/>
                <w:sz w:val="30"/>
                <w:szCs w:val="28"/>
                <w:rtl/>
              </w:rPr>
            </w:pPr>
            <w:r w:rsidRPr="00122E26">
              <w:rPr>
                <w:rFonts w:ascii="Traditional Arabic" w:hAnsi="Traditional Arabic"/>
                <w:i/>
                <w:iCs/>
                <w:sz w:val="30"/>
                <w:szCs w:val="28"/>
                <w:rtl/>
              </w:rPr>
              <w:t>نوع الجنس</w:t>
            </w:r>
          </w:p>
        </w:tc>
        <w:tc>
          <w:tcPr>
            <w:tcW w:w="1190" w:type="dxa"/>
            <w:vMerge w:val="restart"/>
            <w:tcBorders>
              <w:top w:val="single" w:sz="4" w:space="0" w:color="auto"/>
              <w:bottom w:val="single" w:sz="12" w:space="0" w:color="auto"/>
            </w:tcBorders>
            <w:vAlign w:val="bottom"/>
          </w:tcPr>
          <w:p w:rsidR="00750F90" w:rsidRPr="00122E26" w:rsidRDefault="00750F90" w:rsidP="00727841">
            <w:pPr>
              <w:pStyle w:val="SingleTxtGA"/>
              <w:spacing w:before="40" w:after="40" w:line="300" w:lineRule="exact"/>
              <w:ind w:left="0" w:right="0"/>
              <w:jc w:val="left"/>
              <w:rPr>
                <w:rFonts w:ascii="Traditional Arabic" w:hAnsi="Traditional Arabic"/>
                <w:i/>
                <w:iCs/>
                <w:sz w:val="30"/>
                <w:szCs w:val="28"/>
                <w:rtl/>
              </w:rPr>
            </w:pPr>
            <w:r w:rsidRPr="00122E26">
              <w:rPr>
                <w:rFonts w:ascii="Traditional Arabic" w:hAnsi="Traditional Arabic"/>
                <w:i/>
                <w:iCs/>
                <w:sz w:val="30"/>
                <w:szCs w:val="28"/>
                <w:rtl/>
              </w:rPr>
              <w:t>مؤشر الذكورة</w:t>
            </w:r>
          </w:p>
        </w:tc>
      </w:tr>
      <w:tr w:rsidR="00750F90" w:rsidRPr="00122E26" w:rsidTr="00727841">
        <w:trPr>
          <w:trHeight w:val="155"/>
          <w:tblHeader/>
        </w:trPr>
        <w:tc>
          <w:tcPr>
            <w:tcW w:w="1276" w:type="dxa"/>
            <w:vMerge/>
            <w:tcBorders>
              <w:top w:val="nil"/>
              <w:bottom w:val="single" w:sz="12" w:space="0" w:color="auto"/>
            </w:tcBorders>
          </w:tcPr>
          <w:p w:rsidR="00750F90" w:rsidRPr="00122E26" w:rsidRDefault="00750F90" w:rsidP="00727841">
            <w:pPr>
              <w:pStyle w:val="SingleTxtGA"/>
              <w:spacing w:before="40" w:after="40" w:line="300" w:lineRule="exact"/>
              <w:ind w:left="0" w:right="0"/>
              <w:rPr>
                <w:rFonts w:ascii="Traditional Arabic" w:hAnsi="Traditional Arabic"/>
                <w:i/>
                <w:iCs/>
                <w:sz w:val="30"/>
                <w:szCs w:val="28"/>
                <w:rtl/>
              </w:rPr>
            </w:pPr>
          </w:p>
        </w:tc>
        <w:tc>
          <w:tcPr>
            <w:tcW w:w="1843" w:type="dxa"/>
            <w:vMerge/>
            <w:tcBorders>
              <w:top w:val="nil"/>
              <w:bottom w:val="single" w:sz="12" w:space="0" w:color="auto"/>
            </w:tcBorders>
          </w:tcPr>
          <w:p w:rsidR="00750F90" w:rsidRPr="00122E26" w:rsidRDefault="00750F90" w:rsidP="00727841">
            <w:pPr>
              <w:pStyle w:val="SingleTxtGA"/>
              <w:spacing w:before="40" w:after="40" w:line="300" w:lineRule="exact"/>
              <w:ind w:left="0" w:right="0"/>
              <w:rPr>
                <w:rFonts w:ascii="Traditional Arabic" w:hAnsi="Traditional Arabic"/>
                <w:i/>
                <w:iCs/>
                <w:sz w:val="30"/>
                <w:szCs w:val="28"/>
                <w:rtl/>
              </w:rPr>
            </w:pPr>
          </w:p>
        </w:tc>
        <w:tc>
          <w:tcPr>
            <w:tcW w:w="1701" w:type="dxa"/>
            <w:tcBorders>
              <w:top w:val="single" w:sz="4" w:space="0" w:color="auto"/>
              <w:bottom w:val="single" w:sz="12" w:space="0" w:color="auto"/>
            </w:tcBorders>
          </w:tcPr>
          <w:p w:rsidR="00750F90" w:rsidRPr="00122E26" w:rsidRDefault="00750F90" w:rsidP="00727841">
            <w:pPr>
              <w:pStyle w:val="SingleTxtGA"/>
              <w:spacing w:before="40" w:after="40" w:line="300" w:lineRule="exact"/>
              <w:ind w:left="0" w:right="0"/>
              <w:jc w:val="center"/>
              <w:rPr>
                <w:rFonts w:ascii="Traditional Arabic" w:hAnsi="Traditional Arabic"/>
                <w:i/>
                <w:iCs/>
                <w:sz w:val="30"/>
                <w:szCs w:val="28"/>
                <w:rtl/>
              </w:rPr>
            </w:pPr>
            <w:r w:rsidRPr="00122E26">
              <w:rPr>
                <w:rFonts w:ascii="Traditional Arabic" w:hAnsi="Traditional Arabic"/>
                <w:i/>
                <w:iCs/>
                <w:sz w:val="30"/>
                <w:szCs w:val="28"/>
                <w:rtl/>
              </w:rPr>
              <w:t>الإناث</w:t>
            </w:r>
          </w:p>
        </w:tc>
        <w:tc>
          <w:tcPr>
            <w:tcW w:w="1533" w:type="dxa"/>
            <w:tcBorders>
              <w:top w:val="single" w:sz="4" w:space="0" w:color="auto"/>
              <w:bottom w:val="single" w:sz="12" w:space="0" w:color="auto"/>
            </w:tcBorders>
          </w:tcPr>
          <w:p w:rsidR="00750F90" w:rsidRPr="00122E26" w:rsidRDefault="00750F90" w:rsidP="00727841">
            <w:pPr>
              <w:pStyle w:val="SingleTxtGA"/>
              <w:spacing w:before="40" w:after="40" w:line="300" w:lineRule="exact"/>
              <w:ind w:left="0" w:right="0"/>
              <w:jc w:val="center"/>
              <w:rPr>
                <w:rFonts w:ascii="Traditional Arabic" w:hAnsi="Traditional Arabic"/>
                <w:i/>
                <w:iCs/>
                <w:sz w:val="30"/>
                <w:szCs w:val="28"/>
                <w:rtl/>
              </w:rPr>
            </w:pPr>
            <w:r w:rsidRPr="00122E26">
              <w:rPr>
                <w:rFonts w:ascii="Traditional Arabic" w:hAnsi="Traditional Arabic"/>
                <w:i/>
                <w:iCs/>
                <w:sz w:val="30"/>
                <w:szCs w:val="28"/>
                <w:rtl/>
              </w:rPr>
              <w:t>الذكور</w:t>
            </w:r>
          </w:p>
        </w:tc>
        <w:tc>
          <w:tcPr>
            <w:tcW w:w="1190" w:type="dxa"/>
            <w:vMerge/>
            <w:tcBorders>
              <w:top w:val="nil"/>
              <w:bottom w:val="single" w:sz="12" w:space="0" w:color="auto"/>
            </w:tcBorders>
          </w:tcPr>
          <w:p w:rsidR="00750F90" w:rsidRPr="00122E26" w:rsidRDefault="00750F90" w:rsidP="00727841">
            <w:pPr>
              <w:pStyle w:val="SingleTxtGA"/>
              <w:spacing w:before="40" w:after="40" w:line="300" w:lineRule="exact"/>
              <w:ind w:left="0" w:right="0"/>
              <w:rPr>
                <w:rFonts w:ascii="Traditional Arabic" w:hAnsi="Traditional Arabic"/>
                <w:sz w:val="30"/>
                <w:szCs w:val="28"/>
                <w:rtl/>
              </w:rPr>
            </w:pPr>
          </w:p>
        </w:tc>
      </w:tr>
      <w:tr w:rsidR="00750F90" w:rsidRPr="00122E26" w:rsidTr="00727841">
        <w:trPr>
          <w:trHeight w:val="155"/>
        </w:trPr>
        <w:tc>
          <w:tcPr>
            <w:tcW w:w="1276" w:type="dxa"/>
            <w:tcBorders>
              <w:top w:val="single" w:sz="12" w:space="0" w:color="auto"/>
            </w:tcBorders>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0-4</w:t>
            </w:r>
          </w:p>
        </w:tc>
        <w:tc>
          <w:tcPr>
            <w:tcW w:w="1843" w:type="dxa"/>
            <w:tcBorders>
              <w:top w:val="single" w:sz="12" w:space="0" w:color="auto"/>
            </w:tcBorders>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652 337 3</w:t>
            </w:r>
          </w:p>
        </w:tc>
        <w:tc>
          <w:tcPr>
            <w:tcW w:w="1701" w:type="dxa"/>
            <w:tcBorders>
              <w:top w:val="single" w:sz="12" w:space="0" w:color="auto"/>
            </w:tcBorders>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972 697 1</w:t>
            </w:r>
          </w:p>
        </w:tc>
        <w:tc>
          <w:tcPr>
            <w:tcW w:w="1533" w:type="dxa"/>
            <w:tcBorders>
              <w:top w:val="single" w:sz="12" w:space="0" w:color="auto"/>
            </w:tcBorders>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680 6</w:t>
            </w:r>
            <w:r w:rsidRPr="00122E26">
              <w:rPr>
                <w:rFonts w:ascii="Traditional Arabic" w:hAnsi="Traditional Arabic" w:hint="cs"/>
                <w:sz w:val="30"/>
                <w:szCs w:val="28"/>
                <w:rtl/>
              </w:rPr>
              <w:t>39</w:t>
            </w:r>
            <w:r w:rsidRPr="00122E26">
              <w:rPr>
                <w:rFonts w:ascii="Traditional Arabic" w:hAnsi="Traditional Arabic"/>
                <w:sz w:val="30"/>
                <w:szCs w:val="28"/>
                <w:rtl/>
              </w:rPr>
              <w:t xml:space="preserve"> 1</w:t>
            </w:r>
          </w:p>
        </w:tc>
        <w:tc>
          <w:tcPr>
            <w:tcW w:w="1190" w:type="dxa"/>
            <w:tcBorders>
              <w:top w:val="single" w:sz="12" w:space="0" w:color="auto"/>
            </w:tcBorders>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103</w:t>
            </w:r>
            <w:r w:rsidR="00307AAE" w:rsidRPr="00122E26">
              <w:rPr>
                <w:rFonts w:ascii="Traditional Arabic" w:hAnsi="Traditional Arabic"/>
                <w:sz w:val="30"/>
                <w:szCs w:val="28"/>
                <w:rtl/>
              </w:rPr>
              <w:t>.</w:t>
            </w:r>
            <w:r w:rsidRPr="00122E26">
              <w:rPr>
                <w:rFonts w:ascii="Traditional Arabic" w:hAnsi="Traditional Arabic"/>
                <w:sz w:val="30"/>
                <w:szCs w:val="28"/>
                <w:rtl/>
              </w:rPr>
              <w:t>6</w:t>
            </w:r>
          </w:p>
        </w:tc>
      </w:tr>
      <w:tr w:rsidR="00750F90" w:rsidRPr="00122E26" w:rsidTr="00727841">
        <w:trPr>
          <w:trHeight w:val="155"/>
        </w:trPr>
        <w:tc>
          <w:tcPr>
            <w:tcW w:w="1276" w:type="dxa"/>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5-9</w:t>
            </w:r>
          </w:p>
        </w:tc>
        <w:tc>
          <w:tcPr>
            <w:tcW w:w="1843" w:type="dxa"/>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219 381 3</w:t>
            </w:r>
          </w:p>
        </w:tc>
        <w:tc>
          <w:tcPr>
            <w:tcW w:w="1701"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752 717 1</w:t>
            </w:r>
          </w:p>
        </w:tc>
        <w:tc>
          <w:tcPr>
            <w:tcW w:w="1533"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467 663 1</w:t>
            </w:r>
          </w:p>
        </w:tc>
        <w:tc>
          <w:tcPr>
            <w:tcW w:w="1190" w:type="dxa"/>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103</w:t>
            </w:r>
            <w:r w:rsidR="00307AAE" w:rsidRPr="00122E26">
              <w:rPr>
                <w:rFonts w:ascii="Traditional Arabic" w:hAnsi="Traditional Arabic"/>
                <w:sz w:val="30"/>
                <w:szCs w:val="28"/>
                <w:rtl/>
              </w:rPr>
              <w:t>.</w:t>
            </w:r>
            <w:r w:rsidRPr="00122E26">
              <w:rPr>
                <w:rFonts w:ascii="Traditional Arabic" w:hAnsi="Traditional Arabic"/>
                <w:sz w:val="30"/>
                <w:szCs w:val="28"/>
                <w:rtl/>
              </w:rPr>
              <w:t>3</w:t>
            </w:r>
          </w:p>
        </w:tc>
      </w:tr>
      <w:tr w:rsidR="00750F90" w:rsidRPr="00122E26" w:rsidTr="00727841">
        <w:trPr>
          <w:trHeight w:val="155"/>
        </w:trPr>
        <w:tc>
          <w:tcPr>
            <w:tcW w:w="1276" w:type="dxa"/>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10-14</w:t>
            </w:r>
          </w:p>
        </w:tc>
        <w:tc>
          <w:tcPr>
            <w:tcW w:w="1843" w:type="dxa"/>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446 503 3</w:t>
            </w:r>
          </w:p>
        </w:tc>
        <w:tc>
          <w:tcPr>
            <w:tcW w:w="1701"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372 779 1</w:t>
            </w:r>
          </w:p>
        </w:tc>
        <w:tc>
          <w:tcPr>
            <w:tcW w:w="1533"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074 724 1</w:t>
            </w:r>
          </w:p>
        </w:tc>
        <w:tc>
          <w:tcPr>
            <w:tcW w:w="1190" w:type="dxa"/>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103</w:t>
            </w:r>
            <w:r w:rsidR="00307AAE" w:rsidRPr="00122E26">
              <w:rPr>
                <w:rFonts w:ascii="Traditional Arabic" w:hAnsi="Traditional Arabic"/>
                <w:sz w:val="30"/>
                <w:szCs w:val="28"/>
                <w:rtl/>
              </w:rPr>
              <w:t>.</w:t>
            </w:r>
            <w:r w:rsidRPr="00122E26">
              <w:rPr>
                <w:rFonts w:ascii="Traditional Arabic" w:hAnsi="Traditional Arabic"/>
                <w:sz w:val="30"/>
                <w:szCs w:val="28"/>
                <w:rtl/>
              </w:rPr>
              <w:t>2</w:t>
            </w:r>
          </w:p>
        </w:tc>
      </w:tr>
      <w:tr w:rsidR="00750F90" w:rsidRPr="00122E26" w:rsidTr="00727841">
        <w:trPr>
          <w:trHeight w:val="155"/>
        </w:trPr>
        <w:tc>
          <w:tcPr>
            <w:tcW w:w="1276" w:type="dxa"/>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15-19</w:t>
            </w:r>
          </w:p>
        </w:tc>
        <w:tc>
          <w:tcPr>
            <w:tcW w:w="1843" w:type="dxa"/>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067 542 3</w:t>
            </w:r>
          </w:p>
        </w:tc>
        <w:tc>
          <w:tcPr>
            <w:tcW w:w="1701"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061 785 1</w:t>
            </w:r>
          </w:p>
        </w:tc>
        <w:tc>
          <w:tcPr>
            <w:tcW w:w="1533"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006 757 1</w:t>
            </w:r>
          </w:p>
        </w:tc>
        <w:tc>
          <w:tcPr>
            <w:tcW w:w="1190" w:type="dxa"/>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103</w:t>
            </w:r>
            <w:r w:rsidR="00307AAE" w:rsidRPr="00122E26">
              <w:rPr>
                <w:rFonts w:ascii="Traditional Arabic" w:hAnsi="Traditional Arabic"/>
                <w:sz w:val="30"/>
                <w:szCs w:val="28"/>
                <w:rtl/>
              </w:rPr>
              <w:t>.</w:t>
            </w:r>
            <w:r w:rsidRPr="00122E26">
              <w:rPr>
                <w:rFonts w:ascii="Traditional Arabic" w:hAnsi="Traditional Arabic"/>
                <w:sz w:val="30"/>
                <w:szCs w:val="28"/>
                <w:rtl/>
              </w:rPr>
              <w:t>6</w:t>
            </w:r>
          </w:p>
        </w:tc>
      </w:tr>
      <w:tr w:rsidR="00750F90" w:rsidRPr="00122E26" w:rsidTr="00727841">
        <w:trPr>
          <w:trHeight w:val="155"/>
        </w:trPr>
        <w:tc>
          <w:tcPr>
            <w:tcW w:w="1276" w:type="dxa"/>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20-24</w:t>
            </w:r>
          </w:p>
        </w:tc>
        <w:tc>
          <w:tcPr>
            <w:tcW w:w="1843" w:type="dxa"/>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149 300 3</w:t>
            </w:r>
          </w:p>
        </w:tc>
        <w:tc>
          <w:tcPr>
            <w:tcW w:w="1701"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456 648 1</w:t>
            </w:r>
          </w:p>
        </w:tc>
        <w:tc>
          <w:tcPr>
            <w:tcW w:w="1533"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693 651 1</w:t>
            </w:r>
          </w:p>
        </w:tc>
        <w:tc>
          <w:tcPr>
            <w:tcW w:w="1190" w:type="dxa"/>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99</w:t>
            </w:r>
            <w:r w:rsidR="00307AAE" w:rsidRPr="00122E26">
              <w:rPr>
                <w:rFonts w:ascii="Traditional Arabic" w:hAnsi="Traditional Arabic"/>
                <w:sz w:val="30"/>
                <w:szCs w:val="28"/>
                <w:rtl/>
              </w:rPr>
              <w:t>.</w:t>
            </w:r>
            <w:r w:rsidRPr="00122E26">
              <w:rPr>
                <w:rFonts w:ascii="Traditional Arabic" w:hAnsi="Traditional Arabic"/>
                <w:sz w:val="30"/>
                <w:szCs w:val="28"/>
                <w:rtl/>
              </w:rPr>
              <w:t>8</w:t>
            </w:r>
          </w:p>
        </w:tc>
      </w:tr>
      <w:tr w:rsidR="00750F90" w:rsidRPr="00122E26" w:rsidTr="00727841">
        <w:trPr>
          <w:trHeight w:val="155"/>
        </w:trPr>
        <w:tc>
          <w:tcPr>
            <w:tcW w:w="1276" w:type="dxa"/>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25-29</w:t>
            </w:r>
          </w:p>
        </w:tc>
        <w:tc>
          <w:tcPr>
            <w:tcW w:w="1843" w:type="dxa"/>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509 130 3</w:t>
            </w:r>
          </w:p>
        </w:tc>
        <w:tc>
          <w:tcPr>
            <w:tcW w:w="1701"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106 552 1</w:t>
            </w:r>
          </w:p>
        </w:tc>
        <w:tc>
          <w:tcPr>
            <w:tcW w:w="1533"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403 578 1</w:t>
            </w:r>
          </w:p>
        </w:tc>
        <w:tc>
          <w:tcPr>
            <w:tcW w:w="1190" w:type="dxa"/>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98</w:t>
            </w:r>
            <w:r w:rsidR="00307AAE" w:rsidRPr="00122E26">
              <w:rPr>
                <w:rFonts w:ascii="Traditional Arabic" w:hAnsi="Traditional Arabic"/>
                <w:sz w:val="30"/>
                <w:szCs w:val="28"/>
                <w:rtl/>
              </w:rPr>
              <w:t>.</w:t>
            </w:r>
            <w:r w:rsidRPr="00122E26">
              <w:rPr>
                <w:rFonts w:ascii="Traditional Arabic" w:hAnsi="Traditional Arabic"/>
                <w:sz w:val="30"/>
                <w:szCs w:val="28"/>
                <w:rtl/>
              </w:rPr>
              <w:t>3</w:t>
            </w:r>
          </w:p>
        </w:tc>
      </w:tr>
      <w:tr w:rsidR="00750F90" w:rsidRPr="00122E26" w:rsidTr="00727841">
        <w:trPr>
          <w:trHeight w:val="155"/>
        </w:trPr>
        <w:tc>
          <w:tcPr>
            <w:tcW w:w="1276" w:type="dxa"/>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30-34</w:t>
            </w:r>
          </w:p>
        </w:tc>
        <w:tc>
          <w:tcPr>
            <w:tcW w:w="1843" w:type="dxa"/>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713 098 3</w:t>
            </w:r>
          </w:p>
        </w:tc>
        <w:tc>
          <w:tcPr>
            <w:tcW w:w="1701"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342 523 1</w:t>
            </w:r>
          </w:p>
        </w:tc>
        <w:tc>
          <w:tcPr>
            <w:tcW w:w="1533"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371 575 1</w:t>
            </w:r>
          </w:p>
        </w:tc>
        <w:tc>
          <w:tcPr>
            <w:tcW w:w="1190" w:type="dxa"/>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96</w:t>
            </w:r>
            <w:r w:rsidR="00307AAE" w:rsidRPr="00122E26">
              <w:rPr>
                <w:rFonts w:ascii="Traditional Arabic" w:hAnsi="Traditional Arabic"/>
                <w:sz w:val="30"/>
                <w:szCs w:val="28"/>
                <w:rtl/>
              </w:rPr>
              <w:t>.</w:t>
            </w:r>
            <w:r w:rsidRPr="00122E26">
              <w:rPr>
                <w:rFonts w:ascii="Traditional Arabic" w:hAnsi="Traditional Arabic"/>
                <w:sz w:val="30"/>
                <w:szCs w:val="28"/>
                <w:rtl/>
              </w:rPr>
              <w:t>7</w:t>
            </w:r>
          </w:p>
        </w:tc>
      </w:tr>
      <w:tr w:rsidR="00750F90" w:rsidRPr="00122E26" w:rsidTr="00727841">
        <w:trPr>
          <w:trHeight w:val="155"/>
        </w:trPr>
        <w:tc>
          <w:tcPr>
            <w:tcW w:w="1276" w:type="dxa"/>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35-39</w:t>
            </w:r>
          </w:p>
        </w:tc>
        <w:tc>
          <w:tcPr>
            <w:tcW w:w="1843" w:type="dxa"/>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435 678 2</w:t>
            </w:r>
          </w:p>
        </w:tc>
        <w:tc>
          <w:tcPr>
            <w:tcW w:w="1701"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528 311 1</w:t>
            </w:r>
          </w:p>
        </w:tc>
        <w:tc>
          <w:tcPr>
            <w:tcW w:w="1533"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907 366 1</w:t>
            </w:r>
          </w:p>
        </w:tc>
        <w:tc>
          <w:tcPr>
            <w:tcW w:w="1190" w:type="dxa"/>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95</w:t>
            </w:r>
            <w:r w:rsidR="00307AAE" w:rsidRPr="00122E26">
              <w:rPr>
                <w:rFonts w:ascii="Traditional Arabic" w:hAnsi="Traditional Arabic"/>
                <w:sz w:val="30"/>
                <w:szCs w:val="28"/>
                <w:rtl/>
              </w:rPr>
              <w:t>.</w:t>
            </w:r>
            <w:r w:rsidRPr="00122E26">
              <w:rPr>
                <w:rFonts w:ascii="Traditional Arabic" w:hAnsi="Traditional Arabic"/>
                <w:sz w:val="30"/>
                <w:szCs w:val="28"/>
                <w:rtl/>
              </w:rPr>
              <w:t>9</w:t>
            </w:r>
          </w:p>
        </w:tc>
      </w:tr>
      <w:tr w:rsidR="00750F90" w:rsidRPr="00122E26" w:rsidTr="00727841">
        <w:trPr>
          <w:trHeight w:val="155"/>
        </w:trPr>
        <w:tc>
          <w:tcPr>
            <w:tcW w:w="1276" w:type="dxa"/>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40-44</w:t>
            </w:r>
          </w:p>
        </w:tc>
        <w:tc>
          <w:tcPr>
            <w:tcW w:w="1843" w:type="dxa"/>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775 310 2</w:t>
            </w:r>
          </w:p>
        </w:tc>
        <w:tc>
          <w:tcPr>
            <w:tcW w:w="1701"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887 125 1</w:t>
            </w:r>
          </w:p>
        </w:tc>
        <w:tc>
          <w:tcPr>
            <w:tcW w:w="1533"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888 184 1</w:t>
            </w:r>
          </w:p>
        </w:tc>
        <w:tc>
          <w:tcPr>
            <w:tcW w:w="1190" w:type="dxa"/>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95</w:t>
            </w:r>
            <w:r w:rsidR="00307AAE" w:rsidRPr="00122E26">
              <w:rPr>
                <w:rFonts w:ascii="Traditional Arabic" w:hAnsi="Traditional Arabic"/>
                <w:sz w:val="30"/>
                <w:szCs w:val="28"/>
                <w:rtl/>
              </w:rPr>
              <w:t>.</w:t>
            </w:r>
            <w:r w:rsidRPr="00122E26">
              <w:rPr>
                <w:rFonts w:ascii="Traditional Arabic" w:hAnsi="Traditional Arabic"/>
                <w:sz w:val="30"/>
                <w:szCs w:val="28"/>
                <w:rtl/>
              </w:rPr>
              <w:t>0</w:t>
            </w:r>
          </w:p>
        </w:tc>
      </w:tr>
      <w:tr w:rsidR="00750F90" w:rsidRPr="00122E26" w:rsidTr="00727841">
        <w:trPr>
          <w:trHeight w:val="155"/>
        </w:trPr>
        <w:tc>
          <w:tcPr>
            <w:tcW w:w="1276" w:type="dxa"/>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45-49</w:t>
            </w:r>
          </w:p>
        </w:tc>
        <w:tc>
          <w:tcPr>
            <w:tcW w:w="1843" w:type="dxa"/>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350 196 2</w:t>
            </w:r>
          </w:p>
        </w:tc>
        <w:tc>
          <w:tcPr>
            <w:tcW w:w="1701"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468 067 1</w:t>
            </w:r>
          </w:p>
        </w:tc>
        <w:tc>
          <w:tcPr>
            <w:tcW w:w="1533"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882 128 1</w:t>
            </w:r>
          </w:p>
        </w:tc>
        <w:tc>
          <w:tcPr>
            <w:tcW w:w="1190" w:type="dxa"/>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94</w:t>
            </w:r>
            <w:r w:rsidR="00307AAE" w:rsidRPr="00122E26">
              <w:rPr>
                <w:rFonts w:ascii="Traditional Arabic" w:hAnsi="Traditional Arabic"/>
                <w:sz w:val="30"/>
                <w:szCs w:val="28"/>
                <w:rtl/>
              </w:rPr>
              <w:t>.</w:t>
            </w:r>
            <w:r w:rsidRPr="00122E26">
              <w:rPr>
                <w:rFonts w:ascii="Traditional Arabic" w:hAnsi="Traditional Arabic"/>
                <w:sz w:val="30"/>
                <w:szCs w:val="28"/>
                <w:rtl/>
              </w:rPr>
              <w:t>6</w:t>
            </w:r>
          </w:p>
        </w:tc>
      </w:tr>
      <w:tr w:rsidR="00750F90" w:rsidRPr="00122E26" w:rsidTr="00727841">
        <w:trPr>
          <w:trHeight w:val="155"/>
        </w:trPr>
        <w:tc>
          <w:tcPr>
            <w:tcW w:w="1276" w:type="dxa"/>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50-54</w:t>
            </w:r>
          </w:p>
        </w:tc>
        <w:tc>
          <w:tcPr>
            <w:tcW w:w="1843" w:type="dxa"/>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993 042 2</w:t>
            </w:r>
          </w:p>
        </w:tc>
        <w:tc>
          <w:tcPr>
            <w:tcW w:w="1701"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196 986</w:t>
            </w:r>
          </w:p>
        </w:tc>
        <w:tc>
          <w:tcPr>
            <w:tcW w:w="1533"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797 056 1</w:t>
            </w:r>
          </w:p>
        </w:tc>
        <w:tc>
          <w:tcPr>
            <w:tcW w:w="1190" w:type="dxa"/>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93</w:t>
            </w:r>
            <w:r w:rsidR="00307AAE" w:rsidRPr="00122E26">
              <w:rPr>
                <w:rFonts w:ascii="Traditional Arabic" w:hAnsi="Traditional Arabic"/>
                <w:sz w:val="30"/>
                <w:szCs w:val="28"/>
                <w:rtl/>
              </w:rPr>
              <w:t>.</w:t>
            </w:r>
            <w:r w:rsidRPr="00122E26">
              <w:rPr>
                <w:rFonts w:ascii="Traditional Arabic" w:hAnsi="Traditional Arabic"/>
                <w:sz w:val="30"/>
                <w:szCs w:val="28"/>
                <w:rtl/>
              </w:rPr>
              <w:t>3</w:t>
            </w:r>
          </w:p>
        </w:tc>
      </w:tr>
      <w:tr w:rsidR="00750F90" w:rsidRPr="00122E26" w:rsidTr="00727841">
        <w:trPr>
          <w:trHeight w:val="155"/>
        </w:trPr>
        <w:tc>
          <w:tcPr>
            <w:tcW w:w="1276" w:type="dxa"/>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55-59</w:t>
            </w:r>
          </w:p>
        </w:tc>
        <w:tc>
          <w:tcPr>
            <w:tcW w:w="1843" w:type="dxa"/>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950 868 1</w:t>
            </w:r>
          </w:p>
        </w:tc>
        <w:tc>
          <w:tcPr>
            <w:tcW w:w="1701"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570 893</w:t>
            </w:r>
          </w:p>
        </w:tc>
        <w:tc>
          <w:tcPr>
            <w:tcW w:w="1533"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380 975</w:t>
            </w:r>
          </w:p>
        </w:tc>
        <w:tc>
          <w:tcPr>
            <w:tcW w:w="1190" w:type="dxa"/>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91</w:t>
            </w:r>
            <w:r w:rsidR="00307AAE" w:rsidRPr="00122E26">
              <w:rPr>
                <w:rFonts w:ascii="Traditional Arabic" w:hAnsi="Traditional Arabic"/>
                <w:sz w:val="30"/>
                <w:szCs w:val="28"/>
                <w:rtl/>
              </w:rPr>
              <w:t>.</w:t>
            </w:r>
            <w:r w:rsidRPr="00122E26">
              <w:rPr>
                <w:rFonts w:ascii="Traditional Arabic" w:hAnsi="Traditional Arabic"/>
                <w:sz w:val="30"/>
                <w:szCs w:val="28"/>
                <w:rtl/>
              </w:rPr>
              <w:t>6</w:t>
            </w:r>
          </w:p>
        </w:tc>
      </w:tr>
      <w:tr w:rsidR="00750F90" w:rsidRPr="00122E26" w:rsidTr="00727841">
        <w:trPr>
          <w:trHeight w:val="155"/>
        </w:trPr>
        <w:tc>
          <w:tcPr>
            <w:tcW w:w="1276" w:type="dxa"/>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60-64</w:t>
            </w:r>
          </w:p>
        </w:tc>
        <w:tc>
          <w:tcPr>
            <w:tcW w:w="1843" w:type="dxa"/>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190 621 1</w:t>
            </w:r>
          </w:p>
        </w:tc>
        <w:tc>
          <w:tcPr>
            <w:tcW w:w="1701"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914 760</w:t>
            </w:r>
          </w:p>
        </w:tc>
        <w:tc>
          <w:tcPr>
            <w:tcW w:w="1533"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276 860</w:t>
            </w:r>
          </w:p>
        </w:tc>
        <w:tc>
          <w:tcPr>
            <w:tcW w:w="1190" w:type="dxa"/>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88</w:t>
            </w:r>
            <w:r w:rsidR="00307AAE" w:rsidRPr="00122E26">
              <w:rPr>
                <w:rFonts w:ascii="Traditional Arabic" w:hAnsi="Traditional Arabic"/>
                <w:sz w:val="30"/>
                <w:szCs w:val="28"/>
                <w:rtl/>
              </w:rPr>
              <w:t>.</w:t>
            </w:r>
            <w:r w:rsidRPr="00122E26">
              <w:rPr>
                <w:rFonts w:ascii="Traditional Arabic" w:hAnsi="Traditional Arabic"/>
                <w:sz w:val="30"/>
                <w:szCs w:val="28"/>
                <w:rtl/>
              </w:rPr>
              <w:t>4</w:t>
            </w:r>
          </w:p>
        </w:tc>
      </w:tr>
      <w:tr w:rsidR="00750F90" w:rsidRPr="00122E26" w:rsidTr="00727841">
        <w:trPr>
          <w:trHeight w:val="155"/>
        </w:trPr>
        <w:tc>
          <w:tcPr>
            <w:tcW w:w="1276" w:type="dxa"/>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65-69</w:t>
            </w:r>
          </w:p>
        </w:tc>
        <w:tc>
          <w:tcPr>
            <w:tcW w:w="1843" w:type="dxa"/>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061 293 1</w:t>
            </w:r>
          </w:p>
        </w:tc>
        <w:tc>
          <w:tcPr>
            <w:tcW w:w="1701"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569 588</w:t>
            </w:r>
          </w:p>
        </w:tc>
        <w:tc>
          <w:tcPr>
            <w:tcW w:w="1533"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492 704</w:t>
            </w:r>
          </w:p>
        </w:tc>
        <w:tc>
          <w:tcPr>
            <w:tcW w:w="1190" w:type="dxa"/>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83</w:t>
            </w:r>
            <w:r w:rsidR="00307AAE" w:rsidRPr="00122E26">
              <w:rPr>
                <w:rFonts w:ascii="Traditional Arabic" w:hAnsi="Traditional Arabic"/>
                <w:sz w:val="30"/>
                <w:szCs w:val="28"/>
                <w:rtl/>
              </w:rPr>
              <w:t>.</w:t>
            </w:r>
            <w:r w:rsidRPr="00122E26">
              <w:rPr>
                <w:rFonts w:ascii="Traditional Arabic" w:hAnsi="Traditional Arabic"/>
                <w:sz w:val="30"/>
                <w:szCs w:val="28"/>
                <w:rtl/>
              </w:rPr>
              <w:t>5</w:t>
            </w:r>
          </w:p>
        </w:tc>
      </w:tr>
      <w:tr w:rsidR="00750F90" w:rsidRPr="00122E26" w:rsidTr="00727841">
        <w:trPr>
          <w:trHeight w:val="155"/>
        </w:trPr>
        <w:tc>
          <w:tcPr>
            <w:tcW w:w="1276" w:type="dxa"/>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70-74</w:t>
            </w:r>
          </w:p>
        </w:tc>
        <w:tc>
          <w:tcPr>
            <w:tcW w:w="1843" w:type="dxa"/>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897 015 1</w:t>
            </w:r>
          </w:p>
        </w:tc>
        <w:tc>
          <w:tcPr>
            <w:tcW w:w="1701"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438 438</w:t>
            </w:r>
          </w:p>
        </w:tc>
        <w:tc>
          <w:tcPr>
            <w:tcW w:w="1533"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459 577</w:t>
            </w:r>
          </w:p>
        </w:tc>
        <w:tc>
          <w:tcPr>
            <w:tcW w:w="1190" w:type="dxa"/>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75</w:t>
            </w:r>
            <w:r w:rsidR="00307AAE" w:rsidRPr="00122E26">
              <w:rPr>
                <w:rFonts w:ascii="Traditional Arabic" w:hAnsi="Traditional Arabic"/>
                <w:sz w:val="30"/>
                <w:szCs w:val="28"/>
                <w:rtl/>
              </w:rPr>
              <w:t>.</w:t>
            </w:r>
            <w:r w:rsidRPr="00122E26">
              <w:rPr>
                <w:rFonts w:ascii="Traditional Arabic" w:hAnsi="Traditional Arabic"/>
                <w:sz w:val="30"/>
                <w:szCs w:val="28"/>
                <w:rtl/>
              </w:rPr>
              <w:t>9</w:t>
            </w:r>
          </w:p>
        </w:tc>
      </w:tr>
      <w:tr w:rsidR="00750F90" w:rsidRPr="00122E26" w:rsidTr="00727841">
        <w:trPr>
          <w:trHeight w:val="155"/>
        </w:trPr>
        <w:tc>
          <w:tcPr>
            <w:tcW w:w="1276" w:type="dxa"/>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75-79</w:t>
            </w:r>
          </w:p>
        </w:tc>
        <w:tc>
          <w:tcPr>
            <w:tcW w:w="1843" w:type="dxa"/>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659 801</w:t>
            </w:r>
          </w:p>
        </w:tc>
        <w:tc>
          <w:tcPr>
            <w:tcW w:w="1701"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481 321</w:t>
            </w:r>
          </w:p>
        </w:tc>
        <w:tc>
          <w:tcPr>
            <w:tcW w:w="1533"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178 480</w:t>
            </w:r>
          </w:p>
        </w:tc>
        <w:tc>
          <w:tcPr>
            <w:tcW w:w="1190" w:type="dxa"/>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67</w:t>
            </w:r>
            <w:r w:rsidR="00307AAE" w:rsidRPr="00122E26">
              <w:rPr>
                <w:rFonts w:ascii="Traditional Arabic" w:hAnsi="Traditional Arabic"/>
                <w:sz w:val="30"/>
                <w:szCs w:val="28"/>
                <w:rtl/>
              </w:rPr>
              <w:t>.</w:t>
            </w:r>
            <w:r w:rsidRPr="00122E26">
              <w:rPr>
                <w:rFonts w:ascii="Traditional Arabic" w:hAnsi="Traditional Arabic"/>
                <w:sz w:val="30"/>
                <w:szCs w:val="28"/>
                <w:rtl/>
              </w:rPr>
              <w:t>0</w:t>
            </w:r>
          </w:p>
        </w:tc>
      </w:tr>
      <w:tr w:rsidR="00750F90" w:rsidRPr="00122E26" w:rsidTr="00727841">
        <w:trPr>
          <w:trHeight w:val="155"/>
        </w:trPr>
        <w:tc>
          <w:tcPr>
            <w:tcW w:w="1276" w:type="dxa"/>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80-84</w:t>
            </w:r>
          </w:p>
        </w:tc>
        <w:tc>
          <w:tcPr>
            <w:tcW w:w="1843" w:type="dxa"/>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916 565</w:t>
            </w:r>
          </w:p>
        </w:tc>
        <w:tc>
          <w:tcPr>
            <w:tcW w:w="1701"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744 200</w:t>
            </w:r>
          </w:p>
        </w:tc>
        <w:tc>
          <w:tcPr>
            <w:tcW w:w="1533"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172 365</w:t>
            </w:r>
          </w:p>
        </w:tc>
        <w:tc>
          <w:tcPr>
            <w:tcW w:w="1190" w:type="dxa"/>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55</w:t>
            </w:r>
            <w:r w:rsidR="00307AAE" w:rsidRPr="00122E26">
              <w:rPr>
                <w:rFonts w:ascii="Traditional Arabic" w:hAnsi="Traditional Arabic"/>
                <w:sz w:val="30"/>
                <w:szCs w:val="28"/>
                <w:rtl/>
              </w:rPr>
              <w:t>.</w:t>
            </w:r>
            <w:r w:rsidRPr="00122E26">
              <w:rPr>
                <w:rFonts w:ascii="Traditional Arabic" w:hAnsi="Traditional Arabic"/>
                <w:sz w:val="30"/>
                <w:szCs w:val="28"/>
                <w:rtl/>
              </w:rPr>
              <w:t>0</w:t>
            </w:r>
          </w:p>
        </w:tc>
      </w:tr>
      <w:tr w:rsidR="00750F90" w:rsidRPr="00122E26" w:rsidTr="00727841">
        <w:trPr>
          <w:trHeight w:val="155"/>
        </w:trPr>
        <w:tc>
          <w:tcPr>
            <w:tcW w:w="1276" w:type="dxa"/>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85-89</w:t>
            </w:r>
          </w:p>
        </w:tc>
        <w:tc>
          <w:tcPr>
            <w:tcW w:w="1843" w:type="dxa"/>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337 298</w:t>
            </w:r>
          </w:p>
        </w:tc>
        <w:tc>
          <w:tcPr>
            <w:tcW w:w="1701"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848 92</w:t>
            </w:r>
          </w:p>
        </w:tc>
        <w:tc>
          <w:tcPr>
            <w:tcW w:w="1533"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489 205</w:t>
            </w:r>
          </w:p>
        </w:tc>
        <w:tc>
          <w:tcPr>
            <w:tcW w:w="1190" w:type="dxa"/>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45</w:t>
            </w:r>
            <w:r w:rsidR="00307AAE" w:rsidRPr="00122E26">
              <w:rPr>
                <w:rFonts w:ascii="Traditional Arabic" w:hAnsi="Traditional Arabic"/>
                <w:sz w:val="30"/>
                <w:szCs w:val="28"/>
                <w:rtl/>
              </w:rPr>
              <w:t>.</w:t>
            </w:r>
            <w:r w:rsidRPr="00122E26">
              <w:rPr>
                <w:rFonts w:ascii="Traditional Arabic" w:hAnsi="Traditional Arabic"/>
                <w:sz w:val="30"/>
                <w:szCs w:val="28"/>
                <w:rtl/>
              </w:rPr>
              <w:t>2</w:t>
            </w:r>
          </w:p>
        </w:tc>
      </w:tr>
      <w:tr w:rsidR="00750F90" w:rsidRPr="00122E26" w:rsidTr="00727841">
        <w:trPr>
          <w:trHeight w:val="155"/>
        </w:trPr>
        <w:tc>
          <w:tcPr>
            <w:tcW w:w="1276" w:type="dxa"/>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90-94</w:t>
            </w:r>
          </w:p>
        </w:tc>
        <w:tc>
          <w:tcPr>
            <w:tcW w:w="1843" w:type="dxa"/>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808 102</w:t>
            </w:r>
          </w:p>
        </w:tc>
        <w:tc>
          <w:tcPr>
            <w:tcW w:w="1701"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574 26</w:t>
            </w:r>
          </w:p>
        </w:tc>
        <w:tc>
          <w:tcPr>
            <w:tcW w:w="1533"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234 76</w:t>
            </w:r>
          </w:p>
        </w:tc>
        <w:tc>
          <w:tcPr>
            <w:tcW w:w="1190" w:type="dxa"/>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34</w:t>
            </w:r>
            <w:r w:rsidR="00307AAE" w:rsidRPr="00122E26">
              <w:rPr>
                <w:rFonts w:ascii="Traditional Arabic" w:hAnsi="Traditional Arabic"/>
                <w:sz w:val="30"/>
                <w:szCs w:val="28"/>
                <w:rtl/>
              </w:rPr>
              <w:t>.</w:t>
            </w:r>
            <w:r w:rsidRPr="00122E26">
              <w:rPr>
                <w:rFonts w:ascii="Traditional Arabic" w:hAnsi="Traditional Arabic"/>
                <w:sz w:val="30"/>
                <w:szCs w:val="28"/>
                <w:rtl/>
              </w:rPr>
              <w:t>9</w:t>
            </w:r>
          </w:p>
        </w:tc>
      </w:tr>
      <w:tr w:rsidR="00750F90" w:rsidRPr="00122E26" w:rsidTr="00727841">
        <w:trPr>
          <w:trHeight w:val="155"/>
        </w:trPr>
        <w:tc>
          <w:tcPr>
            <w:tcW w:w="1276" w:type="dxa"/>
          </w:tcPr>
          <w:p w:rsidR="00750F90" w:rsidRPr="00122E26" w:rsidRDefault="00750F90" w:rsidP="00727841">
            <w:pPr>
              <w:pStyle w:val="SingleTxtGA"/>
              <w:spacing w:before="40" w:after="40" w:line="300" w:lineRule="exact"/>
              <w:ind w:left="0" w:right="66"/>
              <w:jc w:val="left"/>
              <w:rPr>
                <w:rFonts w:ascii="Traditional Arabic" w:hAnsi="Traditional Arabic"/>
                <w:sz w:val="30"/>
                <w:szCs w:val="28"/>
                <w:rtl/>
              </w:rPr>
            </w:pPr>
            <w:r w:rsidRPr="00122E26">
              <w:rPr>
                <w:rFonts w:ascii="Traditional Arabic" w:hAnsi="Traditional Arabic"/>
                <w:sz w:val="30"/>
                <w:szCs w:val="28"/>
                <w:rtl/>
              </w:rPr>
              <w:t>95-99</w:t>
            </w:r>
          </w:p>
        </w:tc>
        <w:tc>
          <w:tcPr>
            <w:tcW w:w="1843" w:type="dxa"/>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483 23</w:t>
            </w:r>
          </w:p>
        </w:tc>
        <w:tc>
          <w:tcPr>
            <w:tcW w:w="1701"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704 4</w:t>
            </w:r>
          </w:p>
        </w:tc>
        <w:tc>
          <w:tcPr>
            <w:tcW w:w="1533" w:type="dxa"/>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779 18</w:t>
            </w:r>
          </w:p>
        </w:tc>
        <w:tc>
          <w:tcPr>
            <w:tcW w:w="1190" w:type="dxa"/>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25</w:t>
            </w:r>
            <w:r w:rsidR="00307AAE" w:rsidRPr="00122E26">
              <w:rPr>
                <w:rFonts w:ascii="Traditional Arabic" w:hAnsi="Traditional Arabic"/>
                <w:sz w:val="30"/>
                <w:szCs w:val="28"/>
                <w:rtl/>
              </w:rPr>
              <w:t>.</w:t>
            </w:r>
            <w:r w:rsidRPr="00122E26">
              <w:rPr>
                <w:rFonts w:ascii="Traditional Arabic" w:hAnsi="Traditional Arabic"/>
                <w:sz w:val="30"/>
                <w:szCs w:val="28"/>
                <w:rtl/>
              </w:rPr>
              <w:t>0</w:t>
            </w:r>
          </w:p>
        </w:tc>
      </w:tr>
      <w:tr w:rsidR="00750F90" w:rsidRPr="00122E26" w:rsidTr="00727841">
        <w:trPr>
          <w:trHeight w:val="155"/>
        </w:trPr>
        <w:tc>
          <w:tcPr>
            <w:tcW w:w="1276" w:type="dxa"/>
            <w:tcBorders>
              <w:bottom w:val="single" w:sz="4" w:space="0" w:color="auto"/>
            </w:tcBorders>
          </w:tcPr>
          <w:p w:rsidR="00750F90" w:rsidRPr="00727841" w:rsidRDefault="00750F90" w:rsidP="00727841">
            <w:pPr>
              <w:pStyle w:val="SingleTxtGA"/>
              <w:spacing w:before="40" w:after="40" w:line="300" w:lineRule="exact"/>
              <w:ind w:left="0" w:right="34"/>
              <w:jc w:val="left"/>
              <w:rPr>
                <w:rFonts w:ascii="Traditional Arabic" w:hAnsi="Traditional Arabic"/>
                <w:spacing w:val="-4"/>
                <w:sz w:val="30"/>
                <w:szCs w:val="28"/>
                <w:rtl/>
              </w:rPr>
            </w:pPr>
            <w:r w:rsidRPr="00727841">
              <w:rPr>
                <w:rFonts w:ascii="Traditional Arabic" w:hAnsi="Traditional Arabic"/>
                <w:spacing w:val="-4"/>
                <w:sz w:val="30"/>
                <w:szCs w:val="28"/>
                <w:rtl/>
              </w:rPr>
              <w:t>100 وما فوق</w:t>
            </w:r>
          </w:p>
        </w:tc>
        <w:tc>
          <w:tcPr>
            <w:tcW w:w="1843" w:type="dxa"/>
            <w:tcBorders>
              <w:bottom w:val="single" w:sz="4" w:space="0" w:color="auto"/>
            </w:tcBorders>
          </w:tcPr>
          <w:p w:rsidR="00750F90" w:rsidRPr="00122E26" w:rsidRDefault="00750F90" w:rsidP="00727841">
            <w:pPr>
              <w:pStyle w:val="SingleTxtGA"/>
              <w:spacing w:before="40" w:after="40" w:line="300" w:lineRule="exact"/>
              <w:ind w:left="0" w:right="91"/>
              <w:jc w:val="left"/>
              <w:rPr>
                <w:rFonts w:ascii="Traditional Arabic" w:hAnsi="Traditional Arabic"/>
                <w:sz w:val="30"/>
                <w:szCs w:val="28"/>
                <w:rtl/>
              </w:rPr>
            </w:pPr>
            <w:r w:rsidRPr="00122E26">
              <w:rPr>
                <w:rFonts w:ascii="Traditional Arabic" w:hAnsi="Traditional Arabic"/>
                <w:sz w:val="30"/>
                <w:szCs w:val="28"/>
                <w:rtl/>
              </w:rPr>
              <w:t>487 3</w:t>
            </w:r>
          </w:p>
        </w:tc>
        <w:tc>
          <w:tcPr>
            <w:tcW w:w="1701" w:type="dxa"/>
            <w:tcBorders>
              <w:bottom w:val="single" w:sz="4" w:space="0" w:color="auto"/>
            </w:tcBorders>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784</w:t>
            </w:r>
          </w:p>
        </w:tc>
        <w:tc>
          <w:tcPr>
            <w:tcW w:w="1533" w:type="dxa"/>
            <w:tcBorders>
              <w:bottom w:val="single" w:sz="4" w:space="0" w:color="auto"/>
            </w:tcBorders>
          </w:tcPr>
          <w:p w:rsidR="00750F90" w:rsidRPr="00122E26" w:rsidRDefault="00750F90" w:rsidP="00727841">
            <w:pPr>
              <w:pStyle w:val="SingleTxtGA"/>
              <w:spacing w:before="40" w:after="40" w:line="300" w:lineRule="exact"/>
              <w:ind w:left="0" w:right="34"/>
              <w:jc w:val="left"/>
              <w:rPr>
                <w:rFonts w:ascii="Traditional Arabic" w:hAnsi="Traditional Arabic"/>
                <w:sz w:val="30"/>
                <w:szCs w:val="28"/>
                <w:rtl/>
              </w:rPr>
            </w:pPr>
            <w:r w:rsidRPr="00122E26">
              <w:rPr>
                <w:rFonts w:ascii="Traditional Arabic" w:hAnsi="Traditional Arabic"/>
                <w:sz w:val="30"/>
                <w:szCs w:val="28"/>
                <w:rtl/>
              </w:rPr>
              <w:t>703 2</w:t>
            </w:r>
          </w:p>
        </w:tc>
        <w:tc>
          <w:tcPr>
            <w:tcW w:w="1190" w:type="dxa"/>
            <w:tcBorders>
              <w:bottom w:val="single" w:sz="4" w:space="0" w:color="auto"/>
            </w:tcBorders>
          </w:tcPr>
          <w:p w:rsidR="00750F90" w:rsidRPr="00122E26" w:rsidRDefault="00750F90" w:rsidP="00727841">
            <w:pPr>
              <w:pStyle w:val="SingleTxtGA"/>
              <w:spacing w:before="40" w:after="40" w:line="300" w:lineRule="exact"/>
              <w:ind w:left="0" w:right="109"/>
              <w:jc w:val="left"/>
              <w:rPr>
                <w:rFonts w:ascii="Traditional Arabic" w:hAnsi="Traditional Arabic"/>
                <w:sz w:val="30"/>
                <w:szCs w:val="28"/>
                <w:rtl/>
              </w:rPr>
            </w:pPr>
            <w:r w:rsidRPr="00122E26">
              <w:rPr>
                <w:rFonts w:ascii="Traditional Arabic" w:hAnsi="Traditional Arabic"/>
                <w:sz w:val="30"/>
                <w:szCs w:val="28"/>
                <w:rtl/>
              </w:rPr>
              <w:t>29</w:t>
            </w:r>
            <w:r w:rsidR="00307AAE" w:rsidRPr="00122E26">
              <w:rPr>
                <w:rFonts w:ascii="Traditional Arabic" w:hAnsi="Traditional Arabic"/>
                <w:sz w:val="30"/>
                <w:szCs w:val="28"/>
                <w:rtl/>
              </w:rPr>
              <w:t>.</w:t>
            </w:r>
            <w:r w:rsidRPr="00122E26">
              <w:rPr>
                <w:rFonts w:ascii="Traditional Arabic" w:hAnsi="Traditional Arabic"/>
                <w:sz w:val="30"/>
                <w:szCs w:val="28"/>
                <w:rtl/>
              </w:rPr>
              <w:t>0</w:t>
            </w:r>
          </w:p>
        </w:tc>
      </w:tr>
      <w:tr w:rsidR="00750F90" w:rsidRPr="00122E26" w:rsidTr="00727841">
        <w:trPr>
          <w:trHeight w:val="155"/>
        </w:trPr>
        <w:tc>
          <w:tcPr>
            <w:tcW w:w="1276" w:type="dxa"/>
            <w:tcBorders>
              <w:top w:val="single" w:sz="4" w:space="0" w:color="auto"/>
              <w:bottom w:val="single" w:sz="12" w:space="0" w:color="auto"/>
            </w:tcBorders>
          </w:tcPr>
          <w:p w:rsidR="00750F90" w:rsidRPr="00122E26" w:rsidRDefault="00750F90" w:rsidP="00727841">
            <w:pPr>
              <w:pStyle w:val="SingleTxtGA"/>
              <w:spacing w:before="40" w:after="40" w:line="300" w:lineRule="exact"/>
              <w:ind w:left="0" w:right="34"/>
              <w:jc w:val="left"/>
              <w:rPr>
                <w:rFonts w:ascii="Traditional Arabic" w:hAnsi="Traditional Arabic"/>
                <w:b/>
                <w:bCs/>
                <w:sz w:val="30"/>
                <w:szCs w:val="28"/>
                <w:rtl/>
              </w:rPr>
            </w:pPr>
            <w:r w:rsidRPr="00122E26">
              <w:rPr>
                <w:rFonts w:ascii="Traditional Arabic" w:hAnsi="Traditional Arabic" w:hint="cs"/>
                <w:b/>
                <w:bCs/>
                <w:sz w:val="30"/>
                <w:szCs w:val="28"/>
                <w:rtl/>
              </w:rPr>
              <w:t>المجموع</w:t>
            </w:r>
          </w:p>
        </w:tc>
        <w:tc>
          <w:tcPr>
            <w:tcW w:w="1843" w:type="dxa"/>
            <w:tcBorders>
              <w:top w:val="single" w:sz="4" w:space="0" w:color="auto"/>
              <w:bottom w:val="single" w:sz="12" w:space="0" w:color="auto"/>
            </w:tcBorders>
          </w:tcPr>
          <w:p w:rsidR="00750F90" w:rsidRPr="00122E26" w:rsidRDefault="00750F90" w:rsidP="00727841">
            <w:pPr>
              <w:pStyle w:val="SingleTxtGA"/>
              <w:spacing w:before="40" w:after="40" w:line="300" w:lineRule="exact"/>
              <w:ind w:left="0" w:right="91"/>
              <w:jc w:val="left"/>
              <w:rPr>
                <w:rFonts w:ascii="Traditional Arabic" w:hAnsi="Traditional Arabic"/>
                <w:b/>
                <w:bCs/>
                <w:sz w:val="30"/>
                <w:szCs w:val="28"/>
                <w:rtl/>
              </w:rPr>
            </w:pPr>
            <w:r w:rsidRPr="00122E26">
              <w:rPr>
                <w:rFonts w:ascii="Traditional Arabic" w:hAnsi="Traditional Arabic" w:hint="cs"/>
                <w:b/>
                <w:bCs/>
                <w:sz w:val="30"/>
                <w:szCs w:val="28"/>
                <w:rtl/>
              </w:rPr>
              <w:t>096 117 40</w:t>
            </w:r>
          </w:p>
        </w:tc>
        <w:tc>
          <w:tcPr>
            <w:tcW w:w="1701" w:type="dxa"/>
            <w:tcBorders>
              <w:top w:val="single" w:sz="4" w:space="0" w:color="auto"/>
              <w:bottom w:val="single" w:sz="12" w:space="0" w:color="auto"/>
            </w:tcBorders>
          </w:tcPr>
          <w:p w:rsidR="00750F90" w:rsidRPr="00122E26" w:rsidRDefault="00750F90" w:rsidP="00727841">
            <w:pPr>
              <w:pStyle w:val="SingleTxtGA"/>
              <w:spacing w:before="40" w:after="40" w:line="300" w:lineRule="exact"/>
              <w:ind w:left="0" w:right="34"/>
              <w:jc w:val="left"/>
              <w:rPr>
                <w:rFonts w:ascii="Traditional Arabic" w:hAnsi="Traditional Arabic"/>
                <w:b/>
                <w:bCs/>
                <w:sz w:val="30"/>
                <w:szCs w:val="28"/>
                <w:rtl/>
              </w:rPr>
            </w:pPr>
            <w:r w:rsidRPr="00122E26">
              <w:rPr>
                <w:rFonts w:ascii="Traditional Arabic" w:hAnsi="Traditional Arabic" w:hint="cs"/>
                <w:b/>
                <w:bCs/>
                <w:sz w:val="30"/>
                <w:szCs w:val="28"/>
                <w:rtl/>
              </w:rPr>
              <w:t>766 523 19</w:t>
            </w:r>
          </w:p>
        </w:tc>
        <w:tc>
          <w:tcPr>
            <w:tcW w:w="1533" w:type="dxa"/>
            <w:tcBorders>
              <w:top w:val="single" w:sz="4" w:space="0" w:color="auto"/>
              <w:bottom w:val="single" w:sz="12" w:space="0" w:color="auto"/>
            </w:tcBorders>
          </w:tcPr>
          <w:p w:rsidR="00750F90" w:rsidRPr="00727841" w:rsidRDefault="00750F90" w:rsidP="00727841">
            <w:pPr>
              <w:pStyle w:val="SingleTxtGA"/>
              <w:spacing w:before="40" w:after="40" w:line="300" w:lineRule="exact"/>
              <w:ind w:left="0" w:right="34"/>
              <w:jc w:val="left"/>
              <w:rPr>
                <w:rFonts w:ascii="Traditional Arabic" w:hAnsi="Traditional Arabic"/>
                <w:b/>
                <w:bCs/>
                <w:spacing w:val="-4"/>
                <w:sz w:val="30"/>
                <w:szCs w:val="28"/>
                <w:rtl/>
              </w:rPr>
            </w:pPr>
            <w:r w:rsidRPr="00727841">
              <w:rPr>
                <w:rFonts w:ascii="Traditional Arabic" w:hAnsi="Traditional Arabic" w:hint="cs"/>
                <w:b/>
                <w:bCs/>
                <w:spacing w:val="-4"/>
                <w:sz w:val="30"/>
                <w:szCs w:val="28"/>
                <w:rtl/>
              </w:rPr>
              <w:t>330 593 20</w:t>
            </w:r>
          </w:p>
        </w:tc>
        <w:tc>
          <w:tcPr>
            <w:tcW w:w="1190" w:type="dxa"/>
            <w:tcBorders>
              <w:top w:val="single" w:sz="4" w:space="0" w:color="auto"/>
              <w:bottom w:val="single" w:sz="12" w:space="0" w:color="auto"/>
            </w:tcBorders>
          </w:tcPr>
          <w:p w:rsidR="00750F90" w:rsidRPr="00122E26" w:rsidRDefault="00750F90" w:rsidP="00727841">
            <w:pPr>
              <w:pStyle w:val="SingleTxtGA"/>
              <w:spacing w:before="40" w:after="40" w:line="300" w:lineRule="exact"/>
              <w:ind w:left="0" w:right="109"/>
              <w:jc w:val="left"/>
              <w:rPr>
                <w:rFonts w:ascii="Traditional Arabic" w:hAnsi="Traditional Arabic"/>
                <w:b/>
                <w:bCs/>
                <w:sz w:val="30"/>
                <w:szCs w:val="28"/>
                <w:rtl/>
              </w:rPr>
            </w:pPr>
            <w:r w:rsidRPr="00122E26">
              <w:rPr>
                <w:rFonts w:ascii="Traditional Arabic" w:hAnsi="Traditional Arabic" w:hint="cs"/>
                <w:b/>
                <w:bCs/>
                <w:sz w:val="30"/>
                <w:szCs w:val="28"/>
                <w:rtl/>
              </w:rPr>
              <w:t>94</w:t>
            </w:r>
            <w:r w:rsidR="00307AAE" w:rsidRPr="00122E26">
              <w:rPr>
                <w:rFonts w:ascii="Traditional Arabic" w:hAnsi="Traditional Arabic" w:hint="cs"/>
                <w:b/>
                <w:bCs/>
                <w:sz w:val="30"/>
                <w:szCs w:val="28"/>
                <w:rtl/>
              </w:rPr>
              <w:t>.</w:t>
            </w:r>
            <w:r w:rsidRPr="00122E26">
              <w:rPr>
                <w:rFonts w:ascii="Traditional Arabic" w:hAnsi="Traditional Arabic" w:hint="cs"/>
                <w:b/>
                <w:bCs/>
                <w:sz w:val="30"/>
                <w:szCs w:val="28"/>
                <w:rtl/>
              </w:rPr>
              <w:t>8</w:t>
            </w:r>
          </w:p>
        </w:tc>
      </w:tr>
    </w:tbl>
    <w:p w:rsidR="00706E77" w:rsidRPr="00706E77" w:rsidRDefault="00706E77" w:rsidP="00706E77">
      <w:pPr>
        <w:pStyle w:val="SingleTxt"/>
        <w:spacing w:after="0" w:line="120" w:lineRule="exact"/>
        <w:rPr>
          <w:i/>
          <w:iCs/>
          <w:spacing w:val="-4"/>
          <w:w w:val="100"/>
          <w:kern w:val="0"/>
          <w:sz w:val="10"/>
          <w:szCs w:val="26"/>
          <w:rtl/>
        </w:rPr>
      </w:pPr>
    </w:p>
    <w:p w:rsidR="00750F90" w:rsidRPr="00727841" w:rsidRDefault="00750F90" w:rsidP="006A2A64">
      <w:pPr>
        <w:pStyle w:val="SingleTxt"/>
        <w:spacing w:after="60"/>
        <w:rPr>
          <w:spacing w:val="-4"/>
          <w:w w:val="100"/>
          <w:kern w:val="0"/>
          <w:sz w:val="26"/>
          <w:szCs w:val="26"/>
          <w:rtl/>
        </w:rPr>
      </w:pPr>
      <w:r w:rsidRPr="00727841">
        <w:rPr>
          <w:rFonts w:hint="cs"/>
          <w:i/>
          <w:iCs/>
          <w:spacing w:val="-4"/>
          <w:w w:val="100"/>
          <w:kern w:val="0"/>
          <w:sz w:val="26"/>
          <w:szCs w:val="26"/>
          <w:rtl/>
        </w:rPr>
        <w:t>المصدر</w:t>
      </w:r>
      <w:r w:rsidRPr="00727841">
        <w:rPr>
          <w:rFonts w:hint="cs"/>
          <w:spacing w:val="-4"/>
          <w:w w:val="100"/>
          <w:kern w:val="0"/>
          <w:sz w:val="26"/>
          <w:szCs w:val="26"/>
          <w:rtl/>
        </w:rPr>
        <w:t>:</w:t>
      </w:r>
      <w:r w:rsidR="00727841">
        <w:rPr>
          <w:spacing w:val="-4"/>
          <w:w w:val="100"/>
          <w:kern w:val="0"/>
          <w:sz w:val="26"/>
          <w:szCs w:val="26"/>
          <w:rtl/>
        </w:rPr>
        <w:tab/>
      </w:r>
      <w:r w:rsidRPr="00727841">
        <w:rPr>
          <w:spacing w:val="-4"/>
          <w:w w:val="100"/>
          <w:kern w:val="0"/>
          <w:sz w:val="26"/>
          <w:szCs w:val="26"/>
          <w:rtl/>
        </w:rPr>
        <w:t xml:space="preserve">المعهد الوطني للإحصاءات وتعداد السكان. التعداد الوطني للسكان </w:t>
      </w:r>
      <w:r w:rsidRPr="00727841">
        <w:rPr>
          <w:rFonts w:hint="cs"/>
          <w:spacing w:val="-4"/>
          <w:w w:val="100"/>
          <w:kern w:val="0"/>
          <w:sz w:val="26"/>
          <w:szCs w:val="26"/>
          <w:rtl/>
        </w:rPr>
        <w:t>والأسر المعيشية والمساكن لعام 2010</w:t>
      </w:r>
      <w:r w:rsidRPr="00727841">
        <w:rPr>
          <w:spacing w:val="-4"/>
          <w:w w:val="100"/>
          <w:kern w:val="0"/>
          <w:sz w:val="26"/>
          <w:szCs w:val="26"/>
          <w:rtl/>
        </w:rPr>
        <w:t>.</w:t>
      </w:r>
    </w:p>
    <w:p w:rsidR="00750F90" w:rsidRPr="00727841" w:rsidRDefault="00750F90" w:rsidP="00CD4175">
      <w:pPr>
        <w:pStyle w:val="SingleTxt"/>
        <w:rPr>
          <w:spacing w:val="-4"/>
          <w:w w:val="100"/>
          <w:kern w:val="0"/>
          <w:sz w:val="26"/>
          <w:szCs w:val="26"/>
          <w:rtl/>
        </w:rPr>
      </w:pPr>
      <w:r w:rsidRPr="00727841">
        <w:rPr>
          <w:i/>
          <w:iCs/>
          <w:spacing w:val="-4"/>
          <w:w w:val="100"/>
          <w:kern w:val="0"/>
          <w:sz w:val="26"/>
          <w:szCs w:val="26"/>
          <w:rtl/>
        </w:rPr>
        <w:t>ملاحظة</w:t>
      </w:r>
      <w:r w:rsidR="00727841">
        <w:rPr>
          <w:rFonts w:hint="cs"/>
          <w:spacing w:val="-4"/>
          <w:w w:val="100"/>
          <w:kern w:val="0"/>
          <w:sz w:val="26"/>
          <w:szCs w:val="26"/>
          <w:rtl/>
        </w:rPr>
        <w:t>:</w:t>
      </w:r>
      <w:r w:rsidR="00727841">
        <w:rPr>
          <w:rFonts w:hint="cs"/>
          <w:spacing w:val="-4"/>
          <w:w w:val="100"/>
          <w:kern w:val="0"/>
          <w:sz w:val="26"/>
          <w:szCs w:val="26"/>
          <w:rtl/>
        </w:rPr>
        <w:tab/>
      </w:r>
      <w:r w:rsidRPr="00727841">
        <w:rPr>
          <w:rFonts w:hint="cs"/>
          <w:spacing w:val="-4"/>
          <w:w w:val="100"/>
          <w:kern w:val="0"/>
          <w:sz w:val="26"/>
          <w:szCs w:val="26"/>
          <w:rtl/>
        </w:rPr>
        <w:t xml:space="preserve">يشمل مجموع السكان الأشخاص الذين يعيشون في الشوارع. ويبين مؤشر الذكورة عدد الذكور </w:t>
      </w:r>
      <w:r w:rsidR="00727841">
        <w:rPr>
          <w:rFonts w:hint="cs"/>
          <w:spacing w:val="-4"/>
          <w:w w:val="100"/>
          <w:kern w:val="0"/>
          <w:sz w:val="26"/>
          <w:szCs w:val="26"/>
          <w:rtl/>
        </w:rPr>
        <w:t xml:space="preserve">             </w:t>
      </w:r>
      <w:r w:rsidRPr="00727841">
        <w:rPr>
          <w:rFonts w:hint="cs"/>
          <w:spacing w:val="-4"/>
          <w:w w:val="100"/>
          <w:kern w:val="0"/>
          <w:sz w:val="26"/>
          <w:szCs w:val="26"/>
          <w:rtl/>
        </w:rPr>
        <w:t>لكل 100 أنثى.</w:t>
      </w:r>
    </w:p>
    <w:p w:rsidR="00750F90" w:rsidRPr="00307AAE" w:rsidRDefault="00750F90" w:rsidP="00727841">
      <w:pPr>
        <w:pStyle w:val="SingleTxt"/>
        <w:rPr>
          <w:w w:val="100"/>
          <w:rtl/>
        </w:rPr>
      </w:pPr>
      <w:r w:rsidRPr="00307AAE">
        <w:rPr>
          <w:rFonts w:hint="cs"/>
          <w:w w:val="100"/>
          <w:rtl/>
        </w:rPr>
        <w:t>الجدول 4</w:t>
      </w:r>
    </w:p>
    <w:p w:rsidR="00750F90" w:rsidRPr="00307AAE" w:rsidRDefault="00750F90" w:rsidP="00727841">
      <w:pPr>
        <w:pStyle w:val="SingleTxt"/>
        <w:rPr>
          <w:b/>
          <w:bCs/>
          <w:w w:val="100"/>
          <w:rtl/>
          <w:lang w:val="fr-CH"/>
        </w:rPr>
      </w:pPr>
      <w:r w:rsidRPr="00307AAE">
        <w:rPr>
          <w:rFonts w:hint="cs"/>
          <w:b/>
          <w:bCs/>
          <w:w w:val="100"/>
          <w:rtl/>
        </w:rPr>
        <w:t>معدل</w:t>
      </w:r>
      <w:r w:rsidRPr="00307AAE">
        <w:rPr>
          <w:rFonts w:hint="cs"/>
          <w:b/>
          <w:bCs/>
          <w:w w:val="100"/>
          <w:rtl/>
          <w:lang w:val="fr-CH"/>
        </w:rPr>
        <w:t xml:space="preserve"> الإعالة (النسبة المئوية للسكان الذين تقل أعمارهم عن 15 سنة وتفوق 65 سنة).</w:t>
      </w:r>
    </w:p>
    <w:p w:rsidR="00750F90" w:rsidRDefault="00750F90" w:rsidP="00727841">
      <w:pPr>
        <w:pStyle w:val="SingleTxt"/>
        <w:rPr>
          <w:w w:val="100"/>
          <w:rtl/>
          <w:lang w:val="fr-CH"/>
        </w:rPr>
      </w:pPr>
      <w:r w:rsidRPr="00307AAE">
        <w:rPr>
          <w:rFonts w:hint="cs"/>
          <w:b/>
          <w:bCs/>
          <w:w w:val="100"/>
          <w:rtl/>
          <w:lang w:val="fr-CH"/>
        </w:rPr>
        <w:t>نسبة الإعالة الإجمالية المحتملة للشباب والمسنين في البلد ككل، للفترة 1991/2010</w:t>
      </w:r>
      <w:r w:rsidRPr="00307AAE">
        <w:rPr>
          <w:rFonts w:hint="cs"/>
          <w:w w:val="100"/>
          <w:rtl/>
          <w:lang w:val="fr-CH"/>
        </w:rPr>
        <w:t>.</w:t>
      </w:r>
    </w:p>
    <w:p w:rsidR="00727841" w:rsidRPr="00727841" w:rsidRDefault="00727841" w:rsidP="00727841">
      <w:pPr>
        <w:pStyle w:val="SingleTxt"/>
        <w:spacing w:after="0" w:line="120" w:lineRule="exact"/>
        <w:rPr>
          <w:w w:val="100"/>
          <w:sz w:val="10"/>
          <w:rtl/>
          <w:lang w:val="fr-CH"/>
        </w:rPr>
      </w:pPr>
    </w:p>
    <w:tbl>
      <w:tblPr>
        <w:bidiVisual/>
        <w:tblW w:w="0" w:type="auto"/>
        <w:tblInd w:w="1356" w:type="dxa"/>
        <w:tblBorders>
          <w:top w:val="single" w:sz="4" w:space="0" w:color="auto"/>
          <w:bottom w:val="single" w:sz="4" w:space="0" w:color="auto"/>
        </w:tblBorders>
        <w:tblLayout w:type="fixed"/>
        <w:tblLook w:val="04A0" w:firstRow="1" w:lastRow="0" w:firstColumn="1" w:lastColumn="0" w:noHBand="0" w:noVBand="1"/>
      </w:tblPr>
      <w:tblGrid>
        <w:gridCol w:w="3544"/>
        <w:gridCol w:w="1276"/>
        <w:gridCol w:w="1417"/>
        <w:gridCol w:w="1320"/>
      </w:tblGrid>
      <w:tr w:rsidR="00750F90" w:rsidRPr="00727841" w:rsidTr="00727841">
        <w:tc>
          <w:tcPr>
            <w:tcW w:w="3544" w:type="dxa"/>
            <w:tcBorders>
              <w:top w:val="single" w:sz="4" w:space="0" w:color="auto"/>
              <w:bottom w:val="single" w:sz="12" w:space="0" w:color="auto"/>
            </w:tcBorders>
          </w:tcPr>
          <w:p w:rsidR="00750F90" w:rsidRPr="00727841" w:rsidRDefault="00750F90" w:rsidP="00727841">
            <w:pPr>
              <w:pStyle w:val="SingleTxtGA"/>
              <w:spacing w:before="40" w:after="40" w:line="300" w:lineRule="exact"/>
              <w:ind w:left="0" w:right="0"/>
              <w:jc w:val="center"/>
              <w:rPr>
                <w:rFonts w:ascii="Traditional Arabic" w:hAnsi="Traditional Arabic"/>
                <w:i/>
                <w:iCs/>
                <w:sz w:val="28"/>
                <w:szCs w:val="28"/>
                <w:rtl/>
                <w:lang w:val="fr-CH"/>
              </w:rPr>
            </w:pPr>
          </w:p>
        </w:tc>
        <w:tc>
          <w:tcPr>
            <w:tcW w:w="1276" w:type="dxa"/>
            <w:tcBorders>
              <w:top w:val="single" w:sz="4" w:space="0" w:color="auto"/>
              <w:bottom w:val="single" w:sz="12" w:space="0" w:color="auto"/>
            </w:tcBorders>
          </w:tcPr>
          <w:p w:rsidR="00750F90" w:rsidRPr="00727841" w:rsidRDefault="00750F90" w:rsidP="00727841">
            <w:pPr>
              <w:pStyle w:val="SingleTxtGA"/>
              <w:spacing w:before="40" w:after="40" w:line="300" w:lineRule="exact"/>
              <w:ind w:left="0" w:right="0"/>
              <w:jc w:val="left"/>
              <w:rPr>
                <w:rFonts w:ascii="Traditional Arabic" w:hAnsi="Traditional Arabic"/>
                <w:i/>
                <w:iCs/>
                <w:sz w:val="28"/>
                <w:szCs w:val="28"/>
                <w:rtl/>
                <w:lang w:val="fr-CH"/>
              </w:rPr>
            </w:pPr>
            <w:r w:rsidRPr="00727841">
              <w:rPr>
                <w:rFonts w:ascii="Traditional Arabic" w:hAnsi="Traditional Arabic" w:hint="cs"/>
                <w:i/>
                <w:iCs/>
                <w:sz w:val="28"/>
                <w:szCs w:val="28"/>
                <w:rtl/>
                <w:lang w:val="fr-CH"/>
              </w:rPr>
              <w:t>المجموع</w:t>
            </w:r>
          </w:p>
          <w:p w:rsidR="00750F90" w:rsidRPr="00727841" w:rsidRDefault="00750F90" w:rsidP="00727841">
            <w:pPr>
              <w:pStyle w:val="SingleTxtGA"/>
              <w:spacing w:before="40" w:after="40" w:line="300" w:lineRule="exact"/>
              <w:ind w:left="0" w:right="0"/>
              <w:jc w:val="left"/>
              <w:rPr>
                <w:rFonts w:ascii="Traditional Arabic" w:hAnsi="Traditional Arabic"/>
                <w:i/>
                <w:iCs/>
                <w:sz w:val="28"/>
                <w:szCs w:val="28"/>
                <w:rtl/>
                <w:lang w:val="fr-CH"/>
              </w:rPr>
            </w:pPr>
            <w:r w:rsidRPr="00727841">
              <w:rPr>
                <w:rFonts w:ascii="Traditional Arabic" w:hAnsi="Traditional Arabic" w:hint="cs"/>
                <w:i/>
                <w:iCs/>
                <w:sz w:val="28"/>
                <w:szCs w:val="28"/>
                <w:rtl/>
                <w:lang w:val="fr-CH"/>
              </w:rPr>
              <w:t>بالنسبة المئوية</w:t>
            </w:r>
          </w:p>
        </w:tc>
        <w:tc>
          <w:tcPr>
            <w:tcW w:w="1417" w:type="dxa"/>
            <w:tcBorders>
              <w:top w:val="single" w:sz="4" w:space="0" w:color="auto"/>
              <w:bottom w:val="single" w:sz="12" w:space="0" w:color="auto"/>
            </w:tcBorders>
          </w:tcPr>
          <w:p w:rsidR="00750F90" w:rsidRPr="00727841" w:rsidRDefault="00750F90" w:rsidP="00727841">
            <w:pPr>
              <w:pStyle w:val="SingleTxtGA"/>
              <w:spacing w:before="40" w:after="40" w:line="300" w:lineRule="exact"/>
              <w:ind w:left="0" w:right="0"/>
              <w:jc w:val="left"/>
              <w:rPr>
                <w:rFonts w:ascii="Traditional Arabic" w:hAnsi="Traditional Arabic"/>
                <w:i/>
                <w:iCs/>
                <w:sz w:val="28"/>
                <w:szCs w:val="28"/>
                <w:rtl/>
                <w:lang w:val="fr-CH"/>
              </w:rPr>
            </w:pPr>
            <w:r w:rsidRPr="00727841">
              <w:rPr>
                <w:rFonts w:ascii="Traditional Arabic" w:hAnsi="Traditional Arabic" w:hint="cs"/>
                <w:i/>
                <w:iCs/>
                <w:sz w:val="28"/>
                <w:szCs w:val="28"/>
                <w:rtl/>
                <w:lang w:val="fr-CH"/>
              </w:rPr>
              <w:t>الشباب</w:t>
            </w:r>
          </w:p>
          <w:p w:rsidR="00750F90" w:rsidRPr="00727841" w:rsidRDefault="00750F90" w:rsidP="00727841">
            <w:pPr>
              <w:pStyle w:val="SingleTxtGA"/>
              <w:spacing w:before="40" w:after="40" w:line="300" w:lineRule="exact"/>
              <w:ind w:left="0" w:right="0"/>
              <w:jc w:val="left"/>
              <w:rPr>
                <w:rFonts w:ascii="Traditional Arabic" w:hAnsi="Traditional Arabic"/>
                <w:i/>
                <w:iCs/>
                <w:sz w:val="28"/>
                <w:szCs w:val="28"/>
                <w:rtl/>
                <w:lang w:val="fr-CH"/>
              </w:rPr>
            </w:pPr>
            <w:r w:rsidRPr="00727841">
              <w:rPr>
                <w:rFonts w:ascii="Traditional Arabic" w:hAnsi="Traditional Arabic" w:hint="cs"/>
                <w:i/>
                <w:iCs/>
                <w:sz w:val="28"/>
                <w:szCs w:val="28"/>
                <w:rtl/>
                <w:lang w:val="fr-CH"/>
              </w:rPr>
              <w:t>بالنسبة المئوية</w:t>
            </w:r>
          </w:p>
        </w:tc>
        <w:tc>
          <w:tcPr>
            <w:tcW w:w="1320" w:type="dxa"/>
            <w:tcBorders>
              <w:top w:val="single" w:sz="4" w:space="0" w:color="auto"/>
              <w:bottom w:val="single" w:sz="12" w:space="0" w:color="auto"/>
            </w:tcBorders>
          </w:tcPr>
          <w:p w:rsidR="00750F90" w:rsidRPr="00727841" w:rsidRDefault="00750F90" w:rsidP="00727841">
            <w:pPr>
              <w:pStyle w:val="SingleTxtGA"/>
              <w:spacing w:before="40" w:after="40" w:line="300" w:lineRule="exact"/>
              <w:ind w:left="0" w:right="0"/>
              <w:jc w:val="left"/>
              <w:rPr>
                <w:rFonts w:ascii="Traditional Arabic" w:hAnsi="Traditional Arabic"/>
                <w:i/>
                <w:iCs/>
                <w:sz w:val="28"/>
                <w:szCs w:val="28"/>
                <w:rtl/>
                <w:lang w:val="fr-CH"/>
              </w:rPr>
            </w:pPr>
            <w:r w:rsidRPr="00727841">
              <w:rPr>
                <w:rFonts w:ascii="Traditional Arabic" w:hAnsi="Traditional Arabic" w:hint="cs"/>
                <w:i/>
                <w:iCs/>
                <w:sz w:val="28"/>
                <w:szCs w:val="28"/>
                <w:rtl/>
                <w:lang w:val="fr-CH"/>
              </w:rPr>
              <w:t>المسنون</w:t>
            </w:r>
          </w:p>
          <w:p w:rsidR="00750F90" w:rsidRPr="00727841" w:rsidRDefault="00750F90" w:rsidP="00727841">
            <w:pPr>
              <w:pStyle w:val="SingleTxtGA"/>
              <w:spacing w:before="40" w:after="40" w:line="300" w:lineRule="exact"/>
              <w:ind w:left="0" w:right="0"/>
              <w:jc w:val="left"/>
              <w:rPr>
                <w:rFonts w:ascii="Traditional Arabic" w:hAnsi="Traditional Arabic"/>
                <w:i/>
                <w:iCs/>
                <w:sz w:val="28"/>
                <w:szCs w:val="28"/>
                <w:rtl/>
                <w:lang w:val="fr-CH"/>
              </w:rPr>
            </w:pPr>
            <w:r w:rsidRPr="00727841">
              <w:rPr>
                <w:rFonts w:ascii="Traditional Arabic" w:hAnsi="Traditional Arabic" w:hint="cs"/>
                <w:i/>
                <w:iCs/>
                <w:sz w:val="28"/>
                <w:szCs w:val="28"/>
                <w:rtl/>
                <w:lang w:val="fr-CH"/>
              </w:rPr>
              <w:t>بالنسبة المئوية</w:t>
            </w:r>
          </w:p>
        </w:tc>
      </w:tr>
      <w:tr w:rsidR="00750F90" w:rsidRPr="00727841" w:rsidTr="00727841">
        <w:tc>
          <w:tcPr>
            <w:tcW w:w="3544" w:type="dxa"/>
            <w:tcBorders>
              <w:top w:val="single" w:sz="12" w:space="0" w:color="auto"/>
            </w:tcBorders>
          </w:tcPr>
          <w:p w:rsidR="00750F90" w:rsidRPr="00727841" w:rsidRDefault="00750F90" w:rsidP="00727841">
            <w:pPr>
              <w:pStyle w:val="SingleTxtGA"/>
              <w:spacing w:before="40" w:after="40" w:line="300" w:lineRule="exact"/>
              <w:ind w:left="0" w:right="2"/>
              <w:jc w:val="left"/>
              <w:rPr>
                <w:rFonts w:ascii="Traditional Arabic" w:hAnsi="Traditional Arabic"/>
                <w:sz w:val="28"/>
                <w:szCs w:val="28"/>
                <w:rtl/>
                <w:lang w:val="fr-CH"/>
              </w:rPr>
            </w:pPr>
            <w:r w:rsidRPr="00727841">
              <w:rPr>
                <w:rFonts w:ascii="Traditional Arabic" w:hAnsi="Traditional Arabic" w:hint="cs"/>
                <w:sz w:val="28"/>
                <w:szCs w:val="28"/>
                <w:rtl/>
                <w:lang w:val="fr-CH"/>
              </w:rPr>
              <w:t>1991</w:t>
            </w:r>
          </w:p>
        </w:tc>
        <w:tc>
          <w:tcPr>
            <w:tcW w:w="1276" w:type="dxa"/>
            <w:tcBorders>
              <w:top w:val="single" w:sz="12" w:space="0" w:color="auto"/>
            </w:tcBorders>
          </w:tcPr>
          <w:p w:rsidR="00750F90" w:rsidRPr="00727841" w:rsidRDefault="00750F90" w:rsidP="00727841">
            <w:pPr>
              <w:pStyle w:val="SingleTxtGA"/>
              <w:spacing w:before="40" w:after="40" w:line="300" w:lineRule="exact"/>
              <w:ind w:left="0" w:right="0"/>
              <w:jc w:val="left"/>
              <w:rPr>
                <w:rFonts w:ascii="Traditional Arabic" w:hAnsi="Traditional Arabic"/>
                <w:sz w:val="28"/>
                <w:szCs w:val="28"/>
                <w:rtl/>
                <w:lang w:val="fr-CH"/>
              </w:rPr>
            </w:pPr>
            <w:r w:rsidRPr="00727841">
              <w:rPr>
                <w:rFonts w:ascii="Traditional Arabic" w:hAnsi="Traditional Arabic" w:hint="cs"/>
                <w:sz w:val="28"/>
                <w:szCs w:val="28"/>
                <w:rtl/>
                <w:lang w:val="fr-CH"/>
              </w:rPr>
              <w:t>65</w:t>
            </w:r>
            <w:r w:rsidR="00307AAE" w:rsidRPr="00727841">
              <w:rPr>
                <w:rFonts w:ascii="Traditional Arabic" w:hAnsi="Traditional Arabic" w:hint="cs"/>
                <w:sz w:val="28"/>
                <w:szCs w:val="28"/>
                <w:rtl/>
                <w:lang w:val="fr-CH"/>
              </w:rPr>
              <w:t>.</w:t>
            </w:r>
            <w:r w:rsidRPr="00727841">
              <w:rPr>
                <w:rFonts w:ascii="Traditional Arabic" w:hAnsi="Traditional Arabic" w:hint="cs"/>
                <w:sz w:val="28"/>
                <w:szCs w:val="28"/>
                <w:rtl/>
                <w:lang w:val="fr-CH"/>
              </w:rPr>
              <w:t>1</w:t>
            </w:r>
          </w:p>
        </w:tc>
        <w:tc>
          <w:tcPr>
            <w:tcW w:w="1417" w:type="dxa"/>
            <w:tcBorders>
              <w:top w:val="single" w:sz="12" w:space="0" w:color="auto"/>
            </w:tcBorders>
          </w:tcPr>
          <w:p w:rsidR="00750F90" w:rsidRPr="00727841" w:rsidRDefault="00750F90" w:rsidP="00727841">
            <w:pPr>
              <w:pStyle w:val="SingleTxtGA"/>
              <w:spacing w:before="40" w:after="40" w:line="300" w:lineRule="exact"/>
              <w:ind w:left="0" w:right="0"/>
              <w:jc w:val="left"/>
              <w:rPr>
                <w:rFonts w:ascii="Traditional Arabic" w:hAnsi="Traditional Arabic"/>
                <w:sz w:val="28"/>
                <w:szCs w:val="28"/>
                <w:rtl/>
                <w:lang w:val="fr-CH"/>
              </w:rPr>
            </w:pPr>
            <w:r w:rsidRPr="00727841">
              <w:rPr>
                <w:rFonts w:ascii="Traditional Arabic" w:hAnsi="Traditional Arabic" w:hint="cs"/>
                <w:sz w:val="28"/>
                <w:szCs w:val="28"/>
                <w:rtl/>
                <w:lang w:val="fr-CH"/>
              </w:rPr>
              <w:t>50</w:t>
            </w:r>
            <w:r w:rsidR="00307AAE" w:rsidRPr="00727841">
              <w:rPr>
                <w:rFonts w:ascii="Traditional Arabic" w:hAnsi="Traditional Arabic" w:hint="cs"/>
                <w:sz w:val="28"/>
                <w:szCs w:val="28"/>
                <w:rtl/>
                <w:lang w:val="fr-CH"/>
              </w:rPr>
              <w:t>.</w:t>
            </w:r>
            <w:r w:rsidRPr="00727841">
              <w:rPr>
                <w:rFonts w:ascii="Traditional Arabic" w:hAnsi="Traditional Arabic" w:hint="cs"/>
                <w:sz w:val="28"/>
                <w:szCs w:val="28"/>
                <w:rtl/>
                <w:lang w:val="fr-CH"/>
              </w:rPr>
              <w:t>5</w:t>
            </w:r>
          </w:p>
        </w:tc>
        <w:tc>
          <w:tcPr>
            <w:tcW w:w="1320" w:type="dxa"/>
            <w:tcBorders>
              <w:top w:val="single" w:sz="12" w:space="0" w:color="auto"/>
            </w:tcBorders>
          </w:tcPr>
          <w:p w:rsidR="00750F90" w:rsidRPr="00727841" w:rsidRDefault="00750F90" w:rsidP="00727841">
            <w:pPr>
              <w:pStyle w:val="SingleTxtGA"/>
              <w:spacing w:before="40" w:after="40" w:line="300" w:lineRule="exact"/>
              <w:ind w:left="0" w:right="0"/>
              <w:jc w:val="left"/>
              <w:rPr>
                <w:rFonts w:ascii="Traditional Arabic" w:hAnsi="Traditional Arabic"/>
                <w:sz w:val="28"/>
                <w:szCs w:val="28"/>
                <w:rtl/>
                <w:lang w:val="fr-CH"/>
              </w:rPr>
            </w:pPr>
            <w:r w:rsidRPr="00727841">
              <w:rPr>
                <w:rFonts w:ascii="Traditional Arabic" w:hAnsi="Traditional Arabic" w:hint="cs"/>
                <w:sz w:val="28"/>
                <w:szCs w:val="28"/>
                <w:rtl/>
                <w:lang w:val="fr-CH"/>
              </w:rPr>
              <w:t>14</w:t>
            </w:r>
            <w:r w:rsidR="00307AAE" w:rsidRPr="00727841">
              <w:rPr>
                <w:rFonts w:ascii="Traditional Arabic" w:hAnsi="Traditional Arabic" w:hint="cs"/>
                <w:sz w:val="28"/>
                <w:szCs w:val="28"/>
                <w:rtl/>
                <w:lang w:val="fr-CH"/>
              </w:rPr>
              <w:t>.</w:t>
            </w:r>
            <w:r w:rsidRPr="00727841">
              <w:rPr>
                <w:rFonts w:ascii="Traditional Arabic" w:hAnsi="Traditional Arabic" w:hint="cs"/>
                <w:sz w:val="28"/>
                <w:szCs w:val="28"/>
                <w:rtl/>
                <w:lang w:val="fr-CH"/>
              </w:rPr>
              <w:t>6</w:t>
            </w:r>
          </w:p>
        </w:tc>
      </w:tr>
      <w:tr w:rsidR="00750F90" w:rsidRPr="00727841" w:rsidTr="00727841">
        <w:tc>
          <w:tcPr>
            <w:tcW w:w="3544" w:type="dxa"/>
            <w:tcBorders>
              <w:bottom w:val="nil"/>
            </w:tcBorders>
          </w:tcPr>
          <w:p w:rsidR="00750F90" w:rsidRPr="00727841" w:rsidRDefault="00750F90" w:rsidP="00727841">
            <w:pPr>
              <w:pStyle w:val="SingleTxtGA"/>
              <w:spacing w:before="40" w:after="40" w:line="300" w:lineRule="exact"/>
              <w:ind w:left="0" w:right="2"/>
              <w:jc w:val="left"/>
              <w:rPr>
                <w:rFonts w:ascii="Traditional Arabic" w:hAnsi="Traditional Arabic"/>
                <w:sz w:val="28"/>
                <w:szCs w:val="28"/>
                <w:rtl/>
                <w:lang w:val="fr-CH"/>
              </w:rPr>
            </w:pPr>
            <w:r w:rsidRPr="00727841">
              <w:rPr>
                <w:rFonts w:ascii="Traditional Arabic" w:hAnsi="Traditional Arabic" w:hint="cs"/>
                <w:sz w:val="28"/>
                <w:szCs w:val="28"/>
                <w:rtl/>
                <w:lang w:val="fr-CH"/>
              </w:rPr>
              <w:t>2001</w:t>
            </w:r>
          </w:p>
        </w:tc>
        <w:tc>
          <w:tcPr>
            <w:tcW w:w="1276" w:type="dxa"/>
            <w:tcBorders>
              <w:bottom w:val="nil"/>
            </w:tcBorders>
          </w:tcPr>
          <w:p w:rsidR="00750F90" w:rsidRPr="00727841" w:rsidRDefault="00750F90" w:rsidP="00727841">
            <w:pPr>
              <w:pStyle w:val="SingleTxtGA"/>
              <w:spacing w:before="40" w:after="40" w:line="300" w:lineRule="exact"/>
              <w:ind w:left="0" w:right="0"/>
              <w:jc w:val="left"/>
              <w:rPr>
                <w:rFonts w:ascii="Traditional Arabic" w:hAnsi="Traditional Arabic"/>
                <w:sz w:val="28"/>
                <w:szCs w:val="28"/>
                <w:rtl/>
                <w:lang w:val="fr-CH"/>
              </w:rPr>
            </w:pPr>
            <w:r w:rsidRPr="00727841">
              <w:rPr>
                <w:rFonts w:ascii="Traditional Arabic" w:hAnsi="Traditional Arabic" w:hint="cs"/>
                <w:sz w:val="28"/>
                <w:szCs w:val="28"/>
                <w:rtl/>
                <w:lang w:val="fr-CH"/>
              </w:rPr>
              <w:t>61</w:t>
            </w:r>
            <w:r w:rsidR="00307AAE" w:rsidRPr="00727841">
              <w:rPr>
                <w:rFonts w:ascii="Traditional Arabic" w:hAnsi="Traditional Arabic" w:hint="cs"/>
                <w:sz w:val="28"/>
                <w:szCs w:val="28"/>
                <w:rtl/>
                <w:lang w:val="fr-CH"/>
              </w:rPr>
              <w:t>.</w:t>
            </w:r>
            <w:r w:rsidRPr="00727841">
              <w:rPr>
                <w:rFonts w:ascii="Traditional Arabic" w:hAnsi="Traditional Arabic" w:hint="cs"/>
                <w:sz w:val="28"/>
                <w:szCs w:val="28"/>
                <w:rtl/>
                <w:lang w:val="fr-CH"/>
              </w:rPr>
              <w:t>7</w:t>
            </w:r>
          </w:p>
        </w:tc>
        <w:tc>
          <w:tcPr>
            <w:tcW w:w="1417" w:type="dxa"/>
            <w:tcBorders>
              <w:bottom w:val="nil"/>
            </w:tcBorders>
          </w:tcPr>
          <w:p w:rsidR="00750F90" w:rsidRPr="00727841" w:rsidRDefault="00750F90" w:rsidP="00727841">
            <w:pPr>
              <w:pStyle w:val="SingleTxtGA"/>
              <w:spacing w:before="40" w:after="40" w:line="300" w:lineRule="exact"/>
              <w:ind w:left="0" w:right="0"/>
              <w:jc w:val="left"/>
              <w:rPr>
                <w:rFonts w:ascii="Traditional Arabic" w:hAnsi="Traditional Arabic"/>
                <w:sz w:val="28"/>
                <w:szCs w:val="28"/>
                <w:rtl/>
                <w:lang w:val="fr-CH"/>
              </w:rPr>
            </w:pPr>
            <w:r w:rsidRPr="00727841">
              <w:rPr>
                <w:rFonts w:ascii="Traditional Arabic" w:hAnsi="Traditional Arabic" w:hint="cs"/>
                <w:sz w:val="28"/>
                <w:szCs w:val="28"/>
                <w:rtl/>
                <w:lang w:val="fr-CH"/>
              </w:rPr>
              <w:t>45</w:t>
            </w:r>
            <w:r w:rsidR="00307AAE" w:rsidRPr="00727841">
              <w:rPr>
                <w:rFonts w:ascii="Traditional Arabic" w:hAnsi="Traditional Arabic" w:hint="cs"/>
                <w:sz w:val="28"/>
                <w:szCs w:val="28"/>
                <w:rtl/>
                <w:lang w:val="fr-CH"/>
              </w:rPr>
              <w:t>.</w:t>
            </w:r>
            <w:r w:rsidRPr="00727841">
              <w:rPr>
                <w:rFonts w:ascii="Traditional Arabic" w:hAnsi="Traditional Arabic" w:hint="cs"/>
                <w:sz w:val="28"/>
                <w:szCs w:val="28"/>
                <w:rtl/>
                <w:lang w:val="fr-CH"/>
              </w:rPr>
              <w:t>7</w:t>
            </w:r>
          </w:p>
        </w:tc>
        <w:tc>
          <w:tcPr>
            <w:tcW w:w="1320" w:type="dxa"/>
            <w:tcBorders>
              <w:bottom w:val="nil"/>
            </w:tcBorders>
          </w:tcPr>
          <w:p w:rsidR="00750F90" w:rsidRPr="00727841" w:rsidRDefault="00750F90" w:rsidP="00727841">
            <w:pPr>
              <w:pStyle w:val="SingleTxtGA"/>
              <w:spacing w:before="40" w:after="40" w:line="300" w:lineRule="exact"/>
              <w:ind w:left="0" w:right="0"/>
              <w:jc w:val="left"/>
              <w:rPr>
                <w:rFonts w:ascii="Traditional Arabic" w:hAnsi="Traditional Arabic"/>
                <w:sz w:val="28"/>
                <w:szCs w:val="28"/>
                <w:rtl/>
                <w:lang w:val="fr-CH"/>
              </w:rPr>
            </w:pPr>
            <w:r w:rsidRPr="00727841">
              <w:rPr>
                <w:rFonts w:ascii="Traditional Arabic" w:hAnsi="Traditional Arabic" w:hint="cs"/>
                <w:sz w:val="28"/>
                <w:szCs w:val="28"/>
                <w:rtl/>
                <w:lang w:val="fr-CH"/>
              </w:rPr>
              <w:t>16</w:t>
            </w:r>
            <w:r w:rsidR="00307AAE" w:rsidRPr="00727841">
              <w:rPr>
                <w:rFonts w:ascii="Traditional Arabic" w:hAnsi="Traditional Arabic" w:hint="cs"/>
                <w:sz w:val="28"/>
                <w:szCs w:val="28"/>
                <w:rtl/>
                <w:lang w:val="fr-CH"/>
              </w:rPr>
              <w:t>.</w:t>
            </w:r>
            <w:r w:rsidRPr="00727841">
              <w:rPr>
                <w:rFonts w:ascii="Traditional Arabic" w:hAnsi="Traditional Arabic" w:hint="cs"/>
                <w:sz w:val="28"/>
                <w:szCs w:val="28"/>
                <w:rtl/>
                <w:lang w:val="fr-CH"/>
              </w:rPr>
              <w:t>0</w:t>
            </w:r>
          </w:p>
        </w:tc>
      </w:tr>
      <w:tr w:rsidR="00750F90" w:rsidRPr="00727841" w:rsidTr="00727841">
        <w:tc>
          <w:tcPr>
            <w:tcW w:w="3544" w:type="dxa"/>
            <w:tcBorders>
              <w:top w:val="nil"/>
              <w:bottom w:val="single" w:sz="12" w:space="0" w:color="auto"/>
            </w:tcBorders>
          </w:tcPr>
          <w:p w:rsidR="00750F90" w:rsidRPr="00727841" w:rsidRDefault="00750F90" w:rsidP="00727841">
            <w:pPr>
              <w:pStyle w:val="SingleTxtGA"/>
              <w:spacing w:before="40" w:after="40" w:line="300" w:lineRule="exact"/>
              <w:ind w:left="0" w:right="2"/>
              <w:jc w:val="left"/>
              <w:rPr>
                <w:rFonts w:ascii="Traditional Arabic" w:hAnsi="Traditional Arabic"/>
                <w:sz w:val="28"/>
                <w:szCs w:val="28"/>
                <w:rtl/>
                <w:lang w:val="fr-CH"/>
              </w:rPr>
            </w:pPr>
            <w:r w:rsidRPr="00727841">
              <w:rPr>
                <w:rFonts w:ascii="Traditional Arabic" w:hAnsi="Traditional Arabic" w:hint="cs"/>
                <w:sz w:val="28"/>
                <w:szCs w:val="28"/>
                <w:rtl/>
                <w:lang w:val="fr-CH"/>
              </w:rPr>
              <w:t>2010</w:t>
            </w:r>
          </w:p>
        </w:tc>
        <w:tc>
          <w:tcPr>
            <w:tcW w:w="1276" w:type="dxa"/>
            <w:tcBorders>
              <w:top w:val="nil"/>
              <w:bottom w:val="single" w:sz="12" w:space="0" w:color="auto"/>
            </w:tcBorders>
          </w:tcPr>
          <w:p w:rsidR="00750F90" w:rsidRPr="00727841" w:rsidRDefault="00750F90" w:rsidP="00727841">
            <w:pPr>
              <w:pStyle w:val="SingleTxtGA"/>
              <w:spacing w:before="40" w:after="40" w:line="300" w:lineRule="exact"/>
              <w:ind w:left="0" w:right="0"/>
              <w:jc w:val="left"/>
              <w:rPr>
                <w:rFonts w:ascii="Traditional Arabic" w:hAnsi="Traditional Arabic"/>
                <w:sz w:val="28"/>
                <w:szCs w:val="28"/>
                <w:rtl/>
                <w:lang w:val="fr-CH"/>
              </w:rPr>
            </w:pPr>
            <w:r w:rsidRPr="00727841">
              <w:rPr>
                <w:rFonts w:ascii="Traditional Arabic" w:hAnsi="Traditional Arabic" w:hint="cs"/>
                <w:sz w:val="28"/>
                <w:szCs w:val="28"/>
                <w:rtl/>
                <w:lang w:val="fr-CH"/>
              </w:rPr>
              <w:t>55</w:t>
            </w:r>
            <w:r w:rsidR="00307AAE" w:rsidRPr="00727841">
              <w:rPr>
                <w:rFonts w:ascii="Traditional Arabic" w:hAnsi="Traditional Arabic" w:hint="cs"/>
                <w:sz w:val="28"/>
                <w:szCs w:val="28"/>
                <w:rtl/>
                <w:lang w:val="fr-CH"/>
              </w:rPr>
              <w:t>.</w:t>
            </w:r>
            <w:r w:rsidRPr="00727841">
              <w:rPr>
                <w:rFonts w:ascii="Traditional Arabic" w:hAnsi="Traditional Arabic" w:hint="cs"/>
                <w:sz w:val="28"/>
                <w:szCs w:val="28"/>
                <w:rtl/>
                <w:lang w:val="fr-CH"/>
              </w:rPr>
              <w:t>5</w:t>
            </w:r>
          </w:p>
        </w:tc>
        <w:tc>
          <w:tcPr>
            <w:tcW w:w="1417" w:type="dxa"/>
            <w:tcBorders>
              <w:top w:val="nil"/>
              <w:bottom w:val="single" w:sz="12" w:space="0" w:color="auto"/>
            </w:tcBorders>
          </w:tcPr>
          <w:p w:rsidR="00750F90" w:rsidRPr="00727841" w:rsidRDefault="00750F90" w:rsidP="00727841">
            <w:pPr>
              <w:pStyle w:val="SingleTxtGA"/>
              <w:spacing w:before="40" w:after="40" w:line="300" w:lineRule="exact"/>
              <w:ind w:left="0" w:right="0"/>
              <w:jc w:val="left"/>
              <w:rPr>
                <w:rFonts w:ascii="Traditional Arabic" w:hAnsi="Traditional Arabic"/>
                <w:sz w:val="28"/>
                <w:szCs w:val="28"/>
                <w:rtl/>
                <w:lang w:val="fr-CH"/>
              </w:rPr>
            </w:pPr>
            <w:r w:rsidRPr="00727841">
              <w:rPr>
                <w:rFonts w:ascii="Traditional Arabic" w:hAnsi="Traditional Arabic" w:hint="cs"/>
                <w:sz w:val="28"/>
                <w:szCs w:val="28"/>
                <w:rtl/>
                <w:lang w:val="fr-CH"/>
              </w:rPr>
              <w:t>39</w:t>
            </w:r>
            <w:r w:rsidR="00307AAE" w:rsidRPr="00727841">
              <w:rPr>
                <w:rFonts w:ascii="Traditional Arabic" w:hAnsi="Traditional Arabic" w:hint="cs"/>
                <w:sz w:val="28"/>
                <w:szCs w:val="28"/>
                <w:rtl/>
                <w:lang w:val="fr-CH"/>
              </w:rPr>
              <w:t>.</w:t>
            </w:r>
            <w:r w:rsidRPr="00727841">
              <w:rPr>
                <w:rFonts w:ascii="Traditional Arabic" w:hAnsi="Traditional Arabic" w:hint="cs"/>
                <w:sz w:val="28"/>
                <w:szCs w:val="28"/>
                <w:rtl/>
                <w:lang w:val="fr-CH"/>
              </w:rPr>
              <w:t>6</w:t>
            </w:r>
          </w:p>
        </w:tc>
        <w:tc>
          <w:tcPr>
            <w:tcW w:w="1320" w:type="dxa"/>
            <w:tcBorders>
              <w:top w:val="nil"/>
              <w:bottom w:val="single" w:sz="12" w:space="0" w:color="auto"/>
            </w:tcBorders>
          </w:tcPr>
          <w:p w:rsidR="00750F90" w:rsidRPr="00727841" w:rsidRDefault="00750F90" w:rsidP="00727841">
            <w:pPr>
              <w:pStyle w:val="SingleTxtGA"/>
              <w:spacing w:before="40" w:after="40" w:line="300" w:lineRule="exact"/>
              <w:ind w:left="0" w:right="0"/>
              <w:jc w:val="left"/>
              <w:rPr>
                <w:rFonts w:ascii="Traditional Arabic" w:hAnsi="Traditional Arabic"/>
                <w:sz w:val="28"/>
                <w:szCs w:val="28"/>
                <w:rtl/>
                <w:lang w:val="fr-CH"/>
              </w:rPr>
            </w:pPr>
            <w:r w:rsidRPr="00727841">
              <w:rPr>
                <w:rFonts w:ascii="Traditional Arabic" w:hAnsi="Traditional Arabic" w:hint="cs"/>
                <w:sz w:val="28"/>
                <w:szCs w:val="28"/>
                <w:rtl/>
                <w:lang w:val="fr-CH"/>
              </w:rPr>
              <w:t>15</w:t>
            </w:r>
            <w:r w:rsidR="00307AAE" w:rsidRPr="00727841">
              <w:rPr>
                <w:rFonts w:ascii="Traditional Arabic" w:hAnsi="Traditional Arabic" w:hint="cs"/>
                <w:sz w:val="28"/>
                <w:szCs w:val="28"/>
                <w:rtl/>
                <w:lang w:val="fr-CH"/>
              </w:rPr>
              <w:t>.</w:t>
            </w:r>
            <w:r w:rsidRPr="00727841">
              <w:rPr>
                <w:rFonts w:ascii="Traditional Arabic" w:hAnsi="Traditional Arabic" w:hint="cs"/>
                <w:sz w:val="28"/>
                <w:szCs w:val="28"/>
                <w:rtl/>
                <w:lang w:val="fr-CH"/>
              </w:rPr>
              <w:t>9</w:t>
            </w:r>
          </w:p>
        </w:tc>
      </w:tr>
    </w:tbl>
    <w:p w:rsidR="00706E77" w:rsidRPr="00706E77" w:rsidRDefault="00706E77" w:rsidP="00706E77">
      <w:pPr>
        <w:pStyle w:val="SingleTxt"/>
        <w:spacing w:after="0" w:line="120" w:lineRule="exact"/>
        <w:ind w:left="1930" w:hanging="666"/>
        <w:rPr>
          <w:i/>
          <w:iCs/>
          <w:spacing w:val="-4"/>
          <w:w w:val="100"/>
          <w:kern w:val="0"/>
          <w:sz w:val="10"/>
          <w:szCs w:val="26"/>
          <w:rtl/>
          <w:lang w:val="fr-CH"/>
        </w:rPr>
      </w:pPr>
    </w:p>
    <w:p w:rsidR="00750F90" w:rsidRPr="00727841" w:rsidRDefault="00750F90" w:rsidP="00727841">
      <w:pPr>
        <w:pStyle w:val="SingleTxt"/>
        <w:ind w:left="1930" w:hanging="666"/>
        <w:rPr>
          <w:spacing w:val="-4"/>
          <w:w w:val="100"/>
          <w:kern w:val="0"/>
          <w:sz w:val="26"/>
          <w:szCs w:val="26"/>
          <w:rtl/>
        </w:rPr>
      </w:pPr>
      <w:r w:rsidRPr="00727841">
        <w:rPr>
          <w:rFonts w:hint="cs"/>
          <w:i/>
          <w:iCs/>
          <w:spacing w:val="-4"/>
          <w:w w:val="100"/>
          <w:kern w:val="0"/>
          <w:sz w:val="26"/>
          <w:szCs w:val="26"/>
          <w:rtl/>
          <w:lang w:val="fr-CH"/>
        </w:rPr>
        <w:t>المصدر</w:t>
      </w:r>
      <w:r w:rsidRPr="00727841">
        <w:rPr>
          <w:rFonts w:hint="cs"/>
          <w:spacing w:val="-4"/>
          <w:w w:val="100"/>
          <w:kern w:val="0"/>
          <w:sz w:val="26"/>
          <w:szCs w:val="26"/>
          <w:rtl/>
          <w:lang w:val="fr-CH"/>
        </w:rPr>
        <w:t>:</w:t>
      </w:r>
      <w:r w:rsidR="00727841" w:rsidRPr="00727841">
        <w:rPr>
          <w:spacing w:val="-4"/>
          <w:w w:val="100"/>
          <w:kern w:val="0"/>
          <w:sz w:val="26"/>
          <w:szCs w:val="26"/>
          <w:rtl/>
          <w:lang w:val="fr-CH"/>
        </w:rPr>
        <w:tab/>
      </w:r>
      <w:r w:rsidRPr="00727841">
        <w:rPr>
          <w:spacing w:val="-4"/>
          <w:w w:val="100"/>
          <w:kern w:val="0"/>
          <w:sz w:val="26"/>
          <w:szCs w:val="26"/>
          <w:rtl/>
        </w:rPr>
        <w:t xml:space="preserve">المعهد الوطني للإحصاءات وتعداد السكان. التعداد الوطني للسكان </w:t>
      </w:r>
      <w:r w:rsidRPr="00727841">
        <w:rPr>
          <w:rFonts w:hint="cs"/>
          <w:spacing w:val="-4"/>
          <w:w w:val="100"/>
          <w:kern w:val="0"/>
          <w:sz w:val="26"/>
          <w:szCs w:val="26"/>
          <w:rtl/>
        </w:rPr>
        <w:t>والأسر المعيشية والمساكن لعام 1991 والتعدادان الوطنيان لعامي 2001 و2010</w:t>
      </w:r>
      <w:r w:rsidRPr="00727841">
        <w:rPr>
          <w:spacing w:val="-4"/>
          <w:w w:val="100"/>
          <w:kern w:val="0"/>
          <w:sz w:val="26"/>
          <w:szCs w:val="26"/>
          <w:rtl/>
        </w:rPr>
        <w:t>.</w:t>
      </w:r>
    </w:p>
    <w:p w:rsidR="00706E77" w:rsidRPr="00706E77" w:rsidRDefault="00706E77" w:rsidP="00706E77">
      <w:pPr>
        <w:pStyle w:val="SingleTxt"/>
        <w:spacing w:after="0" w:line="120" w:lineRule="exact"/>
        <w:rPr>
          <w:w w:val="100"/>
          <w:sz w:val="10"/>
          <w:rtl/>
          <w:lang w:val="fr-CH"/>
        </w:rPr>
      </w:pPr>
    </w:p>
    <w:p w:rsidR="00750F90" w:rsidRPr="00307AAE" w:rsidRDefault="00750F90" w:rsidP="00727841">
      <w:pPr>
        <w:pStyle w:val="SingleTxt"/>
        <w:spacing w:after="0"/>
        <w:rPr>
          <w:w w:val="100"/>
          <w:rtl/>
        </w:rPr>
      </w:pPr>
      <w:r w:rsidRPr="00307AAE">
        <w:rPr>
          <w:rFonts w:hint="cs"/>
          <w:w w:val="100"/>
          <w:rtl/>
          <w:lang w:val="fr-CH"/>
        </w:rPr>
        <w:t>الجدول 5</w:t>
      </w:r>
    </w:p>
    <w:p w:rsidR="00750F90" w:rsidRDefault="00750F90" w:rsidP="00727841">
      <w:pPr>
        <w:pStyle w:val="SingleTxt"/>
        <w:rPr>
          <w:b/>
          <w:bCs/>
          <w:w w:val="100"/>
          <w:rtl/>
          <w:lang w:val="fr-CH"/>
        </w:rPr>
      </w:pPr>
      <w:r w:rsidRPr="00307AAE">
        <w:rPr>
          <w:rFonts w:hint="cs"/>
          <w:b/>
          <w:bCs/>
          <w:w w:val="100"/>
          <w:rtl/>
        </w:rPr>
        <w:t xml:space="preserve">معدل الخصوبة. </w:t>
      </w:r>
      <w:r w:rsidRPr="00307AAE">
        <w:rPr>
          <w:rFonts w:hint="cs"/>
          <w:b/>
          <w:bCs/>
          <w:w w:val="100"/>
          <w:rtl/>
          <w:lang w:val="fr-CH"/>
        </w:rPr>
        <w:t>المعدل النهائي لعدد المواليد في البلد ككل، في عامي 2001 و2010</w:t>
      </w:r>
    </w:p>
    <w:p w:rsidR="00727841" w:rsidRPr="00727841" w:rsidRDefault="00727841" w:rsidP="00727841">
      <w:pPr>
        <w:pStyle w:val="SingleTxt"/>
        <w:spacing w:after="0" w:line="120" w:lineRule="exact"/>
        <w:rPr>
          <w:b/>
          <w:bCs/>
          <w:w w:val="100"/>
          <w:sz w:val="10"/>
          <w:rtl/>
          <w:lang w:val="fr-CH"/>
        </w:rPr>
      </w:pPr>
    </w:p>
    <w:tbl>
      <w:tblPr>
        <w:bidiVisual/>
        <w:tblW w:w="0" w:type="auto"/>
        <w:tblInd w:w="135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245"/>
        <w:gridCol w:w="1134"/>
        <w:gridCol w:w="1178"/>
      </w:tblGrid>
      <w:tr w:rsidR="006A2A64" w:rsidRPr="006A2A64" w:rsidTr="00706E77">
        <w:tc>
          <w:tcPr>
            <w:tcW w:w="5245" w:type="dxa"/>
            <w:vMerge w:val="restart"/>
            <w:tcBorders>
              <w:left w:val="nil"/>
            </w:tcBorders>
            <w:vAlign w:val="bottom"/>
          </w:tcPr>
          <w:p w:rsidR="006A2A64" w:rsidRPr="006A2A64" w:rsidRDefault="006A2A64" w:rsidP="006A2A64">
            <w:pPr>
              <w:pStyle w:val="SingleTxtGA"/>
              <w:spacing w:after="40" w:line="300" w:lineRule="exact"/>
              <w:ind w:left="0" w:right="0"/>
              <w:jc w:val="left"/>
              <w:rPr>
                <w:rFonts w:ascii="Traditional Arabic" w:hAnsi="Traditional Arabic"/>
                <w:sz w:val="28"/>
                <w:szCs w:val="28"/>
                <w:rtl/>
                <w:lang w:val="fr-CH"/>
              </w:rPr>
            </w:pPr>
          </w:p>
        </w:tc>
        <w:tc>
          <w:tcPr>
            <w:tcW w:w="2312" w:type="dxa"/>
            <w:gridSpan w:val="2"/>
            <w:tcBorders>
              <w:bottom w:val="single" w:sz="4" w:space="0" w:color="auto"/>
              <w:right w:val="nil"/>
            </w:tcBorders>
          </w:tcPr>
          <w:p w:rsidR="006A2A64" w:rsidRPr="00706E77" w:rsidRDefault="006A2A64" w:rsidP="006A2A64">
            <w:pPr>
              <w:pStyle w:val="SingleTxtGA"/>
              <w:spacing w:after="40" w:line="300" w:lineRule="exact"/>
              <w:ind w:left="0" w:right="0"/>
              <w:jc w:val="center"/>
              <w:rPr>
                <w:rFonts w:ascii="Traditional Arabic" w:hAnsi="Traditional Arabic"/>
                <w:i/>
                <w:iCs/>
                <w:sz w:val="28"/>
                <w:szCs w:val="28"/>
                <w:rtl/>
                <w:lang w:val="fr-CH"/>
              </w:rPr>
            </w:pPr>
            <w:r w:rsidRPr="00706E77">
              <w:rPr>
                <w:rFonts w:ascii="Traditional Arabic" w:hAnsi="Traditional Arabic" w:hint="cs"/>
                <w:i/>
                <w:iCs/>
                <w:sz w:val="28"/>
                <w:szCs w:val="28"/>
                <w:rtl/>
                <w:lang w:val="fr-CH"/>
              </w:rPr>
              <w:t>المعدل النهائي لعدد المواليد</w:t>
            </w:r>
          </w:p>
        </w:tc>
      </w:tr>
      <w:tr w:rsidR="006A2A64" w:rsidRPr="006A2A64" w:rsidTr="00706E77">
        <w:tc>
          <w:tcPr>
            <w:tcW w:w="5245" w:type="dxa"/>
            <w:vMerge/>
            <w:tcBorders>
              <w:left w:val="nil"/>
              <w:bottom w:val="single" w:sz="12" w:space="0" w:color="auto"/>
            </w:tcBorders>
          </w:tcPr>
          <w:p w:rsidR="006A2A64" w:rsidRPr="006A2A64" w:rsidRDefault="006A2A64" w:rsidP="006A2A64">
            <w:pPr>
              <w:pStyle w:val="SingleTxtGA"/>
              <w:spacing w:after="40" w:line="300" w:lineRule="exact"/>
              <w:ind w:left="0" w:right="0"/>
              <w:rPr>
                <w:rFonts w:ascii="Traditional Arabic" w:hAnsi="Traditional Arabic"/>
                <w:sz w:val="28"/>
                <w:szCs w:val="28"/>
                <w:rtl/>
                <w:lang w:val="fr-CH"/>
              </w:rPr>
            </w:pPr>
          </w:p>
        </w:tc>
        <w:tc>
          <w:tcPr>
            <w:tcW w:w="1134" w:type="dxa"/>
            <w:tcBorders>
              <w:top w:val="single" w:sz="4" w:space="0" w:color="auto"/>
              <w:bottom w:val="single" w:sz="12" w:space="0" w:color="auto"/>
            </w:tcBorders>
          </w:tcPr>
          <w:p w:rsidR="006A2A64" w:rsidRPr="00706E77" w:rsidRDefault="006A2A64" w:rsidP="006A2A64">
            <w:pPr>
              <w:pStyle w:val="SingleTxtGA"/>
              <w:spacing w:after="40" w:line="300" w:lineRule="exact"/>
              <w:ind w:left="0" w:right="0"/>
              <w:rPr>
                <w:rFonts w:ascii="Traditional Arabic" w:hAnsi="Traditional Arabic"/>
                <w:i/>
                <w:iCs/>
                <w:sz w:val="28"/>
                <w:szCs w:val="28"/>
                <w:rtl/>
                <w:lang w:val="fr-CH"/>
              </w:rPr>
            </w:pPr>
            <w:r w:rsidRPr="00706E77">
              <w:rPr>
                <w:rFonts w:ascii="Traditional Arabic" w:hAnsi="Traditional Arabic" w:hint="cs"/>
                <w:i/>
                <w:iCs/>
                <w:sz w:val="28"/>
                <w:szCs w:val="28"/>
                <w:rtl/>
                <w:lang w:val="fr-CH"/>
              </w:rPr>
              <w:t>2001</w:t>
            </w:r>
          </w:p>
        </w:tc>
        <w:tc>
          <w:tcPr>
            <w:tcW w:w="1178" w:type="dxa"/>
            <w:tcBorders>
              <w:top w:val="single" w:sz="4" w:space="0" w:color="auto"/>
              <w:bottom w:val="single" w:sz="12" w:space="0" w:color="auto"/>
              <w:right w:val="nil"/>
            </w:tcBorders>
          </w:tcPr>
          <w:p w:rsidR="006A2A64" w:rsidRPr="00706E77" w:rsidRDefault="006A2A64" w:rsidP="006A2A64">
            <w:pPr>
              <w:pStyle w:val="SingleTxtGA"/>
              <w:spacing w:after="40" w:line="300" w:lineRule="exact"/>
              <w:ind w:left="0" w:right="0"/>
              <w:rPr>
                <w:rFonts w:ascii="Traditional Arabic" w:hAnsi="Traditional Arabic"/>
                <w:i/>
                <w:iCs/>
                <w:sz w:val="28"/>
                <w:szCs w:val="28"/>
                <w:rtl/>
                <w:lang w:val="fr-CH"/>
              </w:rPr>
            </w:pPr>
            <w:r w:rsidRPr="00706E77">
              <w:rPr>
                <w:rFonts w:ascii="Traditional Arabic" w:hAnsi="Traditional Arabic" w:hint="cs"/>
                <w:i/>
                <w:iCs/>
                <w:sz w:val="28"/>
                <w:szCs w:val="28"/>
                <w:rtl/>
                <w:lang w:val="fr-CH"/>
              </w:rPr>
              <w:t>2010</w:t>
            </w:r>
          </w:p>
        </w:tc>
      </w:tr>
      <w:tr w:rsidR="00750F90" w:rsidRPr="006A2A64" w:rsidTr="00706E77">
        <w:tc>
          <w:tcPr>
            <w:tcW w:w="5245" w:type="dxa"/>
            <w:tcBorders>
              <w:top w:val="single" w:sz="12" w:space="0" w:color="auto"/>
              <w:left w:val="nil"/>
              <w:bottom w:val="single" w:sz="12" w:space="0" w:color="auto"/>
            </w:tcBorders>
          </w:tcPr>
          <w:p w:rsidR="00750F90" w:rsidRPr="006A2A64" w:rsidRDefault="00750F90" w:rsidP="006A2A64">
            <w:pPr>
              <w:pStyle w:val="SingleTxtGA"/>
              <w:spacing w:after="40" w:line="300" w:lineRule="exact"/>
              <w:ind w:left="0" w:right="0"/>
              <w:rPr>
                <w:rFonts w:ascii="Traditional Arabic" w:hAnsi="Traditional Arabic"/>
                <w:b/>
                <w:bCs/>
                <w:sz w:val="28"/>
                <w:szCs w:val="28"/>
                <w:rtl/>
                <w:lang w:val="fr-CH"/>
              </w:rPr>
            </w:pPr>
            <w:r w:rsidRPr="006A2A64">
              <w:rPr>
                <w:rFonts w:ascii="Traditional Arabic" w:hAnsi="Traditional Arabic" w:hint="cs"/>
                <w:b/>
                <w:bCs/>
                <w:sz w:val="28"/>
                <w:szCs w:val="28"/>
                <w:rtl/>
                <w:lang w:val="fr-CH"/>
              </w:rPr>
              <w:t>سائر البلد</w:t>
            </w:r>
          </w:p>
        </w:tc>
        <w:tc>
          <w:tcPr>
            <w:tcW w:w="1134" w:type="dxa"/>
            <w:tcBorders>
              <w:top w:val="single" w:sz="12" w:space="0" w:color="auto"/>
              <w:bottom w:val="single" w:sz="12" w:space="0" w:color="auto"/>
            </w:tcBorders>
          </w:tcPr>
          <w:p w:rsidR="00750F90" w:rsidRPr="006A2A64" w:rsidRDefault="00750F90" w:rsidP="006A2A64">
            <w:pPr>
              <w:pStyle w:val="SingleTxtGA"/>
              <w:spacing w:after="40" w:line="300" w:lineRule="exact"/>
              <w:ind w:left="0" w:right="0"/>
              <w:rPr>
                <w:rFonts w:ascii="Traditional Arabic" w:hAnsi="Traditional Arabic"/>
                <w:b/>
                <w:bCs/>
                <w:sz w:val="28"/>
                <w:szCs w:val="28"/>
                <w:rtl/>
                <w:lang w:val="fr-CH"/>
              </w:rPr>
            </w:pPr>
            <w:r w:rsidRPr="006A2A64">
              <w:rPr>
                <w:rFonts w:ascii="Traditional Arabic" w:hAnsi="Traditional Arabic" w:hint="cs"/>
                <w:b/>
                <w:bCs/>
                <w:sz w:val="28"/>
                <w:szCs w:val="28"/>
                <w:rtl/>
                <w:lang w:val="fr-CH"/>
              </w:rPr>
              <w:t>3</w:t>
            </w:r>
            <w:r w:rsidR="00307AAE" w:rsidRPr="006A2A64">
              <w:rPr>
                <w:rFonts w:ascii="Traditional Arabic" w:hAnsi="Traditional Arabic" w:hint="cs"/>
                <w:b/>
                <w:bCs/>
                <w:sz w:val="28"/>
                <w:szCs w:val="28"/>
                <w:rtl/>
                <w:lang w:val="fr-CH"/>
              </w:rPr>
              <w:t>.</w:t>
            </w:r>
            <w:r w:rsidRPr="006A2A64">
              <w:rPr>
                <w:rFonts w:ascii="Traditional Arabic" w:hAnsi="Traditional Arabic" w:hint="cs"/>
                <w:b/>
                <w:bCs/>
                <w:sz w:val="28"/>
                <w:szCs w:val="28"/>
                <w:rtl/>
                <w:lang w:val="fr-CH"/>
              </w:rPr>
              <w:t>1</w:t>
            </w:r>
          </w:p>
        </w:tc>
        <w:tc>
          <w:tcPr>
            <w:tcW w:w="1178" w:type="dxa"/>
            <w:tcBorders>
              <w:top w:val="single" w:sz="12" w:space="0" w:color="auto"/>
              <w:bottom w:val="single" w:sz="12" w:space="0" w:color="auto"/>
              <w:right w:val="nil"/>
            </w:tcBorders>
          </w:tcPr>
          <w:p w:rsidR="00750F90" w:rsidRPr="006A2A64" w:rsidRDefault="00750F90" w:rsidP="006A2A64">
            <w:pPr>
              <w:pStyle w:val="SingleTxtGA"/>
              <w:spacing w:after="40" w:line="300" w:lineRule="exact"/>
              <w:ind w:left="0" w:right="0"/>
              <w:rPr>
                <w:rFonts w:ascii="Traditional Arabic" w:hAnsi="Traditional Arabic"/>
                <w:b/>
                <w:bCs/>
                <w:sz w:val="28"/>
                <w:szCs w:val="28"/>
                <w:rtl/>
                <w:lang w:val="fr-CH"/>
              </w:rPr>
            </w:pPr>
            <w:r w:rsidRPr="006A2A64">
              <w:rPr>
                <w:rFonts w:ascii="Traditional Arabic" w:hAnsi="Traditional Arabic" w:hint="cs"/>
                <w:b/>
                <w:bCs/>
                <w:sz w:val="28"/>
                <w:szCs w:val="28"/>
                <w:rtl/>
                <w:lang w:val="fr-CH"/>
              </w:rPr>
              <w:t>2</w:t>
            </w:r>
            <w:r w:rsidR="00307AAE" w:rsidRPr="006A2A64">
              <w:rPr>
                <w:rFonts w:ascii="Traditional Arabic" w:hAnsi="Traditional Arabic" w:hint="cs"/>
                <w:b/>
                <w:bCs/>
                <w:sz w:val="28"/>
                <w:szCs w:val="28"/>
                <w:rtl/>
                <w:lang w:val="fr-CH"/>
              </w:rPr>
              <w:t>.</w:t>
            </w:r>
            <w:r w:rsidRPr="006A2A64">
              <w:rPr>
                <w:rFonts w:ascii="Traditional Arabic" w:hAnsi="Traditional Arabic" w:hint="cs"/>
                <w:b/>
                <w:bCs/>
                <w:sz w:val="28"/>
                <w:szCs w:val="28"/>
                <w:rtl/>
                <w:lang w:val="fr-CH"/>
              </w:rPr>
              <w:t>9</w:t>
            </w:r>
          </w:p>
        </w:tc>
      </w:tr>
    </w:tbl>
    <w:p w:rsidR="00750F90" w:rsidRPr="00727841" w:rsidRDefault="00750F90" w:rsidP="006A2A64">
      <w:pPr>
        <w:pStyle w:val="SingleTxt"/>
        <w:spacing w:after="60"/>
        <w:ind w:left="1927" w:hanging="663"/>
        <w:rPr>
          <w:i/>
          <w:iCs/>
          <w:spacing w:val="-4"/>
          <w:w w:val="100"/>
          <w:kern w:val="0"/>
          <w:sz w:val="26"/>
          <w:szCs w:val="26"/>
          <w:rtl/>
        </w:rPr>
      </w:pPr>
      <w:r w:rsidRPr="00727841">
        <w:rPr>
          <w:rFonts w:hint="cs"/>
          <w:i/>
          <w:iCs/>
          <w:spacing w:val="-4"/>
          <w:w w:val="100"/>
          <w:kern w:val="0"/>
          <w:sz w:val="26"/>
          <w:szCs w:val="26"/>
          <w:rtl/>
        </w:rPr>
        <w:t>المصدر</w:t>
      </w:r>
      <w:r w:rsidR="00727841">
        <w:rPr>
          <w:rFonts w:hint="cs"/>
          <w:spacing w:val="-4"/>
          <w:w w:val="100"/>
          <w:kern w:val="0"/>
          <w:sz w:val="26"/>
          <w:szCs w:val="26"/>
          <w:rtl/>
        </w:rPr>
        <w:t>:</w:t>
      </w:r>
      <w:r w:rsidR="00727841">
        <w:rPr>
          <w:rFonts w:hint="cs"/>
          <w:spacing w:val="-4"/>
          <w:w w:val="100"/>
          <w:kern w:val="0"/>
          <w:sz w:val="26"/>
          <w:szCs w:val="26"/>
          <w:rtl/>
        </w:rPr>
        <w:tab/>
      </w:r>
      <w:r w:rsidRPr="00727841">
        <w:rPr>
          <w:spacing w:val="-4"/>
          <w:w w:val="100"/>
          <w:kern w:val="0"/>
          <w:sz w:val="26"/>
          <w:szCs w:val="26"/>
          <w:rtl/>
        </w:rPr>
        <w:t xml:space="preserve">المعهد الوطني للإحصاءات وتعداد السكان. </w:t>
      </w:r>
      <w:r w:rsidRPr="00727841">
        <w:rPr>
          <w:rFonts w:hint="cs"/>
          <w:spacing w:val="-4"/>
          <w:w w:val="100"/>
          <w:kern w:val="0"/>
          <w:sz w:val="26"/>
          <w:szCs w:val="26"/>
          <w:rtl/>
        </w:rPr>
        <w:t>التعدادان الوطنيان للسكان والأسر المعيشية والمساكن لعامي</w:t>
      </w:r>
      <w:r w:rsidR="00727841">
        <w:rPr>
          <w:rFonts w:hint="eastAsia"/>
          <w:spacing w:val="-4"/>
          <w:w w:val="100"/>
          <w:kern w:val="0"/>
          <w:sz w:val="26"/>
          <w:szCs w:val="26"/>
          <w:rtl/>
        </w:rPr>
        <w:t> </w:t>
      </w:r>
      <w:r w:rsidRPr="00727841">
        <w:rPr>
          <w:rFonts w:hint="cs"/>
          <w:spacing w:val="-4"/>
          <w:w w:val="100"/>
          <w:kern w:val="0"/>
          <w:sz w:val="26"/>
          <w:szCs w:val="26"/>
          <w:rtl/>
        </w:rPr>
        <w:t>2001 و2010</w:t>
      </w:r>
      <w:r w:rsidRPr="00727841">
        <w:rPr>
          <w:spacing w:val="-4"/>
          <w:w w:val="100"/>
          <w:kern w:val="0"/>
          <w:sz w:val="26"/>
          <w:szCs w:val="26"/>
          <w:rtl/>
        </w:rPr>
        <w:t>.</w:t>
      </w:r>
    </w:p>
    <w:p w:rsidR="00750F90" w:rsidRPr="00727841" w:rsidRDefault="00750F90" w:rsidP="00727841">
      <w:pPr>
        <w:pStyle w:val="SingleTxt"/>
        <w:ind w:left="1930" w:hanging="666"/>
        <w:rPr>
          <w:i/>
          <w:iCs/>
          <w:spacing w:val="-4"/>
          <w:w w:val="100"/>
          <w:kern w:val="0"/>
          <w:sz w:val="26"/>
          <w:szCs w:val="26"/>
          <w:rtl/>
        </w:rPr>
      </w:pPr>
      <w:r w:rsidRPr="00727841">
        <w:rPr>
          <w:rFonts w:hint="cs"/>
          <w:i/>
          <w:iCs/>
          <w:spacing w:val="-4"/>
          <w:w w:val="100"/>
          <w:kern w:val="0"/>
          <w:sz w:val="26"/>
          <w:szCs w:val="26"/>
          <w:rtl/>
        </w:rPr>
        <w:t>ملاحظة:</w:t>
      </w:r>
      <w:r w:rsidR="00727841">
        <w:rPr>
          <w:rFonts w:hint="cs"/>
          <w:spacing w:val="-4"/>
          <w:w w:val="100"/>
          <w:kern w:val="0"/>
          <w:sz w:val="26"/>
          <w:szCs w:val="26"/>
          <w:rtl/>
        </w:rPr>
        <w:tab/>
      </w:r>
      <w:r w:rsidRPr="00727841">
        <w:rPr>
          <w:rFonts w:hint="cs"/>
          <w:spacing w:val="-4"/>
          <w:w w:val="100"/>
          <w:kern w:val="0"/>
          <w:sz w:val="26"/>
          <w:szCs w:val="26"/>
          <w:rtl/>
        </w:rPr>
        <w:t>يُحتسب المعدل النهائي لعدد المواليد لدى النساء اللائي تتراوح أعمارهن بين 45 و49 سنة، في نهاية سن</w:t>
      </w:r>
      <w:r w:rsidR="00727841">
        <w:rPr>
          <w:rFonts w:hint="eastAsia"/>
          <w:spacing w:val="-4"/>
          <w:w w:val="100"/>
          <w:kern w:val="0"/>
          <w:sz w:val="26"/>
          <w:szCs w:val="26"/>
          <w:rtl/>
        </w:rPr>
        <w:t> </w:t>
      </w:r>
      <w:r w:rsidRPr="00727841">
        <w:rPr>
          <w:rFonts w:hint="cs"/>
          <w:spacing w:val="-4"/>
          <w:w w:val="100"/>
          <w:kern w:val="0"/>
          <w:sz w:val="26"/>
          <w:szCs w:val="26"/>
          <w:rtl/>
        </w:rPr>
        <w:t>الإنجاب.</w:t>
      </w:r>
    </w:p>
    <w:p w:rsidR="00706E77" w:rsidRPr="00706E77" w:rsidRDefault="00706E77" w:rsidP="00706E77">
      <w:pPr>
        <w:pStyle w:val="SingleTxt"/>
        <w:spacing w:after="0" w:line="120" w:lineRule="exact"/>
        <w:rPr>
          <w:w w:val="100"/>
          <w:kern w:val="0"/>
          <w:sz w:val="10"/>
          <w:rtl/>
        </w:rPr>
      </w:pPr>
    </w:p>
    <w:p w:rsidR="00750F90" w:rsidRPr="00307AAE" w:rsidRDefault="00750F90" w:rsidP="00CD4175">
      <w:pPr>
        <w:pStyle w:val="SingleTxt"/>
        <w:rPr>
          <w:color w:val="000000"/>
          <w:w w:val="100"/>
          <w:kern w:val="0"/>
          <w:rtl/>
        </w:rPr>
      </w:pPr>
      <w:r w:rsidRPr="00307AAE">
        <w:rPr>
          <w:rFonts w:hint="cs"/>
          <w:w w:val="100"/>
          <w:kern w:val="0"/>
          <w:rtl/>
        </w:rPr>
        <w:t>13-</w:t>
      </w:r>
      <w:r w:rsidRPr="00307AAE">
        <w:rPr>
          <w:rFonts w:hint="cs"/>
          <w:w w:val="100"/>
          <w:kern w:val="0"/>
          <w:rtl/>
        </w:rPr>
        <w:tab/>
      </w:r>
      <w:r w:rsidRPr="00307AAE">
        <w:rPr>
          <w:rFonts w:hint="cs"/>
          <w:w w:val="100"/>
          <w:kern w:val="0"/>
          <w:rtl/>
          <w:lang w:val="fr-CH"/>
        </w:rPr>
        <w:t xml:space="preserve">والمعدل النهائي لعدد المواليد مقياسٌ للخصوبة. وهو </w:t>
      </w:r>
      <w:r w:rsidRPr="00307AAE">
        <w:rPr>
          <w:color w:val="000000"/>
          <w:w w:val="100"/>
          <w:kern w:val="0"/>
          <w:rtl/>
        </w:rPr>
        <w:t xml:space="preserve">عدد المواليد الأحياء </w:t>
      </w:r>
      <w:r w:rsidRPr="00307AAE">
        <w:rPr>
          <w:rFonts w:hint="cs"/>
          <w:color w:val="000000"/>
          <w:w w:val="100"/>
          <w:kern w:val="0"/>
          <w:rtl/>
        </w:rPr>
        <w:t xml:space="preserve">للنساء اللائي تتراوح أعمارهن بين 45 و49 سنة خلال فترة </w:t>
      </w:r>
      <w:r w:rsidRPr="00307AAE">
        <w:rPr>
          <w:color w:val="000000"/>
          <w:w w:val="100"/>
          <w:kern w:val="0"/>
          <w:rtl/>
        </w:rPr>
        <w:t>الإنجاب</w:t>
      </w:r>
      <w:r w:rsidRPr="00307AAE">
        <w:rPr>
          <w:rFonts w:hint="cs"/>
          <w:color w:val="000000"/>
          <w:w w:val="100"/>
          <w:kern w:val="0"/>
          <w:rtl/>
        </w:rPr>
        <w:t xml:space="preserve"> (الخصوبة المتأخرة) قياس</w:t>
      </w:r>
      <w:r w:rsidR="00A71B00">
        <w:rPr>
          <w:rFonts w:hint="cs"/>
          <w:color w:val="000000"/>
          <w:w w:val="100"/>
          <w:kern w:val="0"/>
          <w:rtl/>
        </w:rPr>
        <w:t xml:space="preserve">اً </w:t>
      </w:r>
      <w:r w:rsidRPr="00307AAE">
        <w:rPr>
          <w:rFonts w:hint="cs"/>
          <w:color w:val="000000"/>
          <w:w w:val="100"/>
          <w:kern w:val="0"/>
          <w:rtl/>
        </w:rPr>
        <w:t>إلى مجموع النساء اللائي شملهن التعداد من هذه الفئات العمرية.</w:t>
      </w:r>
    </w:p>
    <w:p w:rsidR="00750F90" w:rsidRPr="00307AAE" w:rsidRDefault="00750F90" w:rsidP="00CD4175">
      <w:pPr>
        <w:pStyle w:val="SingleTxt"/>
        <w:rPr>
          <w:w w:val="100"/>
          <w:kern w:val="0"/>
          <w:rtl/>
          <w:lang w:val="fr-CH"/>
        </w:rPr>
      </w:pPr>
      <w:r w:rsidRPr="00307AAE">
        <w:rPr>
          <w:rFonts w:hint="cs"/>
          <w:color w:val="000000"/>
          <w:w w:val="100"/>
          <w:kern w:val="0"/>
          <w:rtl/>
        </w:rPr>
        <w:t>14-</w:t>
      </w:r>
      <w:r w:rsidRPr="00307AAE">
        <w:rPr>
          <w:rFonts w:hint="cs"/>
          <w:color w:val="000000"/>
          <w:w w:val="100"/>
          <w:kern w:val="0"/>
          <w:rtl/>
        </w:rPr>
        <w:tab/>
        <w:t>ويلاحظ أن المعدل النهائي لعدد المواليد قد انخفض في سائر البلد من 3</w:t>
      </w:r>
      <w:r w:rsidR="00307AAE" w:rsidRPr="00307AAE">
        <w:rPr>
          <w:rFonts w:hint="cs"/>
          <w:color w:val="000000"/>
          <w:w w:val="100"/>
          <w:kern w:val="0"/>
          <w:rtl/>
        </w:rPr>
        <w:t>.</w:t>
      </w:r>
      <w:r w:rsidRPr="00307AAE">
        <w:rPr>
          <w:rFonts w:hint="cs"/>
          <w:color w:val="000000"/>
          <w:w w:val="100"/>
          <w:kern w:val="0"/>
          <w:rtl/>
        </w:rPr>
        <w:t>1 مواليد لكل امرأة في عام 2001 إلى 2</w:t>
      </w:r>
      <w:r w:rsidR="00307AAE" w:rsidRPr="00307AAE">
        <w:rPr>
          <w:rFonts w:hint="cs"/>
          <w:color w:val="000000"/>
          <w:w w:val="100"/>
          <w:kern w:val="0"/>
          <w:rtl/>
        </w:rPr>
        <w:t>.</w:t>
      </w:r>
      <w:r w:rsidRPr="00307AAE">
        <w:rPr>
          <w:rFonts w:hint="cs"/>
          <w:color w:val="000000"/>
          <w:w w:val="100"/>
          <w:kern w:val="0"/>
          <w:rtl/>
        </w:rPr>
        <w:t>9 في عام 2010. وتوضح هذه البيانات انخفاض معدل الخصوبة خلال العقد الأخير. والمقاطعة الأدنى من حيث مستوى المعدل النهائي لعدد المواليد هي مدينة بوينس آيرس، إذ بلغ فيها معدل المواليد لكل امرأة 1</w:t>
      </w:r>
      <w:r w:rsidR="00307AAE" w:rsidRPr="00307AAE">
        <w:rPr>
          <w:rFonts w:hint="cs"/>
          <w:color w:val="000000"/>
          <w:w w:val="100"/>
          <w:kern w:val="0"/>
          <w:rtl/>
        </w:rPr>
        <w:t>.</w:t>
      </w:r>
      <w:r w:rsidRPr="00307AAE">
        <w:rPr>
          <w:rFonts w:hint="cs"/>
          <w:color w:val="000000"/>
          <w:w w:val="100"/>
          <w:kern w:val="0"/>
          <w:rtl/>
        </w:rPr>
        <w:t>9 في عام 2010. وبالتالي، فقد حافظت دون فرق تقريب</w:t>
      </w:r>
      <w:r w:rsidR="00A71B00">
        <w:rPr>
          <w:rFonts w:hint="cs"/>
          <w:color w:val="000000"/>
          <w:w w:val="100"/>
          <w:kern w:val="0"/>
          <w:rtl/>
        </w:rPr>
        <w:t xml:space="preserve">اً </w:t>
      </w:r>
      <w:r w:rsidRPr="00307AAE">
        <w:rPr>
          <w:rFonts w:hint="cs"/>
          <w:color w:val="000000"/>
          <w:w w:val="100"/>
          <w:kern w:val="0"/>
          <w:rtl/>
        </w:rPr>
        <w:t xml:space="preserve">على المعدل المسجل في تعداد السكان لعام 2001 (مولودان لكل امرأة) ولا تزال ضمن خانة أدنى مستويات الخصوبة في البلد. ويمكن تصنيف باقي المحافظات ضمن فئتين هما: المحافظات التي </w:t>
      </w:r>
      <w:r w:rsidRPr="00307AAE">
        <w:rPr>
          <w:rFonts w:hint="cs"/>
          <w:color w:val="000000"/>
          <w:w w:val="100"/>
          <w:kern w:val="0"/>
          <w:rtl/>
          <w:lang w:val="fr-CH"/>
        </w:rPr>
        <w:t xml:space="preserve">تسجل ما بين 2 و3 مواليد لكل امرأة (أربع محافظات) وتلك التي يفوق فيها المعدل 3 مواليد (تسع عشرة محافظة). وتشمل المجموعة الأولى كلا من تييرا ديل فويغو، </w:t>
      </w:r>
      <w:r w:rsidRPr="00307AAE">
        <w:rPr>
          <w:w w:val="100"/>
          <w:kern w:val="0"/>
          <w:rtl/>
        </w:rPr>
        <w:t>وأنتاركتيكا وجزر جنوب المحيط الأطلسي</w:t>
      </w:r>
      <w:r w:rsidRPr="00307AAE">
        <w:rPr>
          <w:rFonts w:hint="cs"/>
          <w:w w:val="100"/>
          <w:kern w:val="0"/>
          <w:rtl/>
        </w:rPr>
        <w:t>، وبوينس آيرس</w:t>
      </w:r>
      <w:r w:rsidRPr="00307AAE">
        <w:rPr>
          <w:rFonts w:hint="cs"/>
          <w:w w:val="100"/>
          <w:kern w:val="0"/>
          <w:rtl/>
          <w:lang w:val="fr-CH"/>
        </w:rPr>
        <w:t>، وقرطبة وسانتا في، في حين تشمل الفئة الثانية كلا من محافظة ميسيونيس، وسانتياغو ديل إيستيرو، وتشاكو، وفورموسا وسالتا، التي تسجل أعلى معدلات الخصوبة.</w:t>
      </w:r>
    </w:p>
    <w:p w:rsidR="00750F90" w:rsidRPr="00727841" w:rsidRDefault="00750F90" w:rsidP="00727841">
      <w:pPr>
        <w:pStyle w:val="SingleTxt"/>
        <w:rPr>
          <w:spacing w:val="-4"/>
          <w:w w:val="100"/>
          <w:kern w:val="0"/>
          <w:rtl/>
          <w:lang w:val="fr-CH"/>
        </w:rPr>
      </w:pPr>
      <w:r w:rsidRPr="00307AAE">
        <w:rPr>
          <w:rFonts w:hint="cs"/>
          <w:w w:val="100"/>
          <w:kern w:val="0"/>
          <w:rtl/>
          <w:lang w:val="fr-CH"/>
        </w:rPr>
        <w:t>15-</w:t>
      </w:r>
      <w:r w:rsidRPr="00307AAE">
        <w:rPr>
          <w:rFonts w:hint="cs"/>
          <w:w w:val="100"/>
          <w:kern w:val="0"/>
          <w:rtl/>
          <w:lang w:val="fr-CH"/>
        </w:rPr>
        <w:tab/>
        <w:t>وتجدر الإشارة إلى أن بيانات تعداد السكان لعام 2010 لا تعرض المحافظات التي يفوق أو</w:t>
      </w:r>
      <w:r w:rsidR="00727841">
        <w:rPr>
          <w:rFonts w:hint="eastAsia"/>
          <w:w w:val="100"/>
          <w:kern w:val="0"/>
          <w:rtl/>
          <w:lang w:val="fr-CH"/>
        </w:rPr>
        <w:t> </w:t>
      </w:r>
      <w:r w:rsidRPr="00307AAE">
        <w:rPr>
          <w:rFonts w:hint="cs"/>
          <w:w w:val="100"/>
          <w:kern w:val="0"/>
          <w:rtl/>
          <w:lang w:val="fr-CH"/>
        </w:rPr>
        <w:t>يعادل فيها معدل المواليد لكل امرأة 4. وخلاف</w:t>
      </w:r>
      <w:r w:rsidR="00A71B00">
        <w:rPr>
          <w:rFonts w:hint="cs"/>
          <w:w w:val="100"/>
          <w:kern w:val="0"/>
          <w:rtl/>
          <w:lang w:val="fr-CH"/>
        </w:rPr>
        <w:t xml:space="preserve">اً </w:t>
      </w:r>
      <w:r w:rsidRPr="00307AAE">
        <w:rPr>
          <w:rFonts w:hint="cs"/>
          <w:w w:val="100"/>
          <w:kern w:val="0"/>
          <w:rtl/>
          <w:lang w:val="fr-CH"/>
        </w:rPr>
        <w:t>لذلك، سُجلت هذه الحالة، وفق</w:t>
      </w:r>
      <w:r w:rsidR="00A71B00">
        <w:rPr>
          <w:rFonts w:hint="cs"/>
          <w:w w:val="100"/>
          <w:kern w:val="0"/>
          <w:rtl/>
          <w:lang w:val="fr-CH"/>
        </w:rPr>
        <w:t xml:space="preserve">اً </w:t>
      </w:r>
      <w:r w:rsidRPr="00307AAE">
        <w:rPr>
          <w:rFonts w:hint="cs"/>
          <w:w w:val="100"/>
          <w:kern w:val="0"/>
          <w:rtl/>
          <w:lang w:val="fr-CH"/>
        </w:rPr>
        <w:t xml:space="preserve">لتعداد السكان </w:t>
      </w:r>
      <w:r w:rsidRPr="00727841">
        <w:rPr>
          <w:rFonts w:hint="cs"/>
          <w:spacing w:val="-4"/>
          <w:w w:val="100"/>
          <w:kern w:val="0"/>
          <w:rtl/>
          <w:lang w:val="fr-CH"/>
        </w:rPr>
        <w:t>لعام 2001، في خمس محافظات هي: فورموسا وخوخوي وميسيونيس وسالتا وسانتياغو ديل إيستيرو.</w:t>
      </w:r>
    </w:p>
    <w:p w:rsidR="00750F90" w:rsidRPr="00307AAE" w:rsidRDefault="00750F90" w:rsidP="00CD4175">
      <w:pPr>
        <w:pStyle w:val="SingleTxt"/>
        <w:rPr>
          <w:w w:val="100"/>
          <w:kern w:val="0"/>
          <w:rtl/>
          <w:lang w:val="fr-CH"/>
        </w:rPr>
      </w:pPr>
      <w:r w:rsidRPr="00307AAE">
        <w:rPr>
          <w:rFonts w:hint="cs"/>
          <w:w w:val="100"/>
          <w:kern w:val="0"/>
          <w:rtl/>
          <w:lang w:val="fr-CH"/>
        </w:rPr>
        <w:t>16-</w:t>
      </w:r>
      <w:r w:rsidRPr="00307AAE">
        <w:rPr>
          <w:rFonts w:hint="cs"/>
          <w:w w:val="100"/>
          <w:kern w:val="0"/>
          <w:rtl/>
          <w:lang w:val="fr-CH"/>
        </w:rPr>
        <w:tab/>
        <w:t>وتوضح بيانات تعداد السكان لعام 2010 انخفاض متوسط عدد المواليد لكل امرأة ابتداء من الفئة العمرية 25 إلى 29 سنة حتى نهاية سن الإنجاب (45 إلى 49 سنة). واعتبار</w:t>
      </w:r>
      <w:r w:rsidR="00A71B00">
        <w:rPr>
          <w:rFonts w:hint="cs"/>
          <w:w w:val="100"/>
          <w:kern w:val="0"/>
          <w:rtl/>
          <w:lang w:val="fr-CH"/>
        </w:rPr>
        <w:t xml:space="preserve">اً </w:t>
      </w:r>
      <w:r w:rsidRPr="00307AAE">
        <w:rPr>
          <w:rFonts w:hint="cs"/>
          <w:w w:val="100"/>
          <w:kern w:val="0"/>
          <w:rtl/>
          <w:lang w:val="fr-CH"/>
        </w:rPr>
        <w:t>من سن الخمسين، فالمستويات المشار إليها في بيانات تعداد السكان لعام 2010 مشابهة لتلك المسجلة خلال العقد السابق.</w:t>
      </w:r>
    </w:p>
    <w:p w:rsidR="006A2A64" w:rsidRPr="006A2A64" w:rsidRDefault="006A2A64" w:rsidP="006A2A6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CH"/>
        </w:rPr>
      </w:pPr>
    </w:p>
    <w:p w:rsidR="00750F90" w:rsidRDefault="006A2A64" w:rsidP="006A2A6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CH"/>
        </w:rPr>
      </w:pPr>
      <w:r>
        <w:rPr>
          <w:rFonts w:hint="cs"/>
          <w:w w:val="100"/>
          <w:rtl/>
          <w:lang w:val="fr-CH"/>
        </w:rPr>
        <w:tab/>
      </w:r>
      <w:r>
        <w:rPr>
          <w:rFonts w:hint="cs"/>
          <w:w w:val="100"/>
          <w:rtl/>
          <w:lang w:val="fr-CH"/>
        </w:rPr>
        <w:tab/>
      </w:r>
      <w:r w:rsidR="00750F90" w:rsidRPr="00307AAE">
        <w:rPr>
          <w:rFonts w:hint="cs"/>
          <w:w w:val="100"/>
          <w:rtl/>
          <w:lang w:val="fr-CH"/>
        </w:rPr>
        <w:t>توزيع السكان بحسب الأصل الإثني</w:t>
      </w:r>
    </w:p>
    <w:p w:rsidR="00750F90" w:rsidRPr="006A2A64" w:rsidRDefault="006A2A64" w:rsidP="006A2A64">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CH"/>
        </w:rPr>
      </w:pPr>
      <w:r>
        <w:rPr>
          <w:rFonts w:hint="cs"/>
          <w:w w:val="100"/>
          <w:rtl/>
          <w:lang w:val="fr-CH"/>
        </w:rPr>
        <w:tab/>
      </w:r>
      <w:r w:rsidR="00750F90" w:rsidRPr="006A2A64">
        <w:rPr>
          <w:rFonts w:hint="cs"/>
          <w:w w:val="100"/>
          <w:rtl/>
          <w:lang w:val="fr-CH"/>
        </w:rPr>
        <w:tab/>
        <w:t>السكان الأوون</w:t>
      </w:r>
    </w:p>
    <w:p w:rsidR="00750F90" w:rsidRPr="00307AAE" w:rsidRDefault="00750F90" w:rsidP="00CD4175">
      <w:pPr>
        <w:pStyle w:val="SingleTxt"/>
        <w:rPr>
          <w:w w:val="100"/>
          <w:kern w:val="0"/>
          <w:rtl/>
          <w:lang w:val="fr-CH"/>
        </w:rPr>
      </w:pPr>
      <w:r w:rsidRPr="00307AAE">
        <w:rPr>
          <w:rFonts w:hint="cs"/>
          <w:w w:val="100"/>
          <w:kern w:val="0"/>
          <w:rtl/>
          <w:lang w:val="fr-CH"/>
        </w:rPr>
        <w:t>17-</w:t>
      </w:r>
      <w:r w:rsidRPr="00307AAE">
        <w:rPr>
          <w:rFonts w:hint="cs"/>
          <w:w w:val="100"/>
          <w:kern w:val="0"/>
          <w:rtl/>
          <w:lang w:val="fr-CH"/>
        </w:rPr>
        <w:tab/>
        <w:t>يبلغ عدد السكان الأولين الذين يُعَرِّفون أنفسهم كذلك 032 955 نسمة في سائر البلد، ما يمثل 2</w:t>
      </w:r>
      <w:r w:rsidR="00307AAE" w:rsidRPr="00307AAE">
        <w:rPr>
          <w:rFonts w:hint="cs"/>
          <w:w w:val="100"/>
          <w:kern w:val="0"/>
          <w:rtl/>
          <w:lang w:val="fr-CH"/>
        </w:rPr>
        <w:t>.</w:t>
      </w:r>
      <w:r w:rsidRPr="00307AAE">
        <w:rPr>
          <w:rFonts w:hint="cs"/>
          <w:w w:val="100"/>
          <w:kern w:val="0"/>
          <w:rtl/>
          <w:lang w:val="fr-CH"/>
        </w:rPr>
        <w:t>4 في المائة من مجموع السكان على الصعيد الوطني.</w:t>
      </w:r>
    </w:p>
    <w:p w:rsidR="00750F90" w:rsidRPr="00307AAE" w:rsidRDefault="00750F90" w:rsidP="00CD4175">
      <w:pPr>
        <w:pStyle w:val="SingleTxt"/>
        <w:rPr>
          <w:w w:val="100"/>
          <w:kern w:val="0"/>
          <w:rtl/>
          <w:lang w:val="fr-CH"/>
        </w:rPr>
      </w:pPr>
      <w:r w:rsidRPr="00307AAE">
        <w:rPr>
          <w:rFonts w:hint="cs"/>
          <w:w w:val="100"/>
          <w:kern w:val="0"/>
          <w:rtl/>
          <w:lang w:val="fr-CH"/>
        </w:rPr>
        <w:t>18-</w:t>
      </w:r>
      <w:r w:rsidRPr="00307AAE">
        <w:rPr>
          <w:rFonts w:hint="cs"/>
          <w:w w:val="100"/>
          <w:kern w:val="0"/>
          <w:rtl/>
          <w:lang w:val="fr-CH"/>
        </w:rPr>
        <w:tab/>
        <w:t>ويشكل الذكور 074 481 والإناث 958 473 من هذا المجموع. وهذه معلومة إحصائية ذات دلالة، حيث يلاحظ لدى مقارنة النِسب بمجموع السكان أن نسبة الذكور ونسبة الإناث تنقلبان: فبينما يشكل الذكور 48</w:t>
      </w:r>
      <w:r w:rsidR="00307AAE" w:rsidRPr="00307AAE">
        <w:rPr>
          <w:rFonts w:hint="cs"/>
          <w:w w:val="100"/>
          <w:kern w:val="0"/>
          <w:rtl/>
          <w:lang w:val="fr-CH"/>
        </w:rPr>
        <w:t>.</w:t>
      </w:r>
      <w:r w:rsidRPr="00307AAE">
        <w:rPr>
          <w:rFonts w:hint="cs"/>
          <w:w w:val="100"/>
          <w:kern w:val="0"/>
          <w:rtl/>
          <w:lang w:val="fr-CH"/>
        </w:rPr>
        <w:t>7 في المائة والإناث 51</w:t>
      </w:r>
      <w:r w:rsidR="00307AAE" w:rsidRPr="00307AAE">
        <w:rPr>
          <w:rFonts w:hint="cs"/>
          <w:w w:val="100"/>
          <w:kern w:val="0"/>
          <w:rtl/>
          <w:lang w:val="fr-CH"/>
        </w:rPr>
        <w:t>.</w:t>
      </w:r>
      <w:r w:rsidRPr="00307AAE">
        <w:rPr>
          <w:rFonts w:hint="cs"/>
          <w:w w:val="100"/>
          <w:kern w:val="0"/>
          <w:rtl/>
          <w:lang w:val="fr-CH"/>
        </w:rPr>
        <w:t>3 في المائة من مجموع سكان الأرجنتين، يمثل الذكور 50</w:t>
      </w:r>
      <w:r w:rsidR="00307AAE" w:rsidRPr="00307AAE">
        <w:rPr>
          <w:rFonts w:hint="cs"/>
          <w:w w:val="100"/>
          <w:kern w:val="0"/>
          <w:rtl/>
          <w:lang w:val="fr-CH"/>
        </w:rPr>
        <w:t>.</w:t>
      </w:r>
      <w:r w:rsidRPr="00307AAE">
        <w:rPr>
          <w:rFonts w:hint="cs"/>
          <w:w w:val="100"/>
          <w:kern w:val="0"/>
          <w:rtl/>
          <w:lang w:val="fr-CH"/>
        </w:rPr>
        <w:t>4 في المائة من السكان الأولين والإناث 49</w:t>
      </w:r>
      <w:r w:rsidR="00307AAE" w:rsidRPr="00307AAE">
        <w:rPr>
          <w:rFonts w:hint="cs"/>
          <w:w w:val="100"/>
          <w:kern w:val="0"/>
          <w:rtl/>
          <w:lang w:val="fr-CH"/>
        </w:rPr>
        <w:t>.</w:t>
      </w:r>
      <w:r w:rsidRPr="00307AAE">
        <w:rPr>
          <w:rFonts w:hint="cs"/>
          <w:w w:val="100"/>
          <w:kern w:val="0"/>
          <w:rtl/>
          <w:lang w:val="fr-CH"/>
        </w:rPr>
        <w:t>6 في المائة منهم.</w:t>
      </w:r>
    </w:p>
    <w:p w:rsidR="006A2A64" w:rsidRDefault="006A2A64">
      <w:pPr>
        <w:bidi w:val="0"/>
        <w:spacing w:line="240" w:lineRule="auto"/>
        <w:jc w:val="left"/>
        <w:rPr>
          <w:w w:val="100"/>
          <w:kern w:val="0"/>
          <w:rtl/>
          <w:lang w:val="fr-CH"/>
        </w:rPr>
      </w:pPr>
      <w:r>
        <w:rPr>
          <w:w w:val="100"/>
          <w:kern w:val="0"/>
          <w:rtl/>
          <w:lang w:val="fr-CH"/>
        </w:rPr>
        <w:br w:type="page"/>
      </w:r>
    </w:p>
    <w:p w:rsidR="00750F90" w:rsidRPr="00307AAE" w:rsidRDefault="00750F90" w:rsidP="006A2A64">
      <w:pPr>
        <w:pStyle w:val="SingleTxt"/>
        <w:spacing w:after="0"/>
        <w:rPr>
          <w:w w:val="100"/>
          <w:rtl/>
          <w:lang w:val="fr-CH"/>
        </w:rPr>
      </w:pPr>
      <w:r w:rsidRPr="00307AAE">
        <w:rPr>
          <w:rFonts w:hint="cs"/>
          <w:w w:val="100"/>
          <w:rtl/>
          <w:lang w:val="fr-CH"/>
        </w:rPr>
        <w:t>الجدول 6</w:t>
      </w:r>
    </w:p>
    <w:p w:rsidR="00750F90" w:rsidRDefault="00750F90" w:rsidP="006A2A64">
      <w:pPr>
        <w:pStyle w:val="SingleTxt"/>
        <w:rPr>
          <w:b/>
          <w:bCs/>
          <w:w w:val="100"/>
          <w:rtl/>
          <w:lang w:val="fr-CH"/>
        </w:rPr>
      </w:pPr>
      <w:r w:rsidRPr="00307AAE">
        <w:rPr>
          <w:rFonts w:hint="cs"/>
          <w:b/>
          <w:bCs/>
          <w:w w:val="100"/>
          <w:rtl/>
          <w:lang w:val="fr-CH"/>
        </w:rPr>
        <w:t>السكان الأصليون أو المنحدرون من الشعوب الأصلية والأولى في المساكن الخاصة بحسب نوع الجنس، وبحسب الفئات العمرية الكبرى، في البلد ككل، في عام 2010</w:t>
      </w:r>
    </w:p>
    <w:p w:rsidR="006A2A64" w:rsidRPr="006A2A64" w:rsidRDefault="006A2A64" w:rsidP="006A2A64">
      <w:pPr>
        <w:pStyle w:val="SingleTxt"/>
        <w:spacing w:after="0" w:line="120" w:lineRule="exact"/>
        <w:rPr>
          <w:b/>
          <w:bCs/>
          <w:w w:val="100"/>
          <w:sz w:val="10"/>
          <w:rtl/>
          <w:lang w:val="fr-CH"/>
        </w:rPr>
      </w:pPr>
    </w:p>
    <w:tbl>
      <w:tblPr>
        <w:bidiVisual/>
        <w:tblW w:w="0" w:type="auto"/>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1707"/>
        <w:gridCol w:w="1778"/>
        <w:gridCol w:w="1470"/>
      </w:tblGrid>
      <w:tr w:rsidR="00750F90" w:rsidRPr="006A2A64" w:rsidTr="006A2A64">
        <w:tc>
          <w:tcPr>
            <w:tcW w:w="7503" w:type="dxa"/>
            <w:gridSpan w:val="4"/>
            <w:tcBorders>
              <w:top w:val="single" w:sz="4" w:space="0" w:color="auto"/>
              <w:left w:val="nil"/>
              <w:bottom w:val="single" w:sz="4" w:space="0" w:color="auto"/>
              <w:right w:val="nil"/>
            </w:tcBorders>
          </w:tcPr>
          <w:p w:rsidR="00750F90" w:rsidRPr="006A2A64" w:rsidRDefault="00750F90" w:rsidP="00CC0F13">
            <w:pPr>
              <w:pStyle w:val="SingleTxtGA"/>
              <w:ind w:left="0" w:right="176"/>
              <w:jc w:val="right"/>
              <w:rPr>
                <w:rFonts w:ascii="Traditional Arabic" w:hAnsi="Traditional Arabic"/>
                <w:i/>
                <w:iCs/>
                <w:sz w:val="28"/>
                <w:szCs w:val="28"/>
                <w:rtl/>
                <w:lang w:val="fr-CH"/>
              </w:rPr>
            </w:pPr>
            <w:r w:rsidRPr="006A2A64">
              <w:rPr>
                <w:rFonts w:ascii="Traditional Arabic" w:hAnsi="Traditional Arabic" w:hint="cs"/>
                <w:i/>
                <w:iCs/>
                <w:sz w:val="28"/>
                <w:szCs w:val="28"/>
                <w:rtl/>
                <w:lang w:val="fr-CH"/>
              </w:rPr>
              <w:t xml:space="preserve">السكان الأصليون أو المنحدرون من الشعوب الأصلية أو الأولى </w:t>
            </w:r>
          </w:p>
        </w:tc>
      </w:tr>
      <w:tr w:rsidR="00750F90" w:rsidRPr="006A2A64" w:rsidTr="006A2A64">
        <w:tc>
          <w:tcPr>
            <w:tcW w:w="2548" w:type="dxa"/>
            <w:tcBorders>
              <w:top w:val="single" w:sz="4" w:space="0" w:color="auto"/>
              <w:left w:val="nil"/>
              <w:bottom w:val="single" w:sz="12" w:space="0" w:color="auto"/>
              <w:right w:val="nil"/>
            </w:tcBorders>
          </w:tcPr>
          <w:p w:rsidR="00750F90" w:rsidRPr="006A2A64" w:rsidRDefault="00750F90" w:rsidP="00CC0F13">
            <w:pPr>
              <w:pStyle w:val="SingleTxtGA"/>
              <w:ind w:left="0" w:right="144"/>
              <w:rPr>
                <w:rFonts w:ascii="Traditional Arabic" w:hAnsi="Traditional Arabic"/>
                <w:i/>
                <w:iCs/>
                <w:sz w:val="28"/>
                <w:szCs w:val="28"/>
                <w:rtl/>
                <w:lang w:val="fr-CH"/>
              </w:rPr>
            </w:pPr>
            <w:r w:rsidRPr="006A2A64">
              <w:rPr>
                <w:rFonts w:ascii="Traditional Arabic" w:hAnsi="Traditional Arabic" w:hint="cs"/>
                <w:i/>
                <w:iCs/>
                <w:sz w:val="28"/>
                <w:szCs w:val="28"/>
                <w:rtl/>
                <w:lang w:val="fr-CH"/>
              </w:rPr>
              <w:t>الفئة العمرية</w:t>
            </w:r>
          </w:p>
        </w:tc>
        <w:tc>
          <w:tcPr>
            <w:tcW w:w="1707" w:type="dxa"/>
            <w:tcBorders>
              <w:top w:val="single" w:sz="4" w:space="0" w:color="auto"/>
              <w:left w:val="nil"/>
              <w:bottom w:val="single" w:sz="12" w:space="0" w:color="auto"/>
              <w:right w:val="nil"/>
            </w:tcBorders>
          </w:tcPr>
          <w:p w:rsidR="00750F90" w:rsidRPr="006A2A64" w:rsidRDefault="00750F90" w:rsidP="00CC0F13">
            <w:pPr>
              <w:pStyle w:val="SingleTxtGA"/>
              <w:ind w:left="0" w:right="107"/>
              <w:rPr>
                <w:rFonts w:ascii="Traditional Arabic" w:hAnsi="Traditional Arabic"/>
                <w:b/>
                <w:bCs/>
                <w:i/>
                <w:iCs/>
                <w:sz w:val="28"/>
                <w:szCs w:val="28"/>
                <w:rtl/>
                <w:lang w:val="fr-CH"/>
              </w:rPr>
            </w:pPr>
            <w:r w:rsidRPr="006A2A64">
              <w:rPr>
                <w:rFonts w:ascii="Traditional Arabic" w:hAnsi="Traditional Arabic" w:hint="cs"/>
                <w:b/>
                <w:bCs/>
                <w:i/>
                <w:iCs/>
                <w:sz w:val="28"/>
                <w:szCs w:val="28"/>
                <w:rtl/>
                <w:lang w:val="fr-CH"/>
              </w:rPr>
              <w:t>المجموع</w:t>
            </w:r>
          </w:p>
        </w:tc>
        <w:tc>
          <w:tcPr>
            <w:tcW w:w="1778" w:type="dxa"/>
            <w:tcBorders>
              <w:top w:val="single" w:sz="4" w:space="0" w:color="auto"/>
              <w:left w:val="nil"/>
              <w:bottom w:val="single" w:sz="12" w:space="0" w:color="auto"/>
              <w:right w:val="nil"/>
            </w:tcBorders>
          </w:tcPr>
          <w:p w:rsidR="00750F90" w:rsidRPr="006A2A64" w:rsidRDefault="00750F90" w:rsidP="00CC0F13">
            <w:pPr>
              <w:pStyle w:val="SingleTxtGA"/>
              <w:ind w:left="0" w:right="212"/>
              <w:rPr>
                <w:rFonts w:ascii="Traditional Arabic" w:hAnsi="Traditional Arabic"/>
                <w:i/>
                <w:iCs/>
                <w:sz w:val="28"/>
                <w:szCs w:val="28"/>
                <w:rtl/>
                <w:lang w:val="fr-CH"/>
              </w:rPr>
            </w:pPr>
            <w:r w:rsidRPr="006A2A64">
              <w:rPr>
                <w:rFonts w:ascii="Traditional Arabic" w:hAnsi="Traditional Arabic" w:hint="cs"/>
                <w:i/>
                <w:iCs/>
                <w:sz w:val="28"/>
                <w:szCs w:val="28"/>
                <w:rtl/>
                <w:lang w:val="fr-CH"/>
              </w:rPr>
              <w:t>الذكور</w:t>
            </w:r>
          </w:p>
        </w:tc>
        <w:tc>
          <w:tcPr>
            <w:tcW w:w="1470" w:type="dxa"/>
            <w:tcBorders>
              <w:top w:val="single" w:sz="4" w:space="0" w:color="auto"/>
              <w:left w:val="nil"/>
              <w:bottom w:val="single" w:sz="12" w:space="0" w:color="auto"/>
              <w:right w:val="nil"/>
            </w:tcBorders>
          </w:tcPr>
          <w:p w:rsidR="00750F90" w:rsidRPr="006A2A64" w:rsidRDefault="00750F90" w:rsidP="00CC0F13">
            <w:pPr>
              <w:pStyle w:val="SingleTxtGA"/>
              <w:ind w:left="0" w:right="176"/>
              <w:rPr>
                <w:rFonts w:ascii="Traditional Arabic" w:hAnsi="Traditional Arabic"/>
                <w:i/>
                <w:iCs/>
                <w:sz w:val="28"/>
                <w:szCs w:val="28"/>
                <w:rtl/>
                <w:lang w:val="fr-CH"/>
              </w:rPr>
            </w:pPr>
            <w:r w:rsidRPr="006A2A64">
              <w:rPr>
                <w:rFonts w:ascii="Traditional Arabic" w:hAnsi="Traditional Arabic" w:hint="cs"/>
                <w:i/>
                <w:iCs/>
                <w:sz w:val="28"/>
                <w:szCs w:val="28"/>
                <w:rtl/>
                <w:lang w:val="fr-CH"/>
              </w:rPr>
              <w:t>الإناث</w:t>
            </w:r>
          </w:p>
        </w:tc>
      </w:tr>
      <w:tr w:rsidR="00750F90" w:rsidRPr="006A2A64" w:rsidTr="006A2A64">
        <w:tc>
          <w:tcPr>
            <w:tcW w:w="2548" w:type="dxa"/>
            <w:tcBorders>
              <w:top w:val="single" w:sz="12" w:space="0" w:color="auto"/>
              <w:left w:val="nil"/>
              <w:bottom w:val="nil"/>
              <w:right w:val="nil"/>
            </w:tcBorders>
          </w:tcPr>
          <w:p w:rsidR="00750F90" w:rsidRPr="006A2A64" w:rsidRDefault="006A2A64" w:rsidP="00CC0F13">
            <w:pPr>
              <w:pStyle w:val="SingleTxtGA"/>
              <w:ind w:left="0" w:right="144"/>
              <w:rPr>
                <w:rFonts w:ascii="Traditional Arabic" w:hAnsi="Traditional Arabic"/>
                <w:sz w:val="28"/>
                <w:szCs w:val="28"/>
                <w:rtl/>
                <w:lang w:val="fr-CH"/>
              </w:rPr>
            </w:pPr>
            <w:r>
              <w:rPr>
                <w:rFonts w:ascii="Traditional Arabic" w:hAnsi="Traditional Arabic" w:hint="cs"/>
                <w:sz w:val="28"/>
                <w:szCs w:val="28"/>
                <w:rtl/>
                <w:lang w:val="fr-CH"/>
              </w:rPr>
              <w:t>صفر إلى 14</w:t>
            </w:r>
          </w:p>
        </w:tc>
        <w:tc>
          <w:tcPr>
            <w:tcW w:w="1707" w:type="dxa"/>
            <w:tcBorders>
              <w:top w:val="single" w:sz="12" w:space="0" w:color="auto"/>
              <w:left w:val="nil"/>
              <w:bottom w:val="nil"/>
              <w:right w:val="nil"/>
            </w:tcBorders>
          </w:tcPr>
          <w:p w:rsidR="00750F90" w:rsidRPr="006A2A64" w:rsidRDefault="00750F90" w:rsidP="00CC0F13">
            <w:pPr>
              <w:pStyle w:val="SingleTxtGA"/>
              <w:ind w:left="0" w:right="107"/>
              <w:rPr>
                <w:rFonts w:ascii="Traditional Arabic" w:hAnsi="Traditional Arabic"/>
                <w:b/>
                <w:bCs/>
                <w:sz w:val="28"/>
                <w:szCs w:val="28"/>
                <w:rtl/>
                <w:lang w:val="fr-CH"/>
              </w:rPr>
            </w:pPr>
            <w:r w:rsidRPr="006A2A64">
              <w:rPr>
                <w:rFonts w:ascii="Traditional Arabic" w:hAnsi="Traditional Arabic" w:hint="cs"/>
                <w:b/>
                <w:bCs/>
                <w:sz w:val="28"/>
                <w:szCs w:val="28"/>
                <w:rtl/>
                <w:lang w:val="fr-CH"/>
              </w:rPr>
              <w:t>286 271</w:t>
            </w:r>
          </w:p>
        </w:tc>
        <w:tc>
          <w:tcPr>
            <w:tcW w:w="1778" w:type="dxa"/>
            <w:tcBorders>
              <w:top w:val="single" w:sz="12" w:space="0" w:color="auto"/>
              <w:left w:val="nil"/>
              <w:bottom w:val="nil"/>
              <w:right w:val="nil"/>
            </w:tcBorders>
          </w:tcPr>
          <w:p w:rsidR="00750F90" w:rsidRPr="006A2A64" w:rsidRDefault="00750F90" w:rsidP="00CC0F13">
            <w:pPr>
              <w:pStyle w:val="SingleTxtGA"/>
              <w:ind w:left="0" w:right="212"/>
              <w:rPr>
                <w:rFonts w:ascii="Traditional Arabic" w:hAnsi="Traditional Arabic"/>
                <w:sz w:val="28"/>
                <w:szCs w:val="28"/>
                <w:rtl/>
                <w:lang w:val="fr-CH"/>
              </w:rPr>
            </w:pPr>
            <w:r w:rsidRPr="006A2A64">
              <w:rPr>
                <w:rFonts w:ascii="Traditional Arabic" w:hAnsi="Traditional Arabic" w:hint="cs"/>
                <w:sz w:val="28"/>
                <w:szCs w:val="28"/>
                <w:rtl/>
                <w:lang w:val="fr-CH"/>
              </w:rPr>
              <w:t>726 138</w:t>
            </w:r>
          </w:p>
        </w:tc>
        <w:tc>
          <w:tcPr>
            <w:tcW w:w="1470" w:type="dxa"/>
            <w:tcBorders>
              <w:top w:val="single" w:sz="12" w:space="0" w:color="auto"/>
              <w:left w:val="nil"/>
              <w:bottom w:val="nil"/>
              <w:right w:val="nil"/>
            </w:tcBorders>
          </w:tcPr>
          <w:p w:rsidR="00750F90" w:rsidRPr="006A2A64" w:rsidRDefault="00750F90" w:rsidP="00CC0F13">
            <w:pPr>
              <w:pStyle w:val="SingleTxtGA"/>
              <w:ind w:left="0" w:right="176"/>
              <w:rPr>
                <w:rFonts w:ascii="Traditional Arabic" w:hAnsi="Traditional Arabic"/>
                <w:sz w:val="28"/>
                <w:szCs w:val="28"/>
                <w:rtl/>
                <w:lang w:val="fr-CH"/>
              </w:rPr>
            </w:pPr>
            <w:r w:rsidRPr="006A2A64">
              <w:rPr>
                <w:rFonts w:ascii="Traditional Arabic" w:hAnsi="Traditional Arabic" w:hint="cs"/>
                <w:sz w:val="28"/>
                <w:szCs w:val="28"/>
                <w:rtl/>
                <w:lang w:val="fr-CH"/>
              </w:rPr>
              <w:t>560 132</w:t>
            </w:r>
          </w:p>
        </w:tc>
      </w:tr>
      <w:tr w:rsidR="00750F90" w:rsidRPr="006A2A64" w:rsidTr="006A2A64">
        <w:tc>
          <w:tcPr>
            <w:tcW w:w="2548" w:type="dxa"/>
            <w:tcBorders>
              <w:top w:val="nil"/>
              <w:left w:val="nil"/>
              <w:bottom w:val="nil"/>
              <w:right w:val="nil"/>
            </w:tcBorders>
          </w:tcPr>
          <w:p w:rsidR="00750F90" w:rsidRPr="006A2A64" w:rsidRDefault="006A2A64" w:rsidP="00CC0F13">
            <w:pPr>
              <w:pStyle w:val="SingleTxtGA"/>
              <w:ind w:left="0" w:right="144"/>
              <w:rPr>
                <w:rFonts w:ascii="Traditional Arabic" w:hAnsi="Traditional Arabic"/>
                <w:sz w:val="28"/>
                <w:szCs w:val="28"/>
                <w:rtl/>
                <w:lang w:val="fr-CH"/>
              </w:rPr>
            </w:pPr>
            <w:r>
              <w:rPr>
                <w:rFonts w:ascii="Traditional Arabic" w:hAnsi="Traditional Arabic" w:hint="cs"/>
                <w:sz w:val="28"/>
                <w:szCs w:val="28"/>
                <w:rtl/>
                <w:lang w:val="fr-CH"/>
              </w:rPr>
              <w:t>15 إلى 64</w:t>
            </w:r>
          </w:p>
        </w:tc>
        <w:tc>
          <w:tcPr>
            <w:tcW w:w="1707" w:type="dxa"/>
            <w:tcBorders>
              <w:top w:val="nil"/>
              <w:left w:val="nil"/>
              <w:bottom w:val="nil"/>
              <w:right w:val="nil"/>
            </w:tcBorders>
          </w:tcPr>
          <w:p w:rsidR="00750F90" w:rsidRPr="006A2A64" w:rsidRDefault="00750F90" w:rsidP="00CC0F13">
            <w:pPr>
              <w:pStyle w:val="SingleTxtGA"/>
              <w:ind w:left="0" w:right="107"/>
              <w:rPr>
                <w:rFonts w:ascii="Traditional Arabic" w:hAnsi="Traditional Arabic"/>
                <w:b/>
                <w:bCs/>
                <w:sz w:val="28"/>
                <w:szCs w:val="28"/>
                <w:rtl/>
                <w:lang w:val="fr-CH"/>
              </w:rPr>
            </w:pPr>
            <w:r w:rsidRPr="006A2A64">
              <w:rPr>
                <w:rFonts w:ascii="Traditional Arabic" w:hAnsi="Traditional Arabic" w:hint="cs"/>
                <w:b/>
                <w:bCs/>
                <w:sz w:val="28"/>
                <w:szCs w:val="28"/>
                <w:rtl/>
                <w:lang w:val="fr-CH"/>
              </w:rPr>
              <w:t>725 627</w:t>
            </w:r>
          </w:p>
        </w:tc>
        <w:tc>
          <w:tcPr>
            <w:tcW w:w="1778" w:type="dxa"/>
            <w:tcBorders>
              <w:top w:val="nil"/>
              <w:left w:val="nil"/>
              <w:bottom w:val="nil"/>
              <w:right w:val="nil"/>
            </w:tcBorders>
          </w:tcPr>
          <w:p w:rsidR="00750F90" w:rsidRPr="006A2A64" w:rsidRDefault="00750F90" w:rsidP="00CC0F13">
            <w:pPr>
              <w:pStyle w:val="SingleTxtGA"/>
              <w:ind w:left="0" w:right="212"/>
              <w:rPr>
                <w:rFonts w:ascii="Traditional Arabic" w:hAnsi="Traditional Arabic"/>
                <w:sz w:val="28"/>
                <w:szCs w:val="28"/>
                <w:rtl/>
                <w:lang w:val="fr-CH"/>
              </w:rPr>
            </w:pPr>
            <w:r w:rsidRPr="006A2A64">
              <w:rPr>
                <w:rFonts w:ascii="Traditional Arabic" w:hAnsi="Traditional Arabic" w:hint="cs"/>
                <w:sz w:val="28"/>
                <w:szCs w:val="28"/>
                <w:rtl/>
                <w:lang w:val="fr-CH"/>
              </w:rPr>
              <w:t>903 314</w:t>
            </w:r>
          </w:p>
        </w:tc>
        <w:tc>
          <w:tcPr>
            <w:tcW w:w="1470" w:type="dxa"/>
            <w:tcBorders>
              <w:top w:val="nil"/>
              <w:left w:val="nil"/>
              <w:bottom w:val="nil"/>
              <w:right w:val="nil"/>
            </w:tcBorders>
          </w:tcPr>
          <w:p w:rsidR="00750F90" w:rsidRPr="006A2A64" w:rsidRDefault="00750F90" w:rsidP="00CC0F13">
            <w:pPr>
              <w:pStyle w:val="SingleTxtGA"/>
              <w:ind w:left="0" w:right="176"/>
              <w:rPr>
                <w:rFonts w:ascii="Traditional Arabic" w:hAnsi="Traditional Arabic"/>
                <w:sz w:val="28"/>
                <w:szCs w:val="28"/>
                <w:rtl/>
                <w:lang w:val="fr-CH"/>
              </w:rPr>
            </w:pPr>
            <w:r w:rsidRPr="006A2A64">
              <w:rPr>
                <w:rFonts w:ascii="Traditional Arabic" w:hAnsi="Traditional Arabic" w:hint="cs"/>
                <w:sz w:val="28"/>
                <w:szCs w:val="28"/>
                <w:rtl/>
                <w:lang w:val="fr-CH"/>
              </w:rPr>
              <w:t>822 312</w:t>
            </w:r>
          </w:p>
        </w:tc>
      </w:tr>
      <w:tr w:rsidR="00750F90" w:rsidRPr="006A2A64" w:rsidTr="00706E77">
        <w:tc>
          <w:tcPr>
            <w:tcW w:w="2548" w:type="dxa"/>
            <w:tcBorders>
              <w:top w:val="nil"/>
              <w:left w:val="nil"/>
              <w:bottom w:val="single" w:sz="4" w:space="0" w:color="auto"/>
              <w:right w:val="nil"/>
            </w:tcBorders>
          </w:tcPr>
          <w:p w:rsidR="00750F90" w:rsidRPr="006A2A64" w:rsidRDefault="00750F90" w:rsidP="00CC0F13">
            <w:pPr>
              <w:pStyle w:val="SingleTxtGA"/>
              <w:ind w:left="0" w:right="144"/>
              <w:rPr>
                <w:rFonts w:ascii="Traditional Arabic" w:hAnsi="Traditional Arabic"/>
                <w:sz w:val="28"/>
                <w:szCs w:val="28"/>
                <w:rtl/>
                <w:lang w:val="fr-CH"/>
              </w:rPr>
            </w:pPr>
            <w:r w:rsidRPr="006A2A64">
              <w:rPr>
                <w:rFonts w:ascii="Traditional Arabic" w:hAnsi="Traditional Arabic" w:hint="cs"/>
                <w:sz w:val="28"/>
                <w:szCs w:val="28"/>
                <w:rtl/>
                <w:lang w:val="fr-CH"/>
              </w:rPr>
              <w:t>65 وما فوق</w:t>
            </w:r>
          </w:p>
        </w:tc>
        <w:tc>
          <w:tcPr>
            <w:tcW w:w="1707" w:type="dxa"/>
            <w:tcBorders>
              <w:top w:val="nil"/>
              <w:left w:val="nil"/>
              <w:bottom w:val="single" w:sz="4" w:space="0" w:color="auto"/>
              <w:right w:val="nil"/>
            </w:tcBorders>
          </w:tcPr>
          <w:p w:rsidR="00750F90" w:rsidRPr="006A2A64" w:rsidRDefault="00750F90" w:rsidP="00CC0F13">
            <w:pPr>
              <w:pStyle w:val="SingleTxtGA"/>
              <w:ind w:left="0" w:right="107"/>
              <w:rPr>
                <w:rFonts w:ascii="Traditional Arabic" w:hAnsi="Traditional Arabic"/>
                <w:b/>
                <w:bCs/>
                <w:sz w:val="28"/>
                <w:szCs w:val="28"/>
                <w:rtl/>
                <w:lang w:val="fr-CH"/>
              </w:rPr>
            </w:pPr>
            <w:r w:rsidRPr="006A2A64">
              <w:rPr>
                <w:rFonts w:ascii="Traditional Arabic" w:hAnsi="Traditional Arabic" w:hint="cs"/>
                <w:b/>
                <w:bCs/>
                <w:sz w:val="28"/>
                <w:szCs w:val="28"/>
                <w:rtl/>
                <w:lang w:val="fr-CH"/>
              </w:rPr>
              <w:t>021 56</w:t>
            </w:r>
          </w:p>
        </w:tc>
        <w:tc>
          <w:tcPr>
            <w:tcW w:w="1778" w:type="dxa"/>
            <w:tcBorders>
              <w:top w:val="nil"/>
              <w:left w:val="nil"/>
              <w:bottom w:val="single" w:sz="4" w:space="0" w:color="auto"/>
              <w:right w:val="nil"/>
            </w:tcBorders>
          </w:tcPr>
          <w:p w:rsidR="00750F90" w:rsidRPr="006A2A64" w:rsidRDefault="00750F90" w:rsidP="00CC0F13">
            <w:pPr>
              <w:pStyle w:val="SingleTxtGA"/>
              <w:ind w:left="0" w:right="212"/>
              <w:rPr>
                <w:rFonts w:ascii="Traditional Arabic" w:hAnsi="Traditional Arabic"/>
                <w:sz w:val="28"/>
                <w:szCs w:val="28"/>
                <w:rtl/>
                <w:lang w:val="fr-CH"/>
              </w:rPr>
            </w:pPr>
            <w:r w:rsidRPr="006A2A64">
              <w:rPr>
                <w:rFonts w:ascii="Traditional Arabic" w:hAnsi="Traditional Arabic" w:hint="cs"/>
                <w:sz w:val="28"/>
                <w:szCs w:val="28"/>
                <w:rtl/>
                <w:lang w:val="fr-CH"/>
              </w:rPr>
              <w:t>445 27</w:t>
            </w:r>
          </w:p>
        </w:tc>
        <w:tc>
          <w:tcPr>
            <w:tcW w:w="1470" w:type="dxa"/>
            <w:tcBorders>
              <w:top w:val="nil"/>
              <w:left w:val="nil"/>
              <w:bottom w:val="single" w:sz="4" w:space="0" w:color="auto"/>
              <w:right w:val="nil"/>
            </w:tcBorders>
          </w:tcPr>
          <w:p w:rsidR="00750F90" w:rsidRPr="006A2A64" w:rsidRDefault="00750F90" w:rsidP="00CC0F13">
            <w:pPr>
              <w:pStyle w:val="SingleTxtGA"/>
              <w:ind w:left="0" w:right="176"/>
              <w:rPr>
                <w:rFonts w:ascii="Traditional Arabic" w:hAnsi="Traditional Arabic"/>
                <w:sz w:val="28"/>
                <w:szCs w:val="28"/>
                <w:rtl/>
                <w:lang w:val="fr-CH"/>
              </w:rPr>
            </w:pPr>
            <w:r w:rsidRPr="006A2A64">
              <w:rPr>
                <w:rFonts w:ascii="Traditional Arabic" w:hAnsi="Traditional Arabic" w:hint="cs"/>
                <w:sz w:val="28"/>
                <w:szCs w:val="28"/>
                <w:rtl/>
                <w:lang w:val="fr-CH"/>
              </w:rPr>
              <w:t>576 28</w:t>
            </w:r>
          </w:p>
        </w:tc>
      </w:tr>
      <w:tr w:rsidR="00750F90" w:rsidRPr="006A2A64" w:rsidTr="00706E77">
        <w:tc>
          <w:tcPr>
            <w:tcW w:w="2548" w:type="dxa"/>
            <w:tcBorders>
              <w:top w:val="single" w:sz="4" w:space="0" w:color="auto"/>
              <w:left w:val="nil"/>
              <w:bottom w:val="single" w:sz="12" w:space="0" w:color="auto"/>
              <w:right w:val="nil"/>
            </w:tcBorders>
          </w:tcPr>
          <w:p w:rsidR="00750F90" w:rsidRPr="006A2A64" w:rsidRDefault="006A2A64" w:rsidP="006A2A64">
            <w:pPr>
              <w:pStyle w:val="SingleTxtGA"/>
              <w:tabs>
                <w:tab w:val="left" w:pos="310"/>
              </w:tabs>
              <w:ind w:left="0" w:right="144"/>
              <w:rPr>
                <w:rFonts w:ascii="Traditional Arabic" w:hAnsi="Traditional Arabic"/>
                <w:b/>
                <w:bCs/>
                <w:sz w:val="28"/>
                <w:szCs w:val="28"/>
                <w:rtl/>
                <w:lang w:val="fr-CH"/>
              </w:rPr>
            </w:pPr>
            <w:r>
              <w:rPr>
                <w:rFonts w:ascii="Traditional Arabic" w:hAnsi="Traditional Arabic"/>
                <w:b/>
                <w:bCs/>
                <w:sz w:val="28"/>
                <w:szCs w:val="28"/>
                <w:rtl/>
                <w:lang w:val="fr-CH"/>
              </w:rPr>
              <w:tab/>
            </w:r>
            <w:r w:rsidR="00750F90" w:rsidRPr="006A2A64">
              <w:rPr>
                <w:rFonts w:ascii="Traditional Arabic" w:hAnsi="Traditional Arabic" w:hint="cs"/>
                <w:b/>
                <w:bCs/>
                <w:sz w:val="28"/>
                <w:szCs w:val="28"/>
                <w:rtl/>
                <w:lang w:val="fr-CH"/>
              </w:rPr>
              <w:t>المجموع</w:t>
            </w:r>
          </w:p>
        </w:tc>
        <w:tc>
          <w:tcPr>
            <w:tcW w:w="1707" w:type="dxa"/>
            <w:tcBorders>
              <w:top w:val="single" w:sz="4" w:space="0" w:color="auto"/>
              <w:left w:val="nil"/>
              <w:bottom w:val="single" w:sz="12" w:space="0" w:color="auto"/>
              <w:right w:val="nil"/>
            </w:tcBorders>
          </w:tcPr>
          <w:p w:rsidR="00750F90" w:rsidRPr="006A2A64" w:rsidRDefault="00750F90" w:rsidP="00CC0F13">
            <w:pPr>
              <w:pStyle w:val="SingleTxtGA"/>
              <w:ind w:left="0" w:right="107"/>
              <w:rPr>
                <w:rFonts w:ascii="Traditional Arabic" w:hAnsi="Traditional Arabic"/>
                <w:b/>
                <w:bCs/>
                <w:sz w:val="28"/>
                <w:szCs w:val="28"/>
                <w:rtl/>
                <w:lang w:val="fr-CH"/>
              </w:rPr>
            </w:pPr>
            <w:r w:rsidRPr="006A2A64">
              <w:rPr>
                <w:rFonts w:ascii="Traditional Arabic" w:hAnsi="Traditional Arabic" w:hint="cs"/>
                <w:b/>
                <w:bCs/>
                <w:sz w:val="28"/>
                <w:szCs w:val="28"/>
                <w:rtl/>
                <w:lang w:val="fr-CH"/>
              </w:rPr>
              <w:t>032 955</w:t>
            </w:r>
          </w:p>
        </w:tc>
        <w:tc>
          <w:tcPr>
            <w:tcW w:w="1778" w:type="dxa"/>
            <w:tcBorders>
              <w:top w:val="single" w:sz="4" w:space="0" w:color="auto"/>
              <w:left w:val="nil"/>
              <w:bottom w:val="single" w:sz="12" w:space="0" w:color="auto"/>
              <w:right w:val="nil"/>
            </w:tcBorders>
          </w:tcPr>
          <w:p w:rsidR="00750F90" w:rsidRPr="006A2A64" w:rsidRDefault="00750F90" w:rsidP="00CC0F13">
            <w:pPr>
              <w:pStyle w:val="SingleTxtGA"/>
              <w:ind w:left="0" w:right="212"/>
              <w:rPr>
                <w:rFonts w:ascii="Traditional Arabic" w:hAnsi="Traditional Arabic"/>
                <w:b/>
                <w:bCs/>
                <w:sz w:val="28"/>
                <w:szCs w:val="28"/>
                <w:rtl/>
                <w:lang w:val="fr-CH"/>
              </w:rPr>
            </w:pPr>
            <w:r w:rsidRPr="006A2A64">
              <w:rPr>
                <w:rFonts w:ascii="Traditional Arabic" w:hAnsi="Traditional Arabic" w:hint="cs"/>
                <w:b/>
                <w:bCs/>
                <w:sz w:val="28"/>
                <w:szCs w:val="28"/>
                <w:rtl/>
                <w:lang w:val="fr-CH"/>
              </w:rPr>
              <w:t>074 481</w:t>
            </w:r>
          </w:p>
        </w:tc>
        <w:tc>
          <w:tcPr>
            <w:tcW w:w="1470" w:type="dxa"/>
            <w:tcBorders>
              <w:top w:val="single" w:sz="4" w:space="0" w:color="auto"/>
              <w:left w:val="nil"/>
              <w:bottom w:val="single" w:sz="12" w:space="0" w:color="auto"/>
              <w:right w:val="nil"/>
            </w:tcBorders>
          </w:tcPr>
          <w:p w:rsidR="00750F90" w:rsidRPr="006A2A64" w:rsidRDefault="00750F90" w:rsidP="00CC0F13">
            <w:pPr>
              <w:pStyle w:val="SingleTxtGA"/>
              <w:ind w:left="0" w:right="176"/>
              <w:rPr>
                <w:rFonts w:ascii="Traditional Arabic" w:hAnsi="Traditional Arabic"/>
                <w:b/>
                <w:bCs/>
                <w:sz w:val="28"/>
                <w:szCs w:val="28"/>
                <w:rtl/>
                <w:lang w:val="fr-CH"/>
              </w:rPr>
            </w:pPr>
            <w:r w:rsidRPr="006A2A64">
              <w:rPr>
                <w:rFonts w:ascii="Traditional Arabic" w:hAnsi="Traditional Arabic" w:hint="cs"/>
                <w:b/>
                <w:bCs/>
                <w:sz w:val="28"/>
                <w:szCs w:val="28"/>
                <w:rtl/>
                <w:lang w:val="fr-CH"/>
              </w:rPr>
              <w:t>958 473</w:t>
            </w:r>
          </w:p>
        </w:tc>
      </w:tr>
    </w:tbl>
    <w:p w:rsidR="00706E77" w:rsidRPr="00706E77" w:rsidRDefault="00706E77" w:rsidP="00706E77">
      <w:pPr>
        <w:pStyle w:val="SingleTxt"/>
        <w:spacing w:after="0" w:line="120" w:lineRule="exact"/>
        <w:ind w:left="1274"/>
        <w:rPr>
          <w:i/>
          <w:iCs/>
          <w:w w:val="100"/>
          <w:kern w:val="0"/>
          <w:sz w:val="10"/>
          <w:szCs w:val="26"/>
          <w:rtl/>
          <w:lang w:val="fr-CH"/>
        </w:rPr>
      </w:pPr>
    </w:p>
    <w:p w:rsidR="00750F90" w:rsidRPr="006A2A64" w:rsidRDefault="00750F90" w:rsidP="006A2A64">
      <w:pPr>
        <w:pStyle w:val="SingleTxt"/>
        <w:ind w:left="1274"/>
        <w:rPr>
          <w:w w:val="100"/>
          <w:kern w:val="0"/>
          <w:sz w:val="26"/>
          <w:szCs w:val="26"/>
          <w:rtl/>
        </w:rPr>
      </w:pPr>
      <w:r w:rsidRPr="006A2A64">
        <w:rPr>
          <w:rFonts w:hint="cs"/>
          <w:i/>
          <w:iCs/>
          <w:w w:val="100"/>
          <w:kern w:val="0"/>
          <w:sz w:val="26"/>
          <w:szCs w:val="26"/>
          <w:rtl/>
          <w:lang w:val="fr-CH"/>
        </w:rPr>
        <w:t>المصدر</w:t>
      </w:r>
      <w:r w:rsidR="006A2A64">
        <w:rPr>
          <w:rFonts w:hint="cs"/>
          <w:w w:val="100"/>
          <w:kern w:val="0"/>
          <w:sz w:val="26"/>
          <w:szCs w:val="26"/>
          <w:rtl/>
          <w:lang w:val="fr-CH"/>
        </w:rPr>
        <w:t>:</w:t>
      </w:r>
      <w:r w:rsidR="006A2A64">
        <w:rPr>
          <w:rFonts w:hint="cs"/>
          <w:w w:val="100"/>
          <w:kern w:val="0"/>
          <w:sz w:val="26"/>
          <w:szCs w:val="26"/>
          <w:rtl/>
          <w:lang w:val="fr-CH"/>
        </w:rPr>
        <w:tab/>
      </w:r>
      <w:r w:rsidRPr="006A2A64">
        <w:rPr>
          <w:w w:val="100"/>
          <w:kern w:val="0"/>
          <w:sz w:val="26"/>
          <w:szCs w:val="26"/>
          <w:rtl/>
        </w:rPr>
        <w:t>المعهد الوطني للإحصاءات وتعداد السكان</w:t>
      </w:r>
      <w:r w:rsidRPr="006A2A64">
        <w:rPr>
          <w:rFonts w:hint="cs"/>
          <w:w w:val="100"/>
          <w:kern w:val="0"/>
          <w:sz w:val="26"/>
          <w:szCs w:val="26"/>
          <w:rtl/>
        </w:rPr>
        <w:t>، تعداد السكان لعام 2010.</w:t>
      </w:r>
    </w:p>
    <w:p w:rsidR="00706E77" w:rsidRPr="00706E77" w:rsidRDefault="00706E77" w:rsidP="00706E77">
      <w:pPr>
        <w:pStyle w:val="SingleTxt"/>
        <w:spacing w:after="0" w:line="120" w:lineRule="exact"/>
        <w:rPr>
          <w:w w:val="100"/>
          <w:kern w:val="0"/>
          <w:sz w:val="10"/>
          <w:rtl/>
        </w:rPr>
      </w:pPr>
    </w:p>
    <w:p w:rsidR="00750F90" w:rsidRPr="00307AAE" w:rsidRDefault="00750F90" w:rsidP="00307AAE">
      <w:pPr>
        <w:pStyle w:val="SingleTxt"/>
        <w:rPr>
          <w:w w:val="100"/>
          <w:kern w:val="0"/>
          <w:rtl/>
        </w:rPr>
      </w:pPr>
      <w:r w:rsidRPr="00307AAE">
        <w:rPr>
          <w:rFonts w:hint="cs"/>
          <w:w w:val="100"/>
          <w:kern w:val="0"/>
          <w:rtl/>
        </w:rPr>
        <w:t>19-</w:t>
      </w:r>
      <w:r w:rsidRPr="00307AAE">
        <w:rPr>
          <w:rFonts w:hint="cs"/>
          <w:w w:val="100"/>
          <w:kern w:val="0"/>
          <w:rtl/>
        </w:rPr>
        <w:tab/>
        <w:t>والمحافظات التي تضم أكبر نسبة من السكان الأولين هي تشوبوت، ونيوكين، وخوخوي، وريو نيغرو، وسالتا وفورموسا، حيث تتراوح فيها النسب بين 8</w:t>
      </w:r>
      <w:r w:rsidR="00307AAE" w:rsidRPr="00307AAE">
        <w:rPr>
          <w:rFonts w:hint="cs"/>
          <w:w w:val="100"/>
          <w:kern w:val="0"/>
          <w:rtl/>
        </w:rPr>
        <w:t>.</w:t>
      </w:r>
      <w:r w:rsidRPr="00307AAE">
        <w:rPr>
          <w:rFonts w:hint="cs"/>
          <w:w w:val="100"/>
          <w:kern w:val="0"/>
          <w:rtl/>
        </w:rPr>
        <w:t>7 في المائة و6</w:t>
      </w:r>
      <w:r w:rsidR="00307AAE" w:rsidRPr="00307AAE">
        <w:rPr>
          <w:rFonts w:hint="cs"/>
          <w:w w:val="100"/>
          <w:kern w:val="0"/>
          <w:rtl/>
        </w:rPr>
        <w:t>.</w:t>
      </w:r>
      <w:r w:rsidRPr="00307AAE">
        <w:rPr>
          <w:rFonts w:hint="cs"/>
          <w:w w:val="100"/>
          <w:kern w:val="0"/>
          <w:rtl/>
        </w:rPr>
        <w:t>1 في المائة.</w:t>
      </w:r>
    </w:p>
    <w:p w:rsidR="00750F90" w:rsidRPr="00307AAE" w:rsidRDefault="00750F90" w:rsidP="00307AAE">
      <w:pPr>
        <w:pStyle w:val="SingleTxt"/>
        <w:rPr>
          <w:w w:val="100"/>
          <w:kern w:val="0"/>
          <w:rtl/>
        </w:rPr>
      </w:pPr>
      <w:r w:rsidRPr="00307AAE">
        <w:rPr>
          <w:rFonts w:hint="cs"/>
          <w:w w:val="100"/>
          <w:kern w:val="0"/>
          <w:rtl/>
        </w:rPr>
        <w:t>20-</w:t>
      </w:r>
      <w:r w:rsidRPr="00307AAE">
        <w:rPr>
          <w:rFonts w:hint="cs"/>
          <w:w w:val="100"/>
          <w:kern w:val="0"/>
          <w:rtl/>
        </w:rPr>
        <w:tab/>
        <w:t>ومن مجموع السكان الذين يُعَرفون أنفسهم بأنهم ينتمون إلى الشعوب الأولى أو ينحدرون منها، يصرح ما نسبته 21</w:t>
      </w:r>
      <w:r w:rsidR="00307AAE" w:rsidRPr="00307AAE">
        <w:rPr>
          <w:rFonts w:hint="cs"/>
          <w:w w:val="100"/>
          <w:kern w:val="0"/>
          <w:rtl/>
        </w:rPr>
        <w:t>.</w:t>
      </w:r>
      <w:r w:rsidRPr="00307AAE">
        <w:rPr>
          <w:rFonts w:hint="cs"/>
          <w:w w:val="100"/>
          <w:kern w:val="0"/>
          <w:rtl/>
        </w:rPr>
        <w:t>5 في المائة أنهم ينتمون إلى شعب مابوتشي أو ينحدرون منه، ويبلغ مجموعهم 009 205 نسمة.</w:t>
      </w:r>
    </w:p>
    <w:p w:rsidR="00750F90" w:rsidRPr="006A2A64" w:rsidRDefault="00750F90" w:rsidP="00307AAE">
      <w:pPr>
        <w:pStyle w:val="SingleTxt"/>
        <w:rPr>
          <w:spacing w:val="-2"/>
          <w:w w:val="100"/>
          <w:kern w:val="0"/>
          <w:rtl/>
          <w:lang w:val="fr-CH"/>
        </w:rPr>
      </w:pPr>
      <w:r w:rsidRPr="006A2A64">
        <w:rPr>
          <w:rFonts w:hint="cs"/>
          <w:spacing w:val="-2"/>
          <w:w w:val="100"/>
          <w:kern w:val="0"/>
          <w:rtl/>
        </w:rPr>
        <w:t>21-</w:t>
      </w:r>
      <w:r w:rsidRPr="006A2A64">
        <w:rPr>
          <w:rFonts w:hint="cs"/>
          <w:spacing w:val="-2"/>
          <w:w w:val="100"/>
          <w:kern w:val="0"/>
          <w:rtl/>
        </w:rPr>
        <w:tab/>
        <w:t>وشعوب مابوتشي وتوبا وغواراني هي الوحيدة التي تفوق نسبتها 10 في المائة؛ وتشكل هذه الشعوب مجتمعة 45</w:t>
      </w:r>
      <w:r w:rsidR="00307AAE" w:rsidRPr="006A2A64">
        <w:rPr>
          <w:rFonts w:hint="cs"/>
          <w:spacing w:val="-2"/>
          <w:w w:val="100"/>
          <w:kern w:val="0"/>
          <w:rtl/>
        </w:rPr>
        <w:t>.</w:t>
      </w:r>
      <w:r w:rsidRPr="006A2A64">
        <w:rPr>
          <w:rFonts w:hint="cs"/>
          <w:spacing w:val="-2"/>
          <w:w w:val="100"/>
          <w:kern w:val="0"/>
          <w:rtl/>
        </w:rPr>
        <w:t>9 في المائة من السكان الأولين في الأرجنتين. وتمثل شعوب دياغيتا وكويا وكيتشوا وويتشي نسب</w:t>
      </w:r>
      <w:r w:rsidR="00A71B00">
        <w:rPr>
          <w:rFonts w:hint="cs"/>
          <w:spacing w:val="-2"/>
          <w:w w:val="100"/>
          <w:kern w:val="0"/>
          <w:rtl/>
        </w:rPr>
        <w:t xml:space="preserve">اً </w:t>
      </w:r>
      <w:r w:rsidRPr="006A2A64">
        <w:rPr>
          <w:rFonts w:hint="cs"/>
          <w:spacing w:val="-2"/>
          <w:w w:val="100"/>
          <w:kern w:val="0"/>
          <w:rtl/>
        </w:rPr>
        <w:t xml:space="preserve">تتراوح بين 5 و10 في المائة من مجموع السكان الأولين، وتشكل في مجملها 25 في المائة </w:t>
      </w:r>
      <w:r w:rsidRPr="006A2A64">
        <w:rPr>
          <w:rFonts w:hint="cs"/>
          <w:spacing w:val="-4"/>
          <w:w w:val="100"/>
          <w:kern w:val="0"/>
          <w:rtl/>
        </w:rPr>
        <w:t>من مجموع السكان الأولين.</w:t>
      </w:r>
      <w:r w:rsidRPr="006A2A64">
        <w:rPr>
          <w:rFonts w:hint="cs"/>
          <w:spacing w:val="-4"/>
          <w:w w:val="100"/>
          <w:kern w:val="0"/>
          <w:rtl/>
          <w:lang w:val="fr-CH"/>
        </w:rPr>
        <w:t xml:space="preserve"> وينتمي ما نسبته 70 في المائة من السكان الأولين الأرجنتينيين إلى الشعوب</w:t>
      </w:r>
      <w:r w:rsidRPr="006A2A64">
        <w:rPr>
          <w:rFonts w:hint="cs"/>
          <w:spacing w:val="-2"/>
          <w:w w:val="100"/>
          <w:kern w:val="0"/>
          <w:rtl/>
          <w:lang w:val="fr-CH"/>
        </w:rPr>
        <w:t xml:space="preserve"> المذكورة آنف</w:t>
      </w:r>
      <w:r w:rsidR="00955E01">
        <w:rPr>
          <w:rFonts w:hint="cs"/>
          <w:spacing w:val="-2"/>
          <w:w w:val="100"/>
          <w:kern w:val="0"/>
          <w:rtl/>
          <w:lang w:val="fr-CH"/>
        </w:rPr>
        <w:t>اً.</w:t>
      </w:r>
    </w:p>
    <w:p w:rsidR="00750F90" w:rsidRPr="00307AAE" w:rsidRDefault="00750F90" w:rsidP="00307AAE">
      <w:pPr>
        <w:pStyle w:val="SingleTxt"/>
        <w:rPr>
          <w:w w:val="100"/>
          <w:kern w:val="0"/>
          <w:rtl/>
          <w:lang w:val="fr-CH"/>
        </w:rPr>
      </w:pPr>
      <w:r w:rsidRPr="00307AAE">
        <w:rPr>
          <w:rFonts w:hint="cs"/>
          <w:w w:val="100"/>
          <w:kern w:val="0"/>
          <w:rtl/>
          <w:lang w:val="fr-CH"/>
        </w:rPr>
        <w:t>22-</w:t>
      </w:r>
      <w:r w:rsidRPr="00307AAE">
        <w:rPr>
          <w:rFonts w:hint="cs"/>
          <w:w w:val="100"/>
          <w:kern w:val="0"/>
          <w:rtl/>
          <w:lang w:val="fr-CH"/>
        </w:rPr>
        <w:tab/>
        <w:t>وفيما يتعلق بتركيبة السكان الأولين بحسب السن، ينتمي 65</w:t>
      </w:r>
      <w:r w:rsidR="00307AAE" w:rsidRPr="00307AAE">
        <w:rPr>
          <w:rFonts w:hint="cs"/>
          <w:w w:val="100"/>
          <w:kern w:val="0"/>
          <w:rtl/>
          <w:lang w:val="fr-CH"/>
        </w:rPr>
        <w:t>.</w:t>
      </w:r>
      <w:r w:rsidRPr="00307AAE">
        <w:rPr>
          <w:rFonts w:hint="cs"/>
          <w:w w:val="100"/>
          <w:kern w:val="0"/>
          <w:rtl/>
          <w:lang w:val="fr-CH"/>
        </w:rPr>
        <w:t>7 في المائة منهم إلى فئة من هم في سن العمل، التي تشمل الفئات العمرية من 15 إلى 64 سنة. وتماثل النسبة المسجلة إلى حد كبير نسبتهم من مجموع السكان (64</w:t>
      </w:r>
      <w:r w:rsidR="00307AAE" w:rsidRPr="00307AAE">
        <w:rPr>
          <w:rFonts w:hint="cs"/>
          <w:w w:val="100"/>
          <w:kern w:val="0"/>
          <w:rtl/>
          <w:lang w:val="fr-CH"/>
        </w:rPr>
        <w:t>.</w:t>
      </w:r>
      <w:r w:rsidRPr="00307AAE">
        <w:rPr>
          <w:rFonts w:hint="cs"/>
          <w:w w:val="100"/>
          <w:kern w:val="0"/>
          <w:rtl/>
          <w:lang w:val="fr-CH"/>
        </w:rPr>
        <w:t>3 في المائة).</w:t>
      </w:r>
    </w:p>
    <w:p w:rsidR="00750F90" w:rsidRPr="00307AAE" w:rsidRDefault="00750F90" w:rsidP="00307AAE">
      <w:pPr>
        <w:pStyle w:val="SingleTxt"/>
        <w:rPr>
          <w:w w:val="100"/>
          <w:kern w:val="0"/>
          <w:rtl/>
          <w:lang w:val="fr-CH"/>
        </w:rPr>
      </w:pPr>
      <w:r w:rsidRPr="00307AAE">
        <w:rPr>
          <w:rFonts w:hint="cs"/>
          <w:w w:val="100"/>
          <w:kern w:val="0"/>
          <w:rtl/>
          <w:lang w:val="fr-CH"/>
        </w:rPr>
        <w:t>23-</w:t>
      </w:r>
      <w:r w:rsidRPr="00307AAE">
        <w:rPr>
          <w:rFonts w:hint="cs"/>
          <w:w w:val="100"/>
          <w:kern w:val="0"/>
          <w:rtl/>
          <w:lang w:val="fr-CH"/>
        </w:rPr>
        <w:tab/>
        <w:t>ولدى تحليل الفئات العمرية الكبرى الأخرى تلاحظ اختلافات مهمة فيما يتعلق بالمعدل الوطني. ويضم السكان الأولون أعلى نسبة من السكان الشباب (28</w:t>
      </w:r>
      <w:r w:rsidR="00307AAE" w:rsidRPr="00307AAE">
        <w:rPr>
          <w:rFonts w:hint="cs"/>
          <w:w w:val="100"/>
          <w:kern w:val="0"/>
          <w:rtl/>
          <w:lang w:val="fr-CH"/>
        </w:rPr>
        <w:t>.</w:t>
      </w:r>
      <w:r w:rsidRPr="00307AAE">
        <w:rPr>
          <w:rFonts w:hint="cs"/>
          <w:w w:val="100"/>
          <w:kern w:val="0"/>
          <w:rtl/>
          <w:lang w:val="fr-CH"/>
        </w:rPr>
        <w:t>4 في المائة مقابل 25</w:t>
      </w:r>
      <w:r w:rsidR="00307AAE" w:rsidRPr="00307AAE">
        <w:rPr>
          <w:rFonts w:hint="cs"/>
          <w:w w:val="100"/>
          <w:kern w:val="0"/>
          <w:rtl/>
          <w:lang w:val="fr-CH"/>
        </w:rPr>
        <w:t>.</w:t>
      </w:r>
      <w:r w:rsidRPr="00307AAE">
        <w:rPr>
          <w:rFonts w:hint="cs"/>
          <w:w w:val="100"/>
          <w:kern w:val="0"/>
          <w:rtl/>
          <w:lang w:val="fr-CH"/>
        </w:rPr>
        <w:t>5 في المائة) وأدنى نسبة من المسنين، ما يعكس بنية سكانية أقل شيخوخة (5</w:t>
      </w:r>
      <w:r w:rsidR="00307AAE" w:rsidRPr="00307AAE">
        <w:rPr>
          <w:rFonts w:hint="cs"/>
          <w:w w:val="100"/>
          <w:kern w:val="0"/>
          <w:rtl/>
          <w:lang w:val="fr-CH"/>
        </w:rPr>
        <w:t>.</w:t>
      </w:r>
      <w:r w:rsidRPr="00307AAE">
        <w:rPr>
          <w:rFonts w:hint="cs"/>
          <w:w w:val="100"/>
          <w:kern w:val="0"/>
          <w:rtl/>
          <w:lang w:val="fr-CH"/>
        </w:rPr>
        <w:t>9 في المائة مقابل 10</w:t>
      </w:r>
      <w:r w:rsidR="00307AAE" w:rsidRPr="00307AAE">
        <w:rPr>
          <w:rFonts w:hint="cs"/>
          <w:w w:val="100"/>
          <w:kern w:val="0"/>
          <w:rtl/>
          <w:lang w:val="fr-CH"/>
        </w:rPr>
        <w:t>.</w:t>
      </w:r>
      <w:r w:rsidRPr="00307AAE">
        <w:rPr>
          <w:rFonts w:hint="cs"/>
          <w:w w:val="100"/>
          <w:kern w:val="0"/>
          <w:rtl/>
          <w:lang w:val="fr-CH"/>
        </w:rPr>
        <w:t>2 في المائة من مجموع السكان).</w:t>
      </w:r>
    </w:p>
    <w:p w:rsidR="00750F90" w:rsidRPr="006A2A64" w:rsidRDefault="006A2A64" w:rsidP="006A2A64">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CH"/>
        </w:rPr>
      </w:pPr>
      <w:r>
        <w:rPr>
          <w:rFonts w:hint="cs"/>
          <w:w w:val="100"/>
          <w:rtl/>
          <w:lang w:val="fr-CH"/>
        </w:rPr>
        <w:tab/>
      </w:r>
      <w:r w:rsidR="00750F90" w:rsidRPr="006A2A64">
        <w:rPr>
          <w:rFonts w:hint="cs"/>
          <w:w w:val="100"/>
          <w:rtl/>
          <w:lang w:val="fr-CH"/>
        </w:rPr>
        <w:tab/>
        <w:t>السكان المنحدرون من أصول أفريقية</w:t>
      </w:r>
    </w:p>
    <w:p w:rsidR="00750F90" w:rsidRPr="00307AAE" w:rsidRDefault="00750F90" w:rsidP="00307AAE">
      <w:pPr>
        <w:pStyle w:val="SingleTxt"/>
        <w:rPr>
          <w:w w:val="100"/>
          <w:kern w:val="0"/>
          <w:rtl/>
          <w:lang w:val="fr-CH"/>
        </w:rPr>
      </w:pPr>
      <w:r w:rsidRPr="00307AAE">
        <w:rPr>
          <w:rFonts w:hint="cs"/>
          <w:w w:val="100"/>
          <w:kern w:val="0"/>
          <w:rtl/>
          <w:lang w:val="fr-CH"/>
        </w:rPr>
        <w:t>24-</w:t>
      </w:r>
      <w:r w:rsidRPr="00307AAE">
        <w:rPr>
          <w:rFonts w:hint="cs"/>
          <w:w w:val="100"/>
          <w:kern w:val="0"/>
          <w:rtl/>
          <w:lang w:val="fr-CH"/>
        </w:rPr>
        <w:tab/>
        <w:t>أبان تعداد السكان لعام 2010، لأول مرة في تاريخ الأرجنتين، إحصاءات بشأن السكان المنحدرين من أصول أفريقية.</w:t>
      </w:r>
    </w:p>
    <w:p w:rsidR="00750F90" w:rsidRPr="00307AAE" w:rsidRDefault="00750F90" w:rsidP="006A2A64">
      <w:pPr>
        <w:pStyle w:val="SingleTxt"/>
        <w:rPr>
          <w:w w:val="100"/>
          <w:kern w:val="0"/>
          <w:rtl/>
          <w:lang w:val="fr-CH"/>
        </w:rPr>
      </w:pPr>
      <w:r w:rsidRPr="00307AAE">
        <w:rPr>
          <w:rFonts w:hint="cs"/>
          <w:w w:val="100"/>
          <w:kern w:val="0"/>
          <w:rtl/>
          <w:lang w:val="fr-CH"/>
        </w:rPr>
        <w:t>25-</w:t>
      </w:r>
      <w:r w:rsidRPr="00307AAE">
        <w:rPr>
          <w:rFonts w:hint="cs"/>
          <w:w w:val="100"/>
          <w:kern w:val="0"/>
          <w:rtl/>
          <w:lang w:val="fr-CH"/>
        </w:rPr>
        <w:tab/>
        <w:t>فخلال الفترة التاريخية الممتدة ما بين عام 1700 وأوائل عام 1800، وصل عبيد أفارقة بصورة قانونية أو غير قانونية إلى ميناء بوينس آيرس، استُقدموا عبر شركة غينيا. ويشير تعداد السكان لعام 1778 إلى هذا الوصول، الذي سجل نسبة مهمة -</w:t>
      </w:r>
      <w:r w:rsidR="006A2A64">
        <w:rPr>
          <w:rFonts w:hint="cs"/>
          <w:w w:val="100"/>
          <w:kern w:val="0"/>
          <w:rtl/>
          <w:lang w:val="fr-CH"/>
        </w:rPr>
        <w:t xml:space="preserve"> </w:t>
      </w:r>
      <w:r w:rsidRPr="00307AAE">
        <w:rPr>
          <w:rFonts w:hint="cs"/>
          <w:w w:val="100"/>
          <w:kern w:val="0"/>
          <w:rtl/>
          <w:lang w:val="fr-CH"/>
        </w:rPr>
        <w:t>تفوق 30 في المائة</w:t>
      </w:r>
      <w:r w:rsidR="006A2A64">
        <w:rPr>
          <w:rFonts w:hint="cs"/>
          <w:w w:val="100"/>
          <w:kern w:val="0"/>
          <w:rtl/>
          <w:lang w:val="fr-CH"/>
        </w:rPr>
        <w:t xml:space="preserve"> </w:t>
      </w:r>
      <w:r w:rsidRPr="00307AAE">
        <w:rPr>
          <w:rFonts w:hint="cs"/>
          <w:w w:val="100"/>
          <w:kern w:val="0"/>
          <w:rtl/>
          <w:lang w:val="fr-CH"/>
        </w:rPr>
        <w:t>- من الأفارقة والمنحدرين من أصول أفريقية في سانتياغو ديل إيستيرو، وكتاماركا، وسالتا، وقرطبة، وتوكومان وبوينس آيرس. واعتبار</w:t>
      </w:r>
      <w:r w:rsidR="00A71B00">
        <w:rPr>
          <w:rFonts w:hint="cs"/>
          <w:w w:val="100"/>
          <w:kern w:val="0"/>
          <w:rtl/>
          <w:lang w:val="fr-CH"/>
        </w:rPr>
        <w:t xml:space="preserve">اً </w:t>
      </w:r>
      <w:r w:rsidRPr="00307AAE">
        <w:rPr>
          <w:rFonts w:hint="cs"/>
          <w:w w:val="100"/>
          <w:kern w:val="0"/>
          <w:rtl/>
          <w:lang w:val="fr-CH"/>
        </w:rPr>
        <w:t>من عام 1801، وُضع نظام لتشكيل ميليشيات المنحدرين من أصول أفريقية. وقد كانت الجيوش في الفترة الموالية لثورة مايو تتألف من أرقاء محرَّرين "أنقذتهم" الدولة لغرض الخدمة العسكرية.</w:t>
      </w:r>
    </w:p>
    <w:p w:rsidR="00750F90" w:rsidRPr="00307AAE" w:rsidRDefault="00750F90" w:rsidP="00307AAE">
      <w:pPr>
        <w:pStyle w:val="SingleTxt"/>
        <w:rPr>
          <w:w w:val="100"/>
          <w:kern w:val="0"/>
          <w:rtl/>
          <w:lang w:val="fr-CH"/>
        </w:rPr>
      </w:pPr>
      <w:r w:rsidRPr="00307AAE">
        <w:rPr>
          <w:rFonts w:hint="cs"/>
          <w:w w:val="100"/>
          <w:kern w:val="0"/>
          <w:rtl/>
          <w:lang w:val="fr-CH"/>
        </w:rPr>
        <w:t>26-</w:t>
      </w:r>
      <w:r w:rsidRPr="00307AAE">
        <w:rPr>
          <w:rFonts w:hint="cs"/>
          <w:w w:val="100"/>
          <w:kern w:val="0"/>
          <w:rtl/>
          <w:lang w:val="fr-CH"/>
        </w:rPr>
        <w:tab/>
      </w:r>
      <w:r w:rsidRPr="00307AAE">
        <w:rPr>
          <w:rFonts w:hint="cs"/>
          <w:w w:val="100"/>
          <w:kern w:val="0"/>
          <w:rtl/>
          <w:lang w:val="fr-FR"/>
        </w:rPr>
        <w:t>وسجل تعداد السكان لعام 2010 من الأسر المعيشية 642 62 أسرة ضمت على الأقل فرد</w:t>
      </w:r>
      <w:r w:rsidR="00A71B00">
        <w:rPr>
          <w:rFonts w:hint="cs"/>
          <w:w w:val="100"/>
          <w:kern w:val="0"/>
          <w:rtl/>
          <w:lang w:val="fr-FR"/>
        </w:rPr>
        <w:t xml:space="preserve">اً </w:t>
      </w:r>
      <w:r w:rsidRPr="00307AAE">
        <w:rPr>
          <w:rFonts w:hint="cs"/>
          <w:w w:val="100"/>
          <w:kern w:val="0"/>
          <w:rtl/>
          <w:lang w:val="fr-FR"/>
        </w:rPr>
        <w:t>من أصول أفريقية، ما يشكل 0</w:t>
      </w:r>
      <w:r w:rsidR="00307AAE" w:rsidRPr="00307AAE">
        <w:rPr>
          <w:rFonts w:hint="cs"/>
          <w:w w:val="100"/>
          <w:kern w:val="0"/>
          <w:rtl/>
          <w:lang w:val="fr-FR"/>
        </w:rPr>
        <w:t>.</w:t>
      </w:r>
      <w:r w:rsidRPr="00307AAE">
        <w:rPr>
          <w:rFonts w:hint="cs"/>
          <w:w w:val="100"/>
          <w:kern w:val="0"/>
          <w:rtl/>
          <w:lang w:val="fr-FR"/>
        </w:rPr>
        <w:t>5 في المائة من مجموع الأسر المعيشية في البلد. ويوجد معظم الأسر المعيشية التي تضم على الأقل فرد</w:t>
      </w:r>
      <w:r w:rsidR="00A71B00">
        <w:rPr>
          <w:rFonts w:hint="cs"/>
          <w:w w:val="100"/>
          <w:kern w:val="0"/>
          <w:rtl/>
          <w:lang w:val="fr-FR"/>
        </w:rPr>
        <w:t xml:space="preserve">اً </w:t>
      </w:r>
      <w:r w:rsidRPr="00307AAE">
        <w:rPr>
          <w:rFonts w:hint="cs"/>
          <w:w w:val="100"/>
          <w:kern w:val="0"/>
          <w:rtl/>
          <w:lang w:val="fr-FR"/>
        </w:rPr>
        <w:t>من أصول أفريقية في محافظة بوينس آيرس (39</w:t>
      </w:r>
      <w:r w:rsidR="00307AAE" w:rsidRPr="00307AAE">
        <w:rPr>
          <w:rFonts w:hint="cs"/>
          <w:w w:val="100"/>
          <w:kern w:val="0"/>
          <w:rtl/>
          <w:lang w:val="fr-FR"/>
        </w:rPr>
        <w:t>.</w:t>
      </w:r>
      <w:r w:rsidRPr="00307AAE">
        <w:rPr>
          <w:rFonts w:hint="cs"/>
          <w:w w:val="100"/>
          <w:kern w:val="0"/>
          <w:rtl/>
          <w:lang w:val="fr-FR"/>
        </w:rPr>
        <w:t>1 في المائة). ويوجد 25</w:t>
      </w:r>
      <w:r w:rsidR="00307AAE" w:rsidRPr="00307AAE">
        <w:rPr>
          <w:rFonts w:hint="cs"/>
          <w:w w:val="100"/>
          <w:kern w:val="0"/>
          <w:rtl/>
          <w:lang w:val="fr-FR"/>
        </w:rPr>
        <w:t>.</w:t>
      </w:r>
      <w:r w:rsidRPr="00307AAE">
        <w:rPr>
          <w:rFonts w:hint="cs"/>
          <w:w w:val="100"/>
          <w:kern w:val="0"/>
          <w:rtl/>
          <w:lang w:val="fr-FR"/>
        </w:rPr>
        <w:t>6 في المائة منها في دوائر بوينس آيرس الكبرى البالغ عددها 24 دائرة و13</w:t>
      </w:r>
      <w:r w:rsidR="00307AAE" w:rsidRPr="00307AAE">
        <w:rPr>
          <w:rFonts w:hint="cs"/>
          <w:w w:val="100"/>
          <w:kern w:val="0"/>
          <w:rtl/>
          <w:lang w:val="fr-FR"/>
        </w:rPr>
        <w:t>.</w:t>
      </w:r>
      <w:r w:rsidRPr="00307AAE">
        <w:rPr>
          <w:rFonts w:hint="cs"/>
          <w:w w:val="100"/>
          <w:kern w:val="0"/>
          <w:rtl/>
          <w:lang w:val="fr-FR"/>
        </w:rPr>
        <w:t>5 في المائة وسط محافظة بوينس آيرس. ويأتي بعد ذلك مدينة بوينس آيرس المستقلة ذاتياً بنسبة 12</w:t>
      </w:r>
      <w:r w:rsidR="00307AAE" w:rsidRPr="00307AAE">
        <w:rPr>
          <w:rFonts w:hint="cs"/>
          <w:w w:val="100"/>
          <w:kern w:val="0"/>
          <w:rtl/>
          <w:lang w:val="fr-FR"/>
        </w:rPr>
        <w:t>.</w:t>
      </w:r>
      <w:r w:rsidRPr="00307AAE">
        <w:rPr>
          <w:rFonts w:hint="cs"/>
          <w:w w:val="100"/>
          <w:kern w:val="0"/>
          <w:rtl/>
          <w:lang w:val="fr-FR"/>
        </w:rPr>
        <w:t>9 في المائة، وإينتري ريوس بنسبة 7</w:t>
      </w:r>
      <w:r w:rsidR="00307AAE" w:rsidRPr="00307AAE">
        <w:rPr>
          <w:rFonts w:hint="cs"/>
          <w:w w:val="100"/>
          <w:kern w:val="0"/>
          <w:rtl/>
          <w:lang w:val="fr-FR"/>
        </w:rPr>
        <w:t>.</w:t>
      </w:r>
      <w:r w:rsidRPr="00307AAE">
        <w:rPr>
          <w:rFonts w:hint="cs"/>
          <w:w w:val="100"/>
          <w:kern w:val="0"/>
          <w:rtl/>
          <w:lang w:val="fr-FR"/>
        </w:rPr>
        <w:t>7 في المائة، وسانتا في بنسبة 6</w:t>
      </w:r>
      <w:r w:rsidR="00307AAE" w:rsidRPr="00307AAE">
        <w:rPr>
          <w:rFonts w:hint="cs"/>
          <w:w w:val="100"/>
          <w:kern w:val="0"/>
          <w:rtl/>
          <w:lang w:val="fr-FR"/>
        </w:rPr>
        <w:t>.</w:t>
      </w:r>
      <w:r w:rsidRPr="00307AAE">
        <w:rPr>
          <w:rFonts w:hint="cs"/>
          <w:w w:val="100"/>
          <w:kern w:val="0"/>
          <w:rtl/>
          <w:lang w:val="fr-FR"/>
        </w:rPr>
        <w:t>8 في المائة وقرطبة بنسبة 6</w:t>
      </w:r>
      <w:r w:rsidR="00307AAE" w:rsidRPr="00307AAE">
        <w:rPr>
          <w:rFonts w:hint="cs"/>
          <w:w w:val="100"/>
          <w:kern w:val="0"/>
          <w:rtl/>
          <w:lang w:val="fr-FR"/>
        </w:rPr>
        <w:t>.</w:t>
      </w:r>
      <w:r w:rsidRPr="00307AAE">
        <w:rPr>
          <w:rFonts w:hint="cs"/>
          <w:w w:val="100"/>
          <w:kern w:val="0"/>
          <w:rtl/>
          <w:lang w:val="fr-FR"/>
        </w:rPr>
        <w:t>2 في المائة. ويبلغ مجموع الأشخاص الذين يعيشون في مساكن خاصة ويُعَرفون أنفسهم بأنهم ينحدرون من أصول أفريقية 493 149؛ أي 0</w:t>
      </w:r>
      <w:r w:rsidR="00307AAE" w:rsidRPr="00307AAE">
        <w:rPr>
          <w:rFonts w:hint="cs"/>
          <w:w w:val="100"/>
          <w:kern w:val="0"/>
          <w:rtl/>
          <w:lang w:val="fr-FR"/>
        </w:rPr>
        <w:t>.</w:t>
      </w:r>
      <w:r w:rsidRPr="00307AAE">
        <w:rPr>
          <w:rFonts w:hint="cs"/>
          <w:w w:val="100"/>
          <w:kern w:val="0"/>
          <w:rtl/>
          <w:lang w:val="fr-FR"/>
        </w:rPr>
        <w:t>4 في المائة من السكان.</w:t>
      </w:r>
      <w:r w:rsidRPr="00307AAE">
        <w:rPr>
          <w:rFonts w:hint="cs"/>
          <w:w w:val="100"/>
          <w:kern w:val="0"/>
          <w:rtl/>
          <w:lang w:val="fr-CH"/>
        </w:rPr>
        <w:tab/>
        <w:t xml:space="preserve"> </w:t>
      </w:r>
    </w:p>
    <w:p w:rsidR="00750F90" w:rsidRPr="00307AAE" w:rsidRDefault="00750F90" w:rsidP="006A2A64">
      <w:pPr>
        <w:pStyle w:val="SingleTxt"/>
        <w:rPr>
          <w:w w:val="100"/>
          <w:kern w:val="0"/>
          <w:rtl/>
          <w:lang w:val="fr-CH"/>
        </w:rPr>
      </w:pPr>
      <w:r w:rsidRPr="00307AAE">
        <w:rPr>
          <w:rFonts w:hint="cs"/>
          <w:w w:val="100"/>
          <w:kern w:val="0"/>
          <w:rtl/>
          <w:lang w:val="fr-CH"/>
        </w:rPr>
        <w:t>27-</w:t>
      </w:r>
      <w:r w:rsidRPr="00307AAE">
        <w:rPr>
          <w:rFonts w:hint="cs"/>
          <w:w w:val="100"/>
          <w:kern w:val="0"/>
          <w:rtl/>
          <w:lang w:val="fr-CH"/>
        </w:rPr>
        <w:tab/>
        <w:t>ويبلغ عدد الذكور 064 76 من مجموع السكان المنحدرين من أصول أفريقية وعدد الإناث</w:t>
      </w:r>
      <w:r w:rsidR="006A2A64">
        <w:rPr>
          <w:rFonts w:hint="eastAsia"/>
          <w:w w:val="100"/>
          <w:kern w:val="0"/>
          <w:rtl/>
          <w:lang w:val="fr-CH"/>
        </w:rPr>
        <w:t> </w:t>
      </w:r>
      <w:r w:rsidRPr="00307AAE">
        <w:rPr>
          <w:rFonts w:hint="cs"/>
          <w:w w:val="100"/>
          <w:kern w:val="0"/>
          <w:rtl/>
          <w:lang w:val="fr-CH"/>
        </w:rPr>
        <w:t>429 73 منهم. وهذه معلومة إحصائية ذات دلالة، حيث يلاحظ لدى مقارنة النِسب بمعدل مجموع السكان أن نسبة الذكور والإناث تنقلب: فبينما يشكل الذكور 48</w:t>
      </w:r>
      <w:r w:rsidR="00307AAE" w:rsidRPr="00307AAE">
        <w:rPr>
          <w:rFonts w:hint="cs"/>
          <w:w w:val="100"/>
          <w:kern w:val="0"/>
          <w:rtl/>
          <w:lang w:val="fr-CH"/>
        </w:rPr>
        <w:t>.</w:t>
      </w:r>
      <w:r w:rsidRPr="00307AAE">
        <w:rPr>
          <w:rFonts w:hint="cs"/>
          <w:w w:val="100"/>
          <w:kern w:val="0"/>
          <w:rtl/>
          <w:lang w:val="fr-CH"/>
        </w:rPr>
        <w:t>7 في المائة والإناث 51</w:t>
      </w:r>
      <w:r w:rsidR="00307AAE" w:rsidRPr="00307AAE">
        <w:rPr>
          <w:rFonts w:hint="cs"/>
          <w:w w:val="100"/>
          <w:kern w:val="0"/>
          <w:rtl/>
          <w:lang w:val="fr-CH"/>
        </w:rPr>
        <w:t>.</w:t>
      </w:r>
      <w:r w:rsidRPr="00307AAE">
        <w:rPr>
          <w:rFonts w:hint="cs"/>
          <w:w w:val="100"/>
          <w:kern w:val="0"/>
          <w:rtl/>
          <w:lang w:val="fr-CH"/>
        </w:rPr>
        <w:t>3 في المائة من مجموع سكان البلد، يمثل الذكور 51 في المائة من السكان المنحدرين من أصول أفريقية والإناث 49 في المائة منهم. ويتجلى انقلاب هذه النسبة لدى تحليل مؤشر الذكورة بين السكان المنحدرين من أصول أفريقية، الذي يبلغ 103</w:t>
      </w:r>
      <w:r w:rsidR="00307AAE" w:rsidRPr="00307AAE">
        <w:rPr>
          <w:rFonts w:hint="cs"/>
          <w:w w:val="100"/>
          <w:kern w:val="0"/>
          <w:rtl/>
          <w:lang w:val="fr-CH"/>
        </w:rPr>
        <w:t>.</w:t>
      </w:r>
      <w:r w:rsidRPr="00307AAE">
        <w:rPr>
          <w:rFonts w:hint="cs"/>
          <w:w w:val="100"/>
          <w:kern w:val="0"/>
          <w:rtl/>
          <w:lang w:val="fr-CH"/>
        </w:rPr>
        <w:t>6؛ أي أن ثمة ما يناهز 103 ذكور لكل 100 أنثى، على خلاف مؤشر الذكورة بين مجموع السكان، الذي يبلغ 94</w:t>
      </w:r>
      <w:r w:rsidR="00307AAE" w:rsidRPr="00307AAE">
        <w:rPr>
          <w:rFonts w:hint="cs"/>
          <w:w w:val="100"/>
          <w:kern w:val="0"/>
          <w:rtl/>
          <w:lang w:val="fr-CH"/>
        </w:rPr>
        <w:t>.</w:t>
      </w:r>
      <w:r w:rsidRPr="00307AAE">
        <w:rPr>
          <w:rFonts w:hint="cs"/>
          <w:w w:val="100"/>
          <w:kern w:val="0"/>
          <w:rtl/>
          <w:lang w:val="fr-CH"/>
        </w:rPr>
        <w:t>8، ما يعني أن ثمة زهاء 95 ذكر</w:t>
      </w:r>
      <w:r w:rsidR="00A71B00">
        <w:rPr>
          <w:rFonts w:hint="cs"/>
          <w:w w:val="100"/>
          <w:kern w:val="0"/>
          <w:rtl/>
          <w:lang w:val="fr-CH"/>
        </w:rPr>
        <w:t xml:space="preserve">اً </w:t>
      </w:r>
      <w:r w:rsidRPr="00307AAE">
        <w:rPr>
          <w:rFonts w:hint="cs"/>
          <w:w w:val="100"/>
          <w:kern w:val="0"/>
          <w:rtl/>
          <w:lang w:val="fr-CH"/>
        </w:rPr>
        <w:t>لكل 100 أنثى.</w:t>
      </w:r>
    </w:p>
    <w:p w:rsidR="00750F90" w:rsidRPr="00307AAE" w:rsidRDefault="00750F90" w:rsidP="006A2A64">
      <w:pPr>
        <w:pStyle w:val="SingleTxt"/>
        <w:rPr>
          <w:w w:val="100"/>
          <w:kern w:val="0"/>
          <w:rtl/>
          <w:lang w:val="fr-CH"/>
        </w:rPr>
      </w:pPr>
      <w:r w:rsidRPr="00307AAE">
        <w:rPr>
          <w:rFonts w:hint="cs"/>
          <w:w w:val="100"/>
          <w:kern w:val="0"/>
          <w:rtl/>
          <w:lang w:val="fr-CH"/>
        </w:rPr>
        <w:t>28-</w:t>
      </w:r>
      <w:r w:rsidRPr="00307AAE">
        <w:rPr>
          <w:rFonts w:hint="cs"/>
          <w:w w:val="100"/>
          <w:kern w:val="0"/>
          <w:rtl/>
          <w:lang w:val="fr-CH"/>
        </w:rPr>
        <w:tab/>
        <w:t>وتبلغ نسبة الأمية 3</w:t>
      </w:r>
      <w:r w:rsidR="00307AAE" w:rsidRPr="00307AAE">
        <w:rPr>
          <w:rFonts w:hint="cs"/>
          <w:w w:val="100"/>
          <w:kern w:val="0"/>
          <w:rtl/>
          <w:lang w:val="fr-CH"/>
        </w:rPr>
        <w:t>.</w:t>
      </w:r>
      <w:r w:rsidRPr="00307AAE">
        <w:rPr>
          <w:rFonts w:hint="cs"/>
          <w:w w:val="100"/>
          <w:kern w:val="0"/>
          <w:rtl/>
          <w:lang w:val="fr-CH"/>
        </w:rPr>
        <w:t>7 في المائة بين السكان الذين يُعَرفون أنفسهم بأنهم من السكان الأو</w:t>
      </w:r>
      <w:r w:rsidR="00706E77">
        <w:rPr>
          <w:rFonts w:hint="cs"/>
          <w:w w:val="100"/>
          <w:kern w:val="0"/>
          <w:rtl/>
          <w:lang w:val="fr-CH"/>
        </w:rPr>
        <w:t>ل</w:t>
      </w:r>
      <w:r w:rsidRPr="00307AAE">
        <w:rPr>
          <w:rFonts w:hint="cs"/>
          <w:w w:val="100"/>
          <w:kern w:val="0"/>
          <w:rtl/>
          <w:lang w:val="fr-CH"/>
        </w:rPr>
        <w:t>ين أو المنحدرين من الشعوب الأولى</w:t>
      </w:r>
      <w:r w:rsidR="00307AAE" w:rsidRPr="00307AAE">
        <w:rPr>
          <w:rFonts w:hint="cs"/>
          <w:w w:val="100"/>
          <w:kern w:val="0"/>
          <w:rtl/>
          <w:lang w:val="fr-CH"/>
        </w:rPr>
        <w:t>.</w:t>
      </w:r>
      <w:r w:rsidRPr="00307AAE">
        <w:rPr>
          <w:rFonts w:hint="cs"/>
          <w:w w:val="100"/>
          <w:kern w:val="0"/>
          <w:rtl/>
          <w:lang w:val="fr-CH"/>
        </w:rPr>
        <w:t xml:space="preserve"> ويلاحظ انخفاض في مستوى الأمية بنسبة 2</w:t>
      </w:r>
      <w:r w:rsidR="00307AAE" w:rsidRPr="00307AAE">
        <w:rPr>
          <w:rFonts w:hint="cs"/>
          <w:w w:val="100"/>
          <w:kern w:val="0"/>
          <w:rtl/>
          <w:lang w:val="fr-CH"/>
        </w:rPr>
        <w:t>.</w:t>
      </w:r>
      <w:r w:rsidRPr="00307AAE">
        <w:rPr>
          <w:rFonts w:hint="cs"/>
          <w:w w:val="100"/>
          <w:kern w:val="0"/>
          <w:rtl/>
          <w:lang w:val="fr-CH"/>
        </w:rPr>
        <w:t>3 في المائة في الفترة 2005-2010</w:t>
      </w:r>
      <w:r w:rsidR="006A2A64">
        <w:rPr>
          <w:rFonts w:hint="cs"/>
          <w:w w:val="100"/>
          <w:kern w:val="0"/>
          <w:rtl/>
          <w:lang w:val="fr-CH"/>
        </w:rPr>
        <w:t>.</w:t>
      </w:r>
    </w:p>
    <w:p w:rsidR="00750F90" w:rsidRPr="00706E77" w:rsidRDefault="00750F90" w:rsidP="00706E77">
      <w:pPr>
        <w:pStyle w:val="SingleTxt"/>
        <w:rPr>
          <w:spacing w:val="-4"/>
          <w:kern w:val="0"/>
          <w:rtl/>
          <w:lang w:val="fr-CH"/>
        </w:rPr>
      </w:pPr>
      <w:r w:rsidRPr="00706E77">
        <w:rPr>
          <w:rFonts w:hint="cs"/>
          <w:spacing w:val="-4"/>
          <w:kern w:val="0"/>
          <w:rtl/>
          <w:lang w:val="fr-CH"/>
        </w:rPr>
        <w:t>29-</w:t>
      </w:r>
      <w:r w:rsidRPr="00706E77">
        <w:rPr>
          <w:rFonts w:hint="cs"/>
          <w:spacing w:val="-4"/>
          <w:kern w:val="0"/>
          <w:rtl/>
          <w:lang w:val="fr-CH"/>
        </w:rPr>
        <w:tab/>
        <w:t>وتتراوح أعمار ما نسبته 67</w:t>
      </w:r>
      <w:r w:rsidR="00307AAE" w:rsidRPr="00706E77">
        <w:rPr>
          <w:rFonts w:hint="cs"/>
          <w:spacing w:val="-4"/>
          <w:kern w:val="0"/>
          <w:rtl/>
          <w:lang w:val="fr-CH"/>
        </w:rPr>
        <w:t>.</w:t>
      </w:r>
      <w:r w:rsidRPr="00706E77">
        <w:rPr>
          <w:rFonts w:hint="cs"/>
          <w:spacing w:val="-4"/>
          <w:kern w:val="0"/>
          <w:rtl/>
          <w:lang w:val="fr-CH"/>
        </w:rPr>
        <w:t>9 في المائة من السكان المنحدرين من أصول أفريقية ما بين 15 و64 سنة؛ أي أنهم ينتمون إلى فئة من هم في سن العمل، وينتمي ما نسبته 24</w:t>
      </w:r>
      <w:r w:rsidR="00307AAE" w:rsidRPr="00706E77">
        <w:rPr>
          <w:rFonts w:hint="cs"/>
          <w:spacing w:val="-4"/>
          <w:kern w:val="0"/>
          <w:rtl/>
          <w:lang w:val="fr-CH"/>
        </w:rPr>
        <w:t>.</w:t>
      </w:r>
      <w:r w:rsidRPr="00706E77">
        <w:rPr>
          <w:rFonts w:hint="cs"/>
          <w:spacing w:val="-4"/>
          <w:kern w:val="0"/>
          <w:rtl/>
          <w:lang w:val="fr-CH"/>
        </w:rPr>
        <w:t>7 في المائة إلى</w:t>
      </w:r>
      <w:r w:rsidR="006A2A64" w:rsidRPr="00706E77">
        <w:rPr>
          <w:rFonts w:hint="eastAsia"/>
          <w:spacing w:val="-4"/>
          <w:kern w:val="0"/>
          <w:rtl/>
          <w:lang w:val="fr-CH"/>
        </w:rPr>
        <w:t> </w:t>
      </w:r>
      <w:r w:rsidRPr="00706E77">
        <w:rPr>
          <w:rFonts w:hint="cs"/>
          <w:spacing w:val="-4"/>
          <w:kern w:val="0"/>
          <w:rtl/>
          <w:lang w:val="fr-CH"/>
        </w:rPr>
        <w:t xml:space="preserve">الفئة العمرية المتراوحة بين </w:t>
      </w:r>
      <w:r w:rsidR="00706E77" w:rsidRPr="00706E77">
        <w:rPr>
          <w:rFonts w:hint="cs"/>
          <w:spacing w:val="-4"/>
          <w:kern w:val="0"/>
          <w:rtl/>
          <w:lang w:val="fr-CH"/>
        </w:rPr>
        <w:t>صفر</w:t>
      </w:r>
      <w:r w:rsidRPr="00706E77">
        <w:rPr>
          <w:rFonts w:hint="cs"/>
          <w:spacing w:val="-4"/>
          <w:kern w:val="0"/>
          <w:rtl/>
          <w:lang w:val="fr-CH"/>
        </w:rPr>
        <w:t xml:space="preserve"> و14 سنة وتبلغ أعمار ما نسبته 7</w:t>
      </w:r>
      <w:r w:rsidR="00307AAE" w:rsidRPr="00706E77">
        <w:rPr>
          <w:rFonts w:hint="cs"/>
          <w:spacing w:val="-4"/>
          <w:kern w:val="0"/>
          <w:rtl/>
          <w:lang w:val="fr-CH"/>
        </w:rPr>
        <w:t>.</w:t>
      </w:r>
      <w:r w:rsidRPr="00706E77">
        <w:rPr>
          <w:rFonts w:hint="cs"/>
          <w:spacing w:val="-4"/>
          <w:kern w:val="0"/>
          <w:rtl/>
          <w:lang w:val="fr-CH"/>
        </w:rPr>
        <w:t>4 في المائة 65 سنة أو أكثر. ونسبة السكان من هذه الفئة العمرية هي دون المتوسط على الصعيد الوطني (10</w:t>
      </w:r>
      <w:r w:rsidR="00307AAE" w:rsidRPr="00706E77">
        <w:rPr>
          <w:rFonts w:hint="cs"/>
          <w:spacing w:val="-4"/>
          <w:kern w:val="0"/>
          <w:rtl/>
          <w:lang w:val="fr-CH"/>
        </w:rPr>
        <w:t>.</w:t>
      </w:r>
      <w:r w:rsidRPr="00706E77">
        <w:rPr>
          <w:rFonts w:hint="cs"/>
          <w:spacing w:val="-4"/>
          <w:kern w:val="0"/>
          <w:rtl/>
          <w:lang w:val="fr-CH"/>
        </w:rPr>
        <w:t>3 في المائة)، لذلك يلاحظ وجود نسبة أقل من الشيخوخة بين السكان المنحدرين من أصول أفريقية. وفيما يتعلق بالتوزيع الجغرافي للسكان المنحدرين من أصول أفريقية في الإقليم الوطني، يتركز ما نسبته 70</w:t>
      </w:r>
      <w:r w:rsidR="00307AAE" w:rsidRPr="00706E77">
        <w:rPr>
          <w:rFonts w:hint="cs"/>
          <w:spacing w:val="-4"/>
          <w:kern w:val="0"/>
          <w:rtl/>
          <w:lang w:val="fr-CH"/>
        </w:rPr>
        <w:t>.</w:t>
      </w:r>
      <w:r w:rsidRPr="00706E77">
        <w:rPr>
          <w:rFonts w:hint="cs"/>
          <w:spacing w:val="-4"/>
          <w:kern w:val="0"/>
          <w:rtl/>
          <w:lang w:val="fr-CH"/>
        </w:rPr>
        <w:t>3 في المائة في</w:t>
      </w:r>
      <w:r w:rsidR="00706E77">
        <w:rPr>
          <w:rFonts w:hint="eastAsia"/>
          <w:spacing w:val="-4"/>
          <w:kern w:val="0"/>
          <w:rtl/>
          <w:lang w:val="fr-CH"/>
        </w:rPr>
        <w:t> </w:t>
      </w:r>
      <w:r w:rsidRPr="00706E77">
        <w:rPr>
          <w:rFonts w:hint="cs"/>
          <w:spacing w:val="-4"/>
          <w:kern w:val="0"/>
          <w:rtl/>
          <w:lang w:val="fr-CH"/>
        </w:rPr>
        <w:t>محافظات بوينس آيرس، ومدينة بوينس آيرس المستقلة ذاتياً، وإينتري ريوس، وسانتا في وقرطبة.</w:t>
      </w:r>
    </w:p>
    <w:p w:rsidR="006A2A64" w:rsidRPr="006A2A64" w:rsidRDefault="006A2A64" w:rsidP="006A2A64">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CH"/>
        </w:rPr>
      </w:pPr>
    </w:p>
    <w:p w:rsidR="00750F90" w:rsidRPr="006A2A64" w:rsidRDefault="006A2A64" w:rsidP="006A2A64">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CH"/>
        </w:rPr>
      </w:pPr>
      <w:r>
        <w:rPr>
          <w:rFonts w:hint="cs"/>
          <w:w w:val="100"/>
          <w:rtl/>
          <w:lang w:val="fr-CH"/>
        </w:rPr>
        <w:tab/>
      </w:r>
      <w:r w:rsidR="00750F90" w:rsidRPr="006A2A64">
        <w:rPr>
          <w:rFonts w:hint="cs"/>
          <w:w w:val="100"/>
          <w:rtl/>
          <w:lang w:val="fr-CH"/>
        </w:rPr>
        <w:tab/>
        <w:t>السكان الأجانب</w:t>
      </w:r>
    </w:p>
    <w:p w:rsidR="00750F90" w:rsidRPr="00307AAE" w:rsidRDefault="00750F90" w:rsidP="00307AAE">
      <w:pPr>
        <w:pStyle w:val="SingleTxt"/>
        <w:rPr>
          <w:w w:val="100"/>
          <w:kern w:val="0"/>
          <w:rtl/>
          <w:lang w:val="fr-CH"/>
        </w:rPr>
      </w:pPr>
      <w:r w:rsidRPr="00307AAE">
        <w:rPr>
          <w:rFonts w:hint="cs"/>
          <w:w w:val="100"/>
          <w:kern w:val="0"/>
          <w:rtl/>
          <w:lang w:val="fr-CH"/>
        </w:rPr>
        <w:t>30-</w:t>
      </w:r>
      <w:r w:rsidRPr="00307AAE">
        <w:rPr>
          <w:rFonts w:hint="cs"/>
          <w:w w:val="100"/>
          <w:kern w:val="0"/>
          <w:rtl/>
          <w:lang w:val="fr-CH"/>
        </w:rPr>
        <w:tab/>
        <w:t>سجلت بيانات تعداد السكان لعام 2010 من السكان المولودين في الخارج ما نسبته 4</w:t>
      </w:r>
      <w:r w:rsidR="00307AAE" w:rsidRPr="00307AAE">
        <w:rPr>
          <w:rFonts w:hint="cs"/>
          <w:w w:val="100"/>
          <w:kern w:val="0"/>
          <w:rtl/>
          <w:lang w:val="fr-CH"/>
        </w:rPr>
        <w:t>.</w:t>
      </w:r>
      <w:r w:rsidRPr="00307AAE">
        <w:rPr>
          <w:rFonts w:hint="cs"/>
          <w:w w:val="100"/>
          <w:kern w:val="0"/>
          <w:rtl/>
          <w:lang w:val="fr-CH"/>
        </w:rPr>
        <w:t>5 في المائة، أي ما مجموعه 957 805 1 نسمة. ويبين نمط الهجرة أن سكان البلدان المجاورة يشكلون تاريخي</w:t>
      </w:r>
      <w:r w:rsidR="00A71B00">
        <w:rPr>
          <w:rFonts w:hint="cs"/>
          <w:w w:val="100"/>
          <w:kern w:val="0"/>
          <w:rtl/>
          <w:lang w:val="fr-CH"/>
        </w:rPr>
        <w:t xml:space="preserve">اً </w:t>
      </w:r>
      <w:r w:rsidRPr="00307AAE">
        <w:rPr>
          <w:rFonts w:hint="cs"/>
          <w:w w:val="100"/>
          <w:kern w:val="0"/>
          <w:rtl/>
          <w:lang w:val="fr-CH"/>
        </w:rPr>
        <w:t>أعلى نسبة للأجانب (3</w:t>
      </w:r>
      <w:r w:rsidR="00307AAE" w:rsidRPr="00307AAE">
        <w:rPr>
          <w:rFonts w:hint="cs"/>
          <w:w w:val="100"/>
          <w:kern w:val="0"/>
          <w:rtl/>
          <w:lang w:val="fr-CH"/>
        </w:rPr>
        <w:t>.</w:t>
      </w:r>
      <w:r w:rsidRPr="00307AAE">
        <w:rPr>
          <w:rFonts w:hint="cs"/>
          <w:w w:val="100"/>
          <w:kern w:val="0"/>
          <w:rtl/>
          <w:lang w:val="fr-CH"/>
        </w:rPr>
        <w:t>1 في المائة) من مجموع السكان. وبالفعل، ينتمي 77</w:t>
      </w:r>
      <w:r w:rsidR="00307AAE" w:rsidRPr="00307AAE">
        <w:rPr>
          <w:rFonts w:hint="cs"/>
          <w:w w:val="100"/>
          <w:kern w:val="0"/>
          <w:rtl/>
          <w:lang w:val="fr-CH"/>
        </w:rPr>
        <w:t>.</w:t>
      </w:r>
      <w:r w:rsidRPr="00307AAE">
        <w:rPr>
          <w:rFonts w:hint="cs"/>
          <w:w w:val="100"/>
          <w:kern w:val="0"/>
          <w:rtl/>
          <w:lang w:val="fr-CH"/>
        </w:rPr>
        <w:t>7 في المائة من الأجانب إلى البلدان المجاورة وبيرو. وتشكل الإناث غالبية السكان المولودين في الخارج (53</w:t>
      </w:r>
      <w:r w:rsidR="00307AAE" w:rsidRPr="00307AAE">
        <w:rPr>
          <w:rFonts w:hint="cs"/>
          <w:w w:val="100"/>
          <w:kern w:val="0"/>
          <w:rtl/>
          <w:lang w:val="fr-CH"/>
        </w:rPr>
        <w:t>.</w:t>
      </w:r>
      <w:r w:rsidRPr="00307AAE">
        <w:rPr>
          <w:rFonts w:hint="cs"/>
          <w:w w:val="100"/>
          <w:kern w:val="0"/>
          <w:rtl/>
          <w:lang w:val="fr-CH"/>
        </w:rPr>
        <w:t>9 في المائة)، وهي نسبة تفوق تلك التي تشكلها مثيلاتهن ضمن مجموع السكان المولودين في البلد. وفيما يتعلق بالسن، فإن نسبة السكان المولودين في الخارج ضمن السكان الذين هم في سن العمل (15-64 سنة) وضمن السكان المسنين (65 سنة وما فوق) تفوق نسبة السكان المولودين في البلد. ويشكل الأشخاص القادمون من البلدان المجاورة ومن بيرو معظم السكان الذين هم في سن العمل (346 114 1 شخص</w:t>
      </w:r>
      <w:r w:rsidR="00955E01">
        <w:rPr>
          <w:rFonts w:hint="cs"/>
          <w:w w:val="100"/>
          <w:kern w:val="0"/>
          <w:rtl/>
          <w:lang w:val="fr-CH"/>
        </w:rPr>
        <w:t>اً،</w:t>
      </w:r>
      <w:r w:rsidRPr="00307AAE">
        <w:rPr>
          <w:rFonts w:hint="cs"/>
          <w:w w:val="100"/>
          <w:kern w:val="0"/>
          <w:rtl/>
          <w:lang w:val="fr-CH"/>
        </w:rPr>
        <w:t xml:space="preserve"> ما نسبته 86</w:t>
      </w:r>
      <w:r w:rsidR="00307AAE" w:rsidRPr="00307AAE">
        <w:rPr>
          <w:rFonts w:hint="cs"/>
          <w:w w:val="100"/>
          <w:kern w:val="0"/>
          <w:rtl/>
          <w:lang w:val="fr-CH"/>
        </w:rPr>
        <w:t>.</w:t>
      </w:r>
      <w:r w:rsidRPr="00307AAE">
        <w:rPr>
          <w:rFonts w:hint="cs"/>
          <w:w w:val="100"/>
          <w:kern w:val="0"/>
          <w:rtl/>
          <w:lang w:val="fr-CH"/>
        </w:rPr>
        <w:t>4 في المائة من هذه الفئة العمرية)، بينما يشكل الإيطاليون والإسبان مكون</w:t>
      </w:r>
      <w:r w:rsidR="00A71B00">
        <w:rPr>
          <w:rFonts w:hint="cs"/>
          <w:w w:val="100"/>
          <w:kern w:val="0"/>
          <w:rtl/>
          <w:lang w:val="fr-CH"/>
        </w:rPr>
        <w:t xml:space="preserve">اً </w:t>
      </w:r>
      <w:r w:rsidRPr="00307AAE">
        <w:rPr>
          <w:rFonts w:hint="cs"/>
          <w:w w:val="100"/>
          <w:kern w:val="0"/>
          <w:rtl/>
          <w:lang w:val="fr-CH"/>
        </w:rPr>
        <w:t>مهم</w:t>
      </w:r>
      <w:r w:rsidR="00A71B00">
        <w:rPr>
          <w:rFonts w:hint="cs"/>
          <w:w w:val="100"/>
          <w:kern w:val="0"/>
          <w:rtl/>
          <w:lang w:val="fr-CH"/>
        </w:rPr>
        <w:t xml:space="preserve">اً </w:t>
      </w:r>
      <w:r w:rsidRPr="00307AAE">
        <w:rPr>
          <w:rFonts w:hint="cs"/>
          <w:w w:val="100"/>
          <w:kern w:val="0"/>
          <w:rtl/>
          <w:lang w:val="fr-CH"/>
        </w:rPr>
        <w:t>ضمن فئة المسنين (637 165 شخص</w:t>
      </w:r>
      <w:r w:rsidR="00955E01">
        <w:rPr>
          <w:rFonts w:hint="cs"/>
          <w:w w:val="100"/>
          <w:kern w:val="0"/>
          <w:rtl/>
          <w:lang w:val="fr-CH"/>
        </w:rPr>
        <w:t>اً،</w:t>
      </w:r>
      <w:r w:rsidRPr="00307AAE">
        <w:rPr>
          <w:rFonts w:hint="cs"/>
          <w:w w:val="100"/>
          <w:kern w:val="0"/>
          <w:rtl/>
          <w:lang w:val="fr-CH"/>
        </w:rPr>
        <w:t xml:space="preserve"> ما نسبته 44 في المائة من هذه الفئة العمرية).</w:t>
      </w:r>
    </w:p>
    <w:p w:rsidR="00750F90" w:rsidRPr="006A2A64" w:rsidRDefault="00307AAE" w:rsidP="00A71B00">
      <w:pPr>
        <w:pStyle w:val="SingleTxt"/>
        <w:rPr>
          <w:spacing w:val="-2"/>
          <w:w w:val="100"/>
          <w:kern w:val="0"/>
          <w:rtl/>
          <w:lang w:val="fr-CH"/>
        </w:rPr>
      </w:pPr>
      <w:r w:rsidRPr="006A2A64">
        <w:rPr>
          <w:rFonts w:hint="cs"/>
          <w:spacing w:val="-2"/>
          <w:w w:val="100"/>
          <w:kern w:val="0"/>
          <w:rtl/>
          <w:lang w:val="fr-CH"/>
        </w:rPr>
        <w:t>31</w:t>
      </w:r>
      <w:r w:rsidR="00750F90" w:rsidRPr="006A2A64">
        <w:rPr>
          <w:rFonts w:hint="cs"/>
          <w:spacing w:val="-2"/>
          <w:w w:val="100"/>
          <w:kern w:val="0"/>
          <w:rtl/>
          <w:lang w:val="fr-CH"/>
        </w:rPr>
        <w:t>-</w:t>
      </w:r>
      <w:r w:rsidR="00750F90" w:rsidRPr="006A2A64">
        <w:rPr>
          <w:rFonts w:hint="cs"/>
          <w:spacing w:val="-2"/>
          <w:w w:val="100"/>
          <w:kern w:val="0"/>
          <w:rtl/>
          <w:lang w:val="fr-CH"/>
        </w:rPr>
        <w:tab/>
        <w:t>ويلاحظ، وفق</w:t>
      </w:r>
      <w:r w:rsidR="00A71B00">
        <w:rPr>
          <w:rFonts w:hint="cs"/>
          <w:spacing w:val="-2"/>
          <w:w w:val="100"/>
          <w:kern w:val="0"/>
          <w:rtl/>
          <w:lang w:val="fr-CH"/>
        </w:rPr>
        <w:t xml:space="preserve">اً </w:t>
      </w:r>
      <w:r w:rsidR="00750F90" w:rsidRPr="006A2A64">
        <w:rPr>
          <w:rFonts w:hint="cs"/>
          <w:spacing w:val="-2"/>
          <w:w w:val="100"/>
          <w:kern w:val="0"/>
          <w:rtl/>
          <w:lang w:val="fr-CH"/>
        </w:rPr>
        <w:t>لتعداد السكان لعام 2010، أن البلد الذي يوفد أكبر عدد من السكان إلى الأرجنتين هو باراغواي بما عدده 713 550 شخص</w:t>
      </w:r>
      <w:r w:rsidR="00955E01">
        <w:rPr>
          <w:rFonts w:hint="cs"/>
          <w:spacing w:val="-2"/>
          <w:w w:val="100"/>
          <w:kern w:val="0"/>
          <w:rtl/>
          <w:lang w:val="fr-CH"/>
        </w:rPr>
        <w:t>اً.</w:t>
      </w:r>
      <w:r w:rsidR="00750F90" w:rsidRPr="006A2A64">
        <w:rPr>
          <w:rFonts w:hint="cs"/>
          <w:spacing w:val="-2"/>
          <w:w w:val="100"/>
          <w:kern w:val="0"/>
          <w:rtl/>
          <w:lang w:val="fr-CH"/>
        </w:rPr>
        <w:t xml:space="preserve"> ويشكل هؤلاء الأشخاص 30</w:t>
      </w:r>
      <w:r w:rsidRPr="006A2A64">
        <w:rPr>
          <w:rFonts w:hint="cs"/>
          <w:spacing w:val="-2"/>
          <w:w w:val="100"/>
          <w:kern w:val="0"/>
          <w:rtl/>
          <w:lang w:val="fr-CH"/>
        </w:rPr>
        <w:t>.</w:t>
      </w:r>
      <w:r w:rsidR="00750F90" w:rsidRPr="006A2A64">
        <w:rPr>
          <w:rFonts w:hint="cs"/>
          <w:spacing w:val="-2"/>
          <w:w w:val="100"/>
          <w:kern w:val="0"/>
          <w:rtl/>
          <w:lang w:val="fr-CH"/>
        </w:rPr>
        <w:t>5 في المائة من السكان المولودين في الخارج، وقد تزايد عددهم في التعدادين الأخيرين للسكان. وتليها بوليفيا، بما</w:t>
      </w:r>
      <w:r w:rsidR="00A71B00">
        <w:rPr>
          <w:rFonts w:hint="eastAsia"/>
          <w:spacing w:val="-2"/>
          <w:w w:val="100"/>
          <w:kern w:val="0"/>
          <w:rtl/>
          <w:lang w:val="fr-CH"/>
        </w:rPr>
        <w:t> </w:t>
      </w:r>
      <w:r w:rsidR="00750F90" w:rsidRPr="006A2A64">
        <w:rPr>
          <w:rFonts w:hint="cs"/>
          <w:spacing w:val="-2"/>
          <w:w w:val="100"/>
          <w:kern w:val="0"/>
          <w:rtl/>
          <w:lang w:val="fr-CH"/>
        </w:rPr>
        <w:t>عدده 272 345 شخص</w:t>
      </w:r>
      <w:r w:rsidR="00A71B00">
        <w:rPr>
          <w:rFonts w:hint="cs"/>
          <w:spacing w:val="-2"/>
          <w:w w:val="100"/>
          <w:kern w:val="0"/>
          <w:rtl/>
          <w:lang w:val="fr-CH"/>
        </w:rPr>
        <w:t xml:space="preserve">اً </w:t>
      </w:r>
      <w:r w:rsidR="00750F90" w:rsidRPr="006A2A64">
        <w:rPr>
          <w:rFonts w:hint="cs"/>
          <w:spacing w:val="-2"/>
          <w:w w:val="100"/>
          <w:kern w:val="0"/>
          <w:rtl/>
          <w:lang w:val="fr-CH"/>
        </w:rPr>
        <w:t>(19</w:t>
      </w:r>
      <w:r w:rsidRPr="006A2A64">
        <w:rPr>
          <w:rFonts w:hint="cs"/>
          <w:spacing w:val="-2"/>
          <w:w w:val="100"/>
          <w:kern w:val="0"/>
          <w:rtl/>
          <w:lang w:val="fr-CH"/>
        </w:rPr>
        <w:t>.</w:t>
      </w:r>
      <w:r w:rsidR="00750F90" w:rsidRPr="006A2A64">
        <w:rPr>
          <w:rFonts w:hint="cs"/>
          <w:spacing w:val="-2"/>
          <w:w w:val="100"/>
          <w:kern w:val="0"/>
          <w:rtl/>
          <w:lang w:val="fr-CH"/>
        </w:rPr>
        <w:t>1 في المائة)، وشيلي بما عدده 147 191 شخص</w:t>
      </w:r>
      <w:r w:rsidR="00A71B00">
        <w:rPr>
          <w:rFonts w:hint="cs"/>
          <w:spacing w:val="-2"/>
          <w:w w:val="100"/>
          <w:kern w:val="0"/>
          <w:rtl/>
          <w:lang w:val="fr-CH"/>
        </w:rPr>
        <w:t xml:space="preserve">اً </w:t>
      </w:r>
      <w:r w:rsidR="00750F90" w:rsidRPr="006A2A64">
        <w:rPr>
          <w:rFonts w:hint="cs"/>
          <w:spacing w:val="-2"/>
          <w:w w:val="100"/>
          <w:kern w:val="0"/>
          <w:rtl/>
          <w:lang w:val="fr-CH"/>
        </w:rPr>
        <w:t>(10</w:t>
      </w:r>
      <w:r w:rsidRPr="006A2A64">
        <w:rPr>
          <w:rFonts w:hint="cs"/>
          <w:spacing w:val="-2"/>
          <w:w w:val="100"/>
          <w:kern w:val="0"/>
          <w:rtl/>
          <w:lang w:val="fr-CH"/>
        </w:rPr>
        <w:t>.</w:t>
      </w:r>
      <w:r w:rsidR="00750F90" w:rsidRPr="006A2A64">
        <w:rPr>
          <w:rFonts w:hint="cs"/>
          <w:spacing w:val="-2"/>
          <w:w w:val="100"/>
          <w:kern w:val="0"/>
          <w:rtl/>
          <w:lang w:val="fr-CH"/>
        </w:rPr>
        <w:t>6 في المائة)، وبيرو بما عدده 514 157 شخص</w:t>
      </w:r>
      <w:r w:rsidR="00A71B00">
        <w:rPr>
          <w:rFonts w:hint="cs"/>
          <w:spacing w:val="-2"/>
          <w:w w:val="100"/>
          <w:kern w:val="0"/>
          <w:rtl/>
          <w:lang w:val="fr-CH"/>
        </w:rPr>
        <w:t xml:space="preserve">اً </w:t>
      </w:r>
      <w:r w:rsidR="00750F90" w:rsidRPr="006A2A64">
        <w:rPr>
          <w:rFonts w:hint="cs"/>
          <w:spacing w:val="-2"/>
          <w:w w:val="100"/>
          <w:kern w:val="0"/>
          <w:rtl/>
          <w:lang w:val="fr-CH"/>
        </w:rPr>
        <w:t>(8</w:t>
      </w:r>
      <w:r w:rsidRPr="006A2A64">
        <w:rPr>
          <w:rFonts w:hint="cs"/>
          <w:spacing w:val="-2"/>
          <w:w w:val="100"/>
          <w:kern w:val="0"/>
          <w:rtl/>
          <w:lang w:val="fr-CH"/>
        </w:rPr>
        <w:t>.</w:t>
      </w:r>
      <w:r w:rsidR="00750F90" w:rsidRPr="006A2A64">
        <w:rPr>
          <w:rFonts w:hint="cs"/>
          <w:spacing w:val="-2"/>
          <w:w w:val="100"/>
          <w:kern w:val="0"/>
          <w:rtl/>
          <w:lang w:val="fr-CH"/>
        </w:rPr>
        <w:t>7 في المائة). وتمثل هذه البلدان الأربعة 68</w:t>
      </w:r>
      <w:r w:rsidRPr="006A2A64">
        <w:rPr>
          <w:rFonts w:hint="cs"/>
          <w:spacing w:val="-2"/>
          <w:w w:val="100"/>
          <w:kern w:val="0"/>
          <w:rtl/>
          <w:lang w:val="fr-CH"/>
        </w:rPr>
        <w:t>.</w:t>
      </w:r>
      <w:r w:rsidR="00750F90" w:rsidRPr="006A2A64">
        <w:rPr>
          <w:rFonts w:hint="cs"/>
          <w:spacing w:val="-2"/>
          <w:w w:val="100"/>
          <w:kern w:val="0"/>
          <w:rtl/>
          <w:lang w:val="fr-CH"/>
        </w:rPr>
        <w:t>9 في المائة من مجموع المهاجرين.</w:t>
      </w:r>
    </w:p>
    <w:p w:rsidR="00750F90" w:rsidRPr="00307AAE" w:rsidRDefault="00750F90" w:rsidP="00307AAE">
      <w:pPr>
        <w:pStyle w:val="SingleTxt"/>
        <w:rPr>
          <w:w w:val="100"/>
          <w:kern w:val="0"/>
          <w:rtl/>
          <w:lang w:val="fr-CH"/>
        </w:rPr>
      </w:pPr>
      <w:r w:rsidRPr="00307AAE">
        <w:rPr>
          <w:rFonts w:hint="cs"/>
          <w:w w:val="100"/>
          <w:kern w:val="0"/>
          <w:rtl/>
          <w:lang w:val="fr-CH"/>
        </w:rPr>
        <w:t>32-</w:t>
      </w:r>
      <w:r w:rsidRPr="00307AAE">
        <w:rPr>
          <w:rFonts w:hint="cs"/>
          <w:w w:val="100"/>
          <w:kern w:val="0"/>
          <w:rtl/>
          <w:lang w:val="fr-CH"/>
        </w:rPr>
        <w:tab/>
        <w:t>وتعتبر كل من إيطاليا وإسبانيا، بدورهما، البلدين الأوروبيين اللذين ينتمي إليهما أكبر عدد من السكان في الأرجنتين، لكن كلاهما عرف نسبة متناقصة خلال العقود الأخيرة. ويعزى هذا الاتجاه جزئي</w:t>
      </w:r>
      <w:r w:rsidR="00A71B00">
        <w:rPr>
          <w:rFonts w:hint="cs"/>
          <w:w w:val="100"/>
          <w:kern w:val="0"/>
          <w:rtl/>
          <w:lang w:val="fr-CH"/>
        </w:rPr>
        <w:t xml:space="preserve">اً </w:t>
      </w:r>
      <w:r w:rsidRPr="00307AAE">
        <w:rPr>
          <w:rFonts w:hint="cs"/>
          <w:w w:val="100"/>
          <w:kern w:val="0"/>
          <w:rtl/>
          <w:lang w:val="fr-CH"/>
        </w:rPr>
        <w:t>إلى قلة تدفقات الهجرة من بلدان ما وراء البحار وإلى وفيات الإيطاليين والإسبانيين المتقدمين في السن.</w:t>
      </w:r>
    </w:p>
    <w:p w:rsidR="00750F90" w:rsidRPr="00307AAE" w:rsidRDefault="00750F90" w:rsidP="00307AAE">
      <w:pPr>
        <w:pStyle w:val="SingleTxt"/>
        <w:rPr>
          <w:w w:val="100"/>
          <w:kern w:val="0"/>
          <w:rtl/>
          <w:lang w:val="fr-CH"/>
        </w:rPr>
      </w:pPr>
      <w:r w:rsidRPr="00307AAE">
        <w:rPr>
          <w:rFonts w:hint="cs"/>
          <w:w w:val="100"/>
          <w:kern w:val="0"/>
          <w:rtl/>
          <w:lang w:val="fr-CH"/>
        </w:rPr>
        <w:t>33-</w:t>
      </w:r>
      <w:r w:rsidRPr="00307AAE">
        <w:rPr>
          <w:rFonts w:hint="cs"/>
          <w:w w:val="100"/>
          <w:kern w:val="0"/>
          <w:rtl/>
          <w:lang w:val="fr-CH"/>
        </w:rPr>
        <w:tab/>
        <w:t>ويلاحظ أن المراكز الحضرية الأكثر جذب</w:t>
      </w:r>
      <w:r w:rsidR="00A71B00">
        <w:rPr>
          <w:rFonts w:hint="cs"/>
          <w:w w:val="100"/>
          <w:kern w:val="0"/>
          <w:rtl/>
          <w:lang w:val="fr-CH"/>
        </w:rPr>
        <w:t xml:space="preserve">اً </w:t>
      </w:r>
      <w:r w:rsidRPr="00307AAE">
        <w:rPr>
          <w:rFonts w:hint="cs"/>
          <w:w w:val="100"/>
          <w:kern w:val="0"/>
          <w:rtl/>
          <w:lang w:val="fr-CH"/>
        </w:rPr>
        <w:t>للأشخاص غير المولودين في البلد هي دوائر بوينس آيرس الكبرى البالغ عددها 24 ومدينة بوينس آيرس المستقلة ذاتياً، حيث يوجد 62</w:t>
      </w:r>
      <w:r w:rsidR="00307AAE" w:rsidRPr="00307AAE">
        <w:rPr>
          <w:rFonts w:hint="cs"/>
          <w:w w:val="100"/>
          <w:kern w:val="0"/>
          <w:rtl/>
          <w:lang w:val="fr-CH"/>
        </w:rPr>
        <w:t>.</w:t>
      </w:r>
      <w:r w:rsidRPr="00307AAE">
        <w:rPr>
          <w:rFonts w:hint="cs"/>
          <w:w w:val="100"/>
          <w:kern w:val="0"/>
          <w:rtl/>
          <w:lang w:val="fr-CH"/>
        </w:rPr>
        <w:t>2 في المائة من المولودين في الخارج. ثم يليهما، بحسب الأهمية، وسط محافظة بوينس آيرس، وميندوسا، وقرطبة، وريو نيغرو، وميسيونيس وسانتا في، بنسب تفوق 2 في المائة.</w:t>
      </w:r>
    </w:p>
    <w:p w:rsidR="00750F90" w:rsidRPr="00307AAE" w:rsidRDefault="00750F90" w:rsidP="00820067">
      <w:pPr>
        <w:pStyle w:val="SingleTxt"/>
        <w:spacing w:line="380" w:lineRule="exact"/>
        <w:rPr>
          <w:w w:val="100"/>
          <w:kern w:val="0"/>
          <w:rtl/>
          <w:lang w:val="fr-CH"/>
        </w:rPr>
      </w:pPr>
      <w:r w:rsidRPr="00307AAE">
        <w:rPr>
          <w:rFonts w:hint="cs"/>
          <w:w w:val="100"/>
          <w:kern w:val="0"/>
          <w:rtl/>
          <w:lang w:val="fr-CH"/>
        </w:rPr>
        <w:t>34-</w:t>
      </w:r>
      <w:r w:rsidRPr="00307AAE">
        <w:rPr>
          <w:rFonts w:hint="cs"/>
          <w:w w:val="100"/>
          <w:kern w:val="0"/>
          <w:rtl/>
          <w:lang w:val="fr-CH"/>
        </w:rPr>
        <w:tab/>
        <w:t>وقد وصل 29</w:t>
      </w:r>
      <w:r w:rsidR="00307AAE" w:rsidRPr="00307AAE">
        <w:rPr>
          <w:rFonts w:hint="cs"/>
          <w:w w:val="100"/>
          <w:kern w:val="0"/>
          <w:rtl/>
          <w:lang w:val="fr-CH"/>
        </w:rPr>
        <w:t>.</w:t>
      </w:r>
      <w:r w:rsidRPr="00307AAE">
        <w:rPr>
          <w:rFonts w:hint="cs"/>
          <w:w w:val="100"/>
          <w:kern w:val="0"/>
          <w:rtl/>
          <w:lang w:val="fr-CH"/>
        </w:rPr>
        <w:t>4 في المائة من السكان الأجانب إلى البلد بين عام 2002 وعام 2010. ويصرح أكثر من نصفهم أنهم يتمتعون بنوع ما من التغطية الصحية و85</w:t>
      </w:r>
      <w:r w:rsidR="00307AAE" w:rsidRPr="00307AAE">
        <w:rPr>
          <w:rFonts w:hint="cs"/>
          <w:w w:val="100"/>
          <w:kern w:val="0"/>
          <w:rtl/>
          <w:lang w:val="fr-CH"/>
        </w:rPr>
        <w:t>.</w:t>
      </w:r>
      <w:r w:rsidRPr="00307AAE">
        <w:rPr>
          <w:rFonts w:hint="cs"/>
          <w:w w:val="100"/>
          <w:kern w:val="0"/>
          <w:rtl/>
          <w:lang w:val="fr-CH"/>
        </w:rPr>
        <w:t>5 في المائة من الأشخاص الذين تبلغ أعمارهم 65 سنة وما فوق لديهم معاشات تقاعدية.</w:t>
      </w:r>
    </w:p>
    <w:p w:rsidR="00706E77" w:rsidRPr="00706E77" w:rsidRDefault="00706E77" w:rsidP="00706E7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750F90" w:rsidRPr="00307AAE" w:rsidRDefault="00B47DC0" w:rsidP="0082006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hanging="1267"/>
        <w:rPr>
          <w:w w:val="100"/>
          <w:rtl/>
        </w:rPr>
      </w:pPr>
      <w:r>
        <w:rPr>
          <w:rFonts w:hint="cs"/>
          <w:w w:val="100"/>
          <w:rtl/>
        </w:rPr>
        <w:tab/>
        <w:t>2-</w:t>
      </w:r>
      <w:r>
        <w:rPr>
          <w:rFonts w:hint="cs"/>
          <w:w w:val="100"/>
          <w:rtl/>
        </w:rPr>
        <w:tab/>
      </w:r>
      <w:r w:rsidR="00750F90" w:rsidRPr="00307AAE">
        <w:rPr>
          <w:rFonts w:hint="cs"/>
          <w:w w:val="100"/>
          <w:rtl/>
        </w:rPr>
        <w:t>مستوى معيشة مختلف شرائح السكان بحسب المؤشرات التالية</w:t>
      </w:r>
    </w:p>
    <w:p w:rsidR="00750F90" w:rsidRDefault="00706E77" w:rsidP="00706E77">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w w:val="100"/>
          <w:rtl/>
          <w:lang w:val="fr-CH"/>
        </w:rPr>
      </w:pPr>
      <w:r w:rsidRPr="00706E77">
        <w:rPr>
          <w:rFonts w:hint="cs"/>
          <w:b w:val="0"/>
          <w:bCs w:val="0"/>
          <w:w w:val="100"/>
          <w:rtl/>
          <w:lang w:val="fr-CH"/>
        </w:rPr>
        <w:tab/>
      </w:r>
      <w:r w:rsidRPr="00706E77">
        <w:rPr>
          <w:rFonts w:hint="cs"/>
          <w:b w:val="0"/>
          <w:bCs w:val="0"/>
          <w:w w:val="100"/>
          <w:rtl/>
          <w:lang w:val="fr-CH"/>
        </w:rPr>
        <w:tab/>
      </w:r>
      <w:r w:rsidR="00750F90" w:rsidRPr="00706E77">
        <w:rPr>
          <w:rFonts w:hint="cs"/>
          <w:b w:val="0"/>
          <w:bCs w:val="0"/>
          <w:w w:val="100"/>
          <w:rtl/>
          <w:lang w:val="fr-CH"/>
        </w:rPr>
        <w:t>الجدول 7</w:t>
      </w:r>
      <w:r>
        <w:rPr>
          <w:rFonts w:hint="cs"/>
          <w:b w:val="0"/>
          <w:bCs w:val="0"/>
          <w:w w:val="100"/>
          <w:rtl/>
          <w:lang w:val="fr-CH"/>
        </w:rPr>
        <w:tab/>
      </w:r>
      <w:r>
        <w:rPr>
          <w:rFonts w:hint="cs"/>
          <w:b w:val="0"/>
          <w:bCs w:val="0"/>
          <w:w w:val="100"/>
          <w:rtl/>
          <w:lang w:val="fr-CH"/>
        </w:rPr>
        <w:br/>
      </w:r>
      <w:r w:rsidR="00750F90" w:rsidRPr="00307AAE">
        <w:rPr>
          <w:rFonts w:hint="cs"/>
          <w:w w:val="100"/>
          <w:rtl/>
          <w:lang w:val="fr-CH"/>
        </w:rPr>
        <w:t>معدل وفيات الرضع، في عام 2009</w:t>
      </w:r>
    </w:p>
    <w:p w:rsidR="00820067" w:rsidRPr="00820067" w:rsidRDefault="00820067" w:rsidP="00820067">
      <w:pPr>
        <w:pStyle w:val="SingleTxt"/>
        <w:spacing w:after="0" w:line="120" w:lineRule="exact"/>
        <w:rPr>
          <w:b/>
          <w:bCs/>
          <w:w w:val="100"/>
          <w:kern w:val="0"/>
          <w:sz w:val="10"/>
          <w:rtl/>
          <w:lang w:val="fr-CH"/>
        </w:rPr>
      </w:pPr>
    </w:p>
    <w:tbl>
      <w:tblPr>
        <w:bidiVisual/>
        <w:tblW w:w="0" w:type="auto"/>
        <w:tblInd w:w="1410" w:type="dxa"/>
        <w:tblLook w:val="04A0" w:firstRow="1" w:lastRow="0" w:firstColumn="1" w:lastColumn="0" w:noHBand="0" w:noVBand="1"/>
      </w:tblPr>
      <w:tblGrid>
        <w:gridCol w:w="4340"/>
        <w:gridCol w:w="3163"/>
      </w:tblGrid>
      <w:tr w:rsidR="00750F90" w:rsidRPr="00B47DC0" w:rsidTr="00B47DC0">
        <w:tc>
          <w:tcPr>
            <w:tcW w:w="4340" w:type="dxa"/>
            <w:tcBorders>
              <w:top w:val="single" w:sz="4" w:space="0" w:color="auto"/>
              <w:bottom w:val="single" w:sz="12" w:space="0" w:color="auto"/>
            </w:tcBorders>
          </w:tcPr>
          <w:p w:rsidR="00750F90" w:rsidRPr="00B47DC0" w:rsidRDefault="00750F90" w:rsidP="00B47DC0">
            <w:pPr>
              <w:pStyle w:val="SingleTxtGA"/>
              <w:spacing w:before="40" w:after="40" w:line="300" w:lineRule="exact"/>
              <w:ind w:left="0" w:right="0"/>
              <w:jc w:val="left"/>
              <w:rPr>
                <w:rFonts w:ascii="Traditional Arabic" w:hAnsi="Traditional Arabic"/>
                <w:i/>
                <w:iCs/>
                <w:sz w:val="28"/>
                <w:szCs w:val="28"/>
                <w:rtl/>
                <w:lang w:val="fr-CH"/>
              </w:rPr>
            </w:pPr>
            <w:r w:rsidRPr="00B47DC0">
              <w:rPr>
                <w:rFonts w:ascii="Traditional Arabic" w:hAnsi="Traditional Arabic" w:hint="cs"/>
                <w:i/>
                <w:iCs/>
                <w:sz w:val="28"/>
                <w:szCs w:val="28"/>
                <w:rtl/>
                <w:lang w:val="fr-CH"/>
              </w:rPr>
              <w:t>البلد</w:t>
            </w:r>
          </w:p>
        </w:tc>
        <w:tc>
          <w:tcPr>
            <w:tcW w:w="3163" w:type="dxa"/>
            <w:tcBorders>
              <w:top w:val="single" w:sz="4" w:space="0" w:color="auto"/>
              <w:bottom w:val="single" w:sz="12" w:space="0" w:color="auto"/>
            </w:tcBorders>
          </w:tcPr>
          <w:p w:rsidR="00750F90" w:rsidRPr="00B47DC0" w:rsidRDefault="00750F90" w:rsidP="00B47DC0">
            <w:pPr>
              <w:pStyle w:val="SingleTxtGA"/>
              <w:spacing w:before="40" w:after="40" w:line="300" w:lineRule="exact"/>
              <w:ind w:left="0" w:right="0"/>
              <w:jc w:val="left"/>
              <w:rPr>
                <w:rFonts w:ascii="Traditional Arabic" w:hAnsi="Traditional Arabic"/>
                <w:i/>
                <w:iCs/>
                <w:sz w:val="28"/>
                <w:szCs w:val="28"/>
                <w:rtl/>
                <w:lang w:val="fr-CH"/>
              </w:rPr>
            </w:pPr>
            <w:r w:rsidRPr="00B47DC0">
              <w:rPr>
                <w:rFonts w:ascii="Traditional Arabic" w:hAnsi="Traditional Arabic" w:hint="cs"/>
                <w:i/>
                <w:iCs/>
                <w:sz w:val="28"/>
                <w:szCs w:val="28"/>
                <w:rtl/>
                <w:lang w:val="fr-CH"/>
              </w:rPr>
              <w:t>معدل وفيات الرضع لكل ألف مولود حي</w:t>
            </w:r>
          </w:p>
        </w:tc>
      </w:tr>
      <w:tr w:rsidR="00750F90" w:rsidRPr="00B47DC0" w:rsidTr="00B47DC0">
        <w:tc>
          <w:tcPr>
            <w:tcW w:w="4340" w:type="dxa"/>
            <w:tcBorders>
              <w:top w:val="single" w:sz="12" w:space="0" w:color="auto"/>
              <w:bottom w:val="single" w:sz="12" w:space="0" w:color="auto"/>
            </w:tcBorders>
          </w:tcPr>
          <w:p w:rsidR="00750F90" w:rsidRPr="00B47DC0" w:rsidRDefault="00750F90" w:rsidP="00B47DC0">
            <w:pPr>
              <w:pStyle w:val="SingleTxtGA"/>
              <w:spacing w:before="40" w:after="40" w:line="300" w:lineRule="exact"/>
              <w:ind w:left="0" w:right="0"/>
              <w:jc w:val="left"/>
              <w:rPr>
                <w:rFonts w:ascii="Traditional Arabic" w:hAnsi="Traditional Arabic"/>
                <w:sz w:val="28"/>
                <w:szCs w:val="28"/>
                <w:rtl/>
                <w:lang w:val="fr-CH"/>
              </w:rPr>
            </w:pPr>
            <w:r w:rsidRPr="00B47DC0">
              <w:rPr>
                <w:rFonts w:ascii="Traditional Arabic" w:hAnsi="Traditional Arabic" w:hint="cs"/>
                <w:sz w:val="28"/>
                <w:szCs w:val="28"/>
                <w:rtl/>
                <w:lang w:val="fr-CH"/>
              </w:rPr>
              <w:t>جمهورية الأرجنتين</w:t>
            </w:r>
          </w:p>
        </w:tc>
        <w:tc>
          <w:tcPr>
            <w:tcW w:w="3163" w:type="dxa"/>
            <w:tcBorders>
              <w:top w:val="single" w:sz="12" w:space="0" w:color="auto"/>
              <w:bottom w:val="single" w:sz="12" w:space="0" w:color="auto"/>
            </w:tcBorders>
          </w:tcPr>
          <w:p w:rsidR="00750F90" w:rsidRPr="00B47DC0" w:rsidRDefault="00750F90" w:rsidP="00B47DC0">
            <w:pPr>
              <w:pStyle w:val="SingleTxtGA"/>
              <w:spacing w:before="40" w:after="40" w:line="300" w:lineRule="exact"/>
              <w:ind w:left="0" w:right="0"/>
              <w:jc w:val="left"/>
              <w:rPr>
                <w:rFonts w:ascii="Traditional Arabic" w:hAnsi="Traditional Arabic"/>
                <w:sz w:val="28"/>
                <w:szCs w:val="28"/>
                <w:rtl/>
                <w:lang w:val="fr-CH"/>
              </w:rPr>
            </w:pPr>
            <w:r w:rsidRPr="00B47DC0">
              <w:rPr>
                <w:rFonts w:ascii="Traditional Arabic" w:hAnsi="Traditional Arabic" w:hint="cs"/>
                <w:sz w:val="28"/>
                <w:szCs w:val="28"/>
                <w:rtl/>
                <w:lang w:val="fr-CH"/>
              </w:rPr>
              <w:t>12</w:t>
            </w:r>
            <w:r w:rsidR="00307AAE" w:rsidRPr="00B47DC0">
              <w:rPr>
                <w:rFonts w:ascii="Traditional Arabic" w:hAnsi="Traditional Arabic" w:hint="cs"/>
                <w:sz w:val="28"/>
                <w:szCs w:val="28"/>
                <w:rtl/>
                <w:lang w:val="fr-CH"/>
              </w:rPr>
              <w:t>.</w:t>
            </w:r>
            <w:r w:rsidRPr="00B47DC0">
              <w:rPr>
                <w:rFonts w:ascii="Traditional Arabic" w:hAnsi="Traditional Arabic" w:hint="cs"/>
                <w:sz w:val="28"/>
                <w:szCs w:val="28"/>
                <w:rtl/>
                <w:lang w:val="fr-CH"/>
              </w:rPr>
              <w:t>1</w:t>
            </w:r>
          </w:p>
        </w:tc>
      </w:tr>
    </w:tbl>
    <w:p w:rsidR="001A0FB4" w:rsidRPr="001A0FB4" w:rsidRDefault="001A0FB4" w:rsidP="001A0FB4">
      <w:pPr>
        <w:pStyle w:val="SingleTxt"/>
        <w:spacing w:after="0" w:line="120" w:lineRule="exact"/>
        <w:rPr>
          <w:i/>
          <w:iCs/>
          <w:w w:val="100"/>
          <w:kern w:val="0"/>
          <w:sz w:val="10"/>
          <w:szCs w:val="26"/>
          <w:rtl/>
          <w:lang w:val="fr-CH"/>
        </w:rPr>
      </w:pPr>
    </w:p>
    <w:p w:rsidR="00750F90" w:rsidRPr="00B47DC0" w:rsidRDefault="00750F90" w:rsidP="00820067">
      <w:pPr>
        <w:pStyle w:val="SingleTxt"/>
        <w:spacing w:line="380" w:lineRule="exact"/>
        <w:rPr>
          <w:w w:val="100"/>
          <w:kern w:val="0"/>
          <w:sz w:val="26"/>
          <w:szCs w:val="26"/>
          <w:rtl/>
          <w:lang w:val="fr-CH"/>
        </w:rPr>
      </w:pPr>
      <w:r w:rsidRPr="00B47DC0">
        <w:rPr>
          <w:rFonts w:hint="cs"/>
          <w:i/>
          <w:iCs/>
          <w:w w:val="100"/>
          <w:kern w:val="0"/>
          <w:sz w:val="26"/>
          <w:szCs w:val="26"/>
          <w:rtl/>
          <w:lang w:val="fr-CH"/>
        </w:rPr>
        <w:t>المصدر</w:t>
      </w:r>
      <w:r w:rsidRPr="00B47DC0">
        <w:rPr>
          <w:rFonts w:hint="cs"/>
          <w:w w:val="100"/>
          <w:kern w:val="0"/>
          <w:sz w:val="26"/>
          <w:szCs w:val="26"/>
          <w:rtl/>
          <w:lang w:val="fr-CH"/>
        </w:rPr>
        <w:t>:</w:t>
      </w:r>
      <w:r w:rsidR="00B47DC0">
        <w:rPr>
          <w:rFonts w:hint="cs"/>
          <w:w w:val="100"/>
          <w:kern w:val="0"/>
          <w:sz w:val="26"/>
          <w:szCs w:val="26"/>
          <w:rtl/>
          <w:lang w:val="fr-CH"/>
        </w:rPr>
        <w:tab/>
      </w:r>
      <w:r w:rsidRPr="00B47DC0">
        <w:rPr>
          <w:rFonts w:hint="cs"/>
          <w:w w:val="100"/>
          <w:kern w:val="0"/>
          <w:sz w:val="26"/>
          <w:szCs w:val="26"/>
          <w:rtl/>
          <w:lang w:val="fr-CH"/>
        </w:rPr>
        <w:t>مديرية الإحصاءات والمعلومات الصحية، وزارة الصحة.</w:t>
      </w:r>
    </w:p>
    <w:p w:rsidR="00820067" w:rsidRPr="00820067" w:rsidRDefault="00820067" w:rsidP="00820067">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CH"/>
        </w:rPr>
      </w:pPr>
    </w:p>
    <w:p w:rsidR="00750F90" w:rsidRPr="00B47DC0" w:rsidRDefault="00B47DC0" w:rsidP="00820067">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hanging="1267"/>
        <w:rPr>
          <w:w w:val="100"/>
          <w:rtl/>
          <w:lang w:val="fr-CH"/>
        </w:rPr>
      </w:pPr>
      <w:r>
        <w:rPr>
          <w:rFonts w:hint="cs"/>
          <w:w w:val="100"/>
          <w:rtl/>
          <w:lang w:val="fr-CH"/>
        </w:rPr>
        <w:tab/>
      </w:r>
      <w:r>
        <w:rPr>
          <w:rFonts w:hint="cs"/>
          <w:w w:val="100"/>
          <w:rtl/>
          <w:lang w:val="fr-CH"/>
        </w:rPr>
        <w:tab/>
      </w:r>
      <w:r w:rsidR="00750F90" w:rsidRPr="00B47DC0">
        <w:rPr>
          <w:rFonts w:hint="cs"/>
          <w:w w:val="100"/>
          <w:rtl/>
          <w:lang w:val="fr-CH"/>
        </w:rPr>
        <w:t>ملاحظة تقنية</w:t>
      </w:r>
    </w:p>
    <w:p w:rsidR="00750F90" w:rsidRDefault="00750F90" w:rsidP="00820067">
      <w:pPr>
        <w:pStyle w:val="SingleTxt"/>
        <w:spacing w:line="380" w:lineRule="exact"/>
        <w:rPr>
          <w:spacing w:val="-4"/>
          <w:w w:val="100"/>
          <w:kern w:val="0"/>
          <w:rtl/>
          <w:lang w:val="fr-CH"/>
        </w:rPr>
      </w:pPr>
      <w:r w:rsidRPr="00B47DC0">
        <w:rPr>
          <w:rFonts w:hint="cs"/>
          <w:spacing w:val="-4"/>
          <w:w w:val="100"/>
          <w:kern w:val="0"/>
          <w:rtl/>
          <w:lang w:val="fr-CH"/>
        </w:rPr>
        <w:t>35-</w:t>
      </w:r>
      <w:r w:rsidRPr="00B47DC0">
        <w:rPr>
          <w:rFonts w:hint="cs"/>
          <w:spacing w:val="-4"/>
          <w:w w:val="100"/>
          <w:kern w:val="0"/>
          <w:rtl/>
          <w:lang w:val="fr-CH"/>
        </w:rPr>
        <w:tab/>
        <w:t>يبين معدل وفيات الرضع</w:t>
      </w:r>
      <w:r w:rsidRPr="00B47DC0">
        <w:rPr>
          <w:rFonts w:hint="cs"/>
          <w:b/>
          <w:bCs/>
          <w:spacing w:val="-4"/>
          <w:w w:val="100"/>
          <w:kern w:val="0"/>
          <w:rtl/>
          <w:lang w:val="fr-CH"/>
        </w:rPr>
        <w:t xml:space="preserve"> </w:t>
      </w:r>
      <w:r w:rsidRPr="00B47DC0">
        <w:rPr>
          <w:rFonts w:hint="cs"/>
          <w:spacing w:val="-4"/>
          <w:w w:val="100"/>
          <w:kern w:val="0"/>
          <w:rtl/>
          <w:lang w:val="fr-CH"/>
        </w:rPr>
        <w:t>نسبة وفيات الرضع الذين تقل أعمارهم عن سنة واحدة التي تحدث خلال عام معين إلى عدد المواليد الأحياء المسجلين خلال العام ذاته. ويعبر عنه بصيغة لكل 000 1 مولود حي.</w:t>
      </w:r>
    </w:p>
    <w:p w:rsidR="001A0FB4" w:rsidRPr="001A0FB4" w:rsidRDefault="001A0FB4" w:rsidP="001A0FB4">
      <w:pPr>
        <w:pStyle w:val="SingleTxt"/>
        <w:spacing w:after="0" w:line="120" w:lineRule="exact"/>
        <w:rPr>
          <w:spacing w:val="-4"/>
          <w:w w:val="100"/>
          <w:kern w:val="0"/>
          <w:sz w:val="10"/>
          <w:rtl/>
          <w:lang w:val="fr-CH"/>
        </w:rPr>
      </w:pPr>
    </w:p>
    <w:tbl>
      <w:tblPr>
        <w:tblStyle w:val="TableGrid"/>
        <w:bidiVisual/>
        <w:tblW w:w="0" w:type="auto"/>
        <w:tblInd w:w="1264"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180"/>
        <w:gridCol w:w="4184"/>
        <w:gridCol w:w="2409"/>
      </w:tblGrid>
      <w:tr w:rsidR="001A0FB4" w:rsidRPr="001A0FB4" w:rsidTr="001A0FB4">
        <w:tc>
          <w:tcPr>
            <w:tcW w:w="2180" w:type="dxa"/>
            <w:vMerge w:val="restart"/>
            <w:vAlign w:val="center"/>
          </w:tcPr>
          <w:p w:rsidR="001A0FB4" w:rsidRPr="001A0FB4" w:rsidRDefault="001A0FB4" w:rsidP="001A0FB4">
            <w:pPr>
              <w:pStyle w:val="SingleTxt"/>
              <w:spacing w:line="380" w:lineRule="exact"/>
              <w:ind w:left="0" w:right="0"/>
              <w:jc w:val="left"/>
              <w:rPr>
                <w:rFonts w:cs="Traditional Arabic"/>
                <w:spacing w:val="-4"/>
                <w:w w:val="100"/>
                <w:kern w:val="0"/>
                <w:rtl/>
                <w:lang w:val="fr-CH"/>
              </w:rPr>
            </w:pPr>
            <w:r w:rsidRPr="001A0FB4">
              <w:rPr>
                <w:rFonts w:cs="Traditional Arabic" w:hint="cs"/>
                <w:w w:val="100"/>
                <w:kern w:val="0"/>
                <w:szCs w:val="28"/>
                <w:rtl/>
                <w:lang w:val="fr-CH"/>
              </w:rPr>
              <w:t>معدل وفيات الرضع السنوي=</w:t>
            </w:r>
            <w:r>
              <w:rPr>
                <w:rFonts w:cs="Traditional Arabic" w:hint="cs"/>
                <w:w w:val="100"/>
                <w:kern w:val="0"/>
                <w:szCs w:val="28"/>
                <w:rtl/>
                <w:lang w:val="fr-CH"/>
              </w:rPr>
              <w:t xml:space="preserve"> </w:t>
            </w:r>
          </w:p>
        </w:tc>
        <w:tc>
          <w:tcPr>
            <w:tcW w:w="4184" w:type="dxa"/>
          </w:tcPr>
          <w:p w:rsidR="001A0FB4" w:rsidRPr="001A0FB4" w:rsidRDefault="001A0FB4" w:rsidP="001A0FB4">
            <w:pPr>
              <w:pStyle w:val="SingleTxt"/>
              <w:spacing w:after="60" w:line="360" w:lineRule="exact"/>
              <w:ind w:left="0" w:right="0"/>
              <w:jc w:val="center"/>
              <w:rPr>
                <w:rFonts w:cs="Traditional Arabic"/>
                <w:spacing w:val="-4"/>
                <w:w w:val="100"/>
                <w:kern w:val="0"/>
                <w:rtl/>
                <w:lang w:val="fr-CH"/>
              </w:rPr>
            </w:pPr>
            <w:r w:rsidRPr="001A0FB4">
              <w:rPr>
                <w:rFonts w:cs="Traditional Arabic" w:hint="cs"/>
                <w:spacing w:val="-4"/>
                <w:w w:val="100"/>
                <w:kern w:val="0"/>
                <w:szCs w:val="28"/>
                <w:rtl/>
                <w:lang w:val="fr-CH"/>
              </w:rPr>
              <w:t>عدد وفيات الرضع الذين تقل أعمارهم عن سنة واحدة التي تحدث بين سكان منطقة جغرافية معينة خلال عام معين</w:t>
            </w:r>
          </w:p>
        </w:tc>
        <w:tc>
          <w:tcPr>
            <w:tcW w:w="2409" w:type="dxa"/>
            <w:vMerge w:val="restart"/>
            <w:vAlign w:val="center"/>
          </w:tcPr>
          <w:p w:rsidR="001A0FB4" w:rsidRPr="001A0FB4" w:rsidRDefault="001A0FB4" w:rsidP="001A0FB4">
            <w:pPr>
              <w:pStyle w:val="SingleTxt"/>
              <w:spacing w:line="380" w:lineRule="exact"/>
              <w:ind w:left="113" w:right="0"/>
              <w:jc w:val="left"/>
              <w:rPr>
                <w:rFonts w:cs="Traditional Arabic"/>
                <w:spacing w:val="-4"/>
                <w:w w:val="100"/>
                <w:kern w:val="0"/>
                <w:rtl/>
                <w:lang w:val="fr-CH"/>
              </w:rPr>
            </w:pPr>
            <w:r w:rsidRPr="001A0FB4">
              <w:rPr>
                <w:rFonts w:cs="Traditional Arabic" w:hint="cs"/>
                <w:w w:val="100"/>
                <w:kern w:val="0"/>
                <w:szCs w:val="28"/>
                <w:rtl/>
                <w:lang w:val="fr-CH"/>
              </w:rPr>
              <w:t>لكل 000 1</w:t>
            </w:r>
          </w:p>
        </w:tc>
      </w:tr>
      <w:tr w:rsidR="001A0FB4" w:rsidRPr="001A0FB4" w:rsidTr="001A0FB4">
        <w:tc>
          <w:tcPr>
            <w:tcW w:w="2180" w:type="dxa"/>
            <w:vMerge/>
          </w:tcPr>
          <w:p w:rsidR="001A0FB4" w:rsidRPr="001A0FB4" w:rsidRDefault="001A0FB4" w:rsidP="001A0FB4">
            <w:pPr>
              <w:pStyle w:val="SingleTxt"/>
              <w:spacing w:line="380" w:lineRule="exact"/>
              <w:ind w:left="0" w:right="0"/>
              <w:rPr>
                <w:rFonts w:cs="Traditional Arabic"/>
                <w:spacing w:val="-4"/>
                <w:w w:val="100"/>
                <w:kern w:val="0"/>
                <w:rtl/>
                <w:lang w:val="fr-CH"/>
              </w:rPr>
            </w:pPr>
          </w:p>
        </w:tc>
        <w:tc>
          <w:tcPr>
            <w:tcW w:w="4184" w:type="dxa"/>
          </w:tcPr>
          <w:p w:rsidR="001A0FB4" w:rsidRPr="001A0FB4" w:rsidRDefault="001A0FB4" w:rsidP="001A0FB4">
            <w:pPr>
              <w:pStyle w:val="SingleTxt"/>
              <w:spacing w:line="360" w:lineRule="exact"/>
              <w:ind w:left="0" w:right="0"/>
              <w:jc w:val="center"/>
              <w:rPr>
                <w:rFonts w:cs="Traditional Arabic"/>
                <w:spacing w:val="-4"/>
                <w:w w:val="100"/>
                <w:kern w:val="0"/>
                <w:szCs w:val="28"/>
                <w:rtl/>
                <w:lang w:val="fr-CH"/>
              </w:rPr>
            </w:pPr>
            <w:r w:rsidRPr="001A0FB4">
              <w:rPr>
                <w:rFonts w:cs="Traditional Arabic" w:hint="cs"/>
                <w:spacing w:val="-4"/>
                <w:w w:val="100"/>
                <w:kern w:val="0"/>
                <w:szCs w:val="28"/>
                <w:rtl/>
                <w:lang w:val="fr-CH"/>
              </w:rPr>
              <w:t>مولود حي مسجل ضمن سكان المنطقة الجغرافية المعينة خلال العام ذاته</w:t>
            </w:r>
          </w:p>
        </w:tc>
        <w:tc>
          <w:tcPr>
            <w:tcW w:w="2409" w:type="dxa"/>
            <w:vMerge/>
          </w:tcPr>
          <w:p w:rsidR="001A0FB4" w:rsidRPr="001A0FB4" w:rsidRDefault="001A0FB4" w:rsidP="001A0FB4">
            <w:pPr>
              <w:pStyle w:val="SingleTxt"/>
              <w:spacing w:line="380" w:lineRule="exact"/>
              <w:ind w:left="0" w:right="0"/>
              <w:rPr>
                <w:rFonts w:cs="Traditional Arabic"/>
                <w:spacing w:val="-4"/>
                <w:w w:val="100"/>
                <w:kern w:val="0"/>
                <w:rtl/>
                <w:lang w:val="fr-CH"/>
              </w:rPr>
            </w:pPr>
          </w:p>
        </w:tc>
      </w:tr>
    </w:tbl>
    <w:p w:rsidR="001A0FB4" w:rsidRPr="001A0FB4" w:rsidRDefault="001A0FB4" w:rsidP="001A0FB4">
      <w:pPr>
        <w:pStyle w:val="SingleTxt"/>
        <w:spacing w:after="0" w:line="120" w:lineRule="exact"/>
        <w:rPr>
          <w:w w:val="100"/>
          <w:kern w:val="0"/>
          <w:sz w:val="10"/>
          <w:rtl/>
          <w:lang w:val="fr-CH"/>
        </w:rPr>
      </w:pPr>
    </w:p>
    <w:p w:rsidR="00750F90" w:rsidRPr="00307AAE" w:rsidRDefault="00750F90" w:rsidP="00820067">
      <w:pPr>
        <w:pStyle w:val="SingleTxt"/>
        <w:spacing w:line="380" w:lineRule="exact"/>
        <w:rPr>
          <w:w w:val="100"/>
          <w:kern w:val="0"/>
          <w:rtl/>
          <w:lang w:val="fr-CH"/>
        </w:rPr>
      </w:pPr>
      <w:r w:rsidRPr="00307AAE">
        <w:rPr>
          <w:rFonts w:hint="cs"/>
          <w:w w:val="100"/>
          <w:kern w:val="0"/>
          <w:rtl/>
          <w:lang w:val="fr-CH"/>
        </w:rPr>
        <w:t>36-</w:t>
      </w:r>
      <w:r w:rsidRPr="00307AAE">
        <w:rPr>
          <w:rFonts w:hint="cs"/>
          <w:w w:val="100"/>
          <w:kern w:val="0"/>
          <w:rtl/>
          <w:lang w:val="fr-CH"/>
        </w:rPr>
        <w:tab/>
        <w:t>والمواليد الأحياء المسجلون هم الذين يولدون خلال عام التسجيل وخلال العام السابق له.</w:t>
      </w:r>
    </w:p>
    <w:p w:rsidR="001A0FB4" w:rsidRPr="001A0FB4" w:rsidRDefault="001A0FB4" w:rsidP="001A0FB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eft"/>
        <w:rPr>
          <w:b w:val="0"/>
          <w:bCs w:val="0"/>
          <w:w w:val="100"/>
          <w:sz w:val="10"/>
          <w:rtl/>
          <w:lang w:val="fr-CH"/>
        </w:rPr>
      </w:pPr>
    </w:p>
    <w:p w:rsidR="00750F90" w:rsidRDefault="001A0FB4" w:rsidP="001A0FB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eft"/>
        <w:rPr>
          <w:w w:val="100"/>
          <w:rtl/>
          <w:lang w:val="fr-CH"/>
        </w:rPr>
      </w:pPr>
      <w:r w:rsidRPr="001A0FB4">
        <w:rPr>
          <w:rFonts w:hint="cs"/>
          <w:b w:val="0"/>
          <w:bCs w:val="0"/>
          <w:w w:val="100"/>
          <w:rtl/>
          <w:lang w:val="fr-CH"/>
        </w:rPr>
        <w:tab/>
      </w:r>
      <w:r w:rsidRPr="001A0FB4">
        <w:rPr>
          <w:rFonts w:hint="cs"/>
          <w:b w:val="0"/>
          <w:bCs w:val="0"/>
          <w:w w:val="100"/>
          <w:rtl/>
          <w:lang w:val="fr-CH"/>
        </w:rPr>
        <w:tab/>
      </w:r>
      <w:r w:rsidR="00750F90" w:rsidRPr="001A0FB4">
        <w:rPr>
          <w:rFonts w:hint="cs"/>
          <w:b w:val="0"/>
          <w:bCs w:val="0"/>
          <w:w w:val="100"/>
          <w:rtl/>
          <w:lang w:val="fr-CH"/>
        </w:rPr>
        <w:t>الجدول 8</w:t>
      </w:r>
      <w:r>
        <w:rPr>
          <w:rFonts w:hint="cs"/>
          <w:w w:val="100"/>
          <w:rtl/>
          <w:lang w:val="fr-CH"/>
        </w:rPr>
        <w:br/>
      </w:r>
      <w:r w:rsidR="00750F90" w:rsidRPr="00307AAE">
        <w:rPr>
          <w:rFonts w:hint="cs"/>
          <w:w w:val="100"/>
          <w:rtl/>
          <w:lang w:val="fr-CH"/>
        </w:rPr>
        <w:t>وفيات الأمهات. معدل وفيات الأمهات في عام 2009</w:t>
      </w:r>
    </w:p>
    <w:p w:rsidR="00820067" w:rsidRPr="00820067" w:rsidRDefault="00820067" w:rsidP="00820067">
      <w:pPr>
        <w:pStyle w:val="SingleTxt"/>
        <w:spacing w:after="0" w:line="120" w:lineRule="exact"/>
        <w:rPr>
          <w:b/>
          <w:bCs/>
          <w:w w:val="100"/>
          <w:kern w:val="0"/>
          <w:sz w:val="10"/>
          <w:rtl/>
          <w:lang w:val="fr-CH"/>
        </w:rPr>
      </w:pPr>
    </w:p>
    <w:tbl>
      <w:tblPr>
        <w:bidiVisual/>
        <w:tblW w:w="0" w:type="auto"/>
        <w:tblInd w:w="1410" w:type="dxa"/>
        <w:tblLook w:val="04A0" w:firstRow="1" w:lastRow="0" w:firstColumn="1" w:lastColumn="0" w:noHBand="0" w:noVBand="1"/>
      </w:tblPr>
      <w:tblGrid>
        <w:gridCol w:w="3415"/>
        <w:gridCol w:w="4088"/>
      </w:tblGrid>
      <w:tr w:rsidR="00820067" w:rsidRPr="001A0FB4" w:rsidTr="00820067">
        <w:tc>
          <w:tcPr>
            <w:tcW w:w="3415" w:type="dxa"/>
            <w:tcBorders>
              <w:top w:val="single" w:sz="4" w:space="0" w:color="auto"/>
              <w:bottom w:val="single" w:sz="12" w:space="0" w:color="auto"/>
            </w:tcBorders>
          </w:tcPr>
          <w:p w:rsidR="00820067" w:rsidRPr="001A0FB4" w:rsidRDefault="00820067" w:rsidP="004C4B32">
            <w:pPr>
              <w:pStyle w:val="SingleTxtGA"/>
              <w:spacing w:before="40" w:after="40" w:line="300" w:lineRule="exact"/>
              <w:ind w:left="0" w:right="0"/>
              <w:jc w:val="left"/>
              <w:rPr>
                <w:rFonts w:ascii="Traditional Arabic" w:hAnsi="Traditional Arabic"/>
                <w:i/>
                <w:iCs/>
                <w:sz w:val="28"/>
                <w:szCs w:val="28"/>
                <w:rtl/>
                <w:lang w:val="fr-CH"/>
              </w:rPr>
            </w:pPr>
            <w:r w:rsidRPr="001A0FB4">
              <w:rPr>
                <w:rFonts w:ascii="Traditional Arabic" w:hAnsi="Traditional Arabic" w:hint="cs"/>
                <w:i/>
                <w:iCs/>
                <w:sz w:val="28"/>
                <w:szCs w:val="28"/>
                <w:rtl/>
                <w:lang w:val="fr-CH"/>
              </w:rPr>
              <w:t>البلد</w:t>
            </w:r>
          </w:p>
        </w:tc>
        <w:tc>
          <w:tcPr>
            <w:tcW w:w="4088" w:type="dxa"/>
            <w:tcBorders>
              <w:top w:val="single" w:sz="4" w:space="0" w:color="auto"/>
              <w:bottom w:val="single" w:sz="12" w:space="0" w:color="auto"/>
            </w:tcBorders>
          </w:tcPr>
          <w:p w:rsidR="00820067" w:rsidRPr="001A0FB4" w:rsidRDefault="00820067" w:rsidP="00820067">
            <w:pPr>
              <w:pStyle w:val="SingleTxtGA"/>
              <w:spacing w:after="0"/>
              <w:ind w:left="0" w:right="0"/>
              <w:jc w:val="left"/>
              <w:rPr>
                <w:rFonts w:ascii="Traditional Arabic" w:hAnsi="Traditional Arabic"/>
                <w:i/>
                <w:iCs/>
                <w:sz w:val="28"/>
                <w:szCs w:val="28"/>
                <w:rtl/>
                <w:lang w:val="fr-CH"/>
              </w:rPr>
            </w:pPr>
            <w:r w:rsidRPr="001A0FB4">
              <w:rPr>
                <w:rFonts w:ascii="Traditional Arabic" w:hAnsi="Traditional Arabic" w:hint="cs"/>
                <w:i/>
                <w:iCs/>
                <w:sz w:val="28"/>
                <w:szCs w:val="28"/>
                <w:rtl/>
                <w:lang w:val="fr-CH"/>
              </w:rPr>
              <w:t>معدل وفيات الأمهات لكل 000 10 مولود حي</w:t>
            </w:r>
          </w:p>
        </w:tc>
      </w:tr>
      <w:tr w:rsidR="00820067" w:rsidRPr="001A0FB4" w:rsidTr="00820067">
        <w:tc>
          <w:tcPr>
            <w:tcW w:w="3415" w:type="dxa"/>
            <w:tcBorders>
              <w:top w:val="single" w:sz="12" w:space="0" w:color="auto"/>
              <w:bottom w:val="single" w:sz="12" w:space="0" w:color="auto"/>
            </w:tcBorders>
          </w:tcPr>
          <w:p w:rsidR="00820067" w:rsidRPr="001A0FB4" w:rsidRDefault="00820067" w:rsidP="004C4B32">
            <w:pPr>
              <w:pStyle w:val="SingleTxtGA"/>
              <w:spacing w:before="40" w:after="40" w:line="300" w:lineRule="exact"/>
              <w:ind w:left="0" w:right="0"/>
              <w:jc w:val="left"/>
              <w:rPr>
                <w:rFonts w:ascii="Traditional Arabic" w:hAnsi="Traditional Arabic"/>
                <w:sz w:val="28"/>
                <w:szCs w:val="28"/>
                <w:rtl/>
                <w:lang w:val="fr-CH"/>
              </w:rPr>
            </w:pPr>
            <w:r w:rsidRPr="001A0FB4">
              <w:rPr>
                <w:rFonts w:ascii="Traditional Arabic" w:hAnsi="Traditional Arabic" w:hint="cs"/>
                <w:sz w:val="28"/>
                <w:szCs w:val="28"/>
                <w:rtl/>
                <w:lang w:val="fr-CH"/>
              </w:rPr>
              <w:t>جمهورية الأرجنتين</w:t>
            </w:r>
          </w:p>
        </w:tc>
        <w:tc>
          <w:tcPr>
            <w:tcW w:w="4088" w:type="dxa"/>
            <w:tcBorders>
              <w:top w:val="single" w:sz="12" w:space="0" w:color="auto"/>
              <w:bottom w:val="single" w:sz="12" w:space="0" w:color="auto"/>
            </w:tcBorders>
          </w:tcPr>
          <w:p w:rsidR="00820067" w:rsidRPr="001A0FB4" w:rsidRDefault="00820067" w:rsidP="00820067">
            <w:pPr>
              <w:pStyle w:val="SingleTxtGA"/>
              <w:spacing w:after="0"/>
              <w:ind w:left="0" w:right="0"/>
              <w:jc w:val="left"/>
              <w:rPr>
                <w:rFonts w:ascii="Traditional Arabic" w:hAnsi="Traditional Arabic"/>
                <w:sz w:val="28"/>
                <w:szCs w:val="28"/>
                <w:rtl/>
                <w:lang w:val="fr-CH"/>
              </w:rPr>
            </w:pPr>
            <w:r w:rsidRPr="001A0FB4">
              <w:rPr>
                <w:rFonts w:ascii="Traditional Arabic" w:hAnsi="Traditional Arabic" w:hint="cs"/>
                <w:sz w:val="28"/>
                <w:szCs w:val="28"/>
                <w:rtl/>
                <w:lang w:val="fr-CH"/>
              </w:rPr>
              <w:t>5.5</w:t>
            </w:r>
          </w:p>
        </w:tc>
      </w:tr>
    </w:tbl>
    <w:p w:rsidR="001A0FB4" w:rsidRPr="001A0FB4" w:rsidRDefault="001A0FB4" w:rsidP="001A0FB4">
      <w:pPr>
        <w:pStyle w:val="SingleTxt"/>
        <w:spacing w:after="0" w:line="120" w:lineRule="exact"/>
        <w:ind w:left="1330"/>
        <w:rPr>
          <w:i/>
          <w:iCs/>
          <w:w w:val="100"/>
          <w:kern w:val="0"/>
          <w:sz w:val="10"/>
          <w:szCs w:val="28"/>
          <w:rtl/>
          <w:lang w:val="fr-CH"/>
        </w:rPr>
      </w:pPr>
    </w:p>
    <w:p w:rsidR="00750F90" w:rsidRPr="00D67242" w:rsidRDefault="00750F90" w:rsidP="00820067">
      <w:pPr>
        <w:pStyle w:val="SingleTxt"/>
        <w:spacing w:line="380" w:lineRule="exact"/>
        <w:ind w:left="1330"/>
        <w:rPr>
          <w:w w:val="100"/>
          <w:kern w:val="0"/>
          <w:sz w:val="18"/>
          <w:szCs w:val="28"/>
          <w:rtl/>
          <w:lang w:val="fr-CH"/>
        </w:rPr>
      </w:pPr>
      <w:r w:rsidRPr="00D67242">
        <w:rPr>
          <w:rFonts w:hint="cs"/>
          <w:i/>
          <w:iCs/>
          <w:w w:val="100"/>
          <w:kern w:val="0"/>
          <w:sz w:val="26"/>
          <w:szCs w:val="26"/>
          <w:rtl/>
          <w:lang w:val="fr-CH"/>
        </w:rPr>
        <w:t>المصدر</w:t>
      </w:r>
      <w:r w:rsidRPr="00D67242">
        <w:rPr>
          <w:rFonts w:hint="cs"/>
          <w:w w:val="100"/>
          <w:kern w:val="0"/>
          <w:sz w:val="26"/>
          <w:szCs w:val="26"/>
          <w:rtl/>
          <w:lang w:val="fr-CH"/>
        </w:rPr>
        <w:t>: مديرية الإحصاءات والمعلومات الصحية، وزارة الصحة.</w:t>
      </w:r>
    </w:p>
    <w:p w:rsidR="00820067" w:rsidRPr="00820067" w:rsidRDefault="00820067" w:rsidP="00820067">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CH"/>
        </w:rPr>
      </w:pPr>
    </w:p>
    <w:p w:rsidR="00750F90" w:rsidRPr="00820067" w:rsidRDefault="00820067" w:rsidP="00820067">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hanging="1267"/>
        <w:rPr>
          <w:w w:val="100"/>
          <w:rtl/>
          <w:lang w:val="fr-CH"/>
        </w:rPr>
      </w:pPr>
      <w:r>
        <w:rPr>
          <w:rFonts w:hint="cs"/>
          <w:w w:val="100"/>
          <w:rtl/>
          <w:lang w:val="fr-CH"/>
        </w:rPr>
        <w:tab/>
      </w:r>
      <w:r>
        <w:rPr>
          <w:rFonts w:hint="cs"/>
          <w:w w:val="100"/>
          <w:rtl/>
          <w:lang w:val="fr-CH"/>
        </w:rPr>
        <w:tab/>
      </w:r>
      <w:r w:rsidR="00750F90" w:rsidRPr="00820067">
        <w:rPr>
          <w:rFonts w:hint="cs"/>
          <w:w w:val="100"/>
          <w:rtl/>
          <w:lang w:val="fr-CH"/>
        </w:rPr>
        <w:t>ملاحظة تقنية</w:t>
      </w:r>
    </w:p>
    <w:p w:rsidR="00750F90" w:rsidRPr="00307AAE" w:rsidRDefault="00750F90" w:rsidP="00820067">
      <w:pPr>
        <w:pStyle w:val="SingleTxt"/>
        <w:spacing w:line="380" w:lineRule="exact"/>
        <w:rPr>
          <w:w w:val="100"/>
          <w:kern w:val="0"/>
          <w:rtl/>
          <w:lang w:val="fr-CH"/>
        </w:rPr>
      </w:pPr>
      <w:r w:rsidRPr="00307AAE">
        <w:rPr>
          <w:rFonts w:hint="cs"/>
          <w:w w:val="100"/>
          <w:kern w:val="0"/>
          <w:rtl/>
          <w:lang w:val="fr-CH"/>
        </w:rPr>
        <w:t>37-</w:t>
      </w:r>
      <w:r w:rsidRPr="00307AAE">
        <w:rPr>
          <w:rFonts w:hint="cs"/>
          <w:w w:val="100"/>
          <w:kern w:val="0"/>
          <w:rtl/>
          <w:lang w:val="fr-CH"/>
        </w:rPr>
        <w:tab/>
        <w:t>يعكس معدل وفيات الأمهات خطر وفاة النساء خلال فترة الحمل والولادة والنفاس.</w:t>
      </w:r>
    </w:p>
    <w:p w:rsidR="00750F90" w:rsidRDefault="00750F90" w:rsidP="00820067">
      <w:pPr>
        <w:pStyle w:val="SingleTxt"/>
        <w:spacing w:line="380" w:lineRule="exact"/>
        <w:rPr>
          <w:w w:val="100"/>
          <w:kern w:val="0"/>
          <w:rtl/>
          <w:lang w:val="fr-CH"/>
        </w:rPr>
      </w:pPr>
      <w:r w:rsidRPr="00307AAE">
        <w:rPr>
          <w:rFonts w:hint="cs"/>
          <w:w w:val="100"/>
          <w:kern w:val="0"/>
          <w:rtl/>
          <w:lang w:val="fr-CH"/>
        </w:rPr>
        <w:t>38-</w:t>
      </w:r>
      <w:r w:rsidRPr="00307AAE">
        <w:rPr>
          <w:rFonts w:hint="cs"/>
          <w:w w:val="100"/>
          <w:kern w:val="0"/>
          <w:rtl/>
          <w:lang w:val="fr-CH"/>
        </w:rPr>
        <w:tab/>
        <w:t>والقاسم المستعمل هو عدد المواليد الأحياء قياس</w:t>
      </w:r>
      <w:r w:rsidR="00A71B00">
        <w:rPr>
          <w:rFonts w:hint="cs"/>
          <w:w w:val="100"/>
          <w:kern w:val="0"/>
          <w:rtl/>
          <w:lang w:val="fr-CH"/>
        </w:rPr>
        <w:t xml:space="preserve">اً </w:t>
      </w:r>
      <w:r w:rsidRPr="00307AAE">
        <w:rPr>
          <w:rFonts w:hint="cs"/>
          <w:w w:val="100"/>
          <w:kern w:val="0"/>
          <w:rtl/>
          <w:lang w:val="fr-CH"/>
        </w:rPr>
        <w:t>إلى عدد النساء المعرضات للوفاة لأسباب تتعلق بالحمل والولادة والنفاس. ويعبَّر عنه بصيغة لكل 000 10 مولود حي.</w:t>
      </w:r>
    </w:p>
    <w:p w:rsidR="00750F90" w:rsidRPr="004C6267" w:rsidRDefault="00750F90" w:rsidP="00820067">
      <w:pPr>
        <w:pStyle w:val="SingleTxt"/>
        <w:tabs>
          <w:tab w:val="clear" w:pos="3254"/>
          <w:tab w:val="left" w:pos="3516"/>
        </w:tabs>
        <w:spacing w:after="0" w:line="300" w:lineRule="exact"/>
        <w:ind w:left="3686" w:right="2693"/>
        <w:jc w:val="center"/>
        <w:rPr>
          <w:w w:val="100"/>
          <w:kern w:val="0"/>
          <w:sz w:val="28"/>
          <w:szCs w:val="28"/>
          <w:rtl/>
          <w:lang w:val="fr-CH"/>
        </w:rPr>
      </w:pPr>
      <w:r w:rsidRPr="004C6267">
        <w:rPr>
          <w:rFonts w:hint="cs"/>
          <w:w w:val="100"/>
          <w:kern w:val="0"/>
          <w:sz w:val="28"/>
          <w:szCs w:val="28"/>
          <w:rtl/>
          <w:lang w:val="fr-CH"/>
        </w:rPr>
        <w:t>عدد الوفيات لأسباب مرتبطة بالأمومة والتي تحدث بين السكان الإناث في منطقة جغرافية معينة خلال عام معين</w:t>
      </w:r>
    </w:p>
    <w:p w:rsidR="00750F90" w:rsidRPr="004C6267" w:rsidRDefault="00750F90" w:rsidP="00820067">
      <w:pPr>
        <w:pStyle w:val="SingleTxt"/>
        <w:spacing w:after="0" w:line="300" w:lineRule="exact"/>
        <w:rPr>
          <w:w w:val="100"/>
          <w:kern w:val="0"/>
          <w:sz w:val="28"/>
          <w:szCs w:val="28"/>
          <w:rtl/>
          <w:lang w:val="fr-CH"/>
        </w:rPr>
      </w:pPr>
      <w:r w:rsidRPr="004C6267">
        <w:rPr>
          <w:rFonts w:hint="cs"/>
          <w:w w:val="100"/>
          <w:kern w:val="0"/>
          <w:sz w:val="28"/>
          <w:szCs w:val="28"/>
          <w:rtl/>
          <w:lang w:val="fr-CH"/>
        </w:rPr>
        <w:t>معدل وفيات الأمهات السنوي= </w:t>
      </w:r>
      <w:r w:rsidR="004C6267">
        <w:rPr>
          <w:rFonts w:hint="cs"/>
          <w:w w:val="100"/>
          <w:kern w:val="0"/>
          <w:sz w:val="28"/>
          <w:szCs w:val="28"/>
          <w:rtl/>
          <w:lang w:val="fr-CH"/>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4C6267">
        <w:rPr>
          <w:rFonts w:hint="cs"/>
          <w:w w:val="100"/>
          <w:kern w:val="0"/>
          <w:sz w:val="28"/>
          <w:szCs w:val="28"/>
          <w:rtl/>
          <w:lang w:val="fr-CH"/>
        </w:rPr>
        <w:t xml:space="preserve"> لكل 000 10</w:t>
      </w:r>
    </w:p>
    <w:p w:rsidR="00750F90" w:rsidRPr="004C6267" w:rsidRDefault="00750F90" w:rsidP="00820067">
      <w:pPr>
        <w:pStyle w:val="SingleTxt"/>
        <w:tabs>
          <w:tab w:val="clear" w:pos="3254"/>
          <w:tab w:val="left" w:pos="3516"/>
        </w:tabs>
        <w:spacing w:line="300" w:lineRule="exact"/>
        <w:ind w:left="3686" w:right="2693"/>
        <w:jc w:val="center"/>
        <w:rPr>
          <w:w w:val="100"/>
          <w:kern w:val="0"/>
          <w:sz w:val="28"/>
          <w:szCs w:val="28"/>
          <w:rtl/>
          <w:lang w:val="fr-CH"/>
        </w:rPr>
      </w:pPr>
      <w:r w:rsidRPr="004C6267">
        <w:rPr>
          <w:rFonts w:hint="cs"/>
          <w:w w:val="100"/>
          <w:kern w:val="0"/>
          <w:sz w:val="28"/>
          <w:szCs w:val="28"/>
          <w:rtl/>
          <w:lang w:val="fr-CH"/>
        </w:rPr>
        <w:t>مولود حي مسجل بين سكان المنطقة الجغرافية المعينة خلال العام ذاته</w:t>
      </w:r>
    </w:p>
    <w:p w:rsidR="00750F90" w:rsidRPr="00307AAE" w:rsidRDefault="00750F90" w:rsidP="00820067">
      <w:pPr>
        <w:pStyle w:val="SingleTxt"/>
        <w:spacing w:line="380" w:lineRule="exact"/>
        <w:rPr>
          <w:w w:val="100"/>
          <w:kern w:val="0"/>
          <w:rtl/>
          <w:lang w:val="fr-CH"/>
        </w:rPr>
      </w:pPr>
      <w:r w:rsidRPr="00307AAE">
        <w:rPr>
          <w:rFonts w:hint="cs"/>
          <w:w w:val="100"/>
          <w:kern w:val="0"/>
          <w:rtl/>
          <w:lang w:val="fr-CH"/>
        </w:rPr>
        <w:t>39-</w:t>
      </w:r>
      <w:r w:rsidRPr="00307AAE">
        <w:rPr>
          <w:rFonts w:hint="cs"/>
          <w:w w:val="100"/>
          <w:kern w:val="0"/>
          <w:rtl/>
          <w:lang w:val="fr-CH"/>
        </w:rPr>
        <w:tab/>
        <w:t>وفي عام 2001، أُدرج سؤال ضمن الاستمارات الإحصائية للوفيات، من أجل تحديد حالات وفيات الأمهات بشكل أفضل، وبالتالي، معرفة مستوى معدل وفيات الأمهات بشكل أدق.</w:t>
      </w:r>
    </w:p>
    <w:p w:rsidR="00750F90" w:rsidRPr="004C6267" w:rsidRDefault="00750F90" w:rsidP="00820067">
      <w:pPr>
        <w:pStyle w:val="SingleTxt"/>
        <w:spacing w:line="380" w:lineRule="exact"/>
        <w:rPr>
          <w:spacing w:val="-2"/>
          <w:w w:val="100"/>
          <w:kern w:val="0"/>
          <w:rtl/>
          <w:lang w:val="fr-CH"/>
        </w:rPr>
      </w:pPr>
      <w:r w:rsidRPr="004C6267">
        <w:rPr>
          <w:rFonts w:hint="cs"/>
          <w:spacing w:val="-2"/>
          <w:w w:val="100"/>
          <w:kern w:val="0"/>
          <w:rtl/>
          <w:lang w:val="fr-CH"/>
        </w:rPr>
        <w:t>40-</w:t>
      </w:r>
      <w:r w:rsidRPr="004C6267">
        <w:rPr>
          <w:rFonts w:hint="cs"/>
          <w:spacing w:val="-2"/>
          <w:w w:val="100"/>
          <w:kern w:val="0"/>
          <w:rtl/>
          <w:lang w:val="fr-CH"/>
        </w:rPr>
        <w:tab/>
        <w:t>ومن خلال هذه الأداة، يسعى نظام الإحصاءات الصحية سنوي</w:t>
      </w:r>
      <w:r w:rsidR="00A71B00">
        <w:rPr>
          <w:rFonts w:hint="cs"/>
          <w:spacing w:val="-2"/>
          <w:w w:val="100"/>
          <w:kern w:val="0"/>
          <w:rtl/>
          <w:lang w:val="fr-CH"/>
        </w:rPr>
        <w:t xml:space="preserve">اً </w:t>
      </w:r>
      <w:r w:rsidRPr="004C6267">
        <w:rPr>
          <w:rFonts w:hint="cs"/>
          <w:spacing w:val="-2"/>
          <w:w w:val="100"/>
          <w:kern w:val="0"/>
          <w:rtl/>
          <w:lang w:val="fr-CH"/>
        </w:rPr>
        <w:t>إلى تحسين نوعية المعلومات وتجاوز مشكل إغفال أسباب وفيات الأمهات.</w:t>
      </w:r>
    </w:p>
    <w:p w:rsidR="00750F90" w:rsidRPr="004C6267" w:rsidRDefault="00750F90" w:rsidP="00820067">
      <w:pPr>
        <w:pStyle w:val="SingleTxt"/>
        <w:spacing w:line="380" w:lineRule="exact"/>
        <w:rPr>
          <w:w w:val="99"/>
          <w:kern w:val="0"/>
          <w:rtl/>
          <w:lang w:val="fr-CH"/>
        </w:rPr>
      </w:pPr>
      <w:r w:rsidRPr="004C6267">
        <w:rPr>
          <w:rFonts w:hint="cs"/>
          <w:w w:val="99"/>
          <w:kern w:val="0"/>
          <w:rtl/>
          <w:lang w:val="fr-CH"/>
        </w:rPr>
        <w:t>41-</w:t>
      </w:r>
      <w:r w:rsidRPr="004C6267">
        <w:rPr>
          <w:rFonts w:hint="cs"/>
          <w:spacing w:val="-6"/>
          <w:w w:val="99"/>
          <w:kern w:val="0"/>
          <w:rtl/>
          <w:lang w:val="fr-CH"/>
        </w:rPr>
        <w:tab/>
        <w:t>وأظهرت الأبحاث التي أنجزتها مديرية الإحصاءات والمعلومات الصحية في الفترتين 2000-2001</w:t>
      </w:r>
      <w:r w:rsidRPr="004C6267">
        <w:rPr>
          <w:rFonts w:hint="cs"/>
          <w:w w:val="99"/>
          <w:kern w:val="0"/>
          <w:rtl/>
          <w:lang w:val="fr-CH"/>
        </w:rPr>
        <w:t xml:space="preserve"> و2005-2006 أن إغفال التسجيل المدني والإحصائي للمواليد الأحياء يمس مجموعة من الولايات القضائية في البلد. وتحسّنت عملية تسجيل المواليد الأحياء، و</w:t>
      </w:r>
      <w:r w:rsidR="00307AAE" w:rsidRPr="004C6267">
        <w:rPr>
          <w:rFonts w:hint="cs"/>
          <w:w w:val="99"/>
          <w:kern w:val="0"/>
          <w:rtl/>
          <w:lang w:val="fr-CH"/>
        </w:rPr>
        <w:t>لا سيما</w:t>
      </w:r>
      <w:r w:rsidRPr="004C6267">
        <w:rPr>
          <w:rFonts w:hint="cs"/>
          <w:w w:val="99"/>
          <w:kern w:val="0"/>
          <w:rtl/>
          <w:lang w:val="fr-CH"/>
        </w:rPr>
        <w:t xml:space="preserve"> ابتداء من عام 2004، بفضل سريان مفعول كل من المرسوم 262/03 و832/04 و819/05، بشأن مجانية وثيقة التعريف الوطنية عند الولادة، والقانون 26061/05 والمرسوم التنظيمي 415/06 الذي ينص على منح وثيقة التعريف الوطنية الأولى مجان</w:t>
      </w:r>
      <w:r w:rsidR="00A71B00">
        <w:rPr>
          <w:rFonts w:hint="cs"/>
          <w:w w:val="99"/>
          <w:kern w:val="0"/>
          <w:rtl/>
          <w:lang w:val="fr-CH"/>
        </w:rPr>
        <w:t xml:space="preserve">اً </w:t>
      </w:r>
      <w:r w:rsidRPr="004C6267">
        <w:rPr>
          <w:rFonts w:hint="cs"/>
          <w:w w:val="99"/>
          <w:kern w:val="0"/>
          <w:rtl/>
          <w:lang w:val="fr-CH"/>
        </w:rPr>
        <w:t>لكل الأطفال والمراهقين المولودين في الإقليم الوطني بشكل دائم.</w:t>
      </w:r>
    </w:p>
    <w:p w:rsidR="00750F90" w:rsidRPr="00307AAE" w:rsidRDefault="00750F90" w:rsidP="00820067">
      <w:pPr>
        <w:pStyle w:val="SingleTxt"/>
        <w:spacing w:after="0" w:line="380" w:lineRule="exact"/>
        <w:rPr>
          <w:w w:val="100"/>
          <w:kern w:val="0"/>
          <w:rtl/>
          <w:lang w:val="fr-CH"/>
        </w:rPr>
      </w:pPr>
      <w:r w:rsidRPr="00307AAE">
        <w:rPr>
          <w:rFonts w:hint="cs"/>
          <w:w w:val="100"/>
          <w:kern w:val="0"/>
          <w:rtl/>
          <w:lang w:val="fr-CH"/>
        </w:rPr>
        <w:t>الجدول 9</w:t>
      </w:r>
    </w:p>
    <w:p w:rsidR="00750F90" w:rsidRPr="00307AAE" w:rsidRDefault="00750F90" w:rsidP="00820067">
      <w:pPr>
        <w:pStyle w:val="SingleTxt"/>
        <w:spacing w:line="380" w:lineRule="exact"/>
        <w:rPr>
          <w:b/>
          <w:bCs/>
          <w:w w:val="100"/>
          <w:kern w:val="0"/>
          <w:rtl/>
          <w:lang w:val="fr-CH"/>
        </w:rPr>
      </w:pPr>
      <w:r w:rsidRPr="00307AAE">
        <w:rPr>
          <w:rFonts w:hint="cs"/>
          <w:b/>
          <w:bCs/>
          <w:w w:val="100"/>
          <w:kern w:val="0"/>
          <w:rtl/>
          <w:lang w:val="fr-CH"/>
        </w:rPr>
        <w:t>مؤشرات بشأن الجريمة وإقامة العدل: الإحصاءات المتعلقة بالجريمة</w:t>
      </w:r>
    </w:p>
    <w:p w:rsidR="0003012B" w:rsidRPr="0003012B" w:rsidRDefault="0003012B" w:rsidP="0003012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CH"/>
        </w:rPr>
      </w:pPr>
    </w:p>
    <w:p w:rsidR="00750F90" w:rsidRDefault="00D67242" w:rsidP="0003012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CH"/>
        </w:rPr>
      </w:pPr>
      <w:r>
        <w:rPr>
          <w:rFonts w:hint="cs"/>
          <w:w w:val="100"/>
          <w:rtl/>
          <w:lang w:val="fr-CH"/>
        </w:rPr>
        <w:tab/>
      </w:r>
      <w:r w:rsidR="0003012B">
        <w:rPr>
          <w:rFonts w:hint="cs"/>
          <w:w w:val="100"/>
          <w:rtl/>
          <w:lang w:val="fr-CH"/>
        </w:rPr>
        <w:tab/>
      </w:r>
      <w:r w:rsidR="00750F90" w:rsidRPr="00307AAE">
        <w:rPr>
          <w:rFonts w:hint="cs"/>
          <w:w w:val="100"/>
          <w:rtl/>
          <w:lang w:val="fr-CH"/>
        </w:rPr>
        <w:t>1</w:t>
      </w:r>
      <w:r w:rsidR="00820067">
        <w:rPr>
          <w:rFonts w:hint="cs"/>
          <w:w w:val="100"/>
          <w:rtl/>
          <w:lang w:val="fr-CH"/>
        </w:rPr>
        <w:t>-</w:t>
      </w:r>
      <w:r w:rsidR="0003012B">
        <w:rPr>
          <w:rFonts w:hint="cs"/>
          <w:w w:val="100"/>
          <w:rtl/>
          <w:lang w:val="fr-CH"/>
        </w:rPr>
        <w:tab/>
      </w:r>
      <w:r w:rsidR="00750F90" w:rsidRPr="00307AAE">
        <w:rPr>
          <w:rFonts w:hint="cs"/>
          <w:w w:val="100"/>
          <w:rtl/>
          <w:lang w:val="fr-CH"/>
        </w:rPr>
        <w:t>البيانات الصادرة عن النظام الوطني للمعلومات الجنائية</w:t>
      </w:r>
    </w:p>
    <w:p w:rsidR="0003012B" w:rsidRPr="0003012B" w:rsidRDefault="0003012B" w:rsidP="0003012B">
      <w:pPr>
        <w:pStyle w:val="SingleTxt"/>
        <w:spacing w:after="0" w:line="120" w:lineRule="exact"/>
        <w:rPr>
          <w:sz w:val="10"/>
          <w:rtl/>
          <w:lang w:val="fr-CH"/>
        </w:rPr>
      </w:pPr>
    </w:p>
    <w:tbl>
      <w:tblPr>
        <w:bidiVisual/>
        <w:tblW w:w="0" w:type="auto"/>
        <w:tblInd w:w="1424" w:type="dxa"/>
        <w:tblLook w:val="04A0" w:firstRow="1" w:lastRow="0" w:firstColumn="1" w:lastColumn="0" w:noHBand="0" w:noVBand="1"/>
      </w:tblPr>
      <w:tblGrid>
        <w:gridCol w:w="1066"/>
        <w:gridCol w:w="3119"/>
        <w:gridCol w:w="3318"/>
      </w:tblGrid>
      <w:tr w:rsidR="00750F90" w:rsidRPr="00D67242" w:rsidTr="00D67242">
        <w:tc>
          <w:tcPr>
            <w:tcW w:w="1066" w:type="dxa"/>
            <w:tcBorders>
              <w:top w:val="single" w:sz="4" w:space="0" w:color="auto"/>
              <w:bottom w:val="single" w:sz="12" w:space="0" w:color="auto"/>
            </w:tcBorders>
          </w:tcPr>
          <w:p w:rsidR="00750F90" w:rsidRPr="00D67242" w:rsidRDefault="00750F90" w:rsidP="00820067">
            <w:pPr>
              <w:pStyle w:val="SingleTxtGA"/>
              <w:spacing w:before="40" w:after="40" w:line="300" w:lineRule="exact"/>
              <w:ind w:left="0" w:right="0"/>
              <w:jc w:val="left"/>
              <w:rPr>
                <w:rFonts w:ascii="Traditional Arabic" w:hAnsi="Traditional Arabic"/>
                <w:i/>
                <w:iCs/>
                <w:sz w:val="28"/>
                <w:szCs w:val="28"/>
                <w:rtl/>
                <w:lang w:val="fr-CH"/>
              </w:rPr>
            </w:pPr>
            <w:r w:rsidRPr="00D67242">
              <w:rPr>
                <w:rFonts w:ascii="Traditional Arabic" w:hAnsi="Traditional Arabic" w:hint="cs"/>
                <w:i/>
                <w:iCs/>
                <w:sz w:val="28"/>
                <w:szCs w:val="28"/>
                <w:rtl/>
                <w:lang w:val="fr-CH"/>
              </w:rPr>
              <w:t>العام</w:t>
            </w:r>
          </w:p>
        </w:tc>
        <w:tc>
          <w:tcPr>
            <w:tcW w:w="3119" w:type="dxa"/>
            <w:tcBorders>
              <w:top w:val="single" w:sz="4" w:space="0" w:color="auto"/>
              <w:bottom w:val="single" w:sz="12" w:space="0" w:color="auto"/>
            </w:tcBorders>
          </w:tcPr>
          <w:p w:rsidR="00750F90" w:rsidRPr="00D67242" w:rsidRDefault="00750F90" w:rsidP="00820067">
            <w:pPr>
              <w:pStyle w:val="SingleTxtGA"/>
              <w:spacing w:before="40" w:after="40" w:line="300" w:lineRule="exact"/>
              <w:ind w:left="0" w:right="0"/>
              <w:jc w:val="left"/>
              <w:rPr>
                <w:rFonts w:ascii="Traditional Arabic" w:hAnsi="Traditional Arabic"/>
                <w:i/>
                <w:iCs/>
                <w:sz w:val="28"/>
                <w:szCs w:val="28"/>
                <w:rtl/>
                <w:lang w:val="fr-CH"/>
              </w:rPr>
            </w:pPr>
            <w:r w:rsidRPr="00D67242">
              <w:rPr>
                <w:rFonts w:ascii="Traditional Arabic" w:hAnsi="Traditional Arabic" w:hint="cs"/>
                <w:i/>
                <w:iCs/>
                <w:sz w:val="28"/>
                <w:szCs w:val="28"/>
                <w:rtl/>
                <w:lang w:val="fr-CH"/>
              </w:rPr>
              <w:t>عدد حالات القتل العمد</w:t>
            </w:r>
          </w:p>
        </w:tc>
        <w:tc>
          <w:tcPr>
            <w:tcW w:w="3318" w:type="dxa"/>
            <w:tcBorders>
              <w:top w:val="single" w:sz="4" w:space="0" w:color="auto"/>
              <w:bottom w:val="single" w:sz="12" w:space="0" w:color="auto"/>
            </w:tcBorders>
          </w:tcPr>
          <w:p w:rsidR="00750F90" w:rsidRPr="00D67242" w:rsidRDefault="00750F90" w:rsidP="00D67242">
            <w:pPr>
              <w:pStyle w:val="SingleTxtGA"/>
              <w:spacing w:before="40" w:after="40" w:line="300" w:lineRule="exact"/>
              <w:ind w:left="0" w:right="0"/>
              <w:jc w:val="left"/>
              <w:rPr>
                <w:rFonts w:ascii="Traditional Arabic" w:hAnsi="Traditional Arabic"/>
                <w:i/>
                <w:iCs/>
                <w:sz w:val="28"/>
                <w:szCs w:val="28"/>
                <w:rtl/>
                <w:lang w:val="fr-CH"/>
              </w:rPr>
            </w:pPr>
            <w:r w:rsidRPr="00D67242">
              <w:rPr>
                <w:rFonts w:ascii="Traditional Arabic" w:hAnsi="Traditional Arabic" w:hint="cs"/>
                <w:i/>
                <w:iCs/>
                <w:sz w:val="28"/>
                <w:szCs w:val="28"/>
                <w:rtl/>
                <w:lang w:val="fr-CH"/>
              </w:rPr>
              <w:t>المعدل</w:t>
            </w:r>
            <w:r w:rsidR="00D67242" w:rsidRPr="00D67242">
              <w:rPr>
                <w:rFonts w:ascii="Traditional Arabic" w:hAnsi="Traditional Arabic" w:hint="cs"/>
                <w:i/>
                <w:iCs/>
                <w:sz w:val="28"/>
                <w:szCs w:val="28"/>
                <w:rtl/>
                <w:lang w:val="fr-CH"/>
              </w:rPr>
              <w:t xml:space="preserve"> </w:t>
            </w:r>
            <w:r w:rsidRPr="00D67242">
              <w:rPr>
                <w:rFonts w:ascii="Traditional Arabic" w:hAnsi="Traditional Arabic" w:hint="cs"/>
                <w:i/>
                <w:iCs/>
                <w:sz w:val="28"/>
                <w:szCs w:val="28"/>
                <w:rtl/>
                <w:lang w:val="fr-CH"/>
              </w:rPr>
              <w:t>لكل 000 100 شخص</w:t>
            </w:r>
          </w:p>
        </w:tc>
      </w:tr>
      <w:tr w:rsidR="00750F90" w:rsidRPr="00D67242" w:rsidTr="00D67242">
        <w:tc>
          <w:tcPr>
            <w:tcW w:w="1066" w:type="dxa"/>
            <w:tcBorders>
              <w:top w:val="single" w:sz="12" w:space="0" w:color="auto"/>
            </w:tcBorders>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2008</w:t>
            </w:r>
          </w:p>
        </w:tc>
        <w:tc>
          <w:tcPr>
            <w:tcW w:w="3119" w:type="dxa"/>
            <w:tcBorders>
              <w:top w:val="single" w:sz="12" w:space="0" w:color="auto"/>
            </w:tcBorders>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305 2</w:t>
            </w:r>
          </w:p>
        </w:tc>
        <w:tc>
          <w:tcPr>
            <w:tcW w:w="3318" w:type="dxa"/>
            <w:tcBorders>
              <w:top w:val="single" w:sz="12" w:space="0" w:color="auto"/>
            </w:tcBorders>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5</w:t>
            </w:r>
            <w:r w:rsidR="00307AAE" w:rsidRPr="00D67242">
              <w:rPr>
                <w:rFonts w:ascii="Traditional Arabic" w:hAnsi="Traditional Arabic" w:hint="cs"/>
                <w:sz w:val="28"/>
                <w:szCs w:val="28"/>
                <w:rtl/>
                <w:lang w:val="fr-CH"/>
              </w:rPr>
              <w:t>.</w:t>
            </w:r>
            <w:r w:rsidRPr="00D67242">
              <w:rPr>
                <w:rFonts w:ascii="Traditional Arabic" w:hAnsi="Traditional Arabic" w:hint="cs"/>
                <w:sz w:val="28"/>
                <w:szCs w:val="28"/>
                <w:rtl/>
                <w:lang w:val="fr-CH"/>
              </w:rPr>
              <w:t>8</w:t>
            </w:r>
          </w:p>
        </w:tc>
      </w:tr>
      <w:tr w:rsidR="00750F90" w:rsidRPr="00D67242" w:rsidTr="00D67242">
        <w:tc>
          <w:tcPr>
            <w:tcW w:w="1066" w:type="dxa"/>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2007</w:t>
            </w:r>
          </w:p>
        </w:tc>
        <w:tc>
          <w:tcPr>
            <w:tcW w:w="3119" w:type="dxa"/>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071 2</w:t>
            </w:r>
          </w:p>
        </w:tc>
        <w:tc>
          <w:tcPr>
            <w:tcW w:w="3318" w:type="dxa"/>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5</w:t>
            </w:r>
            <w:r w:rsidR="00307AAE" w:rsidRPr="00D67242">
              <w:rPr>
                <w:rFonts w:ascii="Traditional Arabic" w:hAnsi="Traditional Arabic" w:hint="cs"/>
                <w:sz w:val="28"/>
                <w:szCs w:val="28"/>
                <w:rtl/>
                <w:lang w:val="fr-CH"/>
              </w:rPr>
              <w:t>.</w:t>
            </w:r>
            <w:r w:rsidRPr="00D67242">
              <w:rPr>
                <w:rFonts w:ascii="Traditional Arabic" w:hAnsi="Traditional Arabic" w:hint="cs"/>
                <w:sz w:val="28"/>
                <w:szCs w:val="28"/>
                <w:rtl/>
                <w:lang w:val="fr-CH"/>
              </w:rPr>
              <w:t>2</w:t>
            </w:r>
          </w:p>
        </w:tc>
      </w:tr>
      <w:tr w:rsidR="00750F90" w:rsidRPr="00D67242" w:rsidTr="00D67242">
        <w:tc>
          <w:tcPr>
            <w:tcW w:w="1066" w:type="dxa"/>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2006</w:t>
            </w:r>
          </w:p>
        </w:tc>
        <w:tc>
          <w:tcPr>
            <w:tcW w:w="3119" w:type="dxa"/>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052 2</w:t>
            </w:r>
          </w:p>
        </w:tc>
        <w:tc>
          <w:tcPr>
            <w:tcW w:w="3318" w:type="dxa"/>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5</w:t>
            </w:r>
            <w:r w:rsidR="00307AAE" w:rsidRPr="00D67242">
              <w:rPr>
                <w:rFonts w:ascii="Traditional Arabic" w:hAnsi="Traditional Arabic" w:hint="cs"/>
                <w:sz w:val="28"/>
                <w:szCs w:val="28"/>
                <w:rtl/>
                <w:lang w:val="fr-CH"/>
              </w:rPr>
              <w:t>.</w:t>
            </w:r>
            <w:r w:rsidRPr="00D67242">
              <w:rPr>
                <w:rFonts w:ascii="Traditional Arabic" w:hAnsi="Traditional Arabic" w:hint="cs"/>
                <w:sz w:val="28"/>
                <w:szCs w:val="28"/>
                <w:rtl/>
                <w:lang w:val="fr-CH"/>
              </w:rPr>
              <w:t>2</w:t>
            </w:r>
          </w:p>
        </w:tc>
      </w:tr>
      <w:tr w:rsidR="00750F90" w:rsidRPr="00D67242" w:rsidTr="00D67242">
        <w:tc>
          <w:tcPr>
            <w:tcW w:w="1066" w:type="dxa"/>
            <w:tcBorders>
              <w:bottom w:val="single" w:sz="12" w:space="0" w:color="auto"/>
            </w:tcBorders>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2005</w:t>
            </w:r>
          </w:p>
        </w:tc>
        <w:tc>
          <w:tcPr>
            <w:tcW w:w="3119" w:type="dxa"/>
            <w:tcBorders>
              <w:bottom w:val="single" w:sz="12" w:space="0" w:color="auto"/>
            </w:tcBorders>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115 2</w:t>
            </w:r>
          </w:p>
        </w:tc>
        <w:tc>
          <w:tcPr>
            <w:tcW w:w="3318" w:type="dxa"/>
            <w:tcBorders>
              <w:bottom w:val="single" w:sz="12" w:space="0" w:color="auto"/>
            </w:tcBorders>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5</w:t>
            </w:r>
            <w:r w:rsidR="00307AAE" w:rsidRPr="00D67242">
              <w:rPr>
                <w:rFonts w:ascii="Traditional Arabic" w:hAnsi="Traditional Arabic" w:hint="cs"/>
                <w:sz w:val="28"/>
                <w:szCs w:val="28"/>
                <w:rtl/>
                <w:lang w:val="fr-CH"/>
              </w:rPr>
              <w:t>.</w:t>
            </w:r>
            <w:r w:rsidRPr="00D67242">
              <w:rPr>
                <w:rFonts w:ascii="Traditional Arabic" w:hAnsi="Traditional Arabic" w:hint="cs"/>
                <w:sz w:val="28"/>
                <w:szCs w:val="28"/>
                <w:rtl/>
                <w:lang w:val="fr-CH"/>
              </w:rPr>
              <w:t>8</w:t>
            </w:r>
          </w:p>
        </w:tc>
      </w:tr>
    </w:tbl>
    <w:p w:rsidR="00750F90" w:rsidRPr="00307AAE" w:rsidRDefault="00750F90" w:rsidP="00750F90">
      <w:pPr>
        <w:pStyle w:val="SingleTxtGA"/>
        <w:rPr>
          <w:rFonts w:ascii="Traditional Arabic" w:hAnsi="Traditional Arabic"/>
          <w:sz w:val="30"/>
          <w:rtl/>
          <w:lang w:val="fr-CH"/>
        </w:rPr>
      </w:pPr>
    </w:p>
    <w:tbl>
      <w:tblPr>
        <w:bidiVisual/>
        <w:tblW w:w="0" w:type="auto"/>
        <w:tblInd w:w="1410" w:type="dxa"/>
        <w:tblLook w:val="04A0" w:firstRow="1" w:lastRow="0" w:firstColumn="1" w:lastColumn="0" w:noHBand="0" w:noVBand="1"/>
      </w:tblPr>
      <w:tblGrid>
        <w:gridCol w:w="938"/>
        <w:gridCol w:w="3262"/>
        <w:gridCol w:w="3331"/>
      </w:tblGrid>
      <w:tr w:rsidR="00750F90" w:rsidRPr="00D67242" w:rsidTr="00D67242">
        <w:tc>
          <w:tcPr>
            <w:tcW w:w="938" w:type="dxa"/>
            <w:tcBorders>
              <w:top w:val="single" w:sz="4" w:space="0" w:color="auto"/>
              <w:bottom w:val="single" w:sz="12" w:space="0" w:color="auto"/>
            </w:tcBorders>
          </w:tcPr>
          <w:p w:rsidR="00750F90" w:rsidRPr="00D67242" w:rsidRDefault="00750F90" w:rsidP="00820067">
            <w:pPr>
              <w:pStyle w:val="SingleTxtGA"/>
              <w:spacing w:before="40" w:after="40" w:line="300" w:lineRule="exact"/>
              <w:ind w:left="0" w:right="0"/>
              <w:jc w:val="left"/>
              <w:rPr>
                <w:rFonts w:ascii="Traditional Arabic" w:hAnsi="Traditional Arabic"/>
                <w:i/>
                <w:iCs/>
                <w:sz w:val="28"/>
                <w:szCs w:val="28"/>
                <w:rtl/>
                <w:lang w:val="fr-CH"/>
              </w:rPr>
            </w:pPr>
            <w:r w:rsidRPr="00D67242">
              <w:rPr>
                <w:rFonts w:ascii="Traditional Arabic" w:hAnsi="Traditional Arabic" w:hint="cs"/>
                <w:i/>
                <w:iCs/>
                <w:sz w:val="28"/>
                <w:szCs w:val="28"/>
                <w:rtl/>
                <w:lang w:val="fr-CH"/>
              </w:rPr>
              <w:t>العام</w:t>
            </w:r>
          </w:p>
        </w:tc>
        <w:tc>
          <w:tcPr>
            <w:tcW w:w="3262" w:type="dxa"/>
            <w:tcBorders>
              <w:top w:val="single" w:sz="4" w:space="0" w:color="auto"/>
              <w:bottom w:val="single" w:sz="12" w:space="0" w:color="auto"/>
            </w:tcBorders>
          </w:tcPr>
          <w:p w:rsidR="00750F90" w:rsidRPr="00D67242" w:rsidRDefault="00750F90" w:rsidP="00820067">
            <w:pPr>
              <w:pStyle w:val="SingleTxtGA"/>
              <w:spacing w:before="40" w:after="40" w:line="300" w:lineRule="exact"/>
              <w:ind w:left="0" w:right="0"/>
              <w:jc w:val="left"/>
              <w:rPr>
                <w:rFonts w:ascii="Traditional Arabic" w:hAnsi="Traditional Arabic"/>
                <w:i/>
                <w:iCs/>
                <w:sz w:val="28"/>
                <w:szCs w:val="28"/>
                <w:rtl/>
                <w:lang w:val="fr-CH"/>
              </w:rPr>
            </w:pPr>
            <w:r w:rsidRPr="00D67242">
              <w:rPr>
                <w:rFonts w:ascii="Traditional Arabic" w:hAnsi="Traditional Arabic" w:hint="cs"/>
                <w:i/>
                <w:iCs/>
                <w:sz w:val="28"/>
                <w:szCs w:val="28"/>
                <w:rtl/>
                <w:lang w:val="fr-CH"/>
              </w:rPr>
              <w:t>عدد حالات القتل الخطأ في حوادث السير</w:t>
            </w:r>
          </w:p>
        </w:tc>
        <w:tc>
          <w:tcPr>
            <w:tcW w:w="3331" w:type="dxa"/>
            <w:tcBorders>
              <w:top w:val="single" w:sz="4" w:space="0" w:color="auto"/>
              <w:bottom w:val="single" w:sz="12" w:space="0" w:color="auto"/>
            </w:tcBorders>
          </w:tcPr>
          <w:p w:rsidR="00750F90" w:rsidRPr="00D67242" w:rsidRDefault="00750F90" w:rsidP="00820067">
            <w:pPr>
              <w:pStyle w:val="SingleTxtGA"/>
              <w:spacing w:before="40" w:after="40" w:line="300" w:lineRule="exact"/>
              <w:ind w:left="0" w:right="0"/>
              <w:jc w:val="left"/>
              <w:rPr>
                <w:rFonts w:ascii="Traditional Arabic" w:hAnsi="Traditional Arabic"/>
                <w:i/>
                <w:iCs/>
                <w:spacing w:val="-8"/>
                <w:sz w:val="28"/>
                <w:szCs w:val="28"/>
                <w:rtl/>
                <w:lang w:val="fr-CH"/>
              </w:rPr>
            </w:pPr>
            <w:r w:rsidRPr="00D67242">
              <w:rPr>
                <w:rFonts w:ascii="Traditional Arabic" w:hAnsi="Traditional Arabic" w:hint="cs"/>
                <w:i/>
                <w:iCs/>
                <w:spacing w:val="-8"/>
                <w:sz w:val="28"/>
                <w:szCs w:val="28"/>
                <w:rtl/>
                <w:lang w:val="fr-CH"/>
              </w:rPr>
              <w:t>معدل عدد الحوادث لكل 000 100 شخص</w:t>
            </w:r>
          </w:p>
        </w:tc>
      </w:tr>
      <w:tr w:rsidR="00750F90" w:rsidRPr="00D67242" w:rsidTr="00D67242">
        <w:tc>
          <w:tcPr>
            <w:tcW w:w="938" w:type="dxa"/>
            <w:tcBorders>
              <w:top w:val="single" w:sz="12" w:space="0" w:color="auto"/>
            </w:tcBorders>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2008</w:t>
            </w:r>
          </w:p>
        </w:tc>
        <w:tc>
          <w:tcPr>
            <w:tcW w:w="3262" w:type="dxa"/>
            <w:tcBorders>
              <w:top w:val="single" w:sz="12" w:space="0" w:color="auto"/>
            </w:tcBorders>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988 3</w:t>
            </w:r>
          </w:p>
        </w:tc>
        <w:tc>
          <w:tcPr>
            <w:tcW w:w="3331" w:type="dxa"/>
            <w:tcBorders>
              <w:top w:val="single" w:sz="12" w:space="0" w:color="auto"/>
            </w:tcBorders>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10</w:t>
            </w:r>
          </w:p>
        </w:tc>
      </w:tr>
      <w:tr w:rsidR="00750F90" w:rsidRPr="00D67242" w:rsidTr="00D67242">
        <w:tc>
          <w:tcPr>
            <w:tcW w:w="938" w:type="dxa"/>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2007</w:t>
            </w:r>
          </w:p>
        </w:tc>
        <w:tc>
          <w:tcPr>
            <w:tcW w:w="3262" w:type="dxa"/>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783 3</w:t>
            </w:r>
          </w:p>
        </w:tc>
        <w:tc>
          <w:tcPr>
            <w:tcW w:w="3331" w:type="dxa"/>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9</w:t>
            </w:r>
            <w:r w:rsidR="00307AAE" w:rsidRPr="00D67242">
              <w:rPr>
                <w:rFonts w:ascii="Traditional Arabic" w:hAnsi="Traditional Arabic" w:hint="cs"/>
                <w:sz w:val="28"/>
                <w:szCs w:val="28"/>
                <w:rtl/>
                <w:lang w:val="fr-CH"/>
              </w:rPr>
              <w:t>.</w:t>
            </w:r>
            <w:r w:rsidRPr="00D67242">
              <w:rPr>
                <w:rFonts w:ascii="Traditional Arabic" w:hAnsi="Traditional Arabic" w:hint="cs"/>
                <w:sz w:val="28"/>
                <w:szCs w:val="28"/>
                <w:rtl/>
                <w:lang w:val="fr-CH"/>
              </w:rPr>
              <w:t>6</w:t>
            </w:r>
          </w:p>
        </w:tc>
      </w:tr>
      <w:tr w:rsidR="00750F90" w:rsidRPr="00D67242" w:rsidTr="00D67242">
        <w:tc>
          <w:tcPr>
            <w:tcW w:w="938" w:type="dxa"/>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2006</w:t>
            </w:r>
          </w:p>
        </w:tc>
        <w:tc>
          <w:tcPr>
            <w:tcW w:w="3262" w:type="dxa"/>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692 3</w:t>
            </w:r>
          </w:p>
        </w:tc>
        <w:tc>
          <w:tcPr>
            <w:tcW w:w="3331" w:type="dxa"/>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9</w:t>
            </w:r>
            <w:r w:rsidR="00307AAE" w:rsidRPr="00D67242">
              <w:rPr>
                <w:rFonts w:ascii="Traditional Arabic" w:hAnsi="Traditional Arabic" w:hint="cs"/>
                <w:sz w:val="28"/>
                <w:szCs w:val="28"/>
                <w:rtl/>
                <w:lang w:val="fr-CH"/>
              </w:rPr>
              <w:t>.</w:t>
            </w:r>
            <w:r w:rsidRPr="00D67242">
              <w:rPr>
                <w:rFonts w:ascii="Traditional Arabic" w:hAnsi="Traditional Arabic" w:hint="cs"/>
                <w:sz w:val="28"/>
                <w:szCs w:val="28"/>
                <w:rtl/>
                <w:lang w:val="fr-CH"/>
              </w:rPr>
              <w:t>5</w:t>
            </w:r>
          </w:p>
        </w:tc>
      </w:tr>
      <w:tr w:rsidR="00750F90" w:rsidRPr="00D67242" w:rsidTr="00D67242">
        <w:tc>
          <w:tcPr>
            <w:tcW w:w="938" w:type="dxa"/>
            <w:tcBorders>
              <w:bottom w:val="single" w:sz="12" w:space="0" w:color="auto"/>
            </w:tcBorders>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2005</w:t>
            </w:r>
          </w:p>
        </w:tc>
        <w:tc>
          <w:tcPr>
            <w:tcW w:w="3262" w:type="dxa"/>
            <w:tcBorders>
              <w:bottom w:val="single" w:sz="12" w:space="0" w:color="auto"/>
            </w:tcBorders>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443 3</w:t>
            </w:r>
          </w:p>
        </w:tc>
        <w:tc>
          <w:tcPr>
            <w:tcW w:w="3331" w:type="dxa"/>
            <w:tcBorders>
              <w:bottom w:val="single" w:sz="12" w:space="0" w:color="auto"/>
            </w:tcBorders>
          </w:tcPr>
          <w:p w:rsidR="00750F90" w:rsidRPr="00D67242" w:rsidRDefault="00750F90" w:rsidP="00820067">
            <w:pPr>
              <w:pStyle w:val="SingleTxtGA"/>
              <w:spacing w:before="40" w:after="40" w:line="30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9</w:t>
            </w:r>
            <w:r w:rsidR="00307AAE" w:rsidRPr="00D67242">
              <w:rPr>
                <w:rFonts w:ascii="Traditional Arabic" w:hAnsi="Traditional Arabic" w:hint="cs"/>
                <w:sz w:val="28"/>
                <w:szCs w:val="28"/>
                <w:rtl/>
                <w:lang w:val="fr-CH"/>
              </w:rPr>
              <w:t>.</w:t>
            </w:r>
            <w:r w:rsidRPr="00D67242">
              <w:rPr>
                <w:rFonts w:ascii="Traditional Arabic" w:hAnsi="Traditional Arabic" w:hint="cs"/>
                <w:sz w:val="28"/>
                <w:szCs w:val="28"/>
                <w:rtl/>
                <w:lang w:val="fr-CH"/>
              </w:rPr>
              <w:t>5</w:t>
            </w:r>
          </w:p>
        </w:tc>
      </w:tr>
    </w:tbl>
    <w:p w:rsidR="0003012B" w:rsidRDefault="0003012B" w:rsidP="0003012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D67242" w:rsidRDefault="00D67242" w:rsidP="00D67242">
      <w:pPr>
        <w:pStyle w:val="SingleTxt"/>
        <w:rPr>
          <w:rtl/>
          <w:lang w:val="fr-CH"/>
        </w:rPr>
      </w:pPr>
    </w:p>
    <w:tbl>
      <w:tblPr>
        <w:bidiVisual/>
        <w:tblW w:w="0" w:type="auto"/>
        <w:tblInd w:w="1410" w:type="dxa"/>
        <w:tblLook w:val="04A0" w:firstRow="1" w:lastRow="0" w:firstColumn="1" w:lastColumn="0" w:noHBand="0" w:noVBand="1"/>
      </w:tblPr>
      <w:tblGrid>
        <w:gridCol w:w="1080"/>
        <w:gridCol w:w="3260"/>
        <w:gridCol w:w="3191"/>
      </w:tblGrid>
      <w:tr w:rsidR="00D67242" w:rsidRPr="00D67242" w:rsidTr="00D67242">
        <w:tc>
          <w:tcPr>
            <w:tcW w:w="1080" w:type="dxa"/>
            <w:tcBorders>
              <w:top w:val="single" w:sz="4" w:space="0" w:color="auto"/>
              <w:bottom w:val="single" w:sz="12" w:space="0" w:color="auto"/>
            </w:tcBorders>
            <w:vAlign w:val="bottom"/>
          </w:tcPr>
          <w:p w:rsidR="00D67242" w:rsidRPr="00D67242" w:rsidRDefault="00D67242" w:rsidP="00D67242">
            <w:pPr>
              <w:pStyle w:val="SingleTxtGA"/>
              <w:spacing w:before="40" w:after="40" w:line="280" w:lineRule="exact"/>
              <w:ind w:left="0" w:right="0"/>
              <w:jc w:val="left"/>
              <w:rPr>
                <w:rFonts w:ascii="Traditional Arabic" w:hAnsi="Traditional Arabic"/>
                <w:i/>
                <w:iCs/>
                <w:sz w:val="28"/>
                <w:szCs w:val="28"/>
                <w:rtl/>
                <w:lang w:val="fr-CH"/>
              </w:rPr>
            </w:pPr>
            <w:r w:rsidRPr="00D67242">
              <w:rPr>
                <w:rFonts w:ascii="Traditional Arabic" w:hAnsi="Traditional Arabic" w:hint="cs"/>
                <w:i/>
                <w:iCs/>
                <w:sz w:val="28"/>
                <w:szCs w:val="28"/>
                <w:rtl/>
                <w:lang w:val="fr-CH"/>
              </w:rPr>
              <w:t>العام</w:t>
            </w:r>
          </w:p>
        </w:tc>
        <w:tc>
          <w:tcPr>
            <w:tcW w:w="3260" w:type="dxa"/>
            <w:tcBorders>
              <w:top w:val="single" w:sz="4" w:space="0" w:color="auto"/>
              <w:bottom w:val="single" w:sz="12" w:space="0" w:color="auto"/>
            </w:tcBorders>
            <w:vAlign w:val="bottom"/>
          </w:tcPr>
          <w:p w:rsidR="00D67242" w:rsidRPr="00D67242" w:rsidRDefault="00D67242" w:rsidP="00D67242">
            <w:pPr>
              <w:pStyle w:val="SingleTxtGA"/>
              <w:spacing w:before="40" w:after="40" w:line="280" w:lineRule="exact"/>
              <w:ind w:left="0" w:right="0"/>
              <w:jc w:val="left"/>
              <w:rPr>
                <w:rFonts w:ascii="Traditional Arabic" w:hAnsi="Traditional Arabic"/>
                <w:i/>
                <w:iCs/>
                <w:sz w:val="28"/>
                <w:szCs w:val="28"/>
                <w:rtl/>
                <w:lang w:val="fr-CH"/>
              </w:rPr>
            </w:pPr>
            <w:r w:rsidRPr="00D67242">
              <w:rPr>
                <w:rFonts w:ascii="Traditional Arabic" w:hAnsi="Traditional Arabic" w:hint="cs"/>
                <w:i/>
                <w:iCs/>
                <w:sz w:val="28"/>
                <w:szCs w:val="28"/>
                <w:rtl/>
                <w:lang w:val="fr-CH"/>
              </w:rPr>
              <w:t>عدد حالات الجرائم ضد السلامة الجنسية</w:t>
            </w:r>
          </w:p>
        </w:tc>
        <w:tc>
          <w:tcPr>
            <w:tcW w:w="3191" w:type="dxa"/>
            <w:tcBorders>
              <w:top w:val="single" w:sz="4" w:space="0" w:color="auto"/>
              <w:bottom w:val="single" w:sz="12" w:space="0" w:color="auto"/>
            </w:tcBorders>
          </w:tcPr>
          <w:p w:rsidR="00D67242" w:rsidRPr="00D67242" w:rsidRDefault="00D67242" w:rsidP="00675810">
            <w:pPr>
              <w:pStyle w:val="SingleTxtGA"/>
              <w:spacing w:before="40" w:after="40" w:line="280" w:lineRule="exact"/>
              <w:ind w:left="0" w:right="0"/>
              <w:jc w:val="left"/>
              <w:rPr>
                <w:rFonts w:ascii="Traditional Arabic" w:hAnsi="Traditional Arabic"/>
                <w:i/>
                <w:iCs/>
                <w:spacing w:val="-6"/>
                <w:sz w:val="28"/>
                <w:szCs w:val="28"/>
                <w:rtl/>
                <w:lang w:val="fr-CH"/>
              </w:rPr>
            </w:pPr>
            <w:r w:rsidRPr="00D67242">
              <w:rPr>
                <w:rFonts w:ascii="Traditional Arabic" w:hAnsi="Traditional Arabic" w:hint="cs"/>
                <w:i/>
                <w:iCs/>
                <w:spacing w:val="-6"/>
                <w:sz w:val="28"/>
                <w:szCs w:val="28"/>
                <w:rtl/>
                <w:lang w:val="fr-CH"/>
              </w:rPr>
              <w:t>معدل عدد الجرائم لكل 000 100 شخص</w:t>
            </w:r>
          </w:p>
        </w:tc>
      </w:tr>
      <w:tr w:rsidR="00D67242" w:rsidRPr="00D67242" w:rsidTr="00D67242">
        <w:tc>
          <w:tcPr>
            <w:tcW w:w="1080" w:type="dxa"/>
            <w:tcBorders>
              <w:top w:val="single" w:sz="12" w:space="0" w:color="auto"/>
            </w:tcBorders>
          </w:tcPr>
          <w:p w:rsidR="00D67242" w:rsidRPr="00D67242" w:rsidRDefault="00D67242" w:rsidP="00675810">
            <w:pPr>
              <w:pStyle w:val="SingleTxtGA"/>
              <w:spacing w:before="40" w:after="40" w:line="28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2008</w:t>
            </w:r>
          </w:p>
        </w:tc>
        <w:tc>
          <w:tcPr>
            <w:tcW w:w="3260" w:type="dxa"/>
            <w:tcBorders>
              <w:top w:val="single" w:sz="12" w:space="0" w:color="auto"/>
            </w:tcBorders>
          </w:tcPr>
          <w:p w:rsidR="00D67242" w:rsidRPr="00D67242" w:rsidRDefault="00D67242" w:rsidP="00675810">
            <w:pPr>
              <w:pStyle w:val="SingleTxtGA"/>
              <w:spacing w:before="40" w:after="40" w:line="28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988 3</w:t>
            </w:r>
          </w:p>
        </w:tc>
        <w:tc>
          <w:tcPr>
            <w:tcW w:w="3191" w:type="dxa"/>
            <w:tcBorders>
              <w:top w:val="single" w:sz="12" w:space="0" w:color="auto"/>
            </w:tcBorders>
          </w:tcPr>
          <w:p w:rsidR="00D67242" w:rsidRPr="00D67242" w:rsidRDefault="00D67242" w:rsidP="00675810">
            <w:pPr>
              <w:pStyle w:val="SingleTxtGA"/>
              <w:spacing w:before="40" w:after="40" w:line="28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10</w:t>
            </w:r>
          </w:p>
        </w:tc>
      </w:tr>
      <w:tr w:rsidR="00D67242" w:rsidRPr="00D67242" w:rsidTr="00D67242">
        <w:tc>
          <w:tcPr>
            <w:tcW w:w="1080" w:type="dxa"/>
            <w:tcBorders>
              <w:bottom w:val="single" w:sz="12" w:space="0" w:color="auto"/>
            </w:tcBorders>
          </w:tcPr>
          <w:p w:rsidR="00D67242" w:rsidRPr="00D67242" w:rsidRDefault="00D67242" w:rsidP="00675810">
            <w:pPr>
              <w:pStyle w:val="SingleTxtGA"/>
              <w:spacing w:before="40" w:after="40" w:line="28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2007</w:t>
            </w:r>
          </w:p>
        </w:tc>
        <w:tc>
          <w:tcPr>
            <w:tcW w:w="3260" w:type="dxa"/>
            <w:tcBorders>
              <w:bottom w:val="single" w:sz="12" w:space="0" w:color="auto"/>
            </w:tcBorders>
          </w:tcPr>
          <w:p w:rsidR="00D67242" w:rsidRPr="00D67242" w:rsidRDefault="00D67242" w:rsidP="00675810">
            <w:pPr>
              <w:pStyle w:val="SingleTxtGA"/>
              <w:spacing w:before="40" w:after="40" w:line="28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783 3</w:t>
            </w:r>
          </w:p>
        </w:tc>
        <w:tc>
          <w:tcPr>
            <w:tcW w:w="3191" w:type="dxa"/>
            <w:tcBorders>
              <w:bottom w:val="single" w:sz="12" w:space="0" w:color="auto"/>
            </w:tcBorders>
          </w:tcPr>
          <w:p w:rsidR="00D67242" w:rsidRPr="00D67242" w:rsidRDefault="00D67242" w:rsidP="00675810">
            <w:pPr>
              <w:pStyle w:val="SingleTxtGA"/>
              <w:spacing w:before="40" w:after="40" w:line="280" w:lineRule="exact"/>
              <w:ind w:left="0" w:right="0"/>
              <w:jc w:val="left"/>
              <w:rPr>
                <w:rFonts w:ascii="Traditional Arabic" w:hAnsi="Traditional Arabic"/>
                <w:sz w:val="28"/>
                <w:szCs w:val="28"/>
                <w:rtl/>
                <w:lang w:val="fr-CH"/>
              </w:rPr>
            </w:pPr>
            <w:r w:rsidRPr="00D67242">
              <w:rPr>
                <w:rFonts w:ascii="Traditional Arabic" w:hAnsi="Traditional Arabic" w:hint="cs"/>
                <w:sz w:val="28"/>
                <w:szCs w:val="28"/>
                <w:rtl/>
                <w:lang w:val="fr-CH"/>
              </w:rPr>
              <w:t>9.6</w:t>
            </w:r>
          </w:p>
        </w:tc>
      </w:tr>
    </w:tbl>
    <w:p w:rsidR="0003012B" w:rsidRPr="0003012B" w:rsidRDefault="0003012B" w:rsidP="0003012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D67242" w:rsidRPr="00D67242" w:rsidRDefault="00D67242" w:rsidP="00D6724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750F90" w:rsidRDefault="0003012B" w:rsidP="0003012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Pr>
          <w:rFonts w:hint="cs"/>
          <w:rtl/>
          <w:lang w:val="fr-CH"/>
        </w:rPr>
        <w:tab/>
      </w:r>
      <w:r w:rsidR="00750F90" w:rsidRPr="00307AAE">
        <w:rPr>
          <w:rFonts w:hint="cs"/>
          <w:rtl/>
          <w:lang w:val="fr-CH"/>
        </w:rPr>
        <w:t>2</w:t>
      </w:r>
      <w:r>
        <w:rPr>
          <w:rFonts w:hint="cs"/>
          <w:rtl/>
          <w:lang w:val="fr-CH"/>
        </w:rPr>
        <w:t>-</w:t>
      </w:r>
      <w:r>
        <w:rPr>
          <w:rFonts w:hint="cs"/>
          <w:rtl/>
          <w:lang w:val="fr-CH"/>
        </w:rPr>
        <w:tab/>
      </w:r>
      <w:r w:rsidR="00750F90" w:rsidRPr="00307AAE">
        <w:rPr>
          <w:rFonts w:hint="cs"/>
          <w:rtl/>
          <w:lang w:val="fr-CH"/>
        </w:rPr>
        <w:t>البيانات الصادرة عن النظام الوطني للإحصاءات بشأن تنفيذ العقوبات على السجناء</w:t>
      </w:r>
    </w:p>
    <w:p w:rsidR="0003012B" w:rsidRPr="0003012B" w:rsidRDefault="0003012B" w:rsidP="0003012B">
      <w:pPr>
        <w:pStyle w:val="SingleTxt"/>
        <w:spacing w:after="0" w:line="120" w:lineRule="exact"/>
        <w:rPr>
          <w:sz w:val="10"/>
          <w:rtl/>
          <w:lang w:val="fr-CH"/>
        </w:rPr>
      </w:pPr>
    </w:p>
    <w:tbl>
      <w:tblPr>
        <w:bidiVisual/>
        <w:tblW w:w="0" w:type="auto"/>
        <w:tblInd w:w="1410" w:type="dxa"/>
        <w:tblLook w:val="04A0" w:firstRow="1" w:lastRow="0" w:firstColumn="1" w:lastColumn="0" w:noHBand="0" w:noVBand="1"/>
      </w:tblPr>
      <w:tblGrid>
        <w:gridCol w:w="2244"/>
        <w:gridCol w:w="2977"/>
        <w:gridCol w:w="2310"/>
      </w:tblGrid>
      <w:tr w:rsidR="00750F90" w:rsidRPr="00307AAE" w:rsidTr="0003012B">
        <w:tc>
          <w:tcPr>
            <w:tcW w:w="2244" w:type="dxa"/>
            <w:tcBorders>
              <w:top w:val="single" w:sz="4" w:space="0" w:color="auto"/>
              <w:bottom w:val="single" w:sz="12" w:space="0" w:color="auto"/>
            </w:tcBorders>
          </w:tcPr>
          <w:p w:rsidR="00750F90" w:rsidRPr="00307AAE" w:rsidRDefault="00750F90" w:rsidP="005B4725">
            <w:pPr>
              <w:pStyle w:val="SingleTxtGA"/>
              <w:spacing w:before="40" w:after="40" w:line="300" w:lineRule="exact"/>
              <w:ind w:left="0" w:right="0"/>
              <w:jc w:val="left"/>
              <w:rPr>
                <w:rFonts w:ascii="Traditional Arabic" w:hAnsi="Traditional Arabic"/>
                <w:i/>
                <w:iCs/>
                <w:sz w:val="30"/>
                <w:rtl/>
                <w:lang w:val="fr-CH"/>
              </w:rPr>
            </w:pPr>
          </w:p>
          <w:p w:rsidR="00750F90" w:rsidRPr="00307AAE" w:rsidRDefault="00750F90" w:rsidP="005B4725">
            <w:pPr>
              <w:pStyle w:val="SingleTxtGA"/>
              <w:spacing w:before="40" w:after="40" w:line="300" w:lineRule="exact"/>
              <w:ind w:left="0" w:right="0"/>
              <w:jc w:val="left"/>
              <w:rPr>
                <w:rFonts w:ascii="Traditional Arabic" w:hAnsi="Traditional Arabic"/>
                <w:i/>
                <w:iCs/>
                <w:sz w:val="30"/>
                <w:rtl/>
                <w:lang w:val="fr-CH"/>
              </w:rPr>
            </w:pPr>
            <w:r w:rsidRPr="00307AAE">
              <w:rPr>
                <w:rFonts w:ascii="Traditional Arabic" w:hAnsi="Traditional Arabic" w:hint="cs"/>
                <w:i/>
                <w:iCs/>
                <w:sz w:val="30"/>
                <w:rtl/>
                <w:lang w:val="fr-CH"/>
              </w:rPr>
              <w:t>العام</w:t>
            </w:r>
          </w:p>
        </w:tc>
        <w:tc>
          <w:tcPr>
            <w:tcW w:w="2977" w:type="dxa"/>
            <w:tcBorders>
              <w:top w:val="single" w:sz="4" w:space="0" w:color="auto"/>
              <w:bottom w:val="single" w:sz="12" w:space="0" w:color="auto"/>
            </w:tcBorders>
            <w:vAlign w:val="bottom"/>
          </w:tcPr>
          <w:p w:rsidR="00750F90" w:rsidRPr="00307AAE" w:rsidRDefault="00750F90" w:rsidP="005B4725">
            <w:pPr>
              <w:pStyle w:val="SingleTxtGA"/>
              <w:spacing w:before="40" w:after="40" w:line="300" w:lineRule="exact"/>
              <w:ind w:left="0" w:right="0"/>
              <w:jc w:val="left"/>
              <w:rPr>
                <w:rFonts w:ascii="Traditional Arabic" w:hAnsi="Traditional Arabic"/>
                <w:i/>
                <w:iCs/>
                <w:sz w:val="30"/>
                <w:rtl/>
                <w:lang w:val="fr-CH"/>
              </w:rPr>
            </w:pPr>
            <w:r w:rsidRPr="00307AAE">
              <w:rPr>
                <w:rFonts w:ascii="Traditional Arabic" w:hAnsi="Traditional Arabic" w:hint="cs"/>
                <w:i/>
                <w:iCs/>
                <w:sz w:val="30"/>
                <w:rtl/>
                <w:lang w:val="fr-CH"/>
              </w:rPr>
              <w:t>الأشخاص المحرومون من الحرية</w:t>
            </w:r>
          </w:p>
        </w:tc>
        <w:tc>
          <w:tcPr>
            <w:tcW w:w="2310" w:type="dxa"/>
            <w:tcBorders>
              <w:top w:val="single" w:sz="4" w:space="0" w:color="auto"/>
              <w:bottom w:val="single" w:sz="12" w:space="0" w:color="auto"/>
            </w:tcBorders>
          </w:tcPr>
          <w:p w:rsidR="00750F90" w:rsidRPr="00307AAE" w:rsidRDefault="00750F90" w:rsidP="005B4725">
            <w:pPr>
              <w:pStyle w:val="SingleTxtGA"/>
              <w:spacing w:before="40" w:after="40" w:line="300" w:lineRule="exact"/>
              <w:ind w:left="0" w:right="0"/>
              <w:jc w:val="left"/>
              <w:rPr>
                <w:rFonts w:ascii="Traditional Arabic" w:hAnsi="Traditional Arabic"/>
                <w:i/>
                <w:iCs/>
                <w:sz w:val="30"/>
                <w:rtl/>
                <w:lang w:val="fr-CH"/>
              </w:rPr>
            </w:pPr>
            <w:r w:rsidRPr="00307AAE">
              <w:rPr>
                <w:rFonts w:ascii="Traditional Arabic" w:hAnsi="Traditional Arabic" w:hint="cs"/>
                <w:i/>
                <w:iCs/>
                <w:sz w:val="30"/>
                <w:rtl/>
                <w:lang w:val="fr-CH"/>
              </w:rPr>
              <w:t>معدل عدد الحالات لكل 000 100 شخص</w:t>
            </w:r>
          </w:p>
        </w:tc>
      </w:tr>
      <w:tr w:rsidR="00750F90" w:rsidRPr="00307AAE" w:rsidTr="0003012B">
        <w:tc>
          <w:tcPr>
            <w:tcW w:w="2244" w:type="dxa"/>
            <w:tcBorders>
              <w:top w:val="single" w:sz="12" w:space="0" w:color="auto"/>
            </w:tcBorders>
          </w:tcPr>
          <w:p w:rsidR="00750F90" w:rsidRPr="00307AAE" w:rsidRDefault="00750F90" w:rsidP="005B4725">
            <w:pPr>
              <w:pStyle w:val="SingleTxtGA"/>
              <w:spacing w:before="40" w:after="40" w:line="300" w:lineRule="exact"/>
              <w:ind w:left="0" w:right="0"/>
              <w:jc w:val="left"/>
              <w:rPr>
                <w:rFonts w:ascii="Traditional Arabic" w:hAnsi="Traditional Arabic"/>
                <w:sz w:val="30"/>
                <w:rtl/>
                <w:lang w:val="fr-CH"/>
              </w:rPr>
            </w:pPr>
            <w:r w:rsidRPr="00307AAE">
              <w:rPr>
                <w:rFonts w:ascii="Traditional Arabic" w:hAnsi="Traditional Arabic" w:hint="cs"/>
                <w:sz w:val="30"/>
                <w:rtl/>
                <w:lang w:val="fr-CH"/>
              </w:rPr>
              <w:t>2008</w:t>
            </w:r>
          </w:p>
        </w:tc>
        <w:tc>
          <w:tcPr>
            <w:tcW w:w="2977" w:type="dxa"/>
            <w:tcBorders>
              <w:top w:val="single" w:sz="12" w:space="0" w:color="auto"/>
            </w:tcBorders>
          </w:tcPr>
          <w:p w:rsidR="00750F90" w:rsidRPr="00307AAE" w:rsidRDefault="00750F90" w:rsidP="005B4725">
            <w:pPr>
              <w:pStyle w:val="SingleTxtGA"/>
              <w:spacing w:before="40" w:after="40" w:line="300" w:lineRule="exact"/>
              <w:ind w:left="0" w:right="0"/>
              <w:jc w:val="left"/>
              <w:rPr>
                <w:rFonts w:ascii="Traditional Arabic" w:hAnsi="Traditional Arabic"/>
                <w:sz w:val="30"/>
                <w:rtl/>
                <w:lang w:val="fr-CH"/>
              </w:rPr>
            </w:pPr>
            <w:r w:rsidRPr="00307AAE">
              <w:rPr>
                <w:rFonts w:ascii="Traditional Arabic" w:hAnsi="Traditional Arabic" w:hint="cs"/>
                <w:sz w:val="30"/>
                <w:rtl/>
                <w:lang w:val="fr-CH"/>
              </w:rPr>
              <w:t>537 54</w:t>
            </w:r>
          </w:p>
        </w:tc>
        <w:tc>
          <w:tcPr>
            <w:tcW w:w="2310" w:type="dxa"/>
            <w:tcBorders>
              <w:top w:val="single" w:sz="12" w:space="0" w:color="auto"/>
            </w:tcBorders>
          </w:tcPr>
          <w:p w:rsidR="00750F90" w:rsidRPr="00307AAE" w:rsidRDefault="00750F90" w:rsidP="005B4725">
            <w:pPr>
              <w:pStyle w:val="SingleTxtGA"/>
              <w:spacing w:before="40" w:after="40" w:line="300" w:lineRule="exact"/>
              <w:ind w:left="0" w:right="0"/>
              <w:jc w:val="left"/>
              <w:rPr>
                <w:rFonts w:ascii="Traditional Arabic" w:hAnsi="Traditional Arabic"/>
                <w:sz w:val="30"/>
                <w:rtl/>
                <w:lang w:val="fr-CH"/>
              </w:rPr>
            </w:pPr>
            <w:r w:rsidRPr="00307AAE">
              <w:rPr>
                <w:rFonts w:ascii="Traditional Arabic" w:hAnsi="Traditional Arabic" w:hint="cs"/>
                <w:sz w:val="30"/>
                <w:rtl/>
                <w:lang w:val="fr-CH"/>
              </w:rPr>
              <w:t>137</w:t>
            </w:r>
            <w:r w:rsidR="00307AAE" w:rsidRPr="00307AAE">
              <w:rPr>
                <w:rFonts w:ascii="Traditional Arabic" w:hAnsi="Traditional Arabic" w:hint="cs"/>
                <w:sz w:val="30"/>
                <w:rtl/>
                <w:lang w:val="fr-CH"/>
              </w:rPr>
              <w:t>.</w:t>
            </w:r>
            <w:r w:rsidRPr="00307AAE">
              <w:rPr>
                <w:rFonts w:ascii="Traditional Arabic" w:hAnsi="Traditional Arabic" w:hint="cs"/>
                <w:sz w:val="30"/>
                <w:rtl/>
                <w:lang w:val="fr-CH"/>
              </w:rPr>
              <w:t>2</w:t>
            </w:r>
          </w:p>
        </w:tc>
      </w:tr>
      <w:tr w:rsidR="00750F90" w:rsidRPr="00307AAE" w:rsidTr="0003012B">
        <w:tc>
          <w:tcPr>
            <w:tcW w:w="2244" w:type="dxa"/>
          </w:tcPr>
          <w:p w:rsidR="00750F90" w:rsidRPr="00307AAE" w:rsidRDefault="00750F90" w:rsidP="005B4725">
            <w:pPr>
              <w:pStyle w:val="SingleTxtGA"/>
              <w:spacing w:before="40" w:after="40" w:line="300" w:lineRule="exact"/>
              <w:ind w:left="0" w:right="0"/>
              <w:jc w:val="left"/>
              <w:rPr>
                <w:rFonts w:ascii="Traditional Arabic" w:hAnsi="Traditional Arabic"/>
                <w:sz w:val="30"/>
                <w:rtl/>
                <w:lang w:val="fr-CH"/>
              </w:rPr>
            </w:pPr>
            <w:r w:rsidRPr="00307AAE">
              <w:rPr>
                <w:rFonts w:ascii="Traditional Arabic" w:hAnsi="Traditional Arabic" w:hint="cs"/>
                <w:sz w:val="30"/>
                <w:rtl/>
                <w:lang w:val="fr-CH"/>
              </w:rPr>
              <w:t>2007</w:t>
            </w:r>
          </w:p>
        </w:tc>
        <w:tc>
          <w:tcPr>
            <w:tcW w:w="2977" w:type="dxa"/>
          </w:tcPr>
          <w:p w:rsidR="00750F90" w:rsidRPr="00307AAE" w:rsidRDefault="00750F90" w:rsidP="005B4725">
            <w:pPr>
              <w:pStyle w:val="SingleTxtGA"/>
              <w:spacing w:before="40" w:after="40" w:line="300" w:lineRule="exact"/>
              <w:ind w:left="0" w:right="0"/>
              <w:jc w:val="left"/>
              <w:rPr>
                <w:rFonts w:ascii="Traditional Arabic" w:hAnsi="Traditional Arabic"/>
                <w:sz w:val="30"/>
                <w:rtl/>
                <w:lang w:val="fr-CH"/>
              </w:rPr>
            </w:pPr>
            <w:r w:rsidRPr="00307AAE">
              <w:rPr>
                <w:rFonts w:ascii="Traditional Arabic" w:hAnsi="Traditional Arabic" w:hint="cs"/>
                <w:sz w:val="30"/>
                <w:rtl/>
                <w:lang w:val="fr-CH"/>
              </w:rPr>
              <w:t>457 52</w:t>
            </w:r>
          </w:p>
        </w:tc>
        <w:tc>
          <w:tcPr>
            <w:tcW w:w="2310" w:type="dxa"/>
          </w:tcPr>
          <w:p w:rsidR="00750F90" w:rsidRPr="00307AAE" w:rsidRDefault="00750F90" w:rsidP="005B4725">
            <w:pPr>
              <w:pStyle w:val="SingleTxtGA"/>
              <w:spacing w:before="40" w:after="40" w:line="300" w:lineRule="exact"/>
              <w:ind w:left="0" w:right="0"/>
              <w:jc w:val="left"/>
              <w:rPr>
                <w:rFonts w:ascii="Traditional Arabic" w:hAnsi="Traditional Arabic"/>
                <w:sz w:val="30"/>
                <w:rtl/>
                <w:lang w:val="fr-CH"/>
              </w:rPr>
            </w:pPr>
            <w:r w:rsidRPr="00307AAE">
              <w:rPr>
                <w:rFonts w:ascii="Traditional Arabic" w:hAnsi="Traditional Arabic" w:hint="cs"/>
                <w:sz w:val="30"/>
                <w:rtl/>
                <w:lang w:val="fr-CH"/>
              </w:rPr>
              <w:t>134</w:t>
            </w:r>
            <w:r w:rsidR="00307AAE" w:rsidRPr="00307AAE">
              <w:rPr>
                <w:rFonts w:ascii="Traditional Arabic" w:hAnsi="Traditional Arabic" w:hint="cs"/>
                <w:sz w:val="30"/>
                <w:rtl/>
                <w:lang w:val="fr-CH"/>
              </w:rPr>
              <w:t>.</w:t>
            </w:r>
            <w:r w:rsidRPr="00307AAE">
              <w:rPr>
                <w:rFonts w:ascii="Traditional Arabic" w:hAnsi="Traditional Arabic" w:hint="cs"/>
                <w:sz w:val="30"/>
                <w:rtl/>
                <w:lang w:val="fr-CH"/>
              </w:rPr>
              <w:t>6</w:t>
            </w:r>
          </w:p>
        </w:tc>
      </w:tr>
      <w:tr w:rsidR="00750F90" w:rsidRPr="00307AAE" w:rsidTr="0003012B">
        <w:tc>
          <w:tcPr>
            <w:tcW w:w="2244" w:type="dxa"/>
            <w:tcBorders>
              <w:bottom w:val="single" w:sz="12" w:space="0" w:color="auto"/>
            </w:tcBorders>
          </w:tcPr>
          <w:p w:rsidR="00750F90" w:rsidRPr="00307AAE" w:rsidRDefault="00750F90" w:rsidP="005B4725">
            <w:pPr>
              <w:pStyle w:val="SingleTxtGA"/>
              <w:spacing w:before="40" w:after="40" w:line="300" w:lineRule="exact"/>
              <w:ind w:left="0" w:right="0"/>
              <w:jc w:val="left"/>
              <w:rPr>
                <w:rFonts w:ascii="Traditional Arabic" w:hAnsi="Traditional Arabic"/>
                <w:sz w:val="30"/>
                <w:rtl/>
                <w:lang w:val="fr-CH"/>
              </w:rPr>
            </w:pPr>
            <w:r w:rsidRPr="00307AAE">
              <w:rPr>
                <w:rFonts w:ascii="Traditional Arabic" w:hAnsi="Traditional Arabic" w:hint="cs"/>
                <w:sz w:val="30"/>
                <w:rtl/>
                <w:lang w:val="fr-CH"/>
              </w:rPr>
              <w:t>2006</w:t>
            </w:r>
          </w:p>
        </w:tc>
        <w:tc>
          <w:tcPr>
            <w:tcW w:w="2977" w:type="dxa"/>
            <w:tcBorders>
              <w:bottom w:val="single" w:sz="12" w:space="0" w:color="auto"/>
            </w:tcBorders>
          </w:tcPr>
          <w:p w:rsidR="00750F90" w:rsidRPr="00307AAE" w:rsidRDefault="00750F90" w:rsidP="005B4725">
            <w:pPr>
              <w:pStyle w:val="SingleTxtGA"/>
              <w:spacing w:before="40" w:after="40" w:line="300" w:lineRule="exact"/>
              <w:ind w:left="0" w:right="0"/>
              <w:jc w:val="left"/>
              <w:rPr>
                <w:rFonts w:ascii="Traditional Arabic" w:hAnsi="Traditional Arabic"/>
                <w:sz w:val="30"/>
                <w:rtl/>
                <w:lang w:val="fr-CH"/>
              </w:rPr>
            </w:pPr>
            <w:r w:rsidRPr="00307AAE">
              <w:rPr>
                <w:rFonts w:ascii="Traditional Arabic" w:hAnsi="Traditional Arabic" w:hint="cs"/>
                <w:sz w:val="30"/>
                <w:rtl/>
                <w:lang w:val="fr-CH"/>
              </w:rPr>
              <w:t>000 54</w:t>
            </w:r>
          </w:p>
        </w:tc>
        <w:tc>
          <w:tcPr>
            <w:tcW w:w="2310" w:type="dxa"/>
            <w:tcBorders>
              <w:bottom w:val="single" w:sz="12" w:space="0" w:color="auto"/>
            </w:tcBorders>
          </w:tcPr>
          <w:p w:rsidR="00750F90" w:rsidRPr="00307AAE" w:rsidRDefault="00750F90" w:rsidP="005B4725">
            <w:pPr>
              <w:pStyle w:val="SingleTxtGA"/>
              <w:spacing w:before="40" w:after="40" w:line="300" w:lineRule="exact"/>
              <w:ind w:left="0" w:right="0"/>
              <w:jc w:val="left"/>
              <w:rPr>
                <w:rFonts w:ascii="Traditional Arabic" w:hAnsi="Traditional Arabic"/>
                <w:sz w:val="30"/>
                <w:rtl/>
                <w:lang w:val="fr-CH"/>
              </w:rPr>
            </w:pPr>
            <w:r w:rsidRPr="00307AAE">
              <w:rPr>
                <w:rFonts w:ascii="Traditional Arabic" w:hAnsi="Traditional Arabic" w:hint="cs"/>
                <w:sz w:val="30"/>
                <w:rtl/>
                <w:lang w:val="fr-CH"/>
              </w:rPr>
              <w:t>139</w:t>
            </w:r>
          </w:p>
        </w:tc>
      </w:tr>
    </w:tbl>
    <w:p w:rsidR="00750F90" w:rsidRPr="0003012B" w:rsidRDefault="00750F90" w:rsidP="005B4725">
      <w:pPr>
        <w:pStyle w:val="SingleTxt"/>
        <w:spacing w:line="300" w:lineRule="exact"/>
        <w:rPr>
          <w:w w:val="100"/>
          <w:kern w:val="0"/>
          <w:sz w:val="26"/>
          <w:szCs w:val="26"/>
          <w:rtl/>
          <w:lang w:val="fr-CH"/>
        </w:rPr>
      </w:pPr>
      <w:r w:rsidRPr="0003012B">
        <w:rPr>
          <w:rFonts w:hint="cs"/>
          <w:i/>
          <w:iCs/>
          <w:w w:val="100"/>
          <w:kern w:val="0"/>
          <w:sz w:val="26"/>
          <w:szCs w:val="26"/>
          <w:rtl/>
          <w:lang w:val="fr-CH"/>
        </w:rPr>
        <w:t>ملاحظة:</w:t>
      </w:r>
      <w:r w:rsidR="0003012B" w:rsidRPr="0003012B">
        <w:rPr>
          <w:rFonts w:hint="cs"/>
          <w:i/>
          <w:iCs/>
          <w:w w:val="100"/>
          <w:kern w:val="0"/>
          <w:sz w:val="26"/>
          <w:szCs w:val="26"/>
          <w:rtl/>
          <w:lang w:val="fr-CH"/>
        </w:rPr>
        <w:tab/>
      </w:r>
      <w:r w:rsidRPr="0003012B">
        <w:rPr>
          <w:rFonts w:hint="cs"/>
          <w:w w:val="100"/>
          <w:kern w:val="0"/>
          <w:sz w:val="26"/>
          <w:szCs w:val="26"/>
          <w:rtl/>
          <w:lang w:val="fr-CH"/>
        </w:rPr>
        <w:t>يحصى الأشخاص المحرومون من الحرية داخل المؤسسات السجنية، ولا يُدرج المحتجزون داخل أقسام الشرطة ومؤسسات القاصرين.</w:t>
      </w:r>
    </w:p>
    <w:p w:rsidR="00750F90" w:rsidRPr="00307AAE" w:rsidRDefault="00750F90" w:rsidP="005B4725">
      <w:pPr>
        <w:pStyle w:val="SingleTxt"/>
        <w:spacing w:line="380" w:lineRule="exact"/>
        <w:rPr>
          <w:w w:val="100"/>
          <w:kern w:val="0"/>
          <w:rtl/>
          <w:lang w:val="fr-CH"/>
        </w:rPr>
      </w:pPr>
      <w:r w:rsidRPr="00307AAE">
        <w:rPr>
          <w:rFonts w:hint="cs"/>
          <w:w w:val="100"/>
          <w:kern w:val="0"/>
          <w:rtl/>
          <w:lang w:val="fr-CH"/>
        </w:rPr>
        <w:t>42-</w:t>
      </w:r>
      <w:r w:rsidRPr="00307AAE">
        <w:rPr>
          <w:rFonts w:hint="cs"/>
          <w:w w:val="100"/>
          <w:kern w:val="0"/>
          <w:rtl/>
          <w:lang w:val="fr-CH"/>
        </w:rPr>
        <w:tab/>
        <w:t>وتتراوح مدة الحبس الاحتياطي في الأرجنتين بين سنتين وثلاث سنوات تقريب</w:t>
      </w:r>
      <w:r w:rsidR="00955E01">
        <w:rPr>
          <w:rFonts w:hint="cs"/>
          <w:w w:val="100"/>
          <w:kern w:val="0"/>
          <w:rtl/>
          <w:lang w:val="fr-CH"/>
        </w:rPr>
        <w:t>اً.</w:t>
      </w:r>
    </w:p>
    <w:p w:rsidR="00750F90" w:rsidRPr="00307AAE" w:rsidRDefault="00750F90" w:rsidP="005B4725">
      <w:pPr>
        <w:pStyle w:val="SingleTxt"/>
        <w:spacing w:line="380" w:lineRule="exact"/>
        <w:rPr>
          <w:w w:val="100"/>
          <w:kern w:val="0"/>
          <w:rtl/>
          <w:lang w:val="fr-CH"/>
        </w:rPr>
      </w:pPr>
      <w:r w:rsidRPr="00307AAE">
        <w:rPr>
          <w:rFonts w:hint="cs"/>
          <w:w w:val="100"/>
          <w:kern w:val="0"/>
          <w:rtl/>
          <w:lang w:val="fr-CH"/>
        </w:rPr>
        <w:t>43-</w:t>
      </w:r>
      <w:r w:rsidRPr="00307AAE">
        <w:rPr>
          <w:rFonts w:hint="cs"/>
          <w:w w:val="100"/>
          <w:kern w:val="0"/>
          <w:rtl/>
          <w:lang w:val="fr-CH"/>
        </w:rPr>
        <w:tab/>
        <w:t>وتجدر الإشارة إلى أن عقوبة الإعدام لا تنفَّذ في الأرجنتين.</w:t>
      </w:r>
    </w:p>
    <w:p w:rsidR="00750F90" w:rsidRPr="0003012B" w:rsidRDefault="00750F90" w:rsidP="005B4725">
      <w:pPr>
        <w:pStyle w:val="SingleTxt"/>
        <w:spacing w:line="380" w:lineRule="exact"/>
        <w:rPr>
          <w:spacing w:val="-4"/>
          <w:w w:val="100"/>
          <w:kern w:val="0"/>
          <w:lang w:val="fr-CH"/>
        </w:rPr>
      </w:pPr>
      <w:r w:rsidRPr="0003012B">
        <w:rPr>
          <w:rFonts w:hint="cs"/>
          <w:spacing w:val="-4"/>
          <w:w w:val="100"/>
          <w:kern w:val="0"/>
          <w:rtl/>
          <w:lang w:val="fr-CH"/>
        </w:rPr>
        <w:t>44-</w:t>
      </w:r>
      <w:r w:rsidRPr="0003012B">
        <w:rPr>
          <w:rFonts w:hint="cs"/>
          <w:spacing w:val="-4"/>
          <w:w w:val="100"/>
          <w:kern w:val="0"/>
          <w:rtl/>
          <w:lang w:val="fr-CH"/>
        </w:rPr>
        <w:tab/>
        <w:t>ووفق</w:t>
      </w:r>
      <w:r w:rsidR="00A71B00">
        <w:rPr>
          <w:rFonts w:hint="cs"/>
          <w:spacing w:val="-4"/>
          <w:w w:val="100"/>
          <w:kern w:val="0"/>
          <w:rtl/>
          <w:lang w:val="fr-CH"/>
        </w:rPr>
        <w:t xml:space="preserve">اً </w:t>
      </w:r>
      <w:r w:rsidRPr="0003012B">
        <w:rPr>
          <w:rFonts w:hint="cs"/>
          <w:spacing w:val="-4"/>
          <w:w w:val="100"/>
          <w:kern w:val="0"/>
          <w:rtl/>
          <w:lang w:val="fr-CH"/>
        </w:rPr>
        <w:t xml:space="preserve">لتقرير النظام الوطني للإحصاءات بشأن تنفيذ العقوبات لعام 2008، كان أغلب الأشخاص المحرومين من الحرية يعيشون هذا الوضع منذ أقل من 3 سنوات، بينما لم تكن قد صدرت أحكام نهائية بخصوص معظم الحالات (جرت محاكمة 59 في المائة منهم دون صدور حكم نهائي). </w:t>
      </w:r>
    </w:p>
    <w:p w:rsidR="00750F90" w:rsidRPr="005B4725" w:rsidRDefault="00750F90" w:rsidP="005B4725">
      <w:pPr>
        <w:pStyle w:val="SingleTxt"/>
        <w:spacing w:line="380" w:lineRule="exact"/>
        <w:rPr>
          <w:spacing w:val="-4"/>
          <w:w w:val="100"/>
          <w:kern w:val="0"/>
          <w:rtl/>
          <w:lang w:val="fr-CH"/>
        </w:rPr>
      </w:pPr>
      <w:r w:rsidRPr="005B4725">
        <w:rPr>
          <w:rFonts w:hint="cs"/>
          <w:spacing w:val="-4"/>
          <w:w w:val="100"/>
          <w:kern w:val="0"/>
          <w:rtl/>
          <w:lang w:val="fr-CH"/>
        </w:rPr>
        <w:t>45-</w:t>
      </w:r>
      <w:r w:rsidRPr="005B4725">
        <w:rPr>
          <w:rFonts w:hint="cs"/>
          <w:spacing w:val="-4"/>
          <w:w w:val="100"/>
          <w:kern w:val="0"/>
          <w:rtl/>
          <w:lang w:val="fr-CH"/>
        </w:rPr>
        <w:tab/>
        <w:t>أما بخصوص مدة العقوبة المفروضة على المحتجزين الذين صدرت في حقهم أحكام بالفعل، فقد تراوحت فيما نسبته 34 في المائة من الحالات بين 3 و6 سنوات، بينما تراوحت في 26 في المائة منها بين 6 و9 سنوات. ومن جهة أخرى، بلغت نسبة المدانين ممن عاودوا ارتكاب الجريمة 20</w:t>
      </w:r>
      <w:r w:rsidR="00307AAE" w:rsidRPr="005B4725">
        <w:rPr>
          <w:rFonts w:hint="cs"/>
          <w:spacing w:val="-4"/>
          <w:w w:val="100"/>
          <w:kern w:val="0"/>
          <w:rtl/>
          <w:lang w:val="fr-CH"/>
        </w:rPr>
        <w:t>.</w:t>
      </w:r>
      <w:r w:rsidRPr="005B4725">
        <w:rPr>
          <w:rFonts w:hint="cs"/>
          <w:spacing w:val="-4"/>
          <w:w w:val="100"/>
          <w:kern w:val="0"/>
          <w:rtl/>
          <w:lang w:val="fr-CH"/>
        </w:rPr>
        <w:t>4 في المائة (12</w:t>
      </w:r>
      <w:r w:rsidR="00307AAE" w:rsidRPr="005B4725">
        <w:rPr>
          <w:rFonts w:hint="cs"/>
          <w:spacing w:val="-4"/>
          <w:w w:val="100"/>
          <w:kern w:val="0"/>
          <w:rtl/>
          <w:lang w:val="fr-CH"/>
        </w:rPr>
        <w:t>.</w:t>
      </w:r>
      <w:r w:rsidRPr="005B4725">
        <w:rPr>
          <w:rFonts w:hint="cs"/>
          <w:spacing w:val="-4"/>
          <w:w w:val="100"/>
          <w:kern w:val="0"/>
          <w:rtl/>
          <w:lang w:val="fr-CH"/>
        </w:rPr>
        <w:t>3 في المائة منهم عدة مرات) بينما فُرضت تدابير أمنية على 2 في المائة منهم.</w:t>
      </w:r>
    </w:p>
    <w:p w:rsidR="00750F90" w:rsidRPr="00307AAE" w:rsidRDefault="00750F90" w:rsidP="005B4725">
      <w:pPr>
        <w:pStyle w:val="SingleTxt"/>
        <w:spacing w:line="380" w:lineRule="exact"/>
        <w:rPr>
          <w:w w:val="100"/>
          <w:kern w:val="0"/>
          <w:rtl/>
          <w:lang w:val="fr-CH"/>
        </w:rPr>
      </w:pPr>
      <w:r w:rsidRPr="00307AAE">
        <w:rPr>
          <w:rFonts w:hint="cs"/>
          <w:w w:val="100"/>
          <w:kern w:val="0"/>
          <w:rtl/>
          <w:lang w:val="fr-CH"/>
        </w:rPr>
        <w:t>46-</w:t>
      </w:r>
      <w:r w:rsidRPr="00307AAE">
        <w:rPr>
          <w:rFonts w:hint="cs"/>
          <w:w w:val="100"/>
          <w:kern w:val="0"/>
          <w:rtl/>
          <w:lang w:val="fr-CH"/>
        </w:rPr>
        <w:tab/>
        <w:t>وأخير</w:t>
      </w:r>
      <w:r w:rsidR="00955E01">
        <w:rPr>
          <w:rFonts w:hint="cs"/>
          <w:w w:val="100"/>
          <w:kern w:val="0"/>
          <w:rtl/>
          <w:lang w:val="fr-CH"/>
        </w:rPr>
        <w:t>اً،</w:t>
      </w:r>
      <w:r w:rsidRPr="00307AAE">
        <w:rPr>
          <w:rFonts w:hint="cs"/>
          <w:w w:val="100"/>
          <w:kern w:val="0"/>
          <w:rtl/>
          <w:lang w:val="fr-CH"/>
        </w:rPr>
        <w:t xml:space="preserve"> تجدر الإشارة إلى أن أغلب المحتجزين متهمون بارتكاب جريمة ضد الممتلكات (السرقة والنهب). وبلغ عدد المحتجزين المتهمين بارتكاب جرائم القتل العمد 839 7 شخص</w:t>
      </w:r>
      <w:r w:rsidR="00A71B00">
        <w:rPr>
          <w:rFonts w:hint="cs"/>
          <w:w w:val="100"/>
          <w:kern w:val="0"/>
          <w:rtl/>
          <w:lang w:val="fr-CH"/>
        </w:rPr>
        <w:t xml:space="preserve">اً </w:t>
      </w:r>
      <w:r w:rsidRPr="00307AAE">
        <w:rPr>
          <w:rFonts w:hint="cs"/>
          <w:w w:val="100"/>
          <w:kern w:val="0"/>
          <w:rtl/>
          <w:lang w:val="fr-CH"/>
        </w:rPr>
        <w:t>وعدد المتهمين بارتكاب إحدى المخالفات 252 3 شخص</w:t>
      </w:r>
      <w:r w:rsidR="00955E01">
        <w:rPr>
          <w:rFonts w:hint="cs"/>
          <w:w w:val="100"/>
          <w:kern w:val="0"/>
          <w:rtl/>
          <w:lang w:val="fr-CH"/>
        </w:rPr>
        <w:t>اً.</w:t>
      </w:r>
      <w:r w:rsidRPr="00307AAE">
        <w:rPr>
          <w:rFonts w:hint="cs"/>
          <w:w w:val="100"/>
          <w:kern w:val="0"/>
          <w:rtl/>
          <w:lang w:val="fr-CH"/>
        </w:rPr>
        <w:t xml:space="preserve"> </w:t>
      </w:r>
    </w:p>
    <w:p w:rsidR="00307AAE" w:rsidRPr="00307AAE" w:rsidRDefault="00307AAE" w:rsidP="00307AA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rPr>
      </w:pPr>
    </w:p>
    <w:p w:rsidR="00307AAE" w:rsidRPr="00307AAE" w:rsidRDefault="00307AAE" w:rsidP="00307AA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kern w:val="0"/>
          <w:sz w:val="10"/>
          <w:rtl/>
        </w:rPr>
      </w:pPr>
    </w:p>
    <w:p w:rsidR="00750F90" w:rsidRPr="00307AAE" w:rsidRDefault="00750F90" w:rsidP="00307AA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kern w:val="0"/>
          <w:rtl/>
        </w:rPr>
      </w:pPr>
      <w:r w:rsidRPr="00307AAE">
        <w:rPr>
          <w:rFonts w:hint="cs"/>
          <w:w w:val="100"/>
          <w:kern w:val="0"/>
          <w:rtl/>
        </w:rPr>
        <w:tab/>
      </w:r>
      <w:bookmarkStart w:id="5" w:name="_Toc430532833"/>
      <w:r w:rsidRPr="00307AAE">
        <w:rPr>
          <w:w w:val="100"/>
          <w:kern w:val="0"/>
          <w:rtl/>
        </w:rPr>
        <w:t>باء</w:t>
      </w:r>
      <w:r w:rsidR="00307AAE" w:rsidRPr="00307AAE">
        <w:rPr>
          <w:rFonts w:hint="cs"/>
          <w:w w:val="100"/>
          <w:kern w:val="0"/>
          <w:rtl/>
        </w:rPr>
        <w:t>-</w:t>
      </w:r>
      <w:r w:rsidR="00307AAE" w:rsidRPr="00307AAE">
        <w:rPr>
          <w:rFonts w:hint="cs"/>
          <w:w w:val="100"/>
          <w:kern w:val="0"/>
          <w:rtl/>
        </w:rPr>
        <w:tab/>
      </w:r>
      <w:r w:rsidRPr="00307AAE">
        <w:rPr>
          <w:w w:val="100"/>
          <w:kern w:val="0"/>
          <w:rtl/>
        </w:rPr>
        <w:t>الهيكل الدستوري والسياسي والقانوني للدولة</w:t>
      </w:r>
      <w:bookmarkEnd w:id="5"/>
    </w:p>
    <w:p w:rsidR="00307AAE" w:rsidRPr="00307AAE" w:rsidRDefault="00307AAE" w:rsidP="00307AAE">
      <w:pPr>
        <w:pStyle w:val="SingleTxt"/>
        <w:spacing w:after="0" w:line="120" w:lineRule="exact"/>
        <w:rPr>
          <w:w w:val="100"/>
          <w:kern w:val="0"/>
          <w:sz w:val="10"/>
          <w:rtl/>
        </w:rPr>
      </w:pPr>
    </w:p>
    <w:p w:rsidR="00750F90" w:rsidRPr="00307AAE" w:rsidRDefault="00750F90" w:rsidP="00307AA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tl/>
        </w:rPr>
      </w:pPr>
      <w:r w:rsidRPr="00307AAE">
        <w:rPr>
          <w:rFonts w:hint="cs"/>
          <w:spacing w:val="0"/>
          <w:w w:val="100"/>
          <w:kern w:val="0"/>
          <w:rtl/>
        </w:rPr>
        <w:tab/>
        <w:t>1-</w:t>
      </w:r>
      <w:r w:rsidRPr="00307AAE">
        <w:rPr>
          <w:rFonts w:hint="cs"/>
          <w:spacing w:val="0"/>
          <w:w w:val="100"/>
          <w:kern w:val="0"/>
          <w:rtl/>
        </w:rPr>
        <w:tab/>
        <w:t>نظام الحكم الجمهوري</w:t>
      </w:r>
    </w:p>
    <w:p w:rsidR="00750F90" w:rsidRPr="00307AAE" w:rsidRDefault="00750F90" w:rsidP="005B4725">
      <w:pPr>
        <w:pStyle w:val="SingleTxt"/>
        <w:spacing w:line="380" w:lineRule="exact"/>
        <w:rPr>
          <w:w w:val="100"/>
          <w:kern w:val="0"/>
          <w:lang w:val="fr-CH"/>
        </w:rPr>
      </w:pPr>
      <w:r w:rsidRPr="00307AAE">
        <w:rPr>
          <w:rFonts w:hint="cs"/>
          <w:w w:val="100"/>
          <w:kern w:val="0"/>
          <w:rtl/>
        </w:rPr>
        <w:t>47-</w:t>
      </w:r>
      <w:r w:rsidRPr="00307AAE">
        <w:rPr>
          <w:rFonts w:hint="cs"/>
          <w:w w:val="100"/>
          <w:kern w:val="0"/>
          <w:rtl/>
        </w:rPr>
        <w:tab/>
        <w:t xml:space="preserve">يستند النظام السياسي لجمهورية الأرجنتين إلى نظام الحكم التمثيلي الجمهوري الاتحادي، المكرس في الدستور الوطني الذي اعتمده في عام 1853 المؤتمر العام المؤسس للاتحاد الأرجنتيني. وقد خضع نص هذا الدستور إلى إصلاحات في عام 1860، وبخاصة ضم محافظة بوينس آيرس التي كانت منفصلة عن الاتحاد الأرجنتيني في الفترة ما بين عامي 1853 و1860. وفي عام 1949، عدلت جمعية تأسيسية نص الدستور المعمول به في الفترة 1853/1860، الذي ألغته الحكومة </w:t>
      </w:r>
      <w:r w:rsidRPr="0003012B">
        <w:rPr>
          <w:rFonts w:hint="cs"/>
          <w:spacing w:val="-4"/>
          <w:w w:val="100"/>
          <w:kern w:val="0"/>
          <w:rtl/>
        </w:rPr>
        <w:t>المؤقتة أيض</w:t>
      </w:r>
      <w:r w:rsidR="00A71B00">
        <w:rPr>
          <w:rFonts w:hint="cs"/>
          <w:spacing w:val="-4"/>
          <w:w w:val="100"/>
          <w:kern w:val="0"/>
          <w:rtl/>
        </w:rPr>
        <w:t xml:space="preserve">اً </w:t>
      </w:r>
      <w:r w:rsidRPr="0003012B">
        <w:rPr>
          <w:rFonts w:hint="cs"/>
          <w:spacing w:val="-4"/>
          <w:w w:val="100"/>
          <w:kern w:val="0"/>
          <w:rtl/>
        </w:rPr>
        <w:t>في عام 1956 وأعادت العمل بالنص السابق. وفي 22 آب/أغسطس 1994، اعتمدت</w:t>
      </w:r>
      <w:r w:rsidRPr="00307AAE">
        <w:rPr>
          <w:rFonts w:hint="cs"/>
          <w:w w:val="100"/>
          <w:kern w:val="0"/>
          <w:rtl/>
        </w:rPr>
        <w:t xml:space="preserve"> جمعية وطنية تأسيسية إصلاحات للدستور الوطني دخلت حيز النفاذ في 24 آب/أغسطس 1994. وتتعلق هذه الإصلاحات، أساس</w:t>
      </w:r>
      <w:r w:rsidR="00955E01">
        <w:rPr>
          <w:rFonts w:hint="cs"/>
          <w:w w:val="100"/>
          <w:kern w:val="0"/>
          <w:rtl/>
        </w:rPr>
        <w:t>اً،</w:t>
      </w:r>
      <w:r w:rsidRPr="00307AAE">
        <w:rPr>
          <w:rFonts w:hint="cs"/>
          <w:w w:val="100"/>
          <w:kern w:val="0"/>
          <w:rtl/>
        </w:rPr>
        <w:t xml:space="preserve"> بالجزء التنظيمي من الدستور.</w:t>
      </w:r>
    </w:p>
    <w:p w:rsidR="00750F90" w:rsidRPr="00307AAE" w:rsidRDefault="00750F90" w:rsidP="005B4725">
      <w:pPr>
        <w:pStyle w:val="SingleTxt"/>
        <w:spacing w:line="380" w:lineRule="exact"/>
        <w:rPr>
          <w:w w:val="100"/>
          <w:kern w:val="0"/>
          <w:rtl/>
        </w:rPr>
      </w:pPr>
      <w:r w:rsidRPr="00307AAE">
        <w:rPr>
          <w:rFonts w:hint="cs"/>
          <w:w w:val="100"/>
          <w:kern w:val="0"/>
          <w:rtl/>
        </w:rPr>
        <w:t>48-</w:t>
      </w:r>
      <w:r w:rsidRPr="00307AAE">
        <w:rPr>
          <w:rFonts w:hint="cs"/>
          <w:w w:val="100"/>
          <w:kern w:val="0"/>
          <w:rtl/>
        </w:rPr>
        <w:tab/>
      </w:r>
      <w:r w:rsidRPr="0003012B">
        <w:rPr>
          <w:rFonts w:hint="cs"/>
          <w:spacing w:val="-4"/>
          <w:w w:val="100"/>
          <w:kern w:val="0"/>
          <w:rtl/>
        </w:rPr>
        <w:t>ونظام الحكم رئاسي، يقوم على أساس الفصل بين السلطات التشريعية والتنفيذية والقضائية. والسلطة</w:t>
      </w:r>
      <w:r w:rsidRPr="00307AAE">
        <w:rPr>
          <w:rFonts w:hint="cs"/>
          <w:w w:val="100"/>
          <w:kern w:val="0"/>
          <w:rtl/>
        </w:rPr>
        <w:t xml:space="preserve"> التنفيذية من اختصاص رئيس الدولة. </w:t>
      </w:r>
    </w:p>
    <w:p w:rsidR="00750F90" w:rsidRPr="00307AAE" w:rsidRDefault="00750F90" w:rsidP="005B4725">
      <w:pPr>
        <w:pStyle w:val="SingleTxt"/>
        <w:spacing w:line="380" w:lineRule="exact"/>
        <w:rPr>
          <w:w w:val="100"/>
          <w:kern w:val="0"/>
          <w:rtl/>
        </w:rPr>
      </w:pPr>
      <w:r w:rsidRPr="00307AAE">
        <w:rPr>
          <w:rFonts w:hint="cs"/>
          <w:w w:val="100"/>
          <w:kern w:val="0"/>
          <w:rtl/>
        </w:rPr>
        <w:t>49-</w:t>
      </w:r>
      <w:r w:rsidRPr="00307AAE">
        <w:rPr>
          <w:rFonts w:hint="cs"/>
          <w:w w:val="100"/>
          <w:kern w:val="0"/>
          <w:rtl/>
        </w:rPr>
        <w:tab/>
        <w:t>وتتكون جمهورية الأرجنتين من 23 محافظة ومدينة بوينس آيرس المستقلة ذاتياً. والمحافظات هي: بوينس آيرس، وكتاماركا، وكوريينتيس، وقرطبة، وتشاكو، وتشوبوت، وإينتري ريوس، وفورموسا، وخوخوي، ولابامبا، ولاريوخا، وميندوسا، وميسيونيس، ونيوكين، وريو نيغرو، وسالتا، وسان خوان، وسان لويس، وسانتا كروث، وسانتا في، وسانتياغو ديل إيستيرو، وتوكومان وتييرا ديل فويغو</w:t>
      </w:r>
      <w:r w:rsidR="00307AAE" w:rsidRPr="00307AAE">
        <w:rPr>
          <w:w w:val="100"/>
          <w:kern w:val="0"/>
          <w:vertAlign w:val="superscript"/>
          <w:rtl/>
        </w:rPr>
        <w:t>(</w:t>
      </w:r>
      <w:r w:rsidR="00307AAE" w:rsidRPr="00307AAE">
        <w:rPr>
          <w:rStyle w:val="FootnoteReference"/>
          <w:color w:val="000000" w:themeColor="text1"/>
          <w:spacing w:val="0"/>
          <w:w w:val="100"/>
          <w:kern w:val="0"/>
          <w:sz w:val="18"/>
          <w:szCs w:val="32"/>
          <w:rtl/>
        </w:rPr>
        <w:footnoteReference w:id="3"/>
      </w:r>
      <w:r w:rsidR="00307AAE" w:rsidRPr="00307AAE">
        <w:rPr>
          <w:w w:val="100"/>
          <w:kern w:val="0"/>
          <w:vertAlign w:val="superscript"/>
          <w:rtl/>
        </w:rPr>
        <w:t>)</w:t>
      </w:r>
      <w:r w:rsidRPr="00307AAE">
        <w:rPr>
          <w:rFonts w:hint="cs"/>
          <w:w w:val="100"/>
          <w:kern w:val="0"/>
          <w:rtl/>
        </w:rPr>
        <w:t xml:space="preserve">. </w:t>
      </w:r>
    </w:p>
    <w:p w:rsidR="00750F90" w:rsidRPr="0003012B" w:rsidRDefault="00750F90" w:rsidP="00A71B00">
      <w:pPr>
        <w:pStyle w:val="SingleTxt"/>
        <w:spacing w:line="380" w:lineRule="exact"/>
        <w:rPr>
          <w:spacing w:val="-2"/>
          <w:w w:val="100"/>
          <w:kern w:val="0"/>
          <w:rtl/>
        </w:rPr>
      </w:pPr>
      <w:r w:rsidRPr="0003012B">
        <w:rPr>
          <w:rFonts w:hint="cs"/>
          <w:spacing w:val="-2"/>
          <w:w w:val="100"/>
          <w:kern w:val="0"/>
          <w:rtl/>
        </w:rPr>
        <w:t>50-</w:t>
      </w:r>
      <w:r w:rsidRPr="0003012B">
        <w:rPr>
          <w:rFonts w:hint="cs"/>
          <w:spacing w:val="-2"/>
          <w:w w:val="100"/>
          <w:kern w:val="0"/>
          <w:rtl/>
        </w:rPr>
        <w:tab/>
        <w:t>وبما أن الأمر يتعلق بجمهورية اتحادية، فإن المحافظات تتمتع بالاستقلال الذاتي عن الدولة فيما</w:t>
      </w:r>
      <w:r w:rsidR="00A71B00">
        <w:rPr>
          <w:rFonts w:hint="eastAsia"/>
          <w:spacing w:val="-2"/>
          <w:w w:val="100"/>
          <w:kern w:val="0"/>
          <w:rtl/>
        </w:rPr>
        <w:t> </w:t>
      </w:r>
      <w:r w:rsidRPr="0003012B">
        <w:rPr>
          <w:rFonts w:hint="cs"/>
          <w:spacing w:val="-2"/>
          <w:w w:val="100"/>
          <w:kern w:val="0"/>
          <w:rtl/>
        </w:rPr>
        <w:t xml:space="preserve">يخص نظامها المحلي، بما يتواءم مع الدستور الوطني. </w:t>
      </w:r>
      <w:r w:rsidRPr="0003012B">
        <w:rPr>
          <w:rFonts w:hint="cs"/>
          <w:spacing w:val="-2"/>
          <w:w w:val="100"/>
          <w:kern w:val="0"/>
          <w:rtl/>
          <w:lang w:val="fr-CH"/>
        </w:rPr>
        <w:t>وتضع كل منها دستورها الخاص، الذي تكفل فيه إقامة العدل والاستقلال الذاتي للبلديات، من خلال تحديد نطاق ومحتوى النظام المؤسسي والسياسي والإداري والاقتصادي والمالي. وتنتخب سلطاتها المتمثلة في المحافظ، وأعضاء المجلس التشريعي وغيرهم من موظفي المحافظة. وتصدر قوانينها من خلال المؤسسات المحلية ولديها صلاحية إبرام اتفاقات دولية، شريطة ألا تتعارض مع السياسة الخارجية للدولة وألا تمس بالصلاحيات المخولة للحكومة الاتحادية أو</w:t>
      </w:r>
      <w:r w:rsidR="0003012B">
        <w:rPr>
          <w:rFonts w:hint="eastAsia"/>
          <w:spacing w:val="-2"/>
          <w:w w:val="100"/>
          <w:kern w:val="0"/>
          <w:rtl/>
          <w:lang w:val="fr-CH"/>
        </w:rPr>
        <w:t> </w:t>
      </w:r>
      <w:r w:rsidRPr="0003012B">
        <w:rPr>
          <w:rFonts w:hint="cs"/>
          <w:spacing w:val="-2"/>
          <w:w w:val="100"/>
          <w:kern w:val="0"/>
          <w:rtl/>
          <w:lang w:val="fr-CH"/>
        </w:rPr>
        <w:t>بالدَّين العام للدولة. وعلى غرار ذلك، يجوز لها، بموافقة الكونغرس الاتحادي، إبرام معاهدات جزئية لأغراض إقامة العدل، ورعاية المصالح الاقتصادية والخدمات ذات المنفعة العامة</w:t>
      </w:r>
      <w:r w:rsidRPr="0003012B">
        <w:rPr>
          <w:rFonts w:hint="cs"/>
          <w:spacing w:val="-2"/>
          <w:w w:val="100"/>
          <w:kern w:val="0"/>
          <w:rtl/>
        </w:rPr>
        <w:t xml:space="preserve">. </w:t>
      </w:r>
    </w:p>
    <w:p w:rsidR="00307AAE" w:rsidRPr="00307AAE" w:rsidRDefault="00307AAE" w:rsidP="00307AA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pacing w:val="0"/>
          <w:w w:val="100"/>
          <w:kern w:val="0"/>
          <w:sz w:val="10"/>
          <w:rtl/>
        </w:rPr>
      </w:pPr>
    </w:p>
    <w:p w:rsidR="00750F90" w:rsidRPr="00307AAE" w:rsidRDefault="00750F90" w:rsidP="00307AA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kern w:val="0"/>
        </w:rPr>
      </w:pPr>
      <w:r w:rsidRPr="00307AAE">
        <w:rPr>
          <w:rFonts w:hint="cs"/>
          <w:spacing w:val="0"/>
          <w:w w:val="100"/>
          <w:kern w:val="0"/>
          <w:rtl/>
        </w:rPr>
        <w:tab/>
        <w:t>2-</w:t>
      </w:r>
      <w:r w:rsidRPr="00307AAE">
        <w:rPr>
          <w:rFonts w:hint="cs"/>
          <w:spacing w:val="0"/>
          <w:w w:val="100"/>
          <w:kern w:val="0"/>
          <w:rtl/>
        </w:rPr>
        <w:tab/>
        <w:t>سلطات الدولة. الحكومة الاتحادية</w:t>
      </w:r>
    </w:p>
    <w:p w:rsidR="00750F90" w:rsidRPr="0003012B" w:rsidRDefault="00307AAE" w:rsidP="0003012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03012B">
        <w:rPr>
          <w:rFonts w:hint="cs"/>
          <w:w w:val="100"/>
          <w:rtl/>
        </w:rPr>
        <w:tab/>
      </w:r>
      <w:r w:rsidRPr="0003012B">
        <w:rPr>
          <w:rFonts w:hint="cs"/>
          <w:w w:val="100"/>
          <w:rtl/>
        </w:rPr>
        <w:tab/>
      </w:r>
      <w:r w:rsidR="00750F90" w:rsidRPr="0003012B">
        <w:rPr>
          <w:rFonts w:hint="cs"/>
          <w:w w:val="100"/>
          <w:rtl/>
        </w:rPr>
        <w:t>السلطة التشريعية</w:t>
      </w:r>
    </w:p>
    <w:p w:rsidR="00750F90" w:rsidRPr="005B4725" w:rsidRDefault="00750F90" w:rsidP="005B4725">
      <w:pPr>
        <w:pStyle w:val="SingleTxt"/>
        <w:spacing w:line="380" w:lineRule="exact"/>
        <w:rPr>
          <w:spacing w:val="-4"/>
          <w:w w:val="100"/>
          <w:kern w:val="0"/>
          <w:rtl/>
        </w:rPr>
      </w:pPr>
      <w:r w:rsidRPr="005B4725">
        <w:rPr>
          <w:rFonts w:hint="cs"/>
          <w:spacing w:val="-4"/>
          <w:w w:val="100"/>
          <w:kern w:val="0"/>
          <w:rtl/>
        </w:rPr>
        <w:t>51-</w:t>
      </w:r>
      <w:r w:rsidRPr="005B4725">
        <w:rPr>
          <w:rFonts w:hint="cs"/>
          <w:spacing w:val="-4"/>
          <w:w w:val="100"/>
          <w:kern w:val="0"/>
          <w:rtl/>
        </w:rPr>
        <w:tab/>
        <w:t>وفق</w:t>
      </w:r>
      <w:r w:rsidR="00A71B00">
        <w:rPr>
          <w:rFonts w:hint="cs"/>
          <w:spacing w:val="-4"/>
          <w:w w:val="100"/>
          <w:kern w:val="0"/>
          <w:rtl/>
        </w:rPr>
        <w:t xml:space="preserve">اً </w:t>
      </w:r>
      <w:r w:rsidRPr="005B4725">
        <w:rPr>
          <w:rFonts w:hint="cs"/>
          <w:spacing w:val="-4"/>
          <w:w w:val="100"/>
          <w:kern w:val="0"/>
          <w:rtl/>
        </w:rPr>
        <w:t>للدستور الوطني الساري المفعول، تتألف السلطة التشريعية من الكونغرس الذي يضم مجلسين هما مجلس النواب ومجلس الشيوخ (المادة 44 من الدستور الوطني). ويتألف مجلس النواب من أعضاء ينتخبهم الشعب في المحافظات ومدينة بوينس آيريس بالاقتراع المباشر، ويتوقف عددهم على مجموع السكان. وللأغراض الانتخابية، ينقسم البلد إلى مقاطعات، تنتخب كل واحدة منها مرشحيها بما يتناسب وعددَ سكانها. وتدوم ولايتهم أربع سنوات ويجدَّد نصفهم كل سنتين، ويجوز إعادة انتخابهم.</w:t>
      </w:r>
    </w:p>
    <w:p w:rsidR="00750F90" w:rsidRPr="00307AAE" w:rsidRDefault="00750F90" w:rsidP="005B4725">
      <w:pPr>
        <w:pStyle w:val="SingleTxt"/>
        <w:spacing w:line="380" w:lineRule="exact"/>
        <w:rPr>
          <w:w w:val="100"/>
          <w:kern w:val="0"/>
          <w:rtl/>
        </w:rPr>
      </w:pPr>
      <w:r w:rsidRPr="00307AAE">
        <w:rPr>
          <w:rFonts w:hint="cs"/>
          <w:w w:val="100"/>
          <w:kern w:val="0"/>
          <w:rtl/>
        </w:rPr>
        <w:t>52-</w:t>
      </w:r>
      <w:r w:rsidRPr="00307AAE">
        <w:rPr>
          <w:rFonts w:hint="cs"/>
          <w:w w:val="100"/>
          <w:kern w:val="0"/>
          <w:rtl/>
        </w:rPr>
        <w:tab/>
        <w:t>ويتألف مجلس الشيوخ من ثلاثة أعضاء عن كل محافظة وثلاثة عن مدينة بوينس آيرس، يُنتخبون بالاقتراع المباشر بشكل متزامن، على أساس مقعدين للحزب السياسي الذي يحصل على أكبر عدد من الأصوات، والمقعد الآخر للحزب السياسي الذي يليه من حيث عدد الأصوات. ويكون لكل عضو في مجلس الشيوخ صوت واحد (المادة 54 من الدستور الوطني). وتدوم ولاية الأعضاء ست سنوات، ويجوز إعادة انتخابهم لفترات غير محددة. وتجديد المجلس جزئي، حيث يجدَّد ثلثه كل عامين (المادة 56 من الدستور الوطني).</w:t>
      </w:r>
    </w:p>
    <w:p w:rsidR="00750F90" w:rsidRPr="00307AAE" w:rsidRDefault="00750F90" w:rsidP="005B4725">
      <w:pPr>
        <w:pStyle w:val="SingleTxt"/>
        <w:spacing w:line="380" w:lineRule="exact"/>
        <w:rPr>
          <w:w w:val="100"/>
          <w:kern w:val="0"/>
          <w:rtl/>
        </w:rPr>
      </w:pPr>
      <w:r w:rsidRPr="00307AAE">
        <w:rPr>
          <w:rFonts w:hint="cs"/>
          <w:w w:val="100"/>
          <w:kern w:val="0"/>
          <w:rtl/>
        </w:rPr>
        <w:t>53-</w:t>
      </w:r>
      <w:r w:rsidRPr="00307AAE">
        <w:rPr>
          <w:rFonts w:hint="cs"/>
          <w:w w:val="100"/>
          <w:kern w:val="0"/>
          <w:rtl/>
        </w:rPr>
        <w:tab/>
        <w:t>وصياغة القوانين والموافقة عليها من مهام السلطة التشريعية. ومن اختصاصات الكونغرس الوطني أيض</w:t>
      </w:r>
      <w:r w:rsidR="00A71B00">
        <w:rPr>
          <w:rFonts w:hint="cs"/>
          <w:w w:val="100"/>
          <w:kern w:val="0"/>
          <w:rtl/>
        </w:rPr>
        <w:t xml:space="preserve">اً </w:t>
      </w:r>
      <w:r w:rsidRPr="00307AAE">
        <w:rPr>
          <w:rFonts w:hint="cs"/>
          <w:w w:val="100"/>
          <w:kern w:val="0"/>
          <w:rtl/>
        </w:rPr>
        <w:t>إعلان حالة الحصار في منطقة أو عدة مناطق من الدولة في حالة اضطرابات داخلية، والموافقة عليها أو تعليقها عندما تعلنها السلطة التنفيذية خلال فترة إجازة الكونغرس.</w:t>
      </w:r>
    </w:p>
    <w:p w:rsidR="00750F90" w:rsidRPr="005B4725" w:rsidRDefault="00750F90" w:rsidP="005B4725">
      <w:pPr>
        <w:pStyle w:val="SingleTxt"/>
        <w:spacing w:line="380" w:lineRule="exact"/>
        <w:rPr>
          <w:spacing w:val="-4"/>
          <w:w w:val="100"/>
          <w:kern w:val="0"/>
          <w:rtl/>
        </w:rPr>
      </w:pPr>
      <w:r w:rsidRPr="005B4725">
        <w:rPr>
          <w:rFonts w:hint="cs"/>
          <w:spacing w:val="-4"/>
          <w:w w:val="100"/>
          <w:kern w:val="0"/>
          <w:rtl/>
        </w:rPr>
        <w:t>54-</w:t>
      </w:r>
      <w:r w:rsidRPr="005B4725">
        <w:rPr>
          <w:rFonts w:hint="cs"/>
          <w:spacing w:val="-4"/>
          <w:w w:val="100"/>
          <w:kern w:val="0"/>
          <w:rtl/>
        </w:rPr>
        <w:tab/>
        <w:t>كما يندرج ضمن مؤسسات السلطة التشريعية الهيئةُ الوطنية العامة لمراجعة الحسابات ومكتبُ أمين المظالم. والهيئة الوطنية العامة لمراجعة الحسابات جهاز للمساعدة التقنية للكونغرس، تتمتع بالاستقلالية الوظيفية لأغراض المراقبة الخارجية للقطاع العام الوطني في جوانبه المتعلقة بالممتلكات والمسائل الاقتصادية والمالية والتنفيذية، بوصف ذلك اختصاص</w:t>
      </w:r>
      <w:r w:rsidR="00A71B00">
        <w:rPr>
          <w:rFonts w:hint="cs"/>
          <w:spacing w:val="-4"/>
          <w:w w:val="100"/>
          <w:kern w:val="0"/>
          <w:rtl/>
        </w:rPr>
        <w:t xml:space="preserve">اً </w:t>
      </w:r>
      <w:r w:rsidRPr="005B4725">
        <w:rPr>
          <w:rFonts w:hint="cs"/>
          <w:spacing w:val="-4"/>
          <w:w w:val="100"/>
          <w:kern w:val="0"/>
          <w:rtl/>
        </w:rPr>
        <w:t>حصري</w:t>
      </w:r>
      <w:r w:rsidR="00A71B00">
        <w:rPr>
          <w:rFonts w:hint="cs"/>
          <w:spacing w:val="-4"/>
          <w:w w:val="100"/>
          <w:kern w:val="0"/>
          <w:rtl/>
        </w:rPr>
        <w:t xml:space="preserve">اً </w:t>
      </w:r>
      <w:r w:rsidRPr="005B4725">
        <w:rPr>
          <w:rFonts w:hint="cs"/>
          <w:spacing w:val="-4"/>
          <w:w w:val="100"/>
          <w:kern w:val="0"/>
          <w:rtl/>
        </w:rPr>
        <w:t>لها (المادة 85 من الدستور الوطني).</w:t>
      </w:r>
    </w:p>
    <w:p w:rsidR="00750F90" w:rsidRPr="0003012B" w:rsidRDefault="00750F90" w:rsidP="005B4725">
      <w:pPr>
        <w:pStyle w:val="SingleTxt"/>
        <w:spacing w:line="380" w:lineRule="exact"/>
        <w:rPr>
          <w:spacing w:val="-4"/>
          <w:w w:val="100"/>
          <w:kern w:val="0"/>
          <w:rtl/>
          <w:lang w:val="fr-CH"/>
        </w:rPr>
      </w:pPr>
      <w:r w:rsidRPr="0003012B">
        <w:rPr>
          <w:rFonts w:hint="cs"/>
          <w:spacing w:val="-4"/>
          <w:w w:val="100"/>
          <w:kern w:val="0"/>
          <w:rtl/>
        </w:rPr>
        <w:t>55-</w:t>
      </w:r>
      <w:r w:rsidRPr="0003012B">
        <w:rPr>
          <w:rFonts w:hint="cs"/>
          <w:spacing w:val="-4"/>
          <w:w w:val="100"/>
          <w:kern w:val="0"/>
          <w:rtl/>
        </w:rPr>
        <w:tab/>
        <w:t xml:space="preserve">ومكتب أمين المظالم هيئة </w:t>
      </w:r>
      <w:r w:rsidRPr="0003012B">
        <w:rPr>
          <w:rFonts w:hint="cs"/>
          <w:spacing w:val="-4"/>
          <w:w w:val="100"/>
          <w:kern w:val="0"/>
          <w:rtl/>
          <w:lang w:val="fr-CH"/>
        </w:rPr>
        <w:t>مستقلة داخل الكونغرس الوطني، لديها الاستقلالية الوظيفية التامة، مهمتها صون وحماية حقوق الإنسان وغيرها من الحقوق والضمانات والمصالح المكفولة في الدستور والقوانين، إزاء ممارسات الإدارة أو أفعالها أو مَواطن تقصيرها (المادة 86 من الدستور الوطني).</w:t>
      </w:r>
    </w:p>
    <w:p w:rsidR="0003012B" w:rsidRPr="0003012B" w:rsidRDefault="0003012B" w:rsidP="0003012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750F90" w:rsidRPr="00307AAE" w:rsidRDefault="0003012B" w:rsidP="0003012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CH"/>
        </w:rPr>
      </w:pPr>
      <w:r>
        <w:rPr>
          <w:rFonts w:hint="cs"/>
          <w:w w:val="100"/>
          <w:rtl/>
        </w:rPr>
        <w:tab/>
      </w:r>
      <w:r>
        <w:rPr>
          <w:rFonts w:hint="cs"/>
          <w:w w:val="100"/>
          <w:rtl/>
        </w:rPr>
        <w:tab/>
      </w:r>
      <w:r w:rsidR="00750F90" w:rsidRPr="00307AAE">
        <w:rPr>
          <w:rFonts w:hint="cs"/>
          <w:w w:val="100"/>
          <w:rtl/>
        </w:rPr>
        <w:t>السلطة التنفيذية</w:t>
      </w:r>
    </w:p>
    <w:p w:rsidR="00750F90" w:rsidRPr="00307AAE" w:rsidRDefault="00750F90" w:rsidP="005B4725">
      <w:pPr>
        <w:pStyle w:val="SingleTxt"/>
        <w:spacing w:line="390" w:lineRule="exact"/>
        <w:rPr>
          <w:w w:val="100"/>
          <w:kern w:val="0"/>
          <w:rtl/>
        </w:rPr>
      </w:pPr>
      <w:r w:rsidRPr="00307AAE">
        <w:rPr>
          <w:rFonts w:hint="cs"/>
          <w:w w:val="100"/>
          <w:kern w:val="0"/>
          <w:rtl/>
        </w:rPr>
        <w:t>56-</w:t>
      </w:r>
      <w:r w:rsidRPr="00307AAE">
        <w:rPr>
          <w:rFonts w:hint="cs"/>
          <w:w w:val="100"/>
          <w:kern w:val="0"/>
          <w:rtl/>
        </w:rPr>
        <w:tab/>
        <w:t xml:space="preserve">تناط السلطة التنفيذية الوطنية بمُواطن يحمل صفة رئيس دولة الأرجنتين </w:t>
      </w:r>
      <w:r w:rsidRPr="00307AAE">
        <w:rPr>
          <w:rFonts w:hint="cs"/>
          <w:w w:val="100"/>
          <w:kern w:val="0"/>
          <w:rtl/>
          <w:lang w:val="fr-CH"/>
        </w:rPr>
        <w:t>(المادة 87 من الدستور الوطني)</w:t>
      </w:r>
      <w:r w:rsidRPr="00307AAE">
        <w:rPr>
          <w:rFonts w:hint="cs"/>
          <w:w w:val="100"/>
          <w:kern w:val="0"/>
          <w:rtl/>
        </w:rPr>
        <w:t>.</w:t>
      </w:r>
    </w:p>
    <w:p w:rsidR="00750F90" w:rsidRPr="00307AAE" w:rsidRDefault="00750F90" w:rsidP="00A71B00">
      <w:pPr>
        <w:pStyle w:val="SingleTxt"/>
        <w:spacing w:line="390" w:lineRule="exact"/>
        <w:rPr>
          <w:w w:val="100"/>
          <w:kern w:val="0"/>
          <w:rtl/>
        </w:rPr>
      </w:pPr>
      <w:r w:rsidRPr="00307AAE">
        <w:rPr>
          <w:rFonts w:hint="cs"/>
          <w:w w:val="100"/>
          <w:kern w:val="0"/>
          <w:rtl/>
        </w:rPr>
        <w:t>57-</w:t>
      </w:r>
      <w:r w:rsidRPr="00307AAE">
        <w:rPr>
          <w:rFonts w:hint="cs"/>
          <w:w w:val="100"/>
          <w:kern w:val="0"/>
          <w:rtl/>
        </w:rPr>
        <w:tab/>
        <w:t>وتدوم ولاية الرئيس ونائبه أربعة أعوام ويجوز إعادة انتخابهما لولاية تالية واحدة. وإذا أُعيد انتخابهما أو خلف أحدهما الآخر، وجب عليهما أن ينتظرا انقضاء فترة ولاية واحدة (المادة 90 من</w:t>
      </w:r>
      <w:r w:rsidR="00A71B00">
        <w:rPr>
          <w:rFonts w:hint="eastAsia"/>
          <w:w w:val="100"/>
          <w:kern w:val="0"/>
          <w:rtl/>
        </w:rPr>
        <w:t> </w:t>
      </w:r>
      <w:r w:rsidRPr="00307AAE">
        <w:rPr>
          <w:rFonts w:hint="cs"/>
          <w:w w:val="100"/>
          <w:kern w:val="0"/>
          <w:rtl/>
        </w:rPr>
        <w:t>الدستور الوطني). وتنتهي سلطة رئيس الدولة في اليوم ذاته الذي تنقضي فيه ولايته لأربعة أعوام، ما لم يقطعها حدث ما يستدعي استكمالها لاحق</w:t>
      </w:r>
      <w:r w:rsidR="00A71B00">
        <w:rPr>
          <w:rFonts w:hint="cs"/>
          <w:w w:val="100"/>
          <w:kern w:val="0"/>
          <w:rtl/>
        </w:rPr>
        <w:t xml:space="preserve">اً </w:t>
      </w:r>
      <w:r w:rsidRPr="00307AAE">
        <w:rPr>
          <w:rFonts w:hint="cs"/>
          <w:w w:val="100"/>
          <w:kern w:val="0"/>
          <w:rtl/>
        </w:rPr>
        <w:t>(المادة 91 من الدستور الوطني).</w:t>
      </w:r>
    </w:p>
    <w:p w:rsidR="00750F90" w:rsidRPr="00307AAE" w:rsidRDefault="00750F90" w:rsidP="00A71B00">
      <w:pPr>
        <w:pStyle w:val="SingleTxt"/>
        <w:spacing w:line="390" w:lineRule="exact"/>
        <w:rPr>
          <w:w w:val="100"/>
          <w:kern w:val="0"/>
          <w:rtl/>
        </w:rPr>
      </w:pPr>
      <w:r w:rsidRPr="00307AAE">
        <w:rPr>
          <w:rFonts w:hint="cs"/>
          <w:w w:val="100"/>
          <w:kern w:val="0"/>
          <w:rtl/>
        </w:rPr>
        <w:t>58-</w:t>
      </w:r>
      <w:r w:rsidRPr="00307AAE">
        <w:rPr>
          <w:rFonts w:hint="cs"/>
          <w:w w:val="100"/>
          <w:kern w:val="0"/>
          <w:rtl/>
        </w:rPr>
        <w:tab/>
      </w:r>
      <w:r w:rsidRPr="00A71B00">
        <w:rPr>
          <w:rFonts w:hint="cs"/>
          <w:spacing w:val="-2"/>
          <w:w w:val="100"/>
          <w:kern w:val="0"/>
          <w:rtl/>
        </w:rPr>
        <w:t>و</w:t>
      </w:r>
      <w:r w:rsidRPr="00A71B00">
        <w:rPr>
          <w:spacing w:val="-2"/>
          <w:w w:val="100"/>
          <w:kern w:val="0"/>
          <w:rtl/>
        </w:rPr>
        <w:t xml:space="preserve">في حالة مرض الرئيس أو غيابه عن العاصمة </w:t>
      </w:r>
      <w:r w:rsidRPr="00A71B00">
        <w:rPr>
          <w:rFonts w:hint="cs"/>
          <w:spacing w:val="-2"/>
          <w:w w:val="100"/>
          <w:kern w:val="0"/>
          <w:rtl/>
        </w:rPr>
        <w:t xml:space="preserve">الاتحادية </w:t>
      </w:r>
      <w:r w:rsidRPr="00A71B00">
        <w:rPr>
          <w:spacing w:val="-2"/>
          <w:w w:val="100"/>
          <w:kern w:val="0"/>
          <w:rtl/>
        </w:rPr>
        <w:t xml:space="preserve">أو وفاته أو </w:t>
      </w:r>
      <w:r w:rsidRPr="00A71B00">
        <w:rPr>
          <w:rFonts w:hint="cs"/>
          <w:spacing w:val="-2"/>
          <w:w w:val="100"/>
          <w:kern w:val="0"/>
          <w:rtl/>
        </w:rPr>
        <w:t xml:space="preserve">تنحيه </w:t>
      </w:r>
      <w:r w:rsidRPr="00A71B00">
        <w:rPr>
          <w:spacing w:val="-2"/>
          <w:w w:val="100"/>
          <w:kern w:val="0"/>
          <w:rtl/>
        </w:rPr>
        <w:t xml:space="preserve">أو عزله عن منصبه، </w:t>
      </w:r>
      <w:r w:rsidRPr="00A71B00">
        <w:rPr>
          <w:rFonts w:hint="cs"/>
          <w:spacing w:val="-2"/>
          <w:w w:val="100"/>
          <w:kern w:val="0"/>
          <w:rtl/>
        </w:rPr>
        <w:t xml:space="preserve">يمارس </w:t>
      </w:r>
      <w:r w:rsidRPr="00A71B00">
        <w:rPr>
          <w:spacing w:val="-2"/>
          <w:w w:val="100"/>
          <w:kern w:val="0"/>
          <w:rtl/>
        </w:rPr>
        <w:t>السلطة</w:t>
      </w:r>
      <w:r w:rsidRPr="00A71B00">
        <w:rPr>
          <w:rFonts w:hint="cs"/>
          <w:spacing w:val="-2"/>
          <w:w w:val="100"/>
          <w:kern w:val="0"/>
          <w:rtl/>
        </w:rPr>
        <w:t>َ</w:t>
      </w:r>
      <w:r w:rsidRPr="00A71B00">
        <w:rPr>
          <w:spacing w:val="-2"/>
          <w:w w:val="100"/>
          <w:kern w:val="0"/>
          <w:rtl/>
        </w:rPr>
        <w:t xml:space="preserve"> التنفيذية</w:t>
      </w:r>
      <w:r w:rsidRPr="00A71B00">
        <w:rPr>
          <w:rFonts w:hint="cs"/>
          <w:spacing w:val="-2"/>
          <w:w w:val="100"/>
          <w:kern w:val="0"/>
          <w:rtl/>
        </w:rPr>
        <w:t>َ</w:t>
      </w:r>
      <w:r w:rsidRPr="00A71B00">
        <w:rPr>
          <w:spacing w:val="-2"/>
          <w:w w:val="100"/>
          <w:kern w:val="0"/>
          <w:rtl/>
        </w:rPr>
        <w:t xml:space="preserve"> نائب رئيس الدولة. وفي حال</w:t>
      </w:r>
      <w:r w:rsidRPr="00A71B00">
        <w:rPr>
          <w:rFonts w:hint="cs"/>
          <w:spacing w:val="-2"/>
          <w:w w:val="100"/>
          <w:kern w:val="0"/>
          <w:rtl/>
        </w:rPr>
        <w:t>ة</w:t>
      </w:r>
      <w:r w:rsidRPr="00A71B00">
        <w:rPr>
          <w:spacing w:val="-2"/>
          <w:w w:val="100"/>
          <w:kern w:val="0"/>
          <w:rtl/>
        </w:rPr>
        <w:t xml:space="preserve"> عزل الرئيس ونائبه أو وفاتهما أو استقالتهما</w:t>
      </w:r>
      <w:r w:rsidRPr="00307AAE">
        <w:rPr>
          <w:w w:val="100"/>
          <w:kern w:val="0"/>
          <w:rtl/>
        </w:rPr>
        <w:t xml:space="preserve"> </w:t>
      </w:r>
      <w:r w:rsidRPr="00A71B00">
        <w:rPr>
          <w:spacing w:val="-2"/>
          <w:w w:val="100"/>
          <w:kern w:val="0"/>
          <w:rtl/>
        </w:rPr>
        <w:t>أو</w:t>
      </w:r>
      <w:r w:rsidR="00A71B00" w:rsidRPr="00A71B00">
        <w:rPr>
          <w:rFonts w:hint="cs"/>
          <w:spacing w:val="-2"/>
          <w:w w:val="100"/>
          <w:kern w:val="0"/>
          <w:rtl/>
        </w:rPr>
        <w:t> </w:t>
      </w:r>
      <w:r w:rsidRPr="00A71B00">
        <w:rPr>
          <w:spacing w:val="-2"/>
          <w:w w:val="100"/>
          <w:kern w:val="0"/>
          <w:rtl/>
        </w:rPr>
        <w:t>عجزهما، يحدد الكونغرس الموظف العام الذي يتولى الرئاسة إلى حين انت</w:t>
      </w:r>
      <w:r w:rsidRPr="00A71B00">
        <w:rPr>
          <w:rFonts w:hint="cs"/>
          <w:spacing w:val="-2"/>
          <w:w w:val="100"/>
          <w:kern w:val="0"/>
          <w:rtl/>
        </w:rPr>
        <w:t>ف</w:t>
      </w:r>
      <w:r w:rsidRPr="00A71B00">
        <w:rPr>
          <w:spacing w:val="-2"/>
          <w:w w:val="100"/>
          <w:kern w:val="0"/>
          <w:rtl/>
        </w:rPr>
        <w:t xml:space="preserve">اء </w:t>
      </w:r>
      <w:r w:rsidRPr="00A71B00">
        <w:rPr>
          <w:rFonts w:hint="cs"/>
          <w:spacing w:val="-2"/>
          <w:w w:val="100"/>
          <w:kern w:val="0"/>
          <w:rtl/>
        </w:rPr>
        <w:t xml:space="preserve">سبب </w:t>
      </w:r>
      <w:r w:rsidRPr="00A71B00">
        <w:rPr>
          <w:spacing w:val="-2"/>
          <w:w w:val="100"/>
          <w:kern w:val="0"/>
          <w:rtl/>
        </w:rPr>
        <w:t>العجز أو انتخاب</w:t>
      </w:r>
      <w:r w:rsidRPr="00307AAE">
        <w:rPr>
          <w:w w:val="100"/>
          <w:kern w:val="0"/>
          <w:rtl/>
        </w:rPr>
        <w:t xml:space="preserve"> رئيس جديد</w:t>
      </w:r>
      <w:r w:rsidRPr="00307AAE">
        <w:rPr>
          <w:rFonts w:hint="cs"/>
          <w:w w:val="100"/>
          <w:kern w:val="0"/>
          <w:rtl/>
        </w:rPr>
        <w:t xml:space="preserve"> (المادة 88 من الدستور الوطني).</w:t>
      </w:r>
    </w:p>
    <w:p w:rsidR="00750F90" w:rsidRPr="00307AAE" w:rsidRDefault="00750F90" w:rsidP="008B4809">
      <w:pPr>
        <w:pStyle w:val="SingleTxt"/>
        <w:spacing w:line="390" w:lineRule="exact"/>
        <w:rPr>
          <w:w w:val="100"/>
          <w:kern w:val="0"/>
          <w:rtl/>
        </w:rPr>
      </w:pPr>
      <w:r w:rsidRPr="00307AAE">
        <w:rPr>
          <w:rFonts w:hint="cs"/>
          <w:w w:val="100"/>
          <w:kern w:val="0"/>
          <w:rtl/>
        </w:rPr>
        <w:t>59-</w:t>
      </w:r>
      <w:r w:rsidRPr="00307AAE">
        <w:rPr>
          <w:rFonts w:hint="cs"/>
          <w:w w:val="100"/>
          <w:kern w:val="0"/>
          <w:rtl/>
        </w:rPr>
        <w:tab/>
        <w:t xml:space="preserve">ونمط انتخاب </w:t>
      </w:r>
      <w:r w:rsidRPr="00307AAE">
        <w:rPr>
          <w:w w:val="100"/>
          <w:kern w:val="0"/>
          <w:rtl/>
        </w:rPr>
        <w:t xml:space="preserve">رئيس </w:t>
      </w:r>
      <w:r w:rsidRPr="00307AAE">
        <w:rPr>
          <w:rFonts w:hint="cs"/>
          <w:w w:val="100"/>
          <w:kern w:val="0"/>
          <w:rtl/>
        </w:rPr>
        <w:t xml:space="preserve">الدولة </w:t>
      </w:r>
      <w:r w:rsidRPr="00307AAE">
        <w:rPr>
          <w:w w:val="100"/>
          <w:kern w:val="0"/>
          <w:rtl/>
        </w:rPr>
        <w:t>ونائب</w:t>
      </w:r>
      <w:r w:rsidRPr="00307AAE">
        <w:rPr>
          <w:rFonts w:hint="cs"/>
          <w:w w:val="100"/>
          <w:kern w:val="0"/>
          <w:rtl/>
        </w:rPr>
        <w:t>ه</w:t>
      </w:r>
      <w:r w:rsidRPr="00307AAE">
        <w:rPr>
          <w:w w:val="100"/>
          <w:kern w:val="0"/>
          <w:rtl/>
        </w:rPr>
        <w:t xml:space="preserve"> </w:t>
      </w:r>
      <w:r w:rsidRPr="00307AAE">
        <w:rPr>
          <w:rFonts w:hint="cs"/>
          <w:w w:val="100"/>
          <w:kern w:val="0"/>
          <w:rtl/>
        </w:rPr>
        <w:t>هو الاقتراع الشعبي المباشر</w:t>
      </w:r>
      <w:r w:rsidRPr="00307AAE">
        <w:rPr>
          <w:w w:val="100"/>
          <w:kern w:val="0"/>
          <w:rtl/>
        </w:rPr>
        <w:t xml:space="preserve">، في جولتين، </w:t>
      </w:r>
      <w:r w:rsidRPr="00307AAE">
        <w:rPr>
          <w:rFonts w:hint="cs"/>
          <w:w w:val="100"/>
          <w:kern w:val="0"/>
          <w:rtl/>
        </w:rPr>
        <w:t xml:space="preserve">حيث يعتبر الإقليم الوطني </w:t>
      </w:r>
      <w:r w:rsidRPr="00307AAE">
        <w:rPr>
          <w:w w:val="100"/>
          <w:kern w:val="0"/>
          <w:rtl/>
        </w:rPr>
        <w:t>دائرة واحدة</w:t>
      </w:r>
      <w:r w:rsidRPr="00307AAE">
        <w:rPr>
          <w:rFonts w:hint="cs"/>
          <w:w w:val="100"/>
          <w:kern w:val="0"/>
          <w:rtl/>
        </w:rPr>
        <w:t xml:space="preserve"> (المادة 94 من الدستور الوطني). وتجرى </w:t>
      </w:r>
      <w:r w:rsidRPr="00307AAE">
        <w:rPr>
          <w:w w:val="100"/>
          <w:kern w:val="0"/>
          <w:rtl/>
        </w:rPr>
        <w:t xml:space="preserve">الانتخابات </w:t>
      </w:r>
      <w:r w:rsidRPr="00307AAE">
        <w:rPr>
          <w:rFonts w:hint="cs"/>
          <w:w w:val="100"/>
          <w:kern w:val="0"/>
          <w:rtl/>
        </w:rPr>
        <w:t xml:space="preserve">في غضون </w:t>
      </w:r>
      <w:r w:rsidRPr="00307AAE">
        <w:rPr>
          <w:w w:val="100"/>
          <w:kern w:val="0"/>
          <w:rtl/>
        </w:rPr>
        <w:t>شهرين قبل انتهاء ولاية الرئيس الحالي</w:t>
      </w:r>
      <w:r w:rsidRPr="00307AAE">
        <w:rPr>
          <w:rFonts w:hint="cs"/>
          <w:w w:val="100"/>
          <w:kern w:val="0"/>
          <w:rtl/>
        </w:rPr>
        <w:t xml:space="preserve"> (المادة </w:t>
      </w:r>
      <w:r w:rsidR="008B4809">
        <w:rPr>
          <w:rFonts w:hint="cs"/>
          <w:w w:val="100"/>
          <w:kern w:val="0"/>
          <w:rtl/>
        </w:rPr>
        <w:t>95</w:t>
      </w:r>
      <w:r w:rsidRPr="00307AAE">
        <w:rPr>
          <w:rFonts w:hint="cs"/>
          <w:w w:val="100"/>
          <w:kern w:val="0"/>
          <w:rtl/>
        </w:rPr>
        <w:t xml:space="preserve"> من الدستور الوطني). وتجرى ال</w:t>
      </w:r>
      <w:r w:rsidRPr="00307AAE">
        <w:rPr>
          <w:w w:val="100"/>
          <w:kern w:val="0"/>
          <w:rtl/>
        </w:rPr>
        <w:t xml:space="preserve">جولة </w:t>
      </w:r>
      <w:r w:rsidRPr="00307AAE">
        <w:rPr>
          <w:rFonts w:hint="cs"/>
          <w:w w:val="100"/>
          <w:kern w:val="0"/>
          <w:rtl/>
        </w:rPr>
        <w:t>الانتخابية ال</w:t>
      </w:r>
      <w:r w:rsidRPr="00307AAE">
        <w:rPr>
          <w:w w:val="100"/>
          <w:kern w:val="0"/>
          <w:rtl/>
        </w:rPr>
        <w:t xml:space="preserve">ثانية، </w:t>
      </w:r>
      <w:r w:rsidRPr="00307AAE">
        <w:rPr>
          <w:rFonts w:hint="cs"/>
          <w:w w:val="100"/>
          <w:kern w:val="0"/>
          <w:rtl/>
        </w:rPr>
        <w:t xml:space="preserve">عند الاقتضاء، </w:t>
      </w:r>
      <w:r w:rsidRPr="00307AAE">
        <w:rPr>
          <w:w w:val="100"/>
          <w:kern w:val="0"/>
          <w:rtl/>
        </w:rPr>
        <w:t xml:space="preserve">بين قائمتي </w:t>
      </w:r>
      <w:r w:rsidRPr="00307AAE">
        <w:rPr>
          <w:rFonts w:hint="cs"/>
          <w:w w:val="100"/>
          <w:kern w:val="0"/>
          <w:rtl/>
        </w:rPr>
        <w:t>المرشحين اللتين أحرزتا أكبر عدد من الأصوات</w:t>
      </w:r>
      <w:r w:rsidRPr="00307AAE">
        <w:rPr>
          <w:w w:val="100"/>
          <w:kern w:val="0"/>
          <w:rtl/>
        </w:rPr>
        <w:t>، خلال ثلاثين يوم</w:t>
      </w:r>
      <w:r w:rsidR="00A71B00">
        <w:rPr>
          <w:rFonts w:hint="cs"/>
          <w:w w:val="100"/>
          <w:kern w:val="0"/>
          <w:rtl/>
        </w:rPr>
        <w:t xml:space="preserve">اً </w:t>
      </w:r>
      <w:r w:rsidRPr="00307AAE">
        <w:rPr>
          <w:rFonts w:hint="cs"/>
          <w:w w:val="100"/>
          <w:kern w:val="0"/>
          <w:rtl/>
        </w:rPr>
        <w:t>الموالية ل</w:t>
      </w:r>
      <w:r w:rsidRPr="00307AAE">
        <w:rPr>
          <w:w w:val="100"/>
          <w:kern w:val="0"/>
          <w:rtl/>
        </w:rPr>
        <w:t>لجولة الانتخابية الأولى</w:t>
      </w:r>
      <w:r w:rsidRPr="00307AAE">
        <w:rPr>
          <w:rFonts w:hint="cs"/>
          <w:w w:val="100"/>
          <w:kern w:val="0"/>
          <w:rtl/>
        </w:rPr>
        <w:t xml:space="preserve"> (المادة 96 من الدستور الوطني). ولا مجال لجولة ثانية </w:t>
      </w:r>
      <w:r w:rsidRPr="00307AAE">
        <w:rPr>
          <w:w w:val="100"/>
          <w:kern w:val="0"/>
          <w:rtl/>
        </w:rPr>
        <w:t xml:space="preserve">عندما تحصل القائمة التي حصدت أكبر عدد من الأصوات في الجولة الأولى على أكثر من </w:t>
      </w:r>
      <w:r w:rsidRPr="00307AAE">
        <w:rPr>
          <w:rFonts w:hint="cs"/>
          <w:w w:val="100"/>
          <w:kern w:val="0"/>
          <w:rtl/>
        </w:rPr>
        <w:t xml:space="preserve">45 </w:t>
      </w:r>
      <w:r w:rsidRPr="00307AAE">
        <w:rPr>
          <w:w w:val="100"/>
          <w:kern w:val="0"/>
          <w:rtl/>
        </w:rPr>
        <w:t>في المائة من الأصوات المقترعة الصحيحة</w:t>
      </w:r>
      <w:r w:rsidRPr="00307AAE">
        <w:rPr>
          <w:rFonts w:hint="cs"/>
          <w:w w:val="100"/>
          <w:kern w:val="0"/>
          <w:rtl/>
        </w:rPr>
        <w:t xml:space="preserve"> (المادة 97 من الدستور الوطني)</w:t>
      </w:r>
      <w:r w:rsidRPr="00307AAE">
        <w:rPr>
          <w:w w:val="100"/>
          <w:kern w:val="0"/>
          <w:rtl/>
        </w:rPr>
        <w:t xml:space="preserve"> </w:t>
      </w:r>
      <w:r w:rsidRPr="00307AAE">
        <w:rPr>
          <w:rFonts w:hint="cs"/>
          <w:w w:val="100"/>
          <w:kern w:val="0"/>
          <w:rtl/>
        </w:rPr>
        <w:t xml:space="preserve">أو </w:t>
      </w:r>
      <w:r w:rsidRPr="00307AAE">
        <w:rPr>
          <w:w w:val="100"/>
          <w:kern w:val="0"/>
          <w:rtl/>
        </w:rPr>
        <w:t xml:space="preserve">عندما تحصل على </w:t>
      </w:r>
      <w:r w:rsidRPr="00307AAE">
        <w:rPr>
          <w:rFonts w:hint="cs"/>
          <w:w w:val="100"/>
          <w:kern w:val="0"/>
          <w:rtl/>
        </w:rPr>
        <w:t xml:space="preserve">40 </w:t>
      </w:r>
      <w:r w:rsidRPr="00307AAE">
        <w:rPr>
          <w:w w:val="100"/>
          <w:kern w:val="0"/>
          <w:rtl/>
        </w:rPr>
        <w:t xml:space="preserve">في المائة من الأصوات، </w:t>
      </w:r>
      <w:r w:rsidRPr="00307AAE">
        <w:rPr>
          <w:rFonts w:hint="cs"/>
          <w:w w:val="100"/>
          <w:kern w:val="0"/>
          <w:rtl/>
        </w:rPr>
        <w:t xml:space="preserve">مع وجود </w:t>
      </w:r>
      <w:r w:rsidRPr="00307AAE">
        <w:rPr>
          <w:w w:val="100"/>
          <w:kern w:val="0"/>
          <w:rtl/>
        </w:rPr>
        <w:t>ف</w:t>
      </w:r>
      <w:r w:rsidRPr="00307AAE">
        <w:rPr>
          <w:rFonts w:hint="cs"/>
          <w:w w:val="100"/>
          <w:kern w:val="0"/>
          <w:rtl/>
        </w:rPr>
        <w:t>ا</w:t>
      </w:r>
      <w:r w:rsidRPr="00307AAE">
        <w:rPr>
          <w:w w:val="100"/>
          <w:kern w:val="0"/>
          <w:rtl/>
        </w:rPr>
        <w:t>رق يزيد على عشر نقاط مئوية من مجموع الأصوات المقترعة الصحيحة عن القائمة الانتخابية التي تليها في عدد الأصوات</w:t>
      </w:r>
      <w:r w:rsidRPr="00307AAE">
        <w:rPr>
          <w:rFonts w:hint="cs"/>
          <w:w w:val="100"/>
          <w:kern w:val="0"/>
          <w:rtl/>
        </w:rPr>
        <w:t xml:space="preserve"> (المادة 98 من الدستور الوطني)</w:t>
      </w:r>
      <w:r w:rsidRPr="00307AAE">
        <w:rPr>
          <w:w w:val="100"/>
          <w:kern w:val="0"/>
        </w:rPr>
        <w:t>.</w:t>
      </w:r>
    </w:p>
    <w:p w:rsidR="00750F90" w:rsidRPr="00307AAE" w:rsidRDefault="00750F90" w:rsidP="005B4725">
      <w:pPr>
        <w:pStyle w:val="SingleTxt"/>
        <w:spacing w:line="380" w:lineRule="exact"/>
        <w:rPr>
          <w:w w:val="100"/>
          <w:kern w:val="0"/>
          <w:rtl/>
        </w:rPr>
      </w:pPr>
      <w:r w:rsidRPr="00307AAE">
        <w:rPr>
          <w:rFonts w:hint="cs"/>
          <w:w w:val="100"/>
          <w:kern w:val="0"/>
          <w:rtl/>
        </w:rPr>
        <w:t>60</w:t>
      </w:r>
      <w:r w:rsidRPr="00307AAE">
        <w:rPr>
          <w:w w:val="100"/>
          <w:kern w:val="0"/>
          <w:rtl/>
        </w:rPr>
        <w:t>-</w:t>
      </w:r>
      <w:r w:rsidRPr="00307AAE">
        <w:rPr>
          <w:w w:val="100"/>
          <w:kern w:val="0"/>
          <w:rtl/>
        </w:rPr>
        <w:tab/>
      </w:r>
      <w:r w:rsidRPr="00307AAE">
        <w:rPr>
          <w:rFonts w:hint="cs"/>
          <w:w w:val="100"/>
          <w:kern w:val="0"/>
          <w:rtl/>
        </w:rPr>
        <w:t xml:space="preserve">ويضطلع </w:t>
      </w:r>
      <w:r w:rsidRPr="00307AAE">
        <w:rPr>
          <w:w w:val="100"/>
          <w:kern w:val="0"/>
          <w:rtl/>
        </w:rPr>
        <w:t xml:space="preserve">رئيس مجلس الوزراء، الذي يتحمل المسؤولية السياسية أمام الكونغرس الوطني، </w:t>
      </w:r>
      <w:r w:rsidRPr="00307AAE">
        <w:rPr>
          <w:rFonts w:hint="cs"/>
          <w:w w:val="100"/>
          <w:kern w:val="0"/>
          <w:rtl/>
        </w:rPr>
        <w:t xml:space="preserve">بممارسة </w:t>
      </w:r>
      <w:r w:rsidRPr="00307AAE">
        <w:rPr>
          <w:w w:val="100"/>
          <w:kern w:val="0"/>
          <w:rtl/>
        </w:rPr>
        <w:t>الإدارة العامة للبلاد</w:t>
      </w:r>
      <w:r w:rsidRPr="00307AAE">
        <w:rPr>
          <w:rFonts w:hint="cs"/>
          <w:w w:val="100"/>
          <w:kern w:val="0"/>
          <w:rtl/>
        </w:rPr>
        <w:t>، من خلال اللوائح و</w:t>
      </w:r>
      <w:r w:rsidRPr="00307AAE">
        <w:rPr>
          <w:w w:val="100"/>
          <w:kern w:val="0"/>
          <w:rtl/>
        </w:rPr>
        <w:t xml:space="preserve">القوانين </w:t>
      </w:r>
      <w:r w:rsidRPr="00307AAE">
        <w:rPr>
          <w:rFonts w:hint="cs"/>
          <w:w w:val="100"/>
          <w:kern w:val="0"/>
          <w:rtl/>
        </w:rPr>
        <w:t>اللازمة لهذا الغرض و</w:t>
      </w:r>
      <w:r w:rsidRPr="00307AAE">
        <w:rPr>
          <w:w w:val="100"/>
          <w:kern w:val="0"/>
          <w:rtl/>
        </w:rPr>
        <w:t xml:space="preserve">لممارسة </w:t>
      </w:r>
      <w:r w:rsidRPr="00307AAE">
        <w:rPr>
          <w:rFonts w:hint="cs"/>
          <w:w w:val="100"/>
          <w:kern w:val="0"/>
          <w:rtl/>
        </w:rPr>
        <w:t xml:space="preserve">المهام </w:t>
      </w:r>
      <w:r w:rsidRPr="00307AAE">
        <w:rPr>
          <w:w w:val="100"/>
          <w:kern w:val="0"/>
          <w:rtl/>
        </w:rPr>
        <w:t xml:space="preserve">التي </w:t>
      </w:r>
      <w:r w:rsidRPr="00307AAE">
        <w:rPr>
          <w:rFonts w:hint="cs"/>
          <w:w w:val="100"/>
          <w:kern w:val="0"/>
          <w:rtl/>
        </w:rPr>
        <w:t xml:space="preserve">يفوضها له </w:t>
      </w:r>
      <w:r w:rsidRPr="00307AAE">
        <w:rPr>
          <w:w w:val="100"/>
          <w:kern w:val="0"/>
          <w:rtl/>
        </w:rPr>
        <w:t xml:space="preserve">رئيس الدولة، بتصديق وزير الدولة </w:t>
      </w:r>
      <w:r w:rsidRPr="00307AAE">
        <w:rPr>
          <w:rFonts w:hint="cs"/>
          <w:w w:val="100"/>
          <w:kern w:val="0"/>
          <w:rtl/>
        </w:rPr>
        <w:t>المكلف با</w:t>
      </w:r>
      <w:r w:rsidRPr="00307AAE">
        <w:rPr>
          <w:w w:val="100"/>
          <w:kern w:val="0"/>
          <w:rtl/>
        </w:rPr>
        <w:t>لفرع الذي يشير إليه القانون أو اللائحة</w:t>
      </w:r>
      <w:r w:rsidRPr="00307AAE">
        <w:rPr>
          <w:rFonts w:hint="cs"/>
          <w:w w:val="100"/>
          <w:kern w:val="0"/>
          <w:rtl/>
        </w:rPr>
        <w:t>. ويقوم ب</w:t>
      </w:r>
      <w:r w:rsidRPr="00307AAE">
        <w:rPr>
          <w:w w:val="100"/>
          <w:kern w:val="0"/>
          <w:rtl/>
        </w:rPr>
        <w:t>تنسيق وتحضير وعقد جلسات مجلس الوزراء ويترأسها في حالة غياب الرئيس</w:t>
      </w:r>
      <w:r w:rsidRPr="00307AAE">
        <w:rPr>
          <w:rFonts w:hint="cs"/>
          <w:w w:val="100"/>
          <w:kern w:val="0"/>
          <w:rtl/>
        </w:rPr>
        <w:t xml:space="preserve">. وينبغي له أن </w:t>
      </w:r>
      <w:r w:rsidRPr="00307AAE">
        <w:rPr>
          <w:w w:val="100"/>
          <w:kern w:val="0"/>
          <w:rtl/>
        </w:rPr>
        <w:t xml:space="preserve">يحضر </w:t>
      </w:r>
      <w:r w:rsidRPr="00307AAE">
        <w:rPr>
          <w:rFonts w:hint="cs"/>
          <w:w w:val="100"/>
          <w:kern w:val="0"/>
          <w:rtl/>
        </w:rPr>
        <w:t xml:space="preserve">جلسات </w:t>
      </w:r>
      <w:r w:rsidRPr="00307AAE">
        <w:rPr>
          <w:w w:val="100"/>
          <w:kern w:val="0"/>
          <w:rtl/>
        </w:rPr>
        <w:t xml:space="preserve">الكونغرس على الأقل مرة </w:t>
      </w:r>
      <w:r w:rsidRPr="00307AAE">
        <w:rPr>
          <w:rFonts w:hint="cs"/>
          <w:w w:val="100"/>
          <w:kern w:val="0"/>
          <w:rtl/>
        </w:rPr>
        <w:t>في الشهر</w:t>
      </w:r>
      <w:r w:rsidRPr="00307AAE">
        <w:rPr>
          <w:w w:val="100"/>
          <w:kern w:val="0"/>
          <w:rtl/>
        </w:rPr>
        <w:t xml:space="preserve">، </w:t>
      </w:r>
      <w:r w:rsidRPr="00307AAE">
        <w:rPr>
          <w:rFonts w:hint="cs"/>
          <w:w w:val="100"/>
          <w:kern w:val="0"/>
          <w:rtl/>
        </w:rPr>
        <w:t>بالتناوب بين مجلسيه</w:t>
      </w:r>
      <w:r w:rsidRPr="00307AAE">
        <w:rPr>
          <w:w w:val="100"/>
          <w:kern w:val="0"/>
          <w:rtl/>
        </w:rPr>
        <w:t xml:space="preserve">، ليقدم تقريراً عن </w:t>
      </w:r>
      <w:r w:rsidRPr="00307AAE">
        <w:rPr>
          <w:rFonts w:hint="cs"/>
          <w:w w:val="100"/>
          <w:kern w:val="0"/>
          <w:rtl/>
        </w:rPr>
        <w:t xml:space="preserve">سير </w:t>
      </w:r>
      <w:r w:rsidRPr="00307AAE">
        <w:rPr>
          <w:w w:val="100"/>
          <w:kern w:val="0"/>
          <w:rtl/>
        </w:rPr>
        <w:t xml:space="preserve">عمل الحكومة، </w:t>
      </w:r>
      <w:r w:rsidRPr="00307AAE">
        <w:rPr>
          <w:rFonts w:hint="cs"/>
          <w:w w:val="100"/>
          <w:kern w:val="0"/>
          <w:rtl/>
        </w:rPr>
        <w:t xml:space="preserve">مع إمكانية استدعائه صراحة أو </w:t>
      </w:r>
      <w:r w:rsidRPr="00307AAE">
        <w:rPr>
          <w:w w:val="100"/>
          <w:kern w:val="0"/>
          <w:rtl/>
        </w:rPr>
        <w:t xml:space="preserve">استجوابه، </w:t>
      </w:r>
      <w:r w:rsidRPr="00307AAE">
        <w:rPr>
          <w:rFonts w:hint="cs"/>
          <w:w w:val="100"/>
          <w:kern w:val="0"/>
          <w:rtl/>
        </w:rPr>
        <w:t xml:space="preserve">شريطة تصويت </w:t>
      </w:r>
      <w:r w:rsidRPr="00307AAE">
        <w:rPr>
          <w:w w:val="100"/>
          <w:kern w:val="0"/>
          <w:rtl/>
        </w:rPr>
        <w:t xml:space="preserve">الأغلبية المطلقة </w:t>
      </w:r>
      <w:r w:rsidRPr="00307AAE">
        <w:rPr>
          <w:rFonts w:hint="cs"/>
          <w:w w:val="100"/>
          <w:kern w:val="0"/>
          <w:rtl/>
        </w:rPr>
        <w:t xml:space="preserve">من </w:t>
      </w:r>
      <w:r w:rsidRPr="00307AAE">
        <w:rPr>
          <w:w w:val="100"/>
          <w:kern w:val="0"/>
          <w:rtl/>
        </w:rPr>
        <w:t>مجموع أعضاء أي من المجلسين</w:t>
      </w:r>
      <w:r w:rsidRPr="00307AAE">
        <w:rPr>
          <w:rFonts w:hint="cs"/>
          <w:w w:val="100"/>
          <w:kern w:val="0"/>
          <w:rtl/>
        </w:rPr>
        <w:t>.</w:t>
      </w:r>
      <w:r w:rsidRPr="00307AAE">
        <w:rPr>
          <w:w w:val="100"/>
          <w:kern w:val="0"/>
          <w:rtl/>
        </w:rPr>
        <w:t xml:space="preserve"> </w:t>
      </w:r>
      <w:r w:rsidRPr="00307AAE">
        <w:rPr>
          <w:rFonts w:hint="cs"/>
          <w:w w:val="100"/>
          <w:kern w:val="0"/>
          <w:rtl/>
        </w:rPr>
        <w:t>و</w:t>
      </w:r>
      <w:r w:rsidRPr="00307AAE">
        <w:rPr>
          <w:w w:val="100"/>
          <w:kern w:val="0"/>
          <w:rtl/>
        </w:rPr>
        <w:t xml:space="preserve">بمجرد بدء الدورات العادية للكونغرس، </w:t>
      </w:r>
      <w:r w:rsidRPr="00307AAE">
        <w:rPr>
          <w:rFonts w:hint="cs"/>
          <w:w w:val="100"/>
          <w:kern w:val="0"/>
          <w:rtl/>
        </w:rPr>
        <w:t xml:space="preserve">يقدم مع باقي الوزراء مذكرة </w:t>
      </w:r>
      <w:r w:rsidRPr="00307AAE">
        <w:rPr>
          <w:w w:val="100"/>
          <w:kern w:val="0"/>
          <w:rtl/>
        </w:rPr>
        <w:t>مفصل</w:t>
      </w:r>
      <w:r w:rsidRPr="00307AAE">
        <w:rPr>
          <w:rFonts w:hint="cs"/>
          <w:w w:val="100"/>
          <w:kern w:val="0"/>
          <w:rtl/>
        </w:rPr>
        <w:t>ة</w:t>
      </w:r>
      <w:r w:rsidRPr="00307AAE">
        <w:rPr>
          <w:w w:val="100"/>
          <w:kern w:val="0"/>
          <w:rtl/>
        </w:rPr>
        <w:t xml:space="preserve"> عن حالة الدولة فيما يتعلق بشؤون </w:t>
      </w:r>
      <w:r w:rsidRPr="00307AAE">
        <w:rPr>
          <w:rFonts w:hint="cs"/>
          <w:w w:val="100"/>
          <w:kern w:val="0"/>
          <w:rtl/>
        </w:rPr>
        <w:t>كل وزارة على حدة. كما ي</w:t>
      </w:r>
      <w:r w:rsidRPr="00307AAE">
        <w:rPr>
          <w:w w:val="100"/>
          <w:kern w:val="0"/>
          <w:rtl/>
        </w:rPr>
        <w:t xml:space="preserve">قدم التقارير </w:t>
      </w:r>
      <w:r w:rsidRPr="00307AAE">
        <w:rPr>
          <w:rFonts w:hint="cs"/>
          <w:w w:val="100"/>
          <w:kern w:val="0"/>
          <w:rtl/>
        </w:rPr>
        <w:t xml:space="preserve">والتوضيحات </w:t>
      </w:r>
      <w:r w:rsidRPr="00A71B00">
        <w:rPr>
          <w:spacing w:val="-4"/>
          <w:w w:val="100"/>
          <w:kern w:val="0"/>
          <w:rtl/>
        </w:rPr>
        <w:t>الشف</w:t>
      </w:r>
      <w:r w:rsidRPr="00A71B00">
        <w:rPr>
          <w:rFonts w:hint="cs"/>
          <w:spacing w:val="-4"/>
          <w:w w:val="100"/>
          <w:kern w:val="0"/>
          <w:rtl/>
        </w:rPr>
        <w:t>و</w:t>
      </w:r>
      <w:r w:rsidRPr="00A71B00">
        <w:rPr>
          <w:spacing w:val="-4"/>
          <w:w w:val="100"/>
          <w:kern w:val="0"/>
          <w:rtl/>
        </w:rPr>
        <w:t xml:space="preserve">ية أو </w:t>
      </w:r>
      <w:r w:rsidRPr="00A71B00">
        <w:rPr>
          <w:rFonts w:hint="cs"/>
          <w:spacing w:val="-4"/>
          <w:w w:val="100"/>
          <w:kern w:val="0"/>
          <w:rtl/>
        </w:rPr>
        <w:t xml:space="preserve">الخطية </w:t>
      </w:r>
      <w:r w:rsidRPr="00A71B00">
        <w:rPr>
          <w:spacing w:val="-4"/>
          <w:w w:val="100"/>
          <w:kern w:val="0"/>
          <w:rtl/>
        </w:rPr>
        <w:t>التي قد يطلبها أحد المجلسين من السلطة التنفيذية</w:t>
      </w:r>
      <w:r w:rsidRPr="00A71B00">
        <w:rPr>
          <w:rFonts w:hint="cs"/>
          <w:spacing w:val="-4"/>
          <w:w w:val="100"/>
          <w:kern w:val="0"/>
          <w:rtl/>
        </w:rPr>
        <w:t xml:space="preserve">، مع إمكانية </w:t>
      </w:r>
      <w:r w:rsidRPr="00A71B00">
        <w:rPr>
          <w:spacing w:val="-4"/>
          <w:w w:val="100"/>
          <w:kern w:val="0"/>
          <w:rtl/>
        </w:rPr>
        <w:t>حضور جلسات الكونغرس والمشاركة في مداولاته دون حق التصويت فيها</w:t>
      </w:r>
      <w:r w:rsidRPr="00A71B00">
        <w:rPr>
          <w:rFonts w:hint="cs"/>
          <w:spacing w:val="-4"/>
          <w:w w:val="100"/>
          <w:kern w:val="0"/>
          <w:rtl/>
        </w:rPr>
        <w:t>.</w:t>
      </w:r>
      <w:r w:rsidRPr="00A71B00">
        <w:rPr>
          <w:spacing w:val="-4"/>
          <w:w w:val="100"/>
          <w:kern w:val="0"/>
          <w:rtl/>
        </w:rPr>
        <w:t xml:space="preserve"> </w:t>
      </w:r>
      <w:r w:rsidRPr="00A71B00">
        <w:rPr>
          <w:rFonts w:hint="cs"/>
          <w:spacing w:val="-4"/>
          <w:w w:val="100"/>
          <w:kern w:val="0"/>
          <w:rtl/>
        </w:rPr>
        <w:t xml:space="preserve">ويضطلع بالمصادقة على المراسيم المتعلقة بممارسة </w:t>
      </w:r>
      <w:r w:rsidRPr="00A71B00">
        <w:rPr>
          <w:spacing w:val="-4"/>
          <w:w w:val="100"/>
          <w:kern w:val="0"/>
          <w:rtl/>
        </w:rPr>
        <w:t>الصلاحيات التي يفوضها الكونغرس، والتي تخضع لمراجعة اللجنة الدائمة المشتركة للمجلسين</w:t>
      </w:r>
      <w:r w:rsidRPr="00A71B00">
        <w:rPr>
          <w:rFonts w:hint="cs"/>
          <w:spacing w:val="-4"/>
          <w:w w:val="100"/>
          <w:kern w:val="0"/>
          <w:rtl/>
        </w:rPr>
        <w:t>.</w:t>
      </w:r>
      <w:r w:rsidRPr="00307AAE">
        <w:rPr>
          <w:w w:val="100"/>
          <w:kern w:val="0"/>
          <w:rtl/>
        </w:rPr>
        <w:t xml:space="preserve"> </w:t>
      </w:r>
      <w:r w:rsidRPr="00307AAE">
        <w:rPr>
          <w:rFonts w:hint="cs"/>
          <w:w w:val="100"/>
          <w:kern w:val="0"/>
          <w:rtl/>
        </w:rPr>
        <w:t>كما يصادق</w:t>
      </w:r>
      <w:r w:rsidRPr="00307AAE">
        <w:rPr>
          <w:w w:val="100"/>
          <w:kern w:val="0"/>
          <w:rtl/>
        </w:rPr>
        <w:t xml:space="preserve">، إلى جانب الوزراء الآخرين، على المراسيم </w:t>
      </w:r>
      <w:r w:rsidRPr="00307AAE">
        <w:rPr>
          <w:rFonts w:hint="cs"/>
          <w:w w:val="100"/>
          <w:kern w:val="0"/>
          <w:rtl/>
        </w:rPr>
        <w:t xml:space="preserve">الضرورية والملحة </w:t>
      </w:r>
      <w:r w:rsidRPr="00307AAE">
        <w:rPr>
          <w:w w:val="100"/>
          <w:kern w:val="0"/>
          <w:rtl/>
        </w:rPr>
        <w:t>والمراسيم المتعلقة بالإعلان الجزئي للقوانين</w:t>
      </w:r>
      <w:r w:rsidRPr="00307AAE">
        <w:rPr>
          <w:rFonts w:hint="cs"/>
          <w:w w:val="100"/>
          <w:kern w:val="0"/>
          <w:rtl/>
        </w:rPr>
        <w:t>،</w:t>
      </w:r>
      <w:r w:rsidRPr="00307AAE">
        <w:rPr>
          <w:w w:val="100"/>
          <w:kern w:val="0"/>
          <w:rtl/>
        </w:rPr>
        <w:t xml:space="preserve"> ويقوم شخصياً بإحال</w:t>
      </w:r>
      <w:r w:rsidRPr="00307AAE">
        <w:rPr>
          <w:rFonts w:hint="cs"/>
          <w:w w:val="100"/>
          <w:kern w:val="0"/>
          <w:rtl/>
        </w:rPr>
        <w:t>تها، بعد الموافقة عليها،</w:t>
      </w:r>
      <w:r w:rsidRPr="00307AAE">
        <w:rPr>
          <w:w w:val="100"/>
          <w:kern w:val="0"/>
          <w:rtl/>
        </w:rPr>
        <w:t xml:space="preserve"> </w:t>
      </w:r>
      <w:r w:rsidRPr="00307AAE">
        <w:rPr>
          <w:rFonts w:hint="cs"/>
          <w:w w:val="100"/>
          <w:kern w:val="0"/>
          <w:rtl/>
        </w:rPr>
        <w:t xml:space="preserve">إلى </w:t>
      </w:r>
      <w:r w:rsidRPr="00307AAE">
        <w:rPr>
          <w:w w:val="100"/>
          <w:kern w:val="0"/>
          <w:rtl/>
        </w:rPr>
        <w:t>اللجنة الدائمة المشتركة للمجلسين</w:t>
      </w:r>
      <w:r w:rsidRPr="00307AAE">
        <w:rPr>
          <w:rFonts w:hint="cs"/>
          <w:w w:val="100"/>
          <w:kern w:val="0"/>
          <w:rtl/>
        </w:rPr>
        <w:t xml:space="preserve"> بغرض دراستها (المادتان 100 و101 من الدستور الوطني).</w:t>
      </w:r>
    </w:p>
    <w:p w:rsidR="005B4725" w:rsidRPr="005B4725" w:rsidRDefault="005B4725" w:rsidP="005B472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750F90" w:rsidRPr="00307AAE" w:rsidRDefault="005B4725" w:rsidP="005B472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line="380" w:lineRule="exact"/>
        <w:ind w:left="1267" w:right="1267" w:hanging="1267"/>
        <w:rPr>
          <w:w w:val="100"/>
          <w:rtl/>
        </w:rPr>
      </w:pPr>
      <w:r>
        <w:rPr>
          <w:rFonts w:hint="cs"/>
          <w:w w:val="100"/>
          <w:rtl/>
        </w:rPr>
        <w:tab/>
      </w:r>
      <w:r>
        <w:rPr>
          <w:rFonts w:hint="cs"/>
          <w:w w:val="100"/>
          <w:rtl/>
        </w:rPr>
        <w:tab/>
      </w:r>
      <w:r w:rsidR="00750F90" w:rsidRPr="00307AAE">
        <w:rPr>
          <w:rFonts w:hint="cs"/>
          <w:w w:val="100"/>
          <w:rtl/>
        </w:rPr>
        <w:t>السلطة القضائية</w:t>
      </w:r>
    </w:p>
    <w:p w:rsidR="00750F90" w:rsidRPr="00307AAE" w:rsidRDefault="00750F90" w:rsidP="005B4725">
      <w:pPr>
        <w:pStyle w:val="SingleTxt"/>
        <w:spacing w:line="380" w:lineRule="exact"/>
        <w:rPr>
          <w:w w:val="100"/>
          <w:kern w:val="0"/>
          <w:rtl/>
        </w:rPr>
      </w:pPr>
      <w:r w:rsidRPr="00307AAE">
        <w:rPr>
          <w:rFonts w:hint="cs"/>
          <w:w w:val="100"/>
          <w:kern w:val="0"/>
          <w:rtl/>
        </w:rPr>
        <w:t>61-</w:t>
      </w:r>
      <w:r w:rsidRPr="00307AAE">
        <w:rPr>
          <w:rFonts w:hint="cs"/>
          <w:w w:val="100"/>
          <w:kern w:val="0"/>
          <w:rtl/>
        </w:rPr>
        <w:tab/>
      </w:r>
      <w:r w:rsidRPr="00307AAE">
        <w:rPr>
          <w:w w:val="100"/>
          <w:kern w:val="0"/>
          <w:rtl/>
        </w:rPr>
        <w:t xml:space="preserve">تناط السلطة القضائية للدولة </w:t>
      </w:r>
      <w:r w:rsidRPr="00307AAE">
        <w:rPr>
          <w:rFonts w:hint="cs"/>
          <w:w w:val="100"/>
          <w:kern w:val="0"/>
          <w:rtl/>
        </w:rPr>
        <w:t>ب</w:t>
      </w:r>
      <w:r w:rsidRPr="00307AAE">
        <w:rPr>
          <w:rFonts w:hint="cs"/>
          <w:w w:val="100"/>
          <w:kern w:val="0"/>
          <w:rtl/>
          <w:lang w:val="fr-CH"/>
        </w:rPr>
        <w:t>محكمة العدل الوطنية العليا</w:t>
      </w:r>
      <w:r w:rsidRPr="00307AAE">
        <w:rPr>
          <w:w w:val="100"/>
          <w:kern w:val="0"/>
          <w:rtl/>
        </w:rPr>
        <w:t xml:space="preserve"> و</w:t>
      </w:r>
      <w:r w:rsidRPr="00307AAE">
        <w:rPr>
          <w:rFonts w:hint="cs"/>
          <w:w w:val="100"/>
          <w:kern w:val="0"/>
          <w:rtl/>
        </w:rPr>
        <w:t>بال</w:t>
      </w:r>
      <w:r w:rsidRPr="00307AAE">
        <w:rPr>
          <w:w w:val="100"/>
          <w:kern w:val="0"/>
          <w:rtl/>
        </w:rPr>
        <w:t xml:space="preserve">محاكم </w:t>
      </w:r>
      <w:r w:rsidRPr="00307AAE">
        <w:rPr>
          <w:rFonts w:hint="cs"/>
          <w:w w:val="100"/>
          <w:kern w:val="0"/>
          <w:rtl/>
        </w:rPr>
        <w:t>الأخرى ال</w:t>
      </w:r>
      <w:r w:rsidRPr="00307AAE">
        <w:rPr>
          <w:w w:val="100"/>
          <w:kern w:val="0"/>
          <w:rtl/>
        </w:rPr>
        <w:t xml:space="preserve">أدنى </w:t>
      </w:r>
      <w:r w:rsidRPr="00307AAE">
        <w:rPr>
          <w:rFonts w:hint="cs"/>
          <w:w w:val="100"/>
          <w:kern w:val="0"/>
          <w:rtl/>
        </w:rPr>
        <w:t xml:space="preserve">درجة التي ينشئها </w:t>
      </w:r>
      <w:r w:rsidRPr="00307AAE">
        <w:rPr>
          <w:w w:val="100"/>
          <w:kern w:val="0"/>
          <w:rtl/>
        </w:rPr>
        <w:t xml:space="preserve">الكونغرس في </w:t>
      </w:r>
      <w:r w:rsidRPr="00307AAE">
        <w:rPr>
          <w:rFonts w:hint="cs"/>
          <w:w w:val="100"/>
          <w:kern w:val="0"/>
          <w:rtl/>
        </w:rPr>
        <w:t>الإقليم الوطني</w:t>
      </w:r>
      <w:r w:rsidRPr="00307AAE">
        <w:rPr>
          <w:w w:val="100"/>
          <w:kern w:val="0"/>
          <w:rtl/>
        </w:rPr>
        <w:t xml:space="preserve"> </w:t>
      </w:r>
      <w:r w:rsidRPr="00307AAE">
        <w:rPr>
          <w:rFonts w:hint="cs"/>
          <w:w w:val="100"/>
          <w:kern w:val="0"/>
          <w:rtl/>
        </w:rPr>
        <w:t>(المادة 108 من الدستور الوطني). و</w:t>
      </w:r>
      <w:r w:rsidRPr="00307AAE">
        <w:rPr>
          <w:w w:val="100"/>
          <w:kern w:val="0"/>
          <w:rtl/>
        </w:rPr>
        <w:t xml:space="preserve">لا </w:t>
      </w:r>
      <w:r w:rsidRPr="00307AAE">
        <w:rPr>
          <w:rFonts w:hint="cs"/>
          <w:w w:val="100"/>
          <w:kern w:val="0"/>
          <w:rtl/>
        </w:rPr>
        <w:t>يمكن ل</w:t>
      </w:r>
      <w:r w:rsidRPr="00307AAE">
        <w:rPr>
          <w:w w:val="100"/>
          <w:kern w:val="0"/>
          <w:rtl/>
        </w:rPr>
        <w:t xml:space="preserve">رئيس الدولة، بأي حال من الأحوال، </w:t>
      </w:r>
      <w:r w:rsidRPr="00307AAE">
        <w:rPr>
          <w:rFonts w:hint="cs"/>
          <w:w w:val="100"/>
          <w:kern w:val="0"/>
          <w:rtl/>
        </w:rPr>
        <w:t xml:space="preserve">أن يمارس </w:t>
      </w:r>
      <w:r w:rsidRPr="00307AAE">
        <w:rPr>
          <w:w w:val="100"/>
          <w:kern w:val="0"/>
          <w:rtl/>
        </w:rPr>
        <w:t xml:space="preserve">وظائف قضائية، ولا </w:t>
      </w:r>
      <w:r w:rsidRPr="00307AAE">
        <w:rPr>
          <w:rFonts w:hint="cs"/>
          <w:w w:val="100"/>
          <w:kern w:val="0"/>
          <w:rtl/>
        </w:rPr>
        <w:t xml:space="preserve">أن يدعي لنفسه حق النظر في </w:t>
      </w:r>
      <w:r w:rsidRPr="00307AAE">
        <w:rPr>
          <w:w w:val="100"/>
          <w:kern w:val="0"/>
          <w:rtl/>
        </w:rPr>
        <w:t xml:space="preserve">قضايا </w:t>
      </w:r>
      <w:r w:rsidRPr="00307AAE">
        <w:rPr>
          <w:rFonts w:hint="cs"/>
          <w:w w:val="100"/>
          <w:kern w:val="0"/>
          <w:rtl/>
        </w:rPr>
        <w:t xml:space="preserve">عالقة أو </w:t>
      </w:r>
      <w:r w:rsidRPr="00307AAE">
        <w:rPr>
          <w:w w:val="100"/>
          <w:kern w:val="0"/>
          <w:rtl/>
        </w:rPr>
        <w:t>سبق البت فيها</w:t>
      </w:r>
      <w:r w:rsidRPr="00307AAE">
        <w:rPr>
          <w:rFonts w:hint="cs"/>
          <w:w w:val="100"/>
          <w:kern w:val="0"/>
          <w:rtl/>
        </w:rPr>
        <w:t xml:space="preserve"> (المادة 109 من الدستور الوطني).</w:t>
      </w:r>
    </w:p>
    <w:p w:rsidR="00750F90" w:rsidRPr="00307AAE" w:rsidRDefault="00750F90" w:rsidP="005B4725">
      <w:pPr>
        <w:pStyle w:val="SingleTxt"/>
        <w:spacing w:line="380" w:lineRule="exact"/>
        <w:rPr>
          <w:w w:val="100"/>
          <w:kern w:val="0"/>
          <w:rtl/>
        </w:rPr>
      </w:pPr>
      <w:r w:rsidRPr="00307AAE">
        <w:rPr>
          <w:rFonts w:hint="cs"/>
          <w:w w:val="100"/>
          <w:kern w:val="0"/>
          <w:rtl/>
        </w:rPr>
        <w:t>62-</w:t>
      </w:r>
      <w:r w:rsidRPr="00307AAE">
        <w:rPr>
          <w:rFonts w:hint="cs"/>
          <w:w w:val="100"/>
          <w:kern w:val="0"/>
          <w:rtl/>
        </w:rPr>
        <w:tab/>
        <w:t xml:space="preserve">ويتولى </w:t>
      </w:r>
      <w:r w:rsidRPr="00307AAE">
        <w:rPr>
          <w:w w:val="100"/>
          <w:kern w:val="0"/>
          <w:rtl/>
        </w:rPr>
        <w:t>المجلس القضائي</w:t>
      </w:r>
      <w:r w:rsidRPr="00307AAE">
        <w:rPr>
          <w:rFonts w:hint="cs"/>
          <w:w w:val="100"/>
          <w:kern w:val="0"/>
          <w:rtl/>
        </w:rPr>
        <w:t xml:space="preserve"> مهمة اختيار القضاة وإدارة السلطة القضائية. و</w:t>
      </w:r>
      <w:r w:rsidRPr="00307AAE">
        <w:rPr>
          <w:w w:val="100"/>
          <w:kern w:val="0"/>
          <w:rtl/>
        </w:rPr>
        <w:t>يعاد تشكيل المجلس دورياً</w:t>
      </w:r>
      <w:r w:rsidRPr="00307AAE">
        <w:rPr>
          <w:rFonts w:hint="cs"/>
          <w:w w:val="100"/>
          <w:kern w:val="0"/>
          <w:rtl/>
        </w:rPr>
        <w:t>،</w:t>
      </w:r>
      <w:r w:rsidRPr="00307AAE">
        <w:rPr>
          <w:w w:val="100"/>
          <w:kern w:val="0"/>
          <w:rtl/>
        </w:rPr>
        <w:t xml:space="preserve"> </w:t>
      </w:r>
      <w:r w:rsidRPr="00307AAE">
        <w:rPr>
          <w:rFonts w:hint="cs"/>
          <w:w w:val="100"/>
          <w:kern w:val="0"/>
          <w:rtl/>
        </w:rPr>
        <w:t>سعي</w:t>
      </w:r>
      <w:r w:rsidR="00A71B00">
        <w:rPr>
          <w:rFonts w:hint="cs"/>
          <w:w w:val="100"/>
          <w:kern w:val="0"/>
          <w:rtl/>
        </w:rPr>
        <w:t xml:space="preserve">اً </w:t>
      </w:r>
      <w:r w:rsidRPr="00307AAE">
        <w:rPr>
          <w:rFonts w:hint="cs"/>
          <w:w w:val="100"/>
          <w:kern w:val="0"/>
          <w:rtl/>
        </w:rPr>
        <w:t xml:space="preserve">إلى تحقيق </w:t>
      </w:r>
      <w:r w:rsidRPr="00307AAE">
        <w:rPr>
          <w:w w:val="100"/>
          <w:kern w:val="0"/>
          <w:rtl/>
        </w:rPr>
        <w:t xml:space="preserve">التوازن بين تمثيل الهيئات السياسية المنتخبة شعبياً، </w:t>
      </w:r>
      <w:r w:rsidRPr="00307AAE">
        <w:rPr>
          <w:rFonts w:hint="cs"/>
          <w:w w:val="100"/>
          <w:kern w:val="0"/>
          <w:rtl/>
        </w:rPr>
        <w:t xml:space="preserve">من بين </w:t>
      </w:r>
      <w:r w:rsidRPr="00307AAE">
        <w:rPr>
          <w:w w:val="100"/>
          <w:kern w:val="0"/>
          <w:rtl/>
        </w:rPr>
        <w:t xml:space="preserve">قضاة جميع المحاكم، والمحامين المرخصين </w:t>
      </w:r>
      <w:r w:rsidRPr="00307AAE">
        <w:rPr>
          <w:rFonts w:hint="cs"/>
          <w:w w:val="100"/>
          <w:kern w:val="0"/>
          <w:rtl/>
        </w:rPr>
        <w:t>على صعيد الاتحاد،</w:t>
      </w:r>
      <w:r w:rsidRPr="00307AAE">
        <w:rPr>
          <w:w w:val="100"/>
          <w:kern w:val="0"/>
          <w:rtl/>
        </w:rPr>
        <w:t xml:space="preserve"> </w:t>
      </w:r>
      <w:r w:rsidRPr="00307AAE">
        <w:rPr>
          <w:rFonts w:hint="cs"/>
          <w:w w:val="100"/>
          <w:kern w:val="0"/>
          <w:rtl/>
        </w:rPr>
        <w:t xml:space="preserve">وكذلك </w:t>
      </w:r>
      <w:r w:rsidRPr="00307AAE">
        <w:rPr>
          <w:w w:val="100"/>
          <w:kern w:val="0"/>
          <w:rtl/>
        </w:rPr>
        <w:t>أشخاص</w:t>
      </w:r>
      <w:r w:rsidRPr="00307AAE">
        <w:rPr>
          <w:rFonts w:hint="cs"/>
          <w:w w:val="100"/>
          <w:kern w:val="0"/>
          <w:rtl/>
        </w:rPr>
        <w:t xml:space="preserve"> آخرين</w:t>
      </w:r>
      <w:r w:rsidRPr="00307AAE">
        <w:rPr>
          <w:w w:val="100"/>
          <w:kern w:val="0"/>
          <w:rtl/>
        </w:rPr>
        <w:t xml:space="preserve"> من المجالات الأكاديمية والعلمية، </w:t>
      </w:r>
      <w:r w:rsidRPr="00307AAE">
        <w:rPr>
          <w:rFonts w:hint="cs"/>
          <w:w w:val="100"/>
          <w:kern w:val="0"/>
          <w:rtl/>
        </w:rPr>
        <w:t>وفق</w:t>
      </w:r>
      <w:r w:rsidR="00A71B00">
        <w:rPr>
          <w:rFonts w:hint="cs"/>
          <w:w w:val="100"/>
          <w:kern w:val="0"/>
          <w:rtl/>
        </w:rPr>
        <w:t xml:space="preserve">اً </w:t>
      </w:r>
      <w:r w:rsidRPr="00307AAE">
        <w:rPr>
          <w:rFonts w:hint="cs"/>
          <w:w w:val="100"/>
          <w:kern w:val="0"/>
          <w:rtl/>
        </w:rPr>
        <w:t>ل</w:t>
      </w:r>
      <w:r w:rsidRPr="00307AAE">
        <w:rPr>
          <w:w w:val="100"/>
          <w:kern w:val="0"/>
          <w:rtl/>
        </w:rPr>
        <w:t>لعدد والطريقة التي يحددها القانون</w:t>
      </w:r>
      <w:r w:rsidRPr="00307AAE">
        <w:rPr>
          <w:rFonts w:hint="cs"/>
          <w:w w:val="100"/>
          <w:kern w:val="0"/>
          <w:rtl/>
        </w:rPr>
        <w:t>.</w:t>
      </w:r>
    </w:p>
    <w:p w:rsidR="00750F90" w:rsidRPr="0003012B" w:rsidRDefault="00750F90" w:rsidP="005B4725">
      <w:pPr>
        <w:pStyle w:val="SingleTxt"/>
        <w:spacing w:line="380" w:lineRule="exact"/>
        <w:rPr>
          <w:spacing w:val="-2"/>
          <w:w w:val="100"/>
          <w:kern w:val="0"/>
          <w:rtl/>
        </w:rPr>
      </w:pPr>
      <w:r w:rsidRPr="0003012B">
        <w:rPr>
          <w:rFonts w:hint="cs"/>
          <w:spacing w:val="-2"/>
          <w:w w:val="100"/>
          <w:kern w:val="0"/>
          <w:rtl/>
        </w:rPr>
        <w:t>63-</w:t>
      </w:r>
      <w:r w:rsidRPr="0003012B">
        <w:rPr>
          <w:rFonts w:hint="cs"/>
          <w:spacing w:val="-2"/>
          <w:w w:val="100"/>
          <w:kern w:val="0"/>
          <w:rtl/>
        </w:rPr>
        <w:tab/>
        <w:t xml:space="preserve">ويحافظ </w:t>
      </w:r>
      <w:r w:rsidRPr="0003012B">
        <w:rPr>
          <w:spacing w:val="-2"/>
          <w:w w:val="100"/>
          <w:kern w:val="0"/>
          <w:rtl/>
        </w:rPr>
        <w:t xml:space="preserve">قضاة </w:t>
      </w:r>
      <w:r w:rsidRPr="0003012B">
        <w:rPr>
          <w:rFonts w:hint="cs"/>
          <w:spacing w:val="-2"/>
          <w:w w:val="100"/>
          <w:kern w:val="0"/>
          <w:rtl/>
          <w:lang w:val="fr-CH"/>
        </w:rPr>
        <w:t>محكمة العدل الوطنية العليا</w:t>
      </w:r>
      <w:r w:rsidRPr="0003012B">
        <w:rPr>
          <w:spacing w:val="-2"/>
          <w:w w:val="100"/>
          <w:kern w:val="0"/>
          <w:rtl/>
        </w:rPr>
        <w:t xml:space="preserve"> وقضاة المحاكم </w:t>
      </w:r>
      <w:r w:rsidRPr="0003012B">
        <w:rPr>
          <w:rFonts w:hint="cs"/>
          <w:spacing w:val="-2"/>
          <w:w w:val="100"/>
          <w:kern w:val="0"/>
          <w:rtl/>
        </w:rPr>
        <w:t xml:space="preserve">الاتحادية </w:t>
      </w:r>
      <w:r w:rsidRPr="0003012B">
        <w:rPr>
          <w:spacing w:val="-2"/>
          <w:w w:val="100"/>
          <w:kern w:val="0"/>
          <w:rtl/>
        </w:rPr>
        <w:t xml:space="preserve">الأدنى </w:t>
      </w:r>
      <w:r w:rsidRPr="0003012B">
        <w:rPr>
          <w:rFonts w:hint="cs"/>
          <w:spacing w:val="-2"/>
          <w:w w:val="100"/>
          <w:kern w:val="0"/>
          <w:rtl/>
        </w:rPr>
        <w:t xml:space="preserve">درجة على </w:t>
      </w:r>
      <w:r w:rsidRPr="0003012B">
        <w:rPr>
          <w:spacing w:val="-2"/>
          <w:w w:val="100"/>
          <w:kern w:val="0"/>
          <w:rtl/>
        </w:rPr>
        <w:t xml:space="preserve">مناصبهم </w:t>
      </w:r>
      <w:r w:rsidRPr="0003012B">
        <w:rPr>
          <w:rFonts w:hint="cs"/>
          <w:spacing w:val="-2"/>
          <w:w w:val="100"/>
          <w:kern w:val="0"/>
          <w:rtl/>
        </w:rPr>
        <w:t xml:space="preserve">ما داموا يتمتعون </w:t>
      </w:r>
      <w:r w:rsidRPr="0003012B">
        <w:rPr>
          <w:spacing w:val="-2"/>
          <w:w w:val="100"/>
          <w:kern w:val="0"/>
          <w:rtl/>
        </w:rPr>
        <w:t>بسلوك حسن</w:t>
      </w:r>
      <w:r w:rsidRPr="0003012B">
        <w:rPr>
          <w:rFonts w:hint="cs"/>
          <w:spacing w:val="-2"/>
          <w:w w:val="100"/>
          <w:kern w:val="0"/>
          <w:rtl/>
        </w:rPr>
        <w:t xml:space="preserve"> (المادة 110 من الدستور الوطني).</w:t>
      </w:r>
      <w:r w:rsidRPr="0003012B">
        <w:rPr>
          <w:spacing w:val="-2"/>
          <w:w w:val="100"/>
          <w:kern w:val="0"/>
          <w:rtl/>
        </w:rPr>
        <w:t xml:space="preserve"> </w:t>
      </w:r>
      <w:r w:rsidRPr="0003012B">
        <w:rPr>
          <w:rFonts w:hint="cs"/>
          <w:spacing w:val="-2"/>
          <w:w w:val="100"/>
          <w:kern w:val="0"/>
          <w:rtl/>
        </w:rPr>
        <w:t xml:space="preserve">ويتم </w:t>
      </w:r>
      <w:r w:rsidRPr="0003012B">
        <w:rPr>
          <w:spacing w:val="-2"/>
          <w:w w:val="100"/>
          <w:kern w:val="0"/>
          <w:rtl/>
        </w:rPr>
        <w:t>عزل</w:t>
      </w:r>
      <w:r w:rsidRPr="0003012B">
        <w:rPr>
          <w:rFonts w:hint="cs"/>
          <w:spacing w:val="-2"/>
          <w:w w:val="100"/>
          <w:kern w:val="0"/>
          <w:rtl/>
        </w:rPr>
        <w:t>هم</w:t>
      </w:r>
      <w:r w:rsidRPr="0003012B">
        <w:rPr>
          <w:spacing w:val="-2"/>
          <w:w w:val="100"/>
          <w:kern w:val="0"/>
          <w:rtl/>
        </w:rPr>
        <w:t xml:space="preserve"> </w:t>
      </w:r>
      <w:r w:rsidRPr="0003012B">
        <w:rPr>
          <w:rFonts w:hint="cs"/>
          <w:spacing w:val="-2"/>
          <w:w w:val="100"/>
          <w:kern w:val="0"/>
          <w:rtl/>
        </w:rPr>
        <w:t xml:space="preserve">بقرار </w:t>
      </w:r>
      <w:r w:rsidRPr="0003012B">
        <w:rPr>
          <w:spacing w:val="-2"/>
          <w:w w:val="100"/>
          <w:kern w:val="0"/>
          <w:rtl/>
        </w:rPr>
        <w:t>من هيئة محلفين مكونة من مشر</w:t>
      </w:r>
      <w:r w:rsidRPr="0003012B">
        <w:rPr>
          <w:rFonts w:hint="cs"/>
          <w:spacing w:val="-2"/>
          <w:w w:val="100"/>
          <w:kern w:val="0"/>
          <w:rtl/>
        </w:rPr>
        <w:t>ِّ</w:t>
      </w:r>
      <w:r w:rsidRPr="0003012B">
        <w:rPr>
          <w:spacing w:val="-2"/>
          <w:w w:val="100"/>
          <w:kern w:val="0"/>
          <w:rtl/>
        </w:rPr>
        <w:t>عين وقضاة ومحامين مرخصين</w:t>
      </w:r>
      <w:r w:rsidRPr="0003012B">
        <w:rPr>
          <w:rFonts w:hint="cs"/>
          <w:spacing w:val="-2"/>
          <w:w w:val="100"/>
          <w:kern w:val="0"/>
          <w:rtl/>
        </w:rPr>
        <w:t xml:space="preserve"> (المادة 115 من الدستور الوطني)، بسبب </w:t>
      </w:r>
      <w:r w:rsidRPr="0003012B">
        <w:rPr>
          <w:spacing w:val="-2"/>
          <w:w w:val="100"/>
          <w:kern w:val="0"/>
          <w:rtl/>
        </w:rPr>
        <w:t xml:space="preserve">سوء أداء </w:t>
      </w:r>
      <w:r w:rsidRPr="0003012B">
        <w:rPr>
          <w:rFonts w:hint="cs"/>
          <w:spacing w:val="-2"/>
          <w:w w:val="100"/>
          <w:kern w:val="0"/>
          <w:rtl/>
        </w:rPr>
        <w:t xml:space="preserve">عملهم </w:t>
      </w:r>
      <w:r w:rsidRPr="0003012B">
        <w:rPr>
          <w:spacing w:val="-2"/>
          <w:w w:val="100"/>
          <w:kern w:val="0"/>
          <w:rtl/>
        </w:rPr>
        <w:t>أو ارتكاب</w:t>
      </w:r>
      <w:r w:rsidRPr="0003012B">
        <w:rPr>
          <w:rFonts w:hint="cs"/>
          <w:spacing w:val="-2"/>
          <w:w w:val="100"/>
          <w:kern w:val="0"/>
          <w:rtl/>
        </w:rPr>
        <w:t>هم</w:t>
      </w:r>
      <w:r w:rsidRPr="0003012B">
        <w:rPr>
          <w:spacing w:val="-2"/>
          <w:w w:val="100"/>
          <w:kern w:val="0"/>
          <w:rtl/>
        </w:rPr>
        <w:t xml:space="preserve"> مخالفة في </w:t>
      </w:r>
      <w:r w:rsidRPr="0003012B">
        <w:rPr>
          <w:rFonts w:hint="cs"/>
          <w:spacing w:val="-2"/>
          <w:w w:val="100"/>
          <w:kern w:val="0"/>
          <w:rtl/>
        </w:rPr>
        <w:t xml:space="preserve">ممارسة مهامهم </w:t>
      </w:r>
      <w:r w:rsidRPr="0003012B">
        <w:rPr>
          <w:spacing w:val="-2"/>
          <w:w w:val="100"/>
          <w:kern w:val="0"/>
          <w:rtl/>
        </w:rPr>
        <w:t>أو جرائم عادية</w:t>
      </w:r>
      <w:r w:rsidRPr="0003012B">
        <w:rPr>
          <w:rFonts w:hint="cs"/>
          <w:spacing w:val="-2"/>
          <w:w w:val="100"/>
          <w:kern w:val="0"/>
          <w:rtl/>
        </w:rPr>
        <w:t xml:space="preserve"> (المادة 53 من الدستور الوطني).</w:t>
      </w:r>
    </w:p>
    <w:p w:rsidR="00750F90" w:rsidRPr="0003012B" w:rsidRDefault="00750F90" w:rsidP="005B4725">
      <w:pPr>
        <w:pStyle w:val="SingleTxt"/>
        <w:spacing w:line="380" w:lineRule="exact"/>
        <w:rPr>
          <w:spacing w:val="-4"/>
          <w:w w:val="100"/>
          <w:kern w:val="0"/>
          <w:rtl/>
        </w:rPr>
      </w:pPr>
      <w:r w:rsidRPr="0003012B">
        <w:rPr>
          <w:rFonts w:hint="cs"/>
          <w:spacing w:val="-4"/>
          <w:w w:val="100"/>
          <w:kern w:val="0"/>
          <w:rtl/>
        </w:rPr>
        <w:t>64-</w:t>
      </w:r>
      <w:r w:rsidRPr="0003012B">
        <w:rPr>
          <w:rFonts w:hint="cs"/>
          <w:spacing w:val="-4"/>
          <w:w w:val="100"/>
          <w:kern w:val="0"/>
          <w:rtl/>
        </w:rPr>
        <w:tab/>
        <w:t>وتتولى المحكمة العليا والمحاكم الأدنى درجة في البلد النظر والتقرير في جميع القضايا التي تتمحور حول المسائل التي ينظمها الدستور وقوانين الدولة والمعاهدات المبرمة مع الدول الأجنبية، وتمارس ا</w:t>
      </w:r>
      <w:r w:rsidRPr="0003012B">
        <w:rPr>
          <w:spacing w:val="-4"/>
          <w:w w:val="100"/>
          <w:kern w:val="0"/>
          <w:rtl/>
        </w:rPr>
        <w:t xml:space="preserve">لمحكمة العليا في </w:t>
      </w:r>
      <w:r w:rsidRPr="0003012B">
        <w:rPr>
          <w:rFonts w:hint="cs"/>
          <w:spacing w:val="-4"/>
          <w:w w:val="100"/>
          <w:kern w:val="0"/>
          <w:rtl/>
        </w:rPr>
        <w:t xml:space="preserve">هذه </w:t>
      </w:r>
      <w:r w:rsidRPr="0003012B">
        <w:rPr>
          <w:spacing w:val="-4"/>
          <w:w w:val="100"/>
          <w:kern w:val="0"/>
          <w:rtl/>
        </w:rPr>
        <w:t>القضايا ولاي</w:t>
      </w:r>
      <w:r w:rsidRPr="0003012B">
        <w:rPr>
          <w:rFonts w:hint="cs"/>
          <w:spacing w:val="-4"/>
          <w:w w:val="100"/>
          <w:kern w:val="0"/>
          <w:rtl/>
        </w:rPr>
        <w:t>تها</w:t>
      </w:r>
      <w:r w:rsidRPr="0003012B">
        <w:rPr>
          <w:spacing w:val="-4"/>
          <w:w w:val="100"/>
          <w:kern w:val="0"/>
          <w:rtl/>
        </w:rPr>
        <w:t xml:space="preserve"> </w:t>
      </w:r>
      <w:r w:rsidRPr="0003012B">
        <w:rPr>
          <w:rFonts w:hint="cs"/>
          <w:spacing w:val="-4"/>
          <w:w w:val="100"/>
          <w:kern w:val="0"/>
          <w:rtl/>
        </w:rPr>
        <w:t>ال</w:t>
      </w:r>
      <w:r w:rsidRPr="0003012B">
        <w:rPr>
          <w:spacing w:val="-4"/>
          <w:w w:val="100"/>
          <w:kern w:val="0"/>
          <w:rtl/>
        </w:rPr>
        <w:t xml:space="preserve">قضائية </w:t>
      </w:r>
      <w:r w:rsidRPr="0003012B">
        <w:rPr>
          <w:rFonts w:hint="cs"/>
          <w:spacing w:val="-4"/>
          <w:w w:val="100"/>
          <w:kern w:val="0"/>
          <w:rtl/>
        </w:rPr>
        <w:t>ال</w:t>
      </w:r>
      <w:r w:rsidRPr="0003012B">
        <w:rPr>
          <w:spacing w:val="-4"/>
          <w:w w:val="100"/>
          <w:kern w:val="0"/>
          <w:rtl/>
        </w:rPr>
        <w:t>استئنافية وفقاً للقواعد والاستثناءات التي قد يحددها الكونغرس</w:t>
      </w:r>
      <w:r w:rsidRPr="0003012B">
        <w:rPr>
          <w:rFonts w:hint="cs"/>
          <w:spacing w:val="-4"/>
          <w:w w:val="100"/>
          <w:kern w:val="0"/>
          <w:rtl/>
        </w:rPr>
        <w:t>.</w:t>
      </w:r>
    </w:p>
    <w:p w:rsidR="00750F90" w:rsidRPr="00307AAE" w:rsidRDefault="00750F90" w:rsidP="00307AAE">
      <w:pPr>
        <w:pStyle w:val="SingleTxt"/>
        <w:rPr>
          <w:w w:val="100"/>
          <w:kern w:val="0"/>
          <w:rtl/>
        </w:rPr>
      </w:pPr>
      <w:r w:rsidRPr="00307AAE">
        <w:rPr>
          <w:rFonts w:hint="cs"/>
          <w:w w:val="100"/>
          <w:kern w:val="0"/>
          <w:rtl/>
        </w:rPr>
        <w:t>65-</w:t>
      </w:r>
      <w:r w:rsidRPr="00307AAE">
        <w:rPr>
          <w:rFonts w:hint="cs"/>
          <w:w w:val="100"/>
          <w:kern w:val="0"/>
          <w:rtl/>
        </w:rPr>
        <w:tab/>
        <w:t xml:space="preserve">ودون الإخلال بما سبق ذكره، تمارس </w:t>
      </w:r>
      <w:r w:rsidRPr="00307AAE">
        <w:rPr>
          <w:rFonts w:hint="cs"/>
          <w:w w:val="100"/>
          <w:kern w:val="0"/>
          <w:rtl/>
          <w:lang w:val="fr-CH"/>
        </w:rPr>
        <w:t>المحكمة الوطنية العليا</w:t>
      </w:r>
      <w:r w:rsidRPr="00307AAE">
        <w:rPr>
          <w:rFonts w:hint="cs"/>
          <w:w w:val="100"/>
          <w:kern w:val="0"/>
          <w:rtl/>
        </w:rPr>
        <w:t xml:space="preserve"> ولاية قضائية أصلية وحصرية في القضايا </w:t>
      </w:r>
      <w:r w:rsidRPr="00307AAE">
        <w:rPr>
          <w:w w:val="100"/>
          <w:kern w:val="0"/>
          <w:rtl/>
        </w:rPr>
        <w:t xml:space="preserve">المتعلقة بالسفراء والوزراء والقناصل الأجانب، وفي قضايا الولاية الأميرالية والبحرية، وفي الدعاوى التي تكون الدولة طرفاً فيها، وفي القضايا التي تنشأ بين </w:t>
      </w:r>
      <w:r w:rsidRPr="00307AAE">
        <w:rPr>
          <w:rFonts w:hint="cs"/>
          <w:w w:val="100"/>
          <w:kern w:val="0"/>
          <w:rtl/>
        </w:rPr>
        <w:t xml:space="preserve">محافظتين </w:t>
      </w:r>
      <w:r w:rsidRPr="00307AAE">
        <w:rPr>
          <w:w w:val="100"/>
          <w:kern w:val="0"/>
          <w:rtl/>
        </w:rPr>
        <w:t xml:space="preserve">أو أكثر، وبين </w:t>
      </w:r>
      <w:r w:rsidRPr="00307AAE">
        <w:rPr>
          <w:rFonts w:hint="cs"/>
          <w:w w:val="100"/>
          <w:kern w:val="0"/>
          <w:rtl/>
        </w:rPr>
        <w:t xml:space="preserve">إحدى المحافظات </w:t>
      </w:r>
      <w:r w:rsidRPr="00307AAE">
        <w:rPr>
          <w:w w:val="100"/>
          <w:kern w:val="0"/>
          <w:rtl/>
        </w:rPr>
        <w:t>و</w:t>
      </w:r>
      <w:r w:rsidRPr="00307AAE">
        <w:rPr>
          <w:rFonts w:hint="cs"/>
          <w:w w:val="100"/>
          <w:kern w:val="0"/>
          <w:rtl/>
        </w:rPr>
        <w:t>سكان محافظة أخرى</w:t>
      </w:r>
      <w:r w:rsidRPr="00307AAE">
        <w:rPr>
          <w:w w:val="100"/>
          <w:kern w:val="0"/>
          <w:rtl/>
        </w:rPr>
        <w:t xml:space="preserve">، وبين </w:t>
      </w:r>
      <w:r w:rsidRPr="00307AAE">
        <w:rPr>
          <w:rFonts w:hint="cs"/>
          <w:w w:val="100"/>
          <w:kern w:val="0"/>
          <w:rtl/>
        </w:rPr>
        <w:t>سكان محافظات مختلفة</w:t>
      </w:r>
      <w:r w:rsidRPr="00307AAE">
        <w:rPr>
          <w:w w:val="100"/>
          <w:kern w:val="0"/>
          <w:rtl/>
        </w:rPr>
        <w:t xml:space="preserve"> </w:t>
      </w:r>
      <w:r w:rsidRPr="00307AAE">
        <w:rPr>
          <w:rFonts w:hint="cs"/>
          <w:w w:val="100"/>
          <w:kern w:val="0"/>
          <w:rtl/>
        </w:rPr>
        <w:t xml:space="preserve">وبين إحدى المحافظات </w:t>
      </w:r>
      <w:r w:rsidRPr="00307AAE">
        <w:rPr>
          <w:w w:val="100"/>
          <w:kern w:val="0"/>
          <w:rtl/>
        </w:rPr>
        <w:t xml:space="preserve">أو </w:t>
      </w:r>
      <w:r w:rsidRPr="00307AAE">
        <w:rPr>
          <w:rFonts w:hint="cs"/>
          <w:w w:val="100"/>
          <w:kern w:val="0"/>
          <w:rtl/>
        </w:rPr>
        <w:t>سكانها و</w:t>
      </w:r>
      <w:r w:rsidRPr="00307AAE">
        <w:rPr>
          <w:w w:val="100"/>
          <w:kern w:val="0"/>
          <w:rtl/>
        </w:rPr>
        <w:t>دولة أجنبية أو مواطن أجنبي</w:t>
      </w:r>
      <w:r w:rsidRPr="00307AAE">
        <w:rPr>
          <w:rFonts w:hint="cs"/>
          <w:w w:val="100"/>
          <w:kern w:val="0"/>
          <w:rtl/>
        </w:rPr>
        <w:t>.</w:t>
      </w:r>
    </w:p>
    <w:p w:rsidR="0003012B" w:rsidRPr="0003012B" w:rsidRDefault="0003012B" w:rsidP="0003012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750F90" w:rsidRPr="00307AAE" w:rsidRDefault="0003012B" w:rsidP="0003012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Pr>
          <w:rFonts w:hint="cs"/>
          <w:w w:val="100"/>
          <w:rtl/>
        </w:rPr>
        <w:tab/>
      </w:r>
      <w:r w:rsidR="00750F90" w:rsidRPr="00307AAE">
        <w:rPr>
          <w:rFonts w:hint="cs"/>
          <w:w w:val="100"/>
          <w:rtl/>
        </w:rPr>
        <w:t>مكتب المدعي العام</w:t>
      </w:r>
    </w:p>
    <w:p w:rsidR="00750F90" w:rsidRPr="00307AAE" w:rsidRDefault="00750F90" w:rsidP="00307AAE">
      <w:pPr>
        <w:pStyle w:val="SingleTxt"/>
        <w:rPr>
          <w:w w:val="100"/>
          <w:kern w:val="0"/>
          <w:rtl/>
        </w:rPr>
      </w:pPr>
      <w:r w:rsidRPr="00307AAE">
        <w:rPr>
          <w:rFonts w:hint="cs"/>
          <w:w w:val="100"/>
          <w:kern w:val="0"/>
          <w:rtl/>
        </w:rPr>
        <w:t>66-</w:t>
      </w:r>
      <w:r w:rsidRPr="00307AAE">
        <w:rPr>
          <w:rFonts w:hint="cs"/>
          <w:w w:val="100"/>
          <w:kern w:val="0"/>
          <w:rtl/>
        </w:rPr>
        <w:tab/>
      </w:r>
      <w:r w:rsidRPr="00307AAE">
        <w:rPr>
          <w:w w:val="100"/>
          <w:kern w:val="0"/>
          <w:rtl/>
        </w:rPr>
        <w:t xml:space="preserve">مكتب المدعي العام </w:t>
      </w:r>
      <w:r w:rsidRPr="00307AAE">
        <w:rPr>
          <w:rFonts w:hint="cs"/>
          <w:w w:val="100"/>
          <w:kern w:val="0"/>
          <w:rtl/>
        </w:rPr>
        <w:t xml:space="preserve">هيئة </w:t>
      </w:r>
      <w:r w:rsidRPr="00307AAE">
        <w:rPr>
          <w:w w:val="100"/>
          <w:kern w:val="0"/>
          <w:rtl/>
        </w:rPr>
        <w:t>مستقل</w:t>
      </w:r>
      <w:r w:rsidRPr="00307AAE">
        <w:rPr>
          <w:rFonts w:hint="cs"/>
          <w:w w:val="100"/>
          <w:kern w:val="0"/>
          <w:rtl/>
        </w:rPr>
        <w:t>ة</w:t>
      </w:r>
      <w:r w:rsidRPr="00307AAE">
        <w:rPr>
          <w:w w:val="100"/>
          <w:kern w:val="0"/>
          <w:rtl/>
        </w:rPr>
        <w:t xml:space="preserve"> </w:t>
      </w:r>
      <w:r w:rsidRPr="00307AAE">
        <w:rPr>
          <w:rFonts w:hint="cs"/>
          <w:w w:val="100"/>
          <w:kern w:val="0"/>
          <w:rtl/>
        </w:rPr>
        <w:t>ت</w:t>
      </w:r>
      <w:r w:rsidRPr="00307AAE">
        <w:rPr>
          <w:w w:val="100"/>
          <w:kern w:val="0"/>
          <w:rtl/>
        </w:rPr>
        <w:t>تمتع بالاستقلال الوظيفي والاكتفاء المالي الذاتي،</w:t>
      </w:r>
      <w:r w:rsidRPr="00307AAE">
        <w:rPr>
          <w:rFonts w:hint="cs"/>
          <w:w w:val="100"/>
          <w:kern w:val="0"/>
          <w:rtl/>
        </w:rPr>
        <w:t xml:space="preserve"> مهمتها </w:t>
      </w:r>
      <w:r w:rsidRPr="00307AAE">
        <w:rPr>
          <w:w w:val="100"/>
          <w:kern w:val="0"/>
          <w:rtl/>
        </w:rPr>
        <w:t xml:space="preserve">تعزيز </w:t>
      </w:r>
      <w:r w:rsidRPr="00307AAE">
        <w:rPr>
          <w:rFonts w:hint="cs"/>
          <w:w w:val="100"/>
          <w:kern w:val="0"/>
          <w:rtl/>
        </w:rPr>
        <w:t xml:space="preserve">عملية </w:t>
      </w:r>
      <w:r w:rsidRPr="00307AAE">
        <w:rPr>
          <w:w w:val="100"/>
          <w:kern w:val="0"/>
          <w:rtl/>
        </w:rPr>
        <w:t xml:space="preserve">تدخل </w:t>
      </w:r>
      <w:r w:rsidRPr="00307AAE">
        <w:rPr>
          <w:rFonts w:hint="cs"/>
          <w:w w:val="100"/>
          <w:kern w:val="0"/>
          <w:rtl/>
        </w:rPr>
        <w:t xml:space="preserve">النظام </w:t>
      </w:r>
      <w:r w:rsidRPr="00307AAE">
        <w:rPr>
          <w:w w:val="100"/>
          <w:kern w:val="0"/>
          <w:rtl/>
        </w:rPr>
        <w:t>القضائي للدفاع عن شرعية المصالح العامة للمجتمع، بالتنسيق مع السلطات الأخرى للجمهورية</w:t>
      </w:r>
      <w:r w:rsidRPr="00307AAE">
        <w:rPr>
          <w:rFonts w:hint="cs"/>
          <w:w w:val="100"/>
          <w:kern w:val="0"/>
          <w:rtl/>
        </w:rPr>
        <w:t>. و</w:t>
      </w:r>
      <w:r w:rsidRPr="00307AAE">
        <w:rPr>
          <w:w w:val="100"/>
          <w:kern w:val="0"/>
          <w:rtl/>
        </w:rPr>
        <w:t>يتألف من مدع عام للدولة ومحام عام</w:t>
      </w:r>
      <w:r w:rsidRPr="00307AAE">
        <w:rPr>
          <w:rFonts w:hint="cs"/>
          <w:w w:val="100"/>
          <w:kern w:val="0"/>
          <w:rtl/>
        </w:rPr>
        <w:t xml:space="preserve"> للدفاع</w:t>
      </w:r>
      <w:r w:rsidRPr="00307AAE">
        <w:rPr>
          <w:w w:val="100"/>
          <w:kern w:val="0"/>
          <w:rtl/>
        </w:rPr>
        <w:t xml:space="preserve"> وأعضاء آخرين يحددهم القانون</w:t>
      </w:r>
      <w:r w:rsidRPr="00307AAE">
        <w:rPr>
          <w:rFonts w:hint="cs"/>
          <w:w w:val="100"/>
          <w:kern w:val="0"/>
          <w:rtl/>
        </w:rPr>
        <w:t>. و</w:t>
      </w:r>
      <w:r w:rsidRPr="00307AAE">
        <w:rPr>
          <w:w w:val="100"/>
          <w:kern w:val="0"/>
          <w:rtl/>
        </w:rPr>
        <w:t>يتمتع أعضاؤه بحصانات وظيفية ومكافآت مالية لا يجوز المساس بها</w:t>
      </w:r>
      <w:r w:rsidRPr="00307AAE">
        <w:rPr>
          <w:rFonts w:hint="cs"/>
          <w:w w:val="100"/>
          <w:kern w:val="0"/>
          <w:rtl/>
        </w:rPr>
        <w:t xml:space="preserve"> (المادة 120 من الدستور).</w:t>
      </w:r>
    </w:p>
    <w:p w:rsidR="0003012B" w:rsidRPr="0003012B" w:rsidRDefault="0003012B" w:rsidP="0003012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750F90" w:rsidRPr="00307AAE" w:rsidRDefault="0003012B" w:rsidP="0003012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Pr>
          <w:rFonts w:hint="cs"/>
          <w:w w:val="100"/>
          <w:rtl/>
        </w:rPr>
        <w:tab/>
      </w:r>
      <w:r>
        <w:rPr>
          <w:rFonts w:hint="cs"/>
          <w:w w:val="100"/>
          <w:rtl/>
        </w:rPr>
        <w:tab/>
      </w:r>
      <w:r w:rsidR="00750F90" w:rsidRPr="00307AAE">
        <w:rPr>
          <w:rFonts w:hint="cs"/>
          <w:w w:val="100"/>
          <w:rtl/>
        </w:rPr>
        <w:t>مكتب الدفاع العام</w:t>
      </w:r>
    </w:p>
    <w:p w:rsidR="00750F90" w:rsidRPr="00307AAE" w:rsidRDefault="00750F90" w:rsidP="00307AAE">
      <w:pPr>
        <w:pStyle w:val="SingleTxt"/>
        <w:rPr>
          <w:w w:val="100"/>
          <w:kern w:val="0"/>
          <w:rtl/>
        </w:rPr>
      </w:pPr>
      <w:r w:rsidRPr="00307AAE">
        <w:rPr>
          <w:rFonts w:hint="cs"/>
          <w:w w:val="100"/>
          <w:kern w:val="0"/>
          <w:rtl/>
        </w:rPr>
        <w:t>67-</w:t>
      </w:r>
      <w:r w:rsidRPr="00307AAE">
        <w:rPr>
          <w:rFonts w:hint="cs"/>
          <w:w w:val="100"/>
          <w:kern w:val="0"/>
          <w:rtl/>
        </w:rPr>
        <w:tab/>
        <w:t>مكتب الدفاع العام هو ال</w:t>
      </w:r>
      <w:r w:rsidRPr="00307AAE">
        <w:rPr>
          <w:w w:val="100"/>
          <w:kern w:val="0"/>
          <w:rtl/>
        </w:rPr>
        <w:t xml:space="preserve">هيئة </w:t>
      </w:r>
      <w:r w:rsidRPr="00307AAE">
        <w:rPr>
          <w:rFonts w:hint="cs"/>
          <w:w w:val="100"/>
          <w:kern w:val="0"/>
          <w:rtl/>
        </w:rPr>
        <w:t>المكلفة بكفالة المساعدة الفعلية للأشخاص والدفاع القضائي عن حقوقهم، ومن بين مهامه الرئيسية:</w:t>
      </w:r>
    </w:p>
    <w:p w:rsidR="00750F90" w:rsidRPr="00307AAE" w:rsidRDefault="00750F90" w:rsidP="0003012B">
      <w:pPr>
        <w:pStyle w:val="SingleTxt"/>
        <w:numPr>
          <w:ilvl w:val="0"/>
          <w:numId w:val="32"/>
        </w:numPr>
        <w:tabs>
          <w:tab w:val="clear" w:pos="1930"/>
        </w:tabs>
        <w:rPr>
          <w:w w:val="100"/>
          <w:kern w:val="0"/>
        </w:rPr>
      </w:pPr>
      <w:r w:rsidRPr="00307AAE">
        <w:rPr>
          <w:rFonts w:hint="cs"/>
          <w:w w:val="100"/>
          <w:kern w:val="0"/>
          <w:rtl/>
        </w:rPr>
        <w:t>توفير المساعدة القانونية من أجل كفالة احتكام الأشخاص إلى القضاء؛</w:t>
      </w:r>
    </w:p>
    <w:p w:rsidR="00750F90" w:rsidRPr="00307AAE" w:rsidRDefault="00750F90" w:rsidP="0003012B">
      <w:pPr>
        <w:pStyle w:val="SingleTxt"/>
        <w:numPr>
          <w:ilvl w:val="0"/>
          <w:numId w:val="32"/>
        </w:numPr>
        <w:tabs>
          <w:tab w:val="clear" w:pos="1930"/>
        </w:tabs>
        <w:rPr>
          <w:w w:val="100"/>
          <w:kern w:val="0"/>
        </w:rPr>
      </w:pPr>
      <w:r w:rsidRPr="00307AAE">
        <w:rPr>
          <w:rFonts w:hint="cs"/>
          <w:w w:val="100"/>
          <w:kern w:val="0"/>
          <w:rtl/>
        </w:rPr>
        <w:t>إسداء المشورة للأشخاص وممارسة مهمة الدفاع عنهم وعن حقوق المتقاضين (بما في ذلك التمثيل الشرعي للق</w:t>
      </w:r>
      <w:r w:rsidR="0003012B">
        <w:rPr>
          <w:rFonts w:hint="cs"/>
          <w:w w:val="100"/>
          <w:kern w:val="0"/>
          <w:rtl/>
        </w:rPr>
        <w:t>اصرين والعاجزين)؛</w:t>
      </w:r>
    </w:p>
    <w:p w:rsidR="00750F90" w:rsidRPr="00307AAE" w:rsidRDefault="00750F90" w:rsidP="0003012B">
      <w:pPr>
        <w:pStyle w:val="SingleTxt"/>
        <w:numPr>
          <w:ilvl w:val="0"/>
          <w:numId w:val="32"/>
        </w:numPr>
        <w:tabs>
          <w:tab w:val="clear" w:pos="1930"/>
        </w:tabs>
        <w:rPr>
          <w:w w:val="100"/>
          <w:kern w:val="0"/>
        </w:rPr>
      </w:pPr>
      <w:r w:rsidRPr="00307AAE">
        <w:rPr>
          <w:rFonts w:hint="cs"/>
          <w:w w:val="100"/>
          <w:kern w:val="0"/>
          <w:rtl/>
        </w:rPr>
        <w:t>ممارسة الوصاية العامة على القاصرين الذين ليس لديهم تمثيل قانو</w:t>
      </w:r>
      <w:r w:rsidR="0003012B">
        <w:rPr>
          <w:rFonts w:hint="cs"/>
          <w:w w:val="100"/>
          <w:kern w:val="0"/>
          <w:rtl/>
        </w:rPr>
        <w:t>ني وعلى العاجزين وفاقدي الأهلية؛</w:t>
      </w:r>
    </w:p>
    <w:p w:rsidR="00750F90" w:rsidRPr="00307AAE" w:rsidRDefault="00750F90" w:rsidP="0003012B">
      <w:pPr>
        <w:pStyle w:val="SingleTxt"/>
        <w:numPr>
          <w:ilvl w:val="0"/>
          <w:numId w:val="32"/>
        </w:numPr>
        <w:tabs>
          <w:tab w:val="clear" w:pos="1930"/>
        </w:tabs>
        <w:rPr>
          <w:w w:val="100"/>
          <w:kern w:val="0"/>
        </w:rPr>
      </w:pPr>
      <w:r w:rsidRPr="00307AAE">
        <w:rPr>
          <w:rFonts w:hint="cs"/>
          <w:w w:val="100"/>
          <w:kern w:val="0"/>
          <w:rtl/>
        </w:rPr>
        <w:t>رسم وتنفيذ سياسات من أجل تيسير احتكام الفئات الضعيفة للغاية إلى القضاء.</w:t>
      </w:r>
    </w:p>
    <w:p w:rsidR="00750F90" w:rsidRPr="00307AAE" w:rsidRDefault="00750F90" w:rsidP="00307AAE">
      <w:pPr>
        <w:pStyle w:val="SingleTxt"/>
        <w:rPr>
          <w:w w:val="100"/>
          <w:kern w:val="0"/>
          <w:rtl/>
          <w:lang w:val="fr-CH"/>
        </w:rPr>
      </w:pPr>
      <w:r w:rsidRPr="00307AAE">
        <w:rPr>
          <w:rFonts w:hint="cs"/>
          <w:w w:val="100"/>
          <w:kern w:val="0"/>
          <w:rtl/>
        </w:rPr>
        <w:t>68-</w:t>
      </w:r>
      <w:r w:rsidRPr="00307AAE">
        <w:rPr>
          <w:rFonts w:hint="cs"/>
          <w:w w:val="100"/>
          <w:kern w:val="0"/>
          <w:rtl/>
        </w:rPr>
        <w:tab/>
      </w:r>
      <w:r w:rsidRPr="00307AAE">
        <w:rPr>
          <w:rFonts w:hint="cs"/>
          <w:w w:val="100"/>
          <w:kern w:val="0"/>
          <w:rtl/>
          <w:lang w:val="fr-CH"/>
        </w:rPr>
        <w:t>ويقدم هذه الخدمة محامو المساعدة القضائية، والممثلون القانونيون والأوصياء العامون التابعون لمكتب الدفاع العام.</w:t>
      </w:r>
    </w:p>
    <w:p w:rsidR="00750F90" w:rsidRPr="00307AAE" w:rsidRDefault="00750F90" w:rsidP="00307AAE">
      <w:pPr>
        <w:pStyle w:val="SingleTxt"/>
        <w:rPr>
          <w:w w:val="100"/>
          <w:kern w:val="0"/>
          <w:rtl/>
          <w:lang w:val="fr-CH"/>
        </w:rPr>
      </w:pPr>
      <w:r w:rsidRPr="00307AAE">
        <w:rPr>
          <w:rFonts w:hint="cs"/>
          <w:w w:val="100"/>
          <w:kern w:val="0"/>
          <w:rtl/>
          <w:lang w:val="fr-CH"/>
        </w:rPr>
        <w:t>69-</w:t>
      </w:r>
      <w:r w:rsidRPr="00307AAE">
        <w:rPr>
          <w:rFonts w:hint="cs"/>
          <w:w w:val="100"/>
          <w:kern w:val="0"/>
          <w:rtl/>
          <w:lang w:val="fr-CH"/>
        </w:rPr>
        <w:tab/>
        <w:t>وفي القضايا الجنائية، إذا اتُهم شخص ما بارتكاب جريمة ولم يوكل محامي</w:t>
      </w:r>
      <w:r w:rsidR="00A71B00">
        <w:rPr>
          <w:rFonts w:hint="cs"/>
          <w:w w:val="100"/>
          <w:kern w:val="0"/>
          <w:rtl/>
          <w:lang w:val="fr-CH"/>
        </w:rPr>
        <w:t xml:space="preserve">اً </w:t>
      </w:r>
      <w:r w:rsidRPr="00307AAE">
        <w:rPr>
          <w:rFonts w:hint="cs"/>
          <w:w w:val="100"/>
          <w:kern w:val="0"/>
          <w:rtl/>
          <w:lang w:val="fr-CH"/>
        </w:rPr>
        <w:t>يثق فيه، عين له قاضي الموضوع محامي المساعدة القضائية الرسمي الذي يقع عليه الدور في إطار التناوب على تقديم المساعدة القضائية. وهذه الخدمة مجانية.</w:t>
      </w:r>
    </w:p>
    <w:p w:rsidR="00750F90" w:rsidRPr="00A71B00" w:rsidRDefault="00750F90" w:rsidP="00307AAE">
      <w:pPr>
        <w:pStyle w:val="SingleTxt"/>
        <w:rPr>
          <w:spacing w:val="-4"/>
          <w:w w:val="100"/>
          <w:kern w:val="0"/>
          <w:rtl/>
          <w:lang w:val="fr-CH"/>
        </w:rPr>
      </w:pPr>
      <w:r w:rsidRPr="00A71B00">
        <w:rPr>
          <w:rFonts w:hint="cs"/>
          <w:spacing w:val="-4"/>
          <w:w w:val="100"/>
          <w:kern w:val="0"/>
          <w:rtl/>
          <w:lang w:val="fr-CH"/>
        </w:rPr>
        <w:t>70-</w:t>
      </w:r>
      <w:r w:rsidRPr="00A71B00">
        <w:rPr>
          <w:rFonts w:hint="cs"/>
          <w:spacing w:val="-4"/>
          <w:w w:val="100"/>
          <w:kern w:val="0"/>
          <w:rtl/>
          <w:lang w:val="fr-CH"/>
        </w:rPr>
        <w:tab/>
        <w:t>أما بخصوص القضايا غير الجنائية (المدنية، والأسرية والمتعلقة بالممتلكات، والتجارية، والمنازعات الإدارية على الصعيد الاتحادي، وقضايا العمل والضمان الاجتماعي، وما إلى ذلك)، فيمكن اللجوء إلى محام رسمي للمساعدة القضائية (الفقراء ومن يتغيبون عن المحاكمة) طلب</w:t>
      </w:r>
      <w:r w:rsidR="00A71B00">
        <w:rPr>
          <w:rFonts w:hint="cs"/>
          <w:spacing w:val="-4"/>
          <w:w w:val="100"/>
          <w:kern w:val="0"/>
          <w:rtl/>
          <w:lang w:val="fr-CH"/>
        </w:rPr>
        <w:t xml:space="preserve">اً </w:t>
      </w:r>
      <w:r w:rsidRPr="00A71B00">
        <w:rPr>
          <w:rFonts w:hint="cs"/>
          <w:spacing w:val="-4"/>
          <w:w w:val="100"/>
          <w:kern w:val="0"/>
          <w:rtl/>
          <w:lang w:val="fr-CH"/>
        </w:rPr>
        <w:t>للمشورة و/أو المساعدة القضائية المجانية شريطة تقديم إثباتات وحجج على حالة الفقر.</w:t>
      </w:r>
    </w:p>
    <w:p w:rsidR="00750F90" w:rsidRPr="00307AAE" w:rsidRDefault="00750F90" w:rsidP="00307AAE">
      <w:pPr>
        <w:pStyle w:val="SingleTxt"/>
        <w:rPr>
          <w:w w:val="100"/>
          <w:kern w:val="0"/>
          <w:rtl/>
          <w:lang w:val="fr-CH"/>
        </w:rPr>
      </w:pPr>
      <w:r w:rsidRPr="00307AAE">
        <w:rPr>
          <w:rFonts w:hint="cs"/>
          <w:w w:val="100"/>
          <w:kern w:val="0"/>
          <w:rtl/>
          <w:lang w:val="fr-CH"/>
        </w:rPr>
        <w:t>71-</w:t>
      </w:r>
      <w:r w:rsidRPr="00307AAE">
        <w:rPr>
          <w:rFonts w:hint="cs"/>
          <w:w w:val="100"/>
          <w:kern w:val="0"/>
          <w:rtl/>
          <w:lang w:val="fr-CH"/>
        </w:rPr>
        <w:tab/>
        <w:t>ويقَيم موظفو مكتب المساعدة القضائية الحالة ويقدمون لصاحبها المشورة و/أو المساعدة القضائية المناسبتين لمباشرة الإجراءات القانونية ذات الصلة، متى تم استيفاء شروط القبول (المادة 60 من القانون 24946، بشأن إثبات حالة الفقر).</w:t>
      </w:r>
    </w:p>
    <w:p w:rsidR="00750F90" w:rsidRPr="005B4725" w:rsidRDefault="00750F90" w:rsidP="00307AAE">
      <w:pPr>
        <w:pStyle w:val="SingleTxt"/>
        <w:rPr>
          <w:spacing w:val="-2"/>
          <w:w w:val="100"/>
          <w:kern w:val="0"/>
          <w:lang w:val="fr-CH"/>
        </w:rPr>
      </w:pPr>
      <w:r w:rsidRPr="005B4725">
        <w:rPr>
          <w:rFonts w:hint="cs"/>
          <w:spacing w:val="-2"/>
          <w:w w:val="100"/>
          <w:kern w:val="0"/>
          <w:rtl/>
          <w:lang w:val="fr-CH"/>
        </w:rPr>
        <w:t>72-</w:t>
      </w:r>
      <w:r w:rsidRPr="005B4725">
        <w:rPr>
          <w:rFonts w:hint="cs"/>
          <w:spacing w:val="-2"/>
          <w:w w:val="100"/>
          <w:kern w:val="0"/>
          <w:rtl/>
          <w:lang w:val="fr-CH"/>
        </w:rPr>
        <w:tab/>
        <w:t>وفضل</w:t>
      </w:r>
      <w:r w:rsidR="00A71B00">
        <w:rPr>
          <w:rFonts w:hint="cs"/>
          <w:spacing w:val="-2"/>
          <w:w w:val="100"/>
          <w:kern w:val="0"/>
          <w:rtl/>
          <w:lang w:val="fr-CH"/>
        </w:rPr>
        <w:t xml:space="preserve">اً </w:t>
      </w:r>
      <w:r w:rsidRPr="005B4725">
        <w:rPr>
          <w:rFonts w:hint="cs"/>
          <w:spacing w:val="-2"/>
          <w:w w:val="100"/>
          <w:kern w:val="0"/>
          <w:rtl/>
          <w:lang w:val="fr-CH"/>
        </w:rPr>
        <w:t xml:space="preserve">عن ذلك، تعالَج في مكاتب المساعدة القضائية للقاصرين والعاجزين في القضايا المدنية والتجارية والمتعلقة بالعمل، المسائل المتصلة بالقاصرين وبأهلية الأشخاص، من قبيل طلبات الإيداع في مستشفيات الأمراض العقلية، والملتمسات المتعلقة بحالات جنون الأشخاص وفقدانهم للأهلية، وإسداء المشورة في المسائل المدنية الأسرية. ويتولى محامو المساعدة القضائية للقاصرين والعاجزين تمثيل هاتين الفئتين. ويقَيم موظفو مكتب المساعدة القضائية الحالة ويباشرون، عند الاقتضاء، الإجراءات ذات الصلة أو يقومون بإرشاد صاحبها ثم إحالة قضيته. </w:t>
      </w:r>
    </w:p>
    <w:p w:rsidR="0003012B" w:rsidRPr="0003012B" w:rsidRDefault="0003012B" w:rsidP="0003012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03012B" w:rsidRPr="0003012B" w:rsidRDefault="0003012B" w:rsidP="0003012B">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750F90" w:rsidRDefault="00750F90" w:rsidP="0003012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307AAE">
        <w:rPr>
          <w:rFonts w:hint="cs"/>
          <w:w w:val="100"/>
          <w:rtl/>
        </w:rPr>
        <w:tab/>
      </w:r>
      <w:bookmarkStart w:id="6" w:name="_Toc430532834"/>
      <w:r w:rsidRPr="00307AAE">
        <w:rPr>
          <w:rFonts w:hint="cs"/>
          <w:w w:val="100"/>
          <w:rtl/>
        </w:rPr>
        <w:t>ثانياً</w:t>
      </w:r>
      <w:r w:rsidR="00307AAE" w:rsidRPr="00307AAE">
        <w:rPr>
          <w:rFonts w:hint="cs"/>
          <w:w w:val="100"/>
          <w:rtl/>
        </w:rPr>
        <w:t>-</w:t>
      </w:r>
      <w:r w:rsidR="00307AAE" w:rsidRPr="00307AAE">
        <w:rPr>
          <w:rFonts w:hint="cs"/>
          <w:w w:val="100"/>
          <w:rtl/>
        </w:rPr>
        <w:tab/>
      </w:r>
      <w:r w:rsidRPr="00307AAE">
        <w:rPr>
          <w:rFonts w:hint="cs"/>
          <w:w w:val="100"/>
          <w:rtl/>
        </w:rPr>
        <w:t>الإطار العام لحماية حقوق الإنسان وتعزيزها</w:t>
      </w:r>
      <w:bookmarkEnd w:id="6"/>
    </w:p>
    <w:p w:rsidR="0003012B" w:rsidRPr="0003012B" w:rsidRDefault="0003012B" w:rsidP="0003012B">
      <w:pPr>
        <w:pStyle w:val="SingleTxt"/>
        <w:spacing w:after="0" w:line="120" w:lineRule="exact"/>
        <w:rPr>
          <w:sz w:val="10"/>
          <w:rtl/>
        </w:rPr>
      </w:pPr>
    </w:p>
    <w:p w:rsidR="00750F90" w:rsidRPr="00307AAE" w:rsidRDefault="00750F90" w:rsidP="00307AAE">
      <w:pPr>
        <w:pStyle w:val="SingleTxt"/>
        <w:rPr>
          <w:w w:val="100"/>
          <w:kern w:val="0"/>
          <w:rtl/>
        </w:rPr>
      </w:pPr>
      <w:r w:rsidRPr="00307AAE">
        <w:rPr>
          <w:rFonts w:hint="cs"/>
          <w:w w:val="100"/>
          <w:kern w:val="0"/>
          <w:rtl/>
        </w:rPr>
        <w:t>73-</w:t>
      </w:r>
      <w:r w:rsidRPr="00307AAE">
        <w:rPr>
          <w:rFonts w:hint="cs"/>
          <w:w w:val="100"/>
          <w:kern w:val="0"/>
          <w:rtl/>
        </w:rPr>
        <w:tab/>
        <w:t>الأمانة المكلفة بالشؤون الخارجية التابعة لوزارة الشؤون الخارجية والدينية هي المسؤولة عن السياسة الخارجية للدولة فيما يتعلق بالعلاقات مع جميع البلدان والمنظمات الدولية.</w:t>
      </w:r>
    </w:p>
    <w:p w:rsidR="00750F90" w:rsidRPr="00A71B00" w:rsidRDefault="00750F90" w:rsidP="00307AAE">
      <w:pPr>
        <w:pStyle w:val="SingleTxt"/>
        <w:rPr>
          <w:spacing w:val="-2"/>
          <w:w w:val="100"/>
          <w:kern w:val="0"/>
          <w:rtl/>
        </w:rPr>
      </w:pPr>
      <w:r w:rsidRPr="00A71B00">
        <w:rPr>
          <w:rFonts w:hint="cs"/>
          <w:spacing w:val="-2"/>
          <w:w w:val="100"/>
          <w:kern w:val="0"/>
          <w:rtl/>
        </w:rPr>
        <w:t>74-</w:t>
      </w:r>
      <w:r w:rsidRPr="00A71B00">
        <w:rPr>
          <w:rFonts w:hint="cs"/>
          <w:spacing w:val="-2"/>
          <w:w w:val="100"/>
          <w:kern w:val="0"/>
          <w:rtl/>
        </w:rPr>
        <w:tab/>
        <w:t xml:space="preserve">وينبغي للمديرية العامة لحقوق الإنسان التابعة لوزارة الشؤون الخارجية والدينية أن تساهم، من جهتها، في إعداد ورسم خطط السياسة الخارجية وبرامجها ومشاريعها وأهدافها في مجال حقوق </w:t>
      </w:r>
      <w:r w:rsidRPr="00A71B00">
        <w:rPr>
          <w:rFonts w:hint="cs"/>
          <w:spacing w:val="-4"/>
          <w:w w:val="100"/>
          <w:kern w:val="0"/>
          <w:rtl/>
        </w:rPr>
        <w:t>الإنسان، وأن تشارك كذلك في عرض السياسة الخارجية المتصلة بهذه المواضيع أمام الهيئات أو الكيانات</w:t>
      </w:r>
      <w:r w:rsidRPr="00A71B00">
        <w:rPr>
          <w:rFonts w:hint="cs"/>
          <w:spacing w:val="-2"/>
          <w:w w:val="100"/>
          <w:kern w:val="0"/>
          <w:rtl/>
        </w:rPr>
        <w:t xml:space="preserve"> أو اللجان المختصة الدولية.</w:t>
      </w:r>
    </w:p>
    <w:p w:rsidR="00750F90" w:rsidRPr="00307AAE" w:rsidRDefault="00750F90" w:rsidP="00307AAE">
      <w:pPr>
        <w:pStyle w:val="SingleTxt"/>
        <w:rPr>
          <w:w w:val="100"/>
          <w:kern w:val="0"/>
          <w:rtl/>
        </w:rPr>
      </w:pPr>
      <w:r w:rsidRPr="00307AAE">
        <w:rPr>
          <w:rFonts w:hint="cs"/>
          <w:w w:val="100"/>
          <w:kern w:val="0"/>
          <w:rtl/>
        </w:rPr>
        <w:t>75-</w:t>
      </w:r>
      <w:r w:rsidRPr="00307AAE">
        <w:rPr>
          <w:rFonts w:hint="cs"/>
          <w:w w:val="100"/>
          <w:kern w:val="0"/>
          <w:rtl/>
        </w:rPr>
        <w:tab/>
        <w:t>ويندرج ضمن نطاق اختصاصها ما يلي:</w:t>
      </w:r>
    </w:p>
    <w:p w:rsidR="00750F90" w:rsidRPr="00307AAE" w:rsidRDefault="00750F90" w:rsidP="005B4725">
      <w:pPr>
        <w:pStyle w:val="SingleTxt"/>
        <w:numPr>
          <w:ilvl w:val="0"/>
          <w:numId w:val="33"/>
        </w:numPr>
        <w:tabs>
          <w:tab w:val="clear" w:pos="1930"/>
        </w:tabs>
        <w:spacing w:line="380" w:lineRule="exact"/>
        <w:ind w:left="1979" w:hanging="357"/>
        <w:rPr>
          <w:w w:val="100"/>
          <w:kern w:val="0"/>
        </w:rPr>
      </w:pPr>
      <w:r w:rsidRPr="00307AAE">
        <w:rPr>
          <w:rFonts w:hint="cs"/>
          <w:w w:val="100"/>
          <w:kern w:val="0"/>
          <w:rtl/>
        </w:rPr>
        <w:t>التنسيق مع الجهات المختصة، في مجال العلاقات مع باقي الدول، بشأن المسائل المتصلة بحقوق الإنسان والقانون الإنساني ونظامه القانوني الدولي؛</w:t>
      </w:r>
    </w:p>
    <w:p w:rsidR="00750F90" w:rsidRPr="00307AAE" w:rsidRDefault="00750F90" w:rsidP="005B4725">
      <w:pPr>
        <w:pStyle w:val="SingleTxt"/>
        <w:numPr>
          <w:ilvl w:val="0"/>
          <w:numId w:val="33"/>
        </w:numPr>
        <w:tabs>
          <w:tab w:val="clear" w:pos="1930"/>
        </w:tabs>
        <w:spacing w:line="380" w:lineRule="exact"/>
        <w:ind w:left="1979" w:hanging="357"/>
        <w:rPr>
          <w:w w:val="100"/>
          <w:kern w:val="0"/>
        </w:rPr>
      </w:pPr>
      <w:r w:rsidRPr="00307AAE">
        <w:rPr>
          <w:rFonts w:hint="cs"/>
          <w:w w:val="100"/>
          <w:kern w:val="0"/>
          <w:rtl/>
        </w:rPr>
        <w:t>إعداد مشاريع المبادئ التوجيهية والخطط وبرامج العمل للأحداث الدولية لحقوق الإنسان والقانون الإنساني، التي تشارك فيها جمهورية الأرجنتين، وذلك بالتنسيق مع الجهات المختصة الأخرى؛</w:t>
      </w:r>
    </w:p>
    <w:p w:rsidR="00750F90" w:rsidRPr="00307AAE" w:rsidRDefault="00750F90" w:rsidP="005B4725">
      <w:pPr>
        <w:pStyle w:val="SingleTxt"/>
        <w:numPr>
          <w:ilvl w:val="0"/>
          <w:numId w:val="33"/>
        </w:numPr>
        <w:tabs>
          <w:tab w:val="clear" w:pos="1930"/>
        </w:tabs>
        <w:spacing w:line="380" w:lineRule="exact"/>
        <w:ind w:left="1979" w:hanging="357"/>
        <w:rPr>
          <w:w w:val="100"/>
          <w:kern w:val="0"/>
        </w:rPr>
      </w:pPr>
      <w:r w:rsidRPr="00307AAE">
        <w:rPr>
          <w:rFonts w:hint="cs"/>
          <w:w w:val="100"/>
          <w:kern w:val="0"/>
          <w:rtl/>
        </w:rPr>
        <w:t>المشاركة، إلى جانب الجهات المختصة، في دراسة معايير القانون المحلي من أجل مواءمتها مع معايير القانون الدولي لحقوق الإنسان والقانون الإنساني؛</w:t>
      </w:r>
    </w:p>
    <w:p w:rsidR="00750F90" w:rsidRPr="00307AAE" w:rsidRDefault="00750F90" w:rsidP="005B4725">
      <w:pPr>
        <w:pStyle w:val="SingleTxt"/>
        <w:numPr>
          <w:ilvl w:val="0"/>
          <w:numId w:val="33"/>
        </w:numPr>
        <w:tabs>
          <w:tab w:val="clear" w:pos="1930"/>
        </w:tabs>
        <w:spacing w:line="380" w:lineRule="exact"/>
        <w:ind w:left="1979" w:hanging="357"/>
        <w:rPr>
          <w:w w:val="100"/>
          <w:kern w:val="0"/>
        </w:rPr>
      </w:pPr>
      <w:r w:rsidRPr="00307AAE">
        <w:rPr>
          <w:rFonts w:hint="cs"/>
          <w:w w:val="100"/>
          <w:kern w:val="0"/>
          <w:rtl/>
        </w:rPr>
        <w:t>المشاركة، بالتنسيق مع الجهات المختصة، في إبرام المعاهدات والاتفاقات والاتفاقيات الدولية لحقوق الإنسان والقانون الإنساني التي تكون دولة الأرجنتين طرف</w:t>
      </w:r>
      <w:r w:rsidR="00A71B00">
        <w:rPr>
          <w:rFonts w:hint="cs"/>
          <w:w w:val="100"/>
          <w:kern w:val="0"/>
          <w:rtl/>
        </w:rPr>
        <w:t xml:space="preserve">اً </w:t>
      </w:r>
      <w:r w:rsidRPr="00307AAE">
        <w:rPr>
          <w:rFonts w:hint="cs"/>
          <w:w w:val="100"/>
          <w:kern w:val="0"/>
          <w:rtl/>
        </w:rPr>
        <w:t>فيها؛</w:t>
      </w:r>
    </w:p>
    <w:p w:rsidR="00750F90" w:rsidRPr="005B4725" w:rsidRDefault="00750F90" w:rsidP="005B4725">
      <w:pPr>
        <w:pStyle w:val="SingleTxt"/>
        <w:numPr>
          <w:ilvl w:val="0"/>
          <w:numId w:val="33"/>
        </w:numPr>
        <w:tabs>
          <w:tab w:val="clear" w:pos="1930"/>
        </w:tabs>
        <w:spacing w:line="380" w:lineRule="exact"/>
        <w:ind w:left="1979" w:hanging="357"/>
        <w:rPr>
          <w:spacing w:val="-2"/>
          <w:w w:val="100"/>
          <w:kern w:val="0"/>
        </w:rPr>
      </w:pPr>
      <w:r w:rsidRPr="005B4725">
        <w:rPr>
          <w:rFonts w:hint="cs"/>
          <w:spacing w:val="-2"/>
          <w:w w:val="100"/>
          <w:kern w:val="0"/>
          <w:rtl/>
        </w:rPr>
        <w:t>دعم الدراسات وعمليات رسم وتقييم المشاريع والبرامج والخطط مع باقي الهيئات والوحدات التابعة للدولة، ذات الصلة بالسياسة الخارجية للجمهورية، في مجال حقوق الإنسان والقانون الإنساني، وذلك بغرض ضمان الاتساق اللازم لتنفيذها؛</w:t>
      </w:r>
    </w:p>
    <w:p w:rsidR="00750F90" w:rsidRPr="00307AAE" w:rsidRDefault="00750F90" w:rsidP="0003012B">
      <w:pPr>
        <w:pStyle w:val="SingleTxt"/>
        <w:numPr>
          <w:ilvl w:val="0"/>
          <w:numId w:val="33"/>
        </w:numPr>
        <w:tabs>
          <w:tab w:val="clear" w:pos="1930"/>
        </w:tabs>
        <w:rPr>
          <w:w w:val="100"/>
          <w:kern w:val="0"/>
        </w:rPr>
      </w:pPr>
      <w:r w:rsidRPr="00307AAE">
        <w:rPr>
          <w:rFonts w:hint="cs"/>
          <w:w w:val="100"/>
          <w:kern w:val="0"/>
          <w:rtl/>
        </w:rPr>
        <w:t>تنسيق وإجراء المشاورات اللازمة مع مفوضية الأمم المتحدة السامية لشؤون اللاجئين، فيما</w:t>
      </w:r>
      <w:r w:rsidR="0003012B">
        <w:rPr>
          <w:rFonts w:hint="eastAsia"/>
          <w:w w:val="100"/>
          <w:kern w:val="0"/>
          <w:rtl/>
        </w:rPr>
        <w:t> </w:t>
      </w:r>
      <w:r w:rsidRPr="00307AAE">
        <w:rPr>
          <w:rFonts w:hint="cs"/>
          <w:w w:val="100"/>
          <w:kern w:val="0"/>
          <w:rtl/>
        </w:rPr>
        <w:t>يتعلق بقرارات منح اللجوء و/أو الحماية لمن يطلبهما من الأجانب في الجمهورية؛</w:t>
      </w:r>
    </w:p>
    <w:p w:rsidR="00750F90" w:rsidRPr="00307AAE" w:rsidRDefault="00750F90" w:rsidP="0003012B">
      <w:pPr>
        <w:pStyle w:val="SingleTxt"/>
        <w:numPr>
          <w:ilvl w:val="0"/>
          <w:numId w:val="33"/>
        </w:numPr>
        <w:tabs>
          <w:tab w:val="clear" w:pos="1930"/>
        </w:tabs>
        <w:rPr>
          <w:w w:val="100"/>
          <w:kern w:val="0"/>
        </w:rPr>
      </w:pPr>
      <w:r w:rsidRPr="00307AAE">
        <w:rPr>
          <w:rFonts w:hint="cs"/>
          <w:w w:val="100"/>
          <w:kern w:val="0"/>
          <w:rtl/>
        </w:rPr>
        <w:t>النظر، بالتنسيق مع الجهات المختصة الأخرى، في المسائل المتعلقة بالأقليات القومية والإثنية والدينية واللغوية في نطاق عمل الهيئات الدولية؛</w:t>
      </w:r>
    </w:p>
    <w:p w:rsidR="00750F90" w:rsidRPr="005B4725" w:rsidRDefault="00750F90" w:rsidP="0003012B">
      <w:pPr>
        <w:pStyle w:val="SingleTxt"/>
        <w:numPr>
          <w:ilvl w:val="0"/>
          <w:numId w:val="33"/>
        </w:numPr>
        <w:tabs>
          <w:tab w:val="clear" w:pos="1930"/>
        </w:tabs>
        <w:rPr>
          <w:spacing w:val="-5"/>
          <w:w w:val="100"/>
          <w:kern w:val="0"/>
          <w:rtl/>
        </w:rPr>
      </w:pPr>
      <w:r w:rsidRPr="005B4725">
        <w:rPr>
          <w:rFonts w:hint="cs"/>
          <w:spacing w:val="-5"/>
          <w:w w:val="100"/>
          <w:kern w:val="0"/>
          <w:rtl/>
        </w:rPr>
        <w:t>النظر، بالتنسيق مع الجهات المختصة الأخرى، في المسائل المتصلة</w:t>
      </w:r>
      <w:r w:rsidR="0003012B" w:rsidRPr="005B4725">
        <w:rPr>
          <w:rFonts w:hint="cs"/>
          <w:spacing w:val="-5"/>
          <w:w w:val="100"/>
          <w:kern w:val="0"/>
          <w:rtl/>
        </w:rPr>
        <w:t xml:space="preserve"> بالمعايير الدولية لحقوق الطفل.</w:t>
      </w:r>
    </w:p>
    <w:p w:rsidR="00750F90" w:rsidRPr="00307AAE" w:rsidRDefault="00750F90" w:rsidP="00307AAE">
      <w:pPr>
        <w:pStyle w:val="SingleTxt"/>
        <w:rPr>
          <w:w w:val="100"/>
          <w:kern w:val="0"/>
          <w:rtl/>
        </w:rPr>
      </w:pPr>
      <w:r w:rsidRPr="00307AAE">
        <w:rPr>
          <w:rFonts w:hint="cs"/>
          <w:w w:val="100"/>
          <w:kern w:val="0"/>
          <w:rtl/>
        </w:rPr>
        <w:t>76-</w:t>
      </w:r>
      <w:r w:rsidRPr="00307AAE">
        <w:rPr>
          <w:rFonts w:hint="cs"/>
          <w:w w:val="100"/>
          <w:kern w:val="0"/>
          <w:rtl/>
        </w:rPr>
        <w:tab/>
        <w:t>ومن جهة أخرى، تتمثل المسؤولية الأساسية لمديرية شؤون المرأة في معالجة القضايا ذات الصلة بالمرأة على الصعيد الدولي وفي السياسة الخارجية للجمهورية. وتشمل الإجراءات التي تضطلع بها ما يلي:</w:t>
      </w:r>
    </w:p>
    <w:p w:rsidR="00750F90" w:rsidRPr="00307AAE" w:rsidRDefault="00750F90" w:rsidP="005B4725">
      <w:pPr>
        <w:pStyle w:val="SingleTxt"/>
        <w:numPr>
          <w:ilvl w:val="0"/>
          <w:numId w:val="34"/>
        </w:numPr>
        <w:tabs>
          <w:tab w:val="clear" w:pos="1930"/>
        </w:tabs>
        <w:rPr>
          <w:w w:val="100"/>
          <w:kern w:val="0"/>
          <w:rtl/>
        </w:rPr>
      </w:pPr>
      <w:r w:rsidRPr="00307AAE">
        <w:rPr>
          <w:rFonts w:hint="cs"/>
          <w:w w:val="100"/>
          <w:kern w:val="0"/>
          <w:rtl/>
        </w:rPr>
        <w:t>وضع وتنسيق الإجراءات المتعلقة بقضايا المرأة ضمن أهداف السياسة الخارجية للبلد، وكذلك معالجة إشكالية المساواة وتكافؤ الفرص بين الجنسين والموقف الذي ينبغي اعتماده في مختلف الهيئات عند الاقتضاء؛</w:t>
      </w:r>
    </w:p>
    <w:p w:rsidR="00750F90" w:rsidRPr="00307AAE" w:rsidRDefault="00750F90" w:rsidP="005B4725">
      <w:pPr>
        <w:pStyle w:val="SingleTxt"/>
        <w:numPr>
          <w:ilvl w:val="0"/>
          <w:numId w:val="34"/>
        </w:numPr>
        <w:tabs>
          <w:tab w:val="clear" w:pos="1930"/>
        </w:tabs>
        <w:rPr>
          <w:w w:val="100"/>
          <w:kern w:val="0"/>
          <w:rtl/>
        </w:rPr>
      </w:pPr>
      <w:r w:rsidRPr="00307AAE">
        <w:rPr>
          <w:rFonts w:hint="cs"/>
          <w:w w:val="100"/>
          <w:kern w:val="0"/>
          <w:rtl/>
        </w:rPr>
        <w:t>المشاركة في إعداد مشاريع المبادئ التوجيهية والخطط وبرامج العمل للأحداث الدولية المتعلقة بوضع المرأة وحالتها، التي تشارك فيها جمهورية الأرجنتين، بالإضافة إلى تلك التي تجري داخل الهيئات الدولية التي تكون الأرجنتين طرف</w:t>
      </w:r>
      <w:r w:rsidR="00A71B00">
        <w:rPr>
          <w:rFonts w:hint="cs"/>
          <w:w w:val="100"/>
          <w:kern w:val="0"/>
          <w:rtl/>
        </w:rPr>
        <w:t xml:space="preserve">اً </w:t>
      </w:r>
      <w:r w:rsidRPr="00307AAE">
        <w:rPr>
          <w:rFonts w:hint="cs"/>
          <w:w w:val="100"/>
          <w:kern w:val="0"/>
          <w:rtl/>
        </w:rPr>
        <w:t>فيها؛</w:t>
      </w:r>
    </w:p>
    <w:p w:rsidR="00750F90" w:rsidRPr="00307AAE" w:rsidRDefault="00750F90" w:rsidP="005B4725">
      <w:pPr>
        <w:pStyle w:val="SingleTxt"/>
        <w:numPr>
          <w:ilvl w:val="0"/>
          <w:numId w:val="34"/>
        </w:numPr>
        <w:tabs>
          <w:tab w:val="clear" w:pos="1930"/>
        </w:tabs>
        <w:rPr>
          <w:w w:val="100"/>
          <w:kern w:val="0"/>
          <w:rtl/>
        </w:rPr>
      </w:pPr>
      <w:r w:rsidRPr="00307AAE">
        <w:rPr>
          <w:rFonts w:hint="cs"/>
          <w:w w:val="100"/>
          <w:kern w:val="0"/>
          <w:rtl/>
        </w:rPr>
        <w:t xml:space="preserve">المشاركة مع الجهات المختصة في دراسة معايير القانون المحلي من أجل مواءمتها مع معايير </w:t>
      </w:r>
      <w:r w:rsidRPr="00A71B00">
        <w:rPr>
          <w:rFonts w:hint="cs"/>
          <w:spacing w:val="-2"/>
          <w:w w:val="100"/>
          <w:kern w:val="0"/>
          <w:rtl/>
        </w:rPr>
        <w:t>القانون الدولي المتعلقة بوضع المرأة وحالتها وكذلك في إبرام المعاهدات والاتفاقات والاتفاقيات</w:t>
      </w:r>
      <w:r w:rsidRPr="00307AAE">
        <w:rPr>
          <w:rFonts w:hint="cs"/>
          <w:w w:val="100"/>
          <w:kern w:val="0"/>
          <w:rtl/>
        </w:rPr>
        <w:t xml:space="preserve"> الدولية التي تتفاوض الأرجنتين بشأنها في مجال وضع المرأة وحالتها؛</w:t>
      </w:r>
    </w:p>
    <w:p w:rsidR="00750F90" w:rsidRPr="00A71B00" w:rsidRDefault="00750F90" w:rsidP="005B4725">
      <w:pPr>
        <w:pStyle w:val="SingleTxt"/>
        <w:numPr>
          <w:ilvl w:val="0"/>
          <w:numId w:val="34"/>
        </w:numPr>
        <w:tabs>
          <w:tab w:val="clear" w:pos="1930"/>
        </w:tabs>
        <w:rPr>
          <w:spacing w:val="-4"/>
          <w:w w:val="100"/>
          <w:kern w:val="0"/>
          <w:rtl/>
        </w:rPr>
      </w:pPr>
      <w:r w:rsidRPr="00A71B00">
        <w:rPr>
          <w:rFonts w:hint="cs"/>
          <w:spacing w:val="-4"/>
          <w:w w:val="100"/>
          <w:kern w:val="0"/>
          <w:rtl/>
        </w:rPr>
        <w:t>المشاركة في مختلف الأحداث والاجتماعات التي تنظمها الهيئات الدولية أو الحكومات الأجنبية التي تعالَج خلالها القضايا المتعلقة بالمرأة؛</w:t>
      </w:r>
    </w:p>
    <w:p w:rsidR="00750F90" w:rsidRPr="00307AAE" w:rsidRDefault="00750F90" w:rsidP="005B4725">
      <w:pPr>
        <w:pStyle w:val="SingleTxt"/>
        <w:numPr>
          <w:ilvl w:val="0"/>
          <w:numId w:val="34"/>
        </w:numPr>
        <w:tabs>
          <w:tab w:val="clear" w:pos="1930"/>
        </w:tabs>
        <w:rPr>
          <w:w w:val="100"/>
          <w:kern w:val="0"/>
          <w:rtl/>
        </w:rPr>
      </w:pPr>
      <w:r w:rsidRPr="00307AAE">
        <w:rPr>
          <w:rFonts w:hint="cs"/>
          <w:w w:val="100"/>
          <w:kern w:val="0"/>
          <w:rtl/>
        </w:rPr>
        <w:t>تنسيق مشاركة ممثلي الدولة لدى الهيئات الدولية والهيئات الحكومية الدولية، والأنشطة التي يضطلعون بها في الخارج المتعلقة بحالة المرأة وحقوقها وبإشكالية المساواة بين الجنسين؛</w:t>
      </w:r>
    </w:p>
    <w:p w:rsidR="00750F90" w:rsidRPr="00307AAE" w:rsidRDefault="00750F90" w:rsidP="005B4725">
      <w:pPr>
        <w:pStyle w:val="SingleTxt"/>
        <w:numPr>
          <w:ilvl w:val="0"/>
          <w:numId w:val="34"/>
        </w:numPr>
        <w:tabs>
          <w:tab w:val="clear" w:pos="1930"/>
        </w:tabs>
        <w:rPr>
          <w:w w:val="100"/>
          <w:kern w:val="0"/>
          <w:rtl/>
        </w:rPr>
      </w:pPr>
      <w:r w:rsidRPr="00307AAE">
        <w:rPr>
          <w:rFonts w:hint="cs"/>
          <w:w w:val="100"/>
          <w:kern w:val="0"/>
          <w:rtl/>
        </w:rPr>
        <w:t>تنسيق الأنشطة والمعلومات اللازمة لوضع إطارات العمل في المشهد الدولي مع الهيئات الحكومية الوطنية.</w:t>
      </w:r>
    </w:p>
    <w:p w:rsidR="005B4725" w:rsidRPr="005B4725" w:rsidRDefault="005B4725" w:rsidP="005B472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5B4725" w:rsidRPr="005B4725" w:rsidRDefault="005B4725" w:rsidP="005B472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rPr>
      </w:pPr>
    </w:p>
    <w:p w:rsidR="00750F90" w:rsidRDefault="00750F90" w:rsidP="005B472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rPr>
      </w:pPr>
      <w:r w:rsidRPr="00307AAE">
        <w:rPr>
          <w:rFonts w:hint="cs"/>
          <w:w w:val="100"/>
          <w:rtl/>
        </w:rPr>
        <w:tab/>
      </w:r>
      <w:bookmarkStart w:id="7" w:name="_Toc430532835"/>
      <w:r w:rsidRPr="00307AAE">
        <w:rPr>
          <w:rFonts w:hint="cs"/>
          <w:w w:val="100"/>
          <w:rtl/>
        </w:rPr>
        <w:t>ألف-</w:t>
      </w:r>
      <w:r w:rsidRPr="00307AAE">
        <w:rPr>
          <w:rFonts w:hint="cs"/>
          <w:w w:val="100"/>
          <w:rtl/>
        </w:rPr>
        <w:tab/>
        <w:t>الموافقة على المعايير الدولية لحقوق الإنسان</w:t>
      </w:r>
      <w:bookmarkEnd w:id="7"/>
    </w:p>
    <w:p w:rsidR="005B4725" w:rsidRPr="005B4725" w:rsidRDefault="005B4725" w:rsidP="005B4725">
      <w:pPr>
        <w:pStyle w:val="SingleTxt"/>
        <w:spacing w:after="0" w:line="120" w:lineRule="exact"/>
        <w:rPr>
          <w:sz w:val="10"/>
          <w:rtl/>
        </w:rPr>
      </w:pPr>
    </w:p>
    <w:p w:rsidR="00983EC8" w:rsidRPr="00307AAE" w:rsidRDefault="00750F90" w:rsidP="00307AAE">
      <w:pPr>
        <w:pStyle w:val="SingleTxt"/>
        <w:rPr>
          <w:w w:val="100"/>
          <w:kern w:val="0"/>
          <w:rtl/>
        </w:rPr>
      </w:pPr>
      <w:r w:rsidRPr="00307AAE">
        <w:rPr>
          <w:rFonts w:hint="cs"/>
          <w:w w:val="100"/>
          <w:kern w:val="0"/>
          <w:rtl/>
        </w:rPr>
        <w:t>77-</w:t>
      </w:r>
      <w:r w:rsidRPr="00307AAE">
        <w:rPr>
          <w:rFonts w:hint="cs"/>
          <w:w w:val="100"/>
          <w:kern w:val="0"/>
          <w:rtl/>
        </w:rPr>
        <w:tab/>
        <w:t>وقعت جمهورية الأرجنتين وصدقت على المعاهدات التالية وعلى بروتوكولاتها الاختيارية، وأقرت اختصاص اللجان المعنية بكل منها:</w:t>
      </w:r>
    </w:p>
    <w:p w:rsidR="00E1404F" w:rsidRPr="00307AAE" w:rsidRDefault="00E1404F" w:rsidP="00983EC8">
      <w:pPr>
        <w:pStyle w:val="SingleTxt"/>
        <w:rPr>
          <w:w w:val="100"/>
          <w:kern w:val="0"/>
          <w:rtl/>
          <w:lang w:val="fr-FR"/>
        </w:rPr>
        <w:sectPr w:rsidR="00E1404F" w:rsidRPr="00307AAE" w:rsidSect="00983EC8">
          <w:endnotePr>
            <w:numFmt w:val="decimal"/>
          </w:endnotePr>
          <w:type w:val="continuous"/>
          <w:pgSz w:w="11909" w:h="16834" w:code="1"/>
          <w:pgMar w:top="1742" w:right="936" w:bottom="1898" w:left="936" w:header="576" w:footer="1030" w:gutter="0"/>
          <w:cols w:space="720"/>
          <w:noEndnote/>
          <w:bidi/>
          <w:rtlGutter/>
          <w:docGrid w:linePitch="278"/>
        </w:sectPr>
      </w:pPr>
    </w:p>
    <w:tbl>
      <w:tblPr>
        <w:bidiVisual/>
        <w:tblW w:w="13183" w:type="dxa"/>
        <w:tblInd w:w="11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35"/>
        <w:gridCol w:w="686"/>
        <w:gridCol w:w="783"/>
        <w:gridCol w:w="616"/>
        <w:gridCol w:w="742"/>
        <w:gridCol w:w="756"/>
        <w:gridCol w:w="966"/>
        <w:gridCol w:w="1036"/>
        <w:gridCol w:w="671"/>
        <w:gridCol w:w="708"/>
        <w:gridCol w:w="496"/>
        <w:gridCol w:w="812"/>
        <w:gridCol w:w="432"/>
        <w:gridCol w:w="744"/>
        <w:gridCol w:w="815"/>
        <w:gridCol w:w="949"/>
        <w:gridCol w:w="378"/>
        <w:gridCol w:w="658"/>
      </w:tblGrid>
      <w:tr w:rsidR="008B4809" w:rsidRPr="00307AAE" w:rsidTr="00675810">
        <w:tc>
          <w:tcPr>
            <w:tcW w:w="935" w:type="dxa"/>
            <w:vMerge w:val="restart"/>
          </w:tcPr>
          <w:p w:rsidR="008B4809" w:rsidRPr="00307AAE" w:rsidRDefault="008B4809" w:rsidP="00675810">
            <w:pPr>
              <w:pStyle w:val="SingleTxtGA"/>
              <w:spacing w:before="3120" w:line="300" w:lineRule="exact"/>
              <w:ind w:left="0" w:right="96"/>
              <w:rPr>
                <w:sz w:val="16"/>
                <w:szCs w:val="24"/>
                <w:rtl/>
              </w:rPr>
            </w:pPr>
            <w:r w:rsidRPr="00307AAE">
              <w:rPr>
                <w:noProof/>
                <w:sz w:val="16"/>
                <w:szCs w:val="24"/>
              </w:rPr>
              <w:drawing>
                <wp:inline distT="0" distB="0" distL="0" distR="0" wp14:anchorId="697A156E" wp14:editId="0B9501D1">
                  <wp:extent cx="190500" cy="120650"/>
                  <wp:effectExtent l="0" t="0" r="0" b="0"/>
                  <wp:docPr id="53" name="Picture 53" descr="Bandera de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ra de Argenti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20650"/>
                          </a:xfrm>
                          <a:prstGeom prst="rect">
                            <a:avLst/>
                          </a:prstGeom>
                          <a:noFill/>
                          <a:ln>
                            <a:noFill/>
                          </a:ln>
                        </pic:spPr>
                      </pic:pic>
                    </a:graphicData>
                  </a:graphic>
                </wp:inline>
              </w:drawing>
            </w:r>
          </w:p>
          <w:p w:rsidR="008B4809" w:rsidRPr="008B4809" w:rsidRDefault="008B4809" w:rsidP="00675810">
            <w:pPr>
              <w:pStyle w:val="SingleTxtGA"/>
              <w:spacing w:line="300" w:lineRule="exact"/>
              <w:ind w:left="0" w:right="95"/>
              <w:rPr>
                <w:sz w:val="16"/>
                <w:szCs w:val="24"/>
                <w:rtl/>
              </w:rPr>
            </w:pPr>
            <w:r w:rsidRPr="008B4809">
              <w:rPr>
                <w:rFonts w:hint="cs"/>
                <w:sz w:val="16"/>
                <w:szCs w:val="24"/>
                <w:rtl/>
              </w:rPr>
              <w:t>الأرجنتين</w:t>
            </w:r>
          </w:p>
        </w:tc>
        <w:tc>
          <w:tcPr>
            <w:tcW w:w="12248" w:type="dxa"/>
            <w:gridSpan w:val="17"/>
          </w:tcPr>
          <w:p w:rsidR="008B4809" w:rsidRPr="00A47696" w:rsidRDefault="008B4809" w:rsidP="00675810">
            <w:pPr>
              <w:pStyle w:val="SingleTxtGA"/>
              <w:spacing w:line="300" w:lineRule="exact"/>
              <w:ind w:left="0"/>
              <w:jc w:val="center"/>
              <w:rPr>
                <w:i/>
                <w:iCs/>
                <w:sz w:val="16"/>
                <w:szCs w:val="24"/>
                <w:rtl/>
              </w:rPr>
            </w:pPr>
            <w:r w:rsidRPr="00A47696">
              <w:rPr>
                <w:rFonts w:hint="cs"/>
                <w:i/>
                <w:iCs/>
                <w:sz w:val="18"/>
                <w:szCs w:val="28"/>
                <w:rtl/>
              </w:rPr>
              <w:t>المعاهدات الدولية</w:t>
            </w:r>
          </w:p>
        </w:tc>
      </w:tr>
      <w:tr w:rsidR="008B4809" w:rsidRPr="007F277A" w:rsidTr="008B4809">
        <w:trPr>
          <w:trHeight w:val="585"/>
        </w:trPr>
        <w:tc>
          <w:tcPr>
            <w:tcW w:w="935" w:type="dxa"/>
            <w:vMerge/>
          </w:tcPr>
          <w:p w:rsidR="008B4809" w:rsidRPr="00307AAE" w:rsidRDefault="008B4809" w:rsidP="00675810">
            <w:pPr>
              <w:pStyle w:val="SingleTxtGA"/>
              <w:spacing w:line="300" w:lineRule="exact"/>
              <w:ind w:left="0"/>
              <w:rPr>
                <w:sz w:val="16"/>
                <w:szCs w:val="24"/>
                <w:rtl/>
              </w:rPr>
            </w:pPr>
          </w:p>
        </w:tc>
        <w:tc>
          <w:tcPr>
            <w:tcW w:w="1469" w:type="dxa"/>
            <w:gridSpan w:val="2"/>
            <w:vAlign w:val="bottom"/>
          </w:tcPr>
          <w:p w:rsidR="008B4809" w:rsidRPr="00A47696" w:rsidRDefault="008B4809" w:rsidP="00675810">
            <w:pPr>
              <w:pStyle w:val="SingleTxtGA"/>
              <w:spacing w:after="0" w:line="300" w:lineRule="exact"/>
              <w:ind w:left="0" w:right="0"/>
              <w:jc w:val="center"/>
              <w:rPr>
                <w:i/>
                <w:iCs/>
                <w:spacing w:val="-4"/>
                <w:sz w:val="16"/>
                <w:szCs w:val="24"/>
                <w:rtl/>
              </w:rPr>
            </w:pPr>
            <w:r w:rsidRPr="00A47696">
              <w:rPr>
                <w:rFonts w:hint="cs"/>
                <w:i/>
                <w:iCs/>
                <w:spacing w:val="-4"/>
                <w:sz w:val="16"/>
                <w:szCs w:val="24"/>
                <w:rtl/>
              </w:rPr>
              <w:t>العهد الدولي الخاص بالحقوق الاقتصادية والاجتماعية والثقافية</w:t>
            </w:r>
          </w:p>
        </w:tc>
        <w:tc>
          <w:tcPr>
            <w:tcW w:w="2114" w:type="dxa"/>
            <w:gridSpan w:val="3"/>
            <w:vAlign w:val="bottom"/>
          </w:tcPr>
          <w:p w:rsidR="008B4809" w:rsidRPr="00A47696" w:rsidRDefault="008B4809" w:rsidP="00675810">
            <w:pPr>
              <w:pStyle w:val="SingleTxtGA"/>
              <w:spacing w:after="0" w:line="300" w:lineRule="exact"/>
              <w:ind w:left="0" w:right="0"/>
              <w:jc w:val="center"/>
              <w:rPr>
                <w:i/>
                <w:iCs/>
                <w:sz w:val="16"/>
                <w:szCs w:val="24"/>
                <w:rtl/>
              </w:rPr>
            </w:pPr>
            <w:r w:rsidRPr="00A47696">
              <w:rPr>
                <w:rFonts w:hint="cs"/>
                <w:i/>
                <w:iCs/>
                <w:sz w:val="16"/>
                <w:szCs w:val="24"/>
                <w:rtl/>
              </w:rPr>
              <w:t>العهد الدولي الخاص بالحقوق المدنية والسياسية</w:t>
            </w:r>
          </w:p>
        </w:tc>
        <w:tc>
          <w:tcPr>
            <w:tcW w:w="966" w:type="dxa"/>
            <w:vMerge w:val="restart"/>
            <w:vAlign w:val="center"/>
          </w:tcPr>
          <w:p w:rsidR="008B4809" w:rsidRPr="00A47696" w:rsidRDefault="008B4809" w:rsidP="008B4809">
            <w:pPr>
              <w:pStyle w:val="SingleTxtGA"/>
              <w:spacing w:before="2040" w:after="0" w:line="300" w:lineRule="exact"/>
              <w:ind w:left="0" w:right="0"/>
              <w:jc w:val="center"/>
              <w:rPr>
                <w:i/>
                <w:iCs/>
                <w:sz w:val="16"/>
                <w:szCs w:val="24"/>
                <w:rtl/>
              </w:rPr>
            </w:pPr>
            <w:r w:rsidRPr="00A47696">
              <w:rPr>
                <w:rFonts w:hint="cs"/>
                <w:i/>
                <w:iCs/>
                <w:sz w:val="16"/>
                <w:szCs w:val="24"/>
                <w:rtl/>
                <w:lang w:val="fr-CH"/>
              </w:rPr>
              <w:t>ال</w:t>
            </w:r>
            <w:r w:rsidRPr="00A47696">
              <w:rPr>
                <w:rFonts w:hint="cs"/>
                <w:i/>
                <w:iCs/>
                <w:sz w:val="16"/>
                <w:szCs w:val="24"/>
                <w:rtl/>
              </w:rPr>
              <w:t>اتفاقية الدولية للقضاء على جميع أشكال التمييز العنصري</w:t>
            </w:r>
          </w:p>
        </w:tc>
        <w:tc>
          <w:tcPr>
            <w:tcW w:w="1036" w:type="dxa"/>
            <w:vMerge w:val="restart"/>
            <w:vAlign w:val="center"/>
          </w:tcPr>
          <w:p w:rsidR="008B4809" w:rsidRPr="00A47696" w:rsidRDefault="008B4809" w:rsidP="008B4809">
            <w:pPr>
              <w:pStyle w:val="SingleTxtGA"/>
              <w:spacing w:before="1680" w:after="0" w:line="300" w:lineRule="exact"/>
              <w:ind w:left="0" w:right="0"/>
              <w:jc w:val="center"/>
              <w:rPr>
                <w:i/>
                <w:iCs/>
                <w:sz w:val="16"/>
                <w:szCs w:val="24"/>
                <w:lang w:val="fr-FR"/>
              </w:rPr>
            </w:pPr>
            <w:r w:rsidRPr="00A47696">
              <w:rPr>
                <w:rFonts w:hint="cs"/>
                <w:i/>
                <w:iCs/>
                <w:sz w:val="16"/>
                <w:szCs w:val="24"/>
                <w:rtl/>
              </w:rPr>
              <w:t xml:space="preserve">الاتفاقية </w:t>
            </w:r>
            <w:r w:rsidRPr="00A47696">
              <w:rPr>
                <w:rFonts w:hint="cs"/>
                <w:i/>
                <w:iCs/>
                <w:sz w:val="16"/>
                <w:szCs w:val="24"/>
                <w:rtl/>
                <w:lang w:val="fr-FR"/>
              </w:rPr>
              <w:t>الدولية لحماية جميع الأشخاص من الاختفاء القسري</w:t>
            </w:r>
          </w:p>
        </w:tc>
        <w:tc>
          <w:tcPr>
            <w:tcW w:w="1379" w:type="dxa"/>
            <w:gridSpan w:val="2"/>
            <w:vAlign w:val="bottom"/>
          </w:tcPr>
          <w:p w:rsidR="008B4809" w:rsidRPr="00A47696" w:rsidRDefault="008B4809" w:rsidP="00675810">
            <w:pPr>
              <w:pStyle w:val="SingleTxtGA"/>
              <w:spacing w:after="0" w:line="300" w:lineRule="exact"/>
              <w:ind w:left="0" w:right="0"/>
              <w:jc w:val="center"/>
              <w:rPr>
                <w:i/>
                <w:iCs/>
                <w:sz w:val="16"/>
                <w:szCs w:val="24"/>
                <w:rtl/>
              </w:rPr>
            </w:pPr>
            <w:r w:rsidRPr="00A47696">
              <w:rPr>
                <w:rFonts w:hint="cs"/>
                <w:i/>
                <w:iCs/>
                <w:sz w:val="16"/>
                <w:szCs w:val="24"/>
                <w:rtl/>
              </w:rPr>
              <w:t>اتفاقية القضاء على جميع أشكال التمييز ضد المرأة</w:t>
            </w:r>
          </w:p>
        </w:tc>
        <w:tc>
          <w:tcPr>
            <w:tcW w:w="1308" w:type="dxa"/>
            <w:gridSpan w:val="2"/>
            <w:vAlign w:val="bottom"/>
          </w:tcPr>
          <w:p w:rsidR="008B4809" w:rsidRPr="008B4809" w:rsidRDefault="008B4809" w:rsidP="00675810">
            <w:pPr>
              <w:pStyle w:val="SingleTxtGA"/>
              <w:spacing w:after="0" w:line="300" w:lineRule="exact"/>
              <w:ind w:left="0" w:right="0"/>
              <w:jc w:val="center"/>
              <w:rPr>
                <w:i/>
                <w:iCs/>
                <w:spacing w:val="-6"/>
                <w:sz w:val="16"/>
                <w:szCs w:val="24"/>
                <w:rtl/>
              </w:rPr>
            </w:pPr>
            <w:r w:rsidRPr="008B4809">
              <w:rPr>
                <w:rFonts w:hint="cs"/>
                <w:i/>
                <w:iCs/>
                <w:spacing w:val="-6"/>
                <w:sz w:val="16"/>
                <w:szCs w:val="24"/>
                <w:rtl/>
              </w:rPr>
              <w:t>اتفاقية مناهضة التعذيب وغيره من ضروب المعاملة أو العقوبة القاسية أو اللاإنسانية أو المهينة</w:t>
            </w:r>
          </w:p>
        </w:tc>
        <w:tc>
          <w:tcPr>
            <w:tcW w:w="1991" w:type="dxa"/>
            <w:gridSpan w:val="3"/>
            <w:vAlign w:val="bottom"/>
          </w:tcPr>
          <w:p w:rsidR="008B4809" w:rsidRPr="00A47696" w:rsidRDefault="008B4809" w:rsidP="00675810">
            <w:pPr>
              <w:pStyle w:val="SingleTxtGA"/>
              <w:spacing w:after="0" w:line="300" w:lineRule="exact"/>
              <w:ind w:left="0" w:right="0"/>
              <w:jc w:val="center"/>
              <w:rPr>
                <w:i/>
                <w:iCs/>
                <w:sz w:val="16"/>
                <w:szCs w:val="24"/>
                <w:rtl/>
              </w:rPr>
            </w:pPr>
            <w:r w:rsidRPr="00A47696">
              <w:rPr>
                <w:rFonts w:hint="cs"/>
                <w:i/>
                <w:iCs/>
                <w:sz w:val="16"/>
                <w:szCs w:val="24"/>
                <w:rtl/>
              </w:rPr>
              <w:t>اتفاقية حقوق الطفل</w:t>
            </w:r>
          </w:p>
        </w:tc>
        <w:tc>
          <w:tcPr>
            <w:tcW w:w="949" w:type="dxa"/>
            <w:vMerge w:val="restart"/>
            <w:vAlign w:val="center"/>
          </w:tcPr>
          <w:p w:rsidR="008B4809" w:rsidRPr="00A47696" w:rsidRDefault="008B4809" w:rsidP="008B4809">
            <w:pPr>
              <w:pStyle w:val="SingleTxtGA"/>
              <w:spacing w:before="1560" w:after="0" w:line="300" w:lineRule="exact"/>
              <w:ind w:left="0" w:right="0"/>
              <w:jc w:val="center"/>
              <w:rPr>
                <w:i/>
                <w:iCs/>
                <w:sz w:val="16"/>
                <w:szCs w:val="24"/>
                <w:rtl/>
                <w:lang w:val="fr-CH"/>
              </w:rPr>
            </w:pPr>
            <w:r w:rsidRPr="00A47696">
              <w:rPr>
                <w:i/>
                <w:iCs/>
                <w:sz w:val="16"/>
                <w:szCs w:val="24"/>
                <w:rtl/>
                <w:lang w:val="fr-CH"/>
              </w:rPr>
              <w:t xml:space="preserve">الاتفاقية الدولية لحماية حقوق جميع العمال </w:t>
            </w:r>
            <w:r w:rsidRPr="00A47696">
              <w:rPr>
                <w:rFonts w:hint="cs"/>
                <w:i/>
                <w:iCs/>
                <w:sz w:val="16"/>
                <w:szCs w:val="24"/>
                <w:rtl/>
                <w:lang w:val="fr-CH"/>
              </w:rPr>
              <w:t xml:space="preserve">المهاجرين </w:t>
            </w:r>
            <w:r w:rsidRPr="00A47696">
              <w:rPr>
                <w:i/>
                <w:iCs/>
                <w:sz w:val="16"/>
                <w:szCs w:val="24"/>
                <w:rtl/>
                <w:lang w:val="fr-CH"/>
              </w:rPr>
              <w:t>وأفراد أسرهم</w:t>
            </w:r>
          </w:p>
        </w:tc>
        <w:tc>
          <w:tcPr>
            <w:tcW w:w="1036" w:type="dxa"/>
            <w:gridSpan w:val="2"/>
            <w:vAlign w:val="bottom"/>
          </w:tcPr>
          <w:p w:rsidR="008B4809" w:rsidRPr="00A47696" w:rsidRDefault="008B4809" w:rsidP="00675810">
            <w:pPr>
              <w:pStyle w:val="SingleTxtGA"/>
              <w:spacing w:after="0" w:line="300" w:lineRule="exact"/>
              <w:ind w:left="0" w:right="0"/>
              <w:jc w:val="center"/>
              <w:rPr>
                <w:i/>
                <w:iCs/>
                <w:sz w:val="16"/>
                <w:szCs w:val="24"/>
                <w:rtl/>
              </w:rPr>
            </w:pPr>
            <w:r w:rsidRPr="00A47696">
              <w:rPr>
                <w:rFonts w:hint="cs"/>
                <w:i/>
                <w:iCs/>
                <w:sz w:val="16"/>
                <w:szCs w:val="24"/>
                <w:rtl/>
              </w:rPr>
              <w:t>اتفاقية حقوق الأشخاص ذوي الإعاقة</w:t>
            </w:r>
          </w:p>
        </w:tc>
      </w:tr>
      <w:tr w:rsidR="008B4809" w:rsidRPr="00307AAE" w:rsidTr="008B4809">
        <w:trPr>
          <w:cantSplit/>
          <w:trHeight w:val="2945"/>
        </w:trPr>
        <w:tc>
          <w:tcPr>
            <w:tcW w:w="935" w:type="dxa"/>
            <w:vMerge/>
            <w:tcBorders>
              <w:bottom w:val="single" w:sz="12" w:space="0" w:color="auto"/>
            </w:tcBorders>
          </w:tcPr>
          <w:p w:rsidR="008B4809" w:rsidRPr="00307AAE" w:rsidRDefault="008B4809" w:rsidP="00675810">
            <w:pPr>
              <w:pStyle w:val="SingleTxtGA"/>
              <w:spacing w:line="300" w:lineRule="exact"/>
              <w:ind w:left="0"/>
              <w:rPr>
                <w:sz w:val="16"/>
                <w:szCs w:val="24"/>
                <w:rtl/>
              </w:rPr>
            </w:pPr>
          </w:p>
        </w:tc>
        <w:tc>
          <w:tcPr>
            <w:tcW w:w="686" w:type="dxa"/>
            <w:tcBorders>
              <w:bottom w:val="single" w:sz="12" w:space="0" w:color="auto"/>
            </w:tcBorders>
            <w:textDirection w:val="tbRl"/>
          </w:tcPr>
          <w:p w:rsidR="008B4809" w:rsidRPr="009C2AAE" w:rsidRDefault="008B4809" w:rsidP="00675810">
            <w:pPr>
              <w:pStyle w:val="SingleTxtGA"/>
              <w:spacing w:line="300" w:lineRule="exact"/>
              <w:ind w:left="57" w:right="113"/>
              <w:rPr>
                <w:i/>
                <w:iCs/>
                <w:szCs w:val="20"/>
                <w:rtl/>
              </w:rPr>
            </w:pPr>
            <w:r w:rsidRPr="009C2AAE">
              <w:rPr>
                <w:rFonts w:hint="cs"/>
                <w:i/>
                <w:iCs/>
                <w:szCs w:val="20"/>
                <w:rtl/>
              </w:rPr>
              <w:t>العهد الدولي الخاص بالحقوق الاقتصادية والاجتماعية والثقافية</w:t>
            </w:r>
          </w:p>
        </w:tc>
        <w:tc>
          <w:tcPr>
            <w:tcW w:w="783" w:type="dxa"/>
            <w:tcBorders>
              <w:bottom w:val="single" w:sz="12" w:space="0" w:color="auto"/>
            </w:tcBorders>
            <w:textDirection w:val="tbRl"/>
          </w:tcPr>
          <w:p w:rsidR="008B4809" w:rsidRPr="009C2AAE" w:rsidRDefault="008B4809" w:rsidP="00675810">
            <w:pPr>
              <w:pStyle w:val="SingleTxtGA"/>
              <w:spacing w:line="300" w:lineRule="exact"/>
              <w:ind w:left="57" w:right="113"/>
              <w:rPr>
                <w:i/>
                <w:iCs/>
                <w:szCs w:val="20"/>
                <w:rtl/>
              </w:rPr>
            </w:pPr>
            <w:r w:rsidRPr="009C2AAE">
              <w:rPr>
                <w:rFonts w:hint="cs"/>
                <w:i/>
                <w:iCs/>
                <w:szCs w:val="20"/>
                <w:rtl/>
              </w:rPr>
              <w:t>البروتوكول الاختياري للعهد الدولي الخاص بالحقوق الاقتصادية والاجتماعية والثقافية</w:t>
            </w:r>
          </w:p>
        </w:tc>
        <w:tc>
          <w:tcPr>
            <w:tcW w:w="616" w:type="dxa"/>
            <w:tcBorders>
              <w:bottom w:val="single" w:sz="12" w:space="0" w:color="auto"/>
            </w:tcBorders>
            <w:textDirection w:val="tbRl"/>
          </w:tcPr>
          <w:p w:rsidR="008B4809" w:rsidRPr="009C2AAE" w:rsidRDefault="008B4809" w:rsidP="00675810">
            <w:pPr>
              <w:pStyle w:val="SingleTxtGA"/>
              <w:spacing w:line="300" w:lineRule="exact"/>
              <w:ind w:left="57" w:right="113"/>
              <w:rPr>
                <w:i/>
                <w:iCs/>
                <w:szCs w:val="20"/>
                <w:rtl/>
              </w:rPr>
            </w:pPr>
            <w:r w:rsidRPr="009C2AAE">
              <w:rPr>
                <w:rFonts w:hint="cs"/>
                <w:i/>
                <w:iCs/>
                <w:szCs w:val="20"/>
                <w:rtl/>
              </w:rPr>
              <w:t>العهد الدولي الخاص بالحقوق المدنية والسياسية</w:t>
            </w:r>
          </w:p>
        </w:tc>
        <w:tc>
          <w:tcPr>
            <w:tcW w:w="742" w:type="dxa"/>
            <w:tcBorders>
              <w:bottom w:val="single" w:sz="12" w:space="0" w:color="auto"/>
            </w:tcBorders>
            <w:textDirection w:val="tbRl"/>
          </w:tcPr>
          <w:p w:rsidR="008B4809" w:rsidRPr="009C2AAE" w:rsidRDefault="008B4809" w:rsidP="00675810">
            <w:pPr>
              <w:pStyle w:val="SingleTxtGA"/>
              <w:spacing w:line="300" w:lineRule="exact"/>
              <w:ind w:left="57" w:right="113"/>
              <w:rPr>
                <w:i/>
                <w:iCs/>
                <w:szCs w:val="20"/>
                <w:rtl/>
              </w:rPr>
            </w:pPr>
            <w:r w:rsidRPr="009C2AAE">
              <w:rPr>
                <w:rFonts w:hint="cs"/>
                <w:i/>
                <w:iCs/>
                <w:szCs w:val="20"/>
                <w:rtl/>
              </w:rPr>
              <w:t xml:space="preserve">البروتوكول الاختياري الأول للعهد الدولي الخاص بالحقوق المدنية والسياسية </w:t>
            </w:r>
          </w:p>
        </w:tc>
        <w:tc>
          <w:tcPr>
            <w:tcW w:w="756" w:type="dxa"/>
            <w:tcBorders>
              <w:bottom w:val="single" w:sz="12" w:space="0" w:color="auto"/>
            </w:tcBorders>
            <w:textDirection w:val="tbRl"/>
          </w:tcPr>
          <w:p w:rsidR="008B4809" w:rsidRPr="009C2AAE" w:rsidRDefault="008B4809" w:rsidP="00675810">
            <w:pPr>
              <w:pStyle w:val="SingleTxtGA"/>
              <w:spacing w:line="300" w:lineRule="exact"/>
              <w:ind w:left="57" w:right="113"/>
              <w:rPr>
                <w:i/>
                <w:iCs/>
                <w:szCs w:val="20"/>
                <w:rtl/>
              </w:rPr>
            </w:pPr>
            <w:r w:rsidRPr="009C2AAE">
              <w:rPr>
                <w:rFonts w:hint="cs"/>
                <w:i/>
                <w:iCs/>
                <w:szCs w:val="20"/>
                <w:rtl/>
              </w:rPr>
              <w:t>البروتوكول الاختياري الثاني للعهد الدولي الخاص بالحقوق المدنية والسياسية المتعلق بإلغاء عقوبة الإعدام</w:t>
            </w:r>
          </w:p>
        </w:tc>
        <w:tc>
          <w:tcPr>
            <w:tcW w:w="966" w:type="dxa"/>
            <w:vMerge/>
            <w:tcBorders>
              <w:bottom w:val="single" w:sz="12" w:space="0" w:color="auto"/>
            </w:tcBorders>
          </w:tcPr>
          <w:p w:rsidR="008B4809" w:rsidRPr="00307AAE" w:rsidRDefault="008B4809" w:rsidP="00675810">
            <w:pPr>
              <w:pStyle w:val="SingleTxtGA"/>
              <w:spacing w:line="300" w:lineRule="exact"/>
              <w:ind w:left="0" w:right="0"/>
              <w:rPr>
                <w:szCs w:val="20"/>
                <w:rtl/>
              </w:rPr>
            </w:pPr>
          </w:p>
        </w:tc>
        <w:tc>
          <w:tcPr>
            <w:tcW w:w="1036" w:type="dxa"/>
            <w:vMerge/>
            <w:tcBorders>
              <w:bottom w:val="single" w:sz="12" w:space="0" w:color="auto"/>
            </w:tcBorders>
          </w:tcPr>
          <w:p w:rsidR="008B4809" w:rsidRPr="00307AAE" w:rsidRDefault="008B4809" w:rsidP="00675810">
            <w:pPr>
              <w:pStyle w:val="SingleTxtGA"/>
              <w:spacing w:line="300" w:lineRule="exact"/>
              <w:ind w:left="0" w:right="0"/>
              <w:rPr>
                <w:szCs w:val="20"/>
                <w:rtl/>
              </w:rPr>
            </w:pPr>
          </w:p>
        </w:tc>
        <w:tc>
          <w:tcPr>
            <w:tcW w:w="671" w:type="dxa"/>
            <w:tcBorders>
              <w:bottom w:val="single" w:sz="12" w:space="0" w:color="auto"/>
            </w:tcBorders>
            <w:textDirection w:val="tbRl"/>
          </w:tcPr>
          <w:p w:rsidR="008B4809" w:rsidRPr="009C2AAE" w:rsidRDefault="008B4809" w:rsidP="00675810">
            <w:pPr>
              <w:pStyle w:val="SingleTxtGA"/>
              <w:spacing w:line="300" w:lineRule="exact"/>
              <w:ind w:left="57" w:right="113"/>
              <w:rPr>
                <w:i/>
                <w:iCs/>
                <w:szCs w:val="20"/>
                <w:rtl/>
              </w:rPr>
            </w:pPr>
            <w:r w:rsidRPr="009C2AAE">
              <w:rPr>
                <w:rFonts w:hint="cs"/>
                <w:i/>
                <w:iCs/>
                <w:szCs w:val="20"/>
                <w:rtl/>
              </w:rPr>
              <w:t>اتفاقية القضاء على جميع أشكال التمييز ضد المرأة</w:t>
            </w:r>
          </w:p>
        </w:tc>
        <w:tc>
          <w:tcPr>
            <w:tcW w:w="708" w:type="dxa"/>
            <w:tcBorders>
              <w:bottom w:val="single" w:sz="12" w:space="0" w:color="auto"/>
            </w:tcBorders>
            <w:textDirection w:val="tbRl"/>
          </w:tcPr>
          <w:p w:rsidR="008B4809" w:rsidRPr="009C2AAE" w:rsidRDefault="008B4809" w:rsidP="00675810">
            <w:pPr>
              <w:pStyle w:val="SingleTxtGA"/>
              <w:spacing w:line="300" w:lineRule="exact"/>
              <w:ind w:left="57" w:right="113"/>
              <w:rPr>
                <w:i/>
                <w:iCs/>
                <w:szCs w:val="20"/>
                <w:rtl/>
              </w:rPr>
            </w:pPr>
            <w:r w:rsidRPr="009C2AAE">
              <w:rPr>
                <w:rFonts w:hint="cs"/>
                <w:i/>
                <w:iCs/>
                <w:szCs w:val="20"/>
                <w:rtl/>
              </w:rPr>
              <w:t>البروتوكول الاختياري لاتفاقية القضاء على جميع أشكال التمييز ضد المرأة</w:t>
            </w:r>
          </w:p>
        </w:tc>
        <w:tc>
          <w:tcPr>
            <w:tcW w:w="496" w:type="dxa"/>
            <w:tcBorders>
              <w:bottom w:val="single" w:sz="12" w:space="0" w:color="auto"/>
            </w:tcBorders>
            <w:textDirection w:val="tbRl"/>
          </w:tcPr>
          <w:p w:rsidR="008B4809" w:rsidRPr="009C2AAE" w:rsidRDefault="008B4809" w:rsidP="00675810">
            <w:pPr>
              <w:pStyle w:val="SingleTxtGA"/>
              <w:spacing w:line="300" w:lineRule="exact"/>
              <w:ind w:left="57" w:right="113"/>
              <w:rPr>
                <w:i/>
                <w:iCs/>
                <w:szCs w:val="20"/>
                <w:rtl/>
              </w:rPr>
            </w:pPr>
            <w:r w:rsidRPr="009C2AAE">
              <w:rPr>
                <w:rFonts w:hint="cs"/>
                <w:i/>
                <w:iCs/>
                <w:szCs w:val="20"/>
                <w:rtl/>
              </w:rPr>
              <w:t>اتفاقية مناهضة التعذيب</w:t>
            </w:r>
          </w:p>
        </w:tc>
        <w:tc>
          <w:tcPr>
            <w:tcW w:w="812" w:type="dxa"/>
            <w:tcBorders>
              <w:bottom w:val="single" w:sz="12" w:space="0" w:color="auto"/>
            </w:tcBorders>
            <w:textDirection w:val="tbRl"/>
          </w:tcPr>
          <w:p w:rsidR="008B4809" w:rsidRPr="009C2AAE" w:rsidRDefault="008B4809" w:rsidP="00675810">
            <w:pPr>
              <w:pStyle w:val="SingleTxtGA"/>
              <w:spacing w:line="300" w:lineRule="exact"/>
              <w:ind w:left="57" w:right="113"/>
              <w:rPr>
                <w:i/>
                <w:iCs/>
                <w:szCs w:val="20"/>
                <w:rtl/>
              </w:rPr>
            </w:pPr>
            <w:r w:rsidRPr="009C2AAE">
              <w:rPr>
                <w:rFonts w:hint="cs"/>
                <w:i/>
                <w:iCs/>
                <w:szCs w:val="20"/>
                <w:rtl/>
              </w:rPr>
              <w:t>البروتوكول الاختياري لاتفاقية مناهضة التعذيب</w:t>
            </w:r>
          </w:p>
        </w:tc>
        <w:tc>
          <w:tcPr>
            <w:tcW w:w="432" w:type="dxa"/>
            <w:tcBorders>
              <w:bottom w:val="single" w:sz="12" w:space="0" w:color="auto"/>
            </w:tcBorders>
            <w:textDirection w:val="tbRl"/>
          </w:tcPr>
          <w:p w:rsidR="008B4809" w:rsidRPr="009C2AAE" w:rsidRDefault="008B4809" w:rsidP="00675810">
            <w:pPr>
              <w:pStyle w:val="SingleTxtGA"/>
              <w:spacing w:line="300" w:lineRule="exact"/>
              <w:ind w:left="57" w:right="113"/>
              <w:rPr>
                <w:i/>
                <w:iCs/>
                <w:szCs w:val="20"/>
                <w:rtl/>
              </w:rPr>
            </w:pPr>
            <w:r w:rsidRPr="009C2AAE">
              <w:rPr>
                <w:rFonts w:hint="cs"/>
                <w:i/>
                <w:iCs/>
                <w:szCs w:val="20"/>
                <w:rtl/>
              </w:rPr>
              <w:t>اتفاقية حقوق الطفل</w:t>
            </w:r>
          </w:p>
        </w:tc>
        <w:tc>
          <w:tcPr>
            <w:tcW w:w="744" w:type="dxa"/>
            <w:tcBorders>
              <w:bottom w:val="single" w:sz="12" w:space="0" w:color="auto"/>
            </w:tcBorders>
            <w:textDirection w:val="tbRl"/>
          </w:tcPr>
          <w:p w:rsidR="008B4809" w:rsidRPr="009C2AAE" w:rsidRDefault="008B4809" w:rsidP="00675810">
            <w:pPr>
              <w:pStyle w:val="SingleTxtGA"/>
              <w:spacing w:line="300" w:lineRule="exact"/>
              <w:ind w:left="57" w:right="113"/>
              <w:rPr>
                <w:i/>
                <w:iCs/>
                <w:szCs w:val="20"/>
                <w:rtl/>
              </w:rPr>
            </w:pPr>
            <w:r w:rsidRPr="009C2AAE">
              <w:rPr>
                <w:rFonts w:hint="cs"/>
                <w:i/>
                <w:iCs/>
                <w:szCs w:val="20"/>
                <w:rtl/>
              </w:rPr>
              <w:t>البروتوكول الاختياري لاتفاقية حقوق الطفل بشأن إشراك الأطفال في النزاعات المسلحة</w:t>
            </w:r>
          </w:p>
        </w:tc>
        <w:tc>
          <w:tcPr>
            <w:tcW w:w="815" w:type="dxa"/>
            <w:tcBorders>
              <w:bottom w:val="single" w:sz="12" w:space="0" w:color="auto"/>
            </w:tcBorders>
            <w:textDirection w:val="tbRl"/>
          </w:tcPr>
          <w:p w:rsidR="008B4809" w:rsidRPr="009C2AAE" w:rsidRDefault="008B4809" w:rsidP="008B4809">
            <w:pPr>
              <w:pStyle w:val="SingleTxtGA"/>
              <w:spacing w:line="300" w:lineRule="exact"/>
              <w:ind w:left="57" w:right="113"/>
              <w:rPr>
                <w:i/>
                <w:iCs/>
                <w:szCs w:val="20"/>
                <w:rtl/>
              </w:rPr>
            </w:pPr>
            <w:r w:rsidRPr="009C2AAE">
              <w:rPr>
                <w:i/>
                <w:iCs/>
                <w:szCs w:val="20"/>
                <w:rtl/>
              </w:rPr>
              <w:t>البروتوكول</w:t>
            </w:r>
            <w:r w:rsidRPr="009C2AAE">
              <w:rPr>
                <w:rFonts w:hint="cs"/>
                <w:i/>
                <w:iCs/>
                <w:color w:val="000000"/>
                <w:szCs w:val="20"/>
                <w:rtl/>
              </w:rPr>
              <w:t xml:space="preserve"> </w:t>
            </w:r>
            <w:r w:rsidRPr="009C2AAE">
              <w:rPr>
                <w:i/>
                <w:iCs/>
                <w:color w:val="000000"/>
                <w:szCs w:val="20"/>
                <w:rtl/>
              </w:rPr>
              <w:t>الاختياري</w:t>
            </w:r>
            <w:r w:rsidRPr="009C2AAE">
              <w:rPr>
                <w:rFonts w:hint="cs"/>
                <w:i/>
                <w:iCs/>
                <w:color w:val="000000"/>
                <w:szCs w:val="20"/>
                <w:rtl/>
              </w:rPr>
              <w:t xml:space="preserve"> </w:t>
            </w:r>
            <w:r w:rsidRPr="009C2AAE">
              <w:rPr>
                <w:i/>
                <w:iCs/>
                <w:color w:val="000000"/>
                <w:szCs w:val="20"/>
                <w:rtl/>
              </w:rPr>
              <w:t xml:space="preserve">لاتفاقية حقوق الطفل </w:t>
            </w:r>
            <w:r w:rsidRPr="009C2AAE">
              <w:rPr>
                <w:rFonts w:hint="cs"/>
                <w:i/>
                <w:iCs/>
                <w:color w:val="000000"/>
                <w:szCs w:val="20"/>
                <w:rtl/>
              </w:rPr>
              <w:t>بشأن بي</w:t>
            </w:r>
            <w:r w:rsidRPr="009C2AAE">
              <w:rPr>
                <w:i/>
                <w:iCs/>
                <w:color w:val="000000"/>
                <w:szCs w:val="20"/>
                <w:rtl/>
              </w:rPr>
              <w:t>ع واستغلال الأطفال</w:t>
            </w:r>
            <w:r w:rsidRPr="009C2AAE">
              <w:rPr>
                <w:rStyle w:val="apple-converted-space"/>
                <w:i/>
                <w:iCs/>
                <w:color w:val="000000"/>
                <w:szCs w:val="20"/>
              </w:rPr>
              <w:t> </w:t>
            </w:r>
            <w:r w:rsidRPr="009C2AAE">
              <w:rPr>
                <w:rStyle w:val="apple-converted-space"/>
                <w:rFonts w:hint="cs"/>
                <w:i/>
                <w:iCs/>
                <w:color w:val="000000"/>
                <w:szCs w:val="20"/>
                <w:rtl/>
              </w:rPr>
              <w:t>في البغاء  والمواد الإباحية</w:t>
            </w:r>
          </w:p>
        </w:tc>
        <w:tc>
          <w:tcPr>
            <w:tcW w:w="949" w:type="dxa"/>
            <w:vMerge/>
            <w:tcBorders>
              <w:bottom w:val="single" w:sz="12" w:space="0" w:color="auto"/>
            </w:tcBorders>
          </w:tcPr>
          <w:p w:rsidR="008B4809" w:rsidRPr="00307AAE" w:rsidRDefault="008B4809" w:rsidP="00675810">
            <w:pPr>
              <w:pStyle w:val="SingleTxtGA"/>
              <w:spacing w:line="300" w:lineRule="exact"/>
              <w:ind w:left="0" w:right="0"/>
              <w:rPr>
                <w:szCs w:val="20"/>
                <w:rtl/>
              </w:rPr>
            </w:pPr>
          </w:p>
        </w:tc>
        <w:tc>
          <w:tcPr>
            <w:tcW w:w="378" w:type="dxa"/>
            <w:tcBorders>
              <w:bottom w:val="single" w:sz="12" w:space="0" w:color="auto"/>
            </w:tcBorders>
            <w:textDirection w:val="tbRl"/>
          </w:tcPr>
          <w:p w:rsidR="008B4809" w:rsidRPr="009C2AAE" w:rsidRDefault="008B4809" w:rsidP="00675810">
            <w:pPr>
              <w:pStyle w:val="SingleTxtGA"/>
              <w:spacing w:line="300" w:lineRule="exact"/>
              <w:ind w:left="57" w:right="113"/>
              <w:rPr>
                <w:i/>
                <w:iCs/>
                <w:sz w:val="14"/>
                <w:szCs w:val="22"/>
                <w:rtl/>
              </w:rPr>
            </w:pPr>
            <w:r w:rsidRPr="009C2AAE">
              <w:rPr>
                <w:rFonts w:hint="cs"/>
                <w:i/>
                <w:iCs/>
                <w:sz w:val="14"/>
                <w:szCs w:val="22"/>
                <w:rtl/>
              </w:rPr>
              <w:t>اتفاقية حقوق الأشخاص ذوي الإعاقة</w:t>
            </w:r>
          </w:p>
        </w:tc>
        <w:tc>
          <w:tcPr>
            <w:tcW w:w="658" w:type="dxa"/>
            <w:tcBorders>
              <w:bottom w:val="single" w:sz="12" w:space="0" w:color="auto"/>
            </w:tcBorders>
            <w:textDirection w:val="tbRl"/>
          </w:tcPr>
          <w:p w:rsidR="008B4809" w:rsidRPr="009C2AAE" w:rsidRDefault="008B4809" w:rsidP="008B4809">
            <w:pPr>
              <w:pStyle w:val="SingleTxtGA"/>
              <w:spacing w:line="300" w:lineRule="exact"/>
              <w:ind w:left="57" w:right="113"/>
              <w:rPr>
                <w:i/>
                <w:iCs/>
                <w:sz w:val="14"/>
                <w:szCs w:val="22"/>
                <w:rtl/>
              </w:rPr>
            </w:pPr>
            <w:r w:rsidRPr="009C2AAE">
              <w:rPr>
                <w:rFonts w:hint="cs"/>
                <w:i/>
                <w:iCs/>
                <w:sz w:val="14"/>
                <w:szCs w:val="22"/>
                <w:rtl/>
              </w:rPr>
              <w:t>البروتوكول الاختياري لاتفاقية حقوق الأشخاص ذوي الإعاقة</w:t>
            </w:r>
          </w:p>
        </w:tc>
      </w:tr>
      <w:tr w:rsidR="008B4809" w:rsidRPr="00307AAE" w:rsidTr="008B4809">
        <w:tc>
          <w:tcPr>
            <w:tcW w:w="935" w:type="dxa"/>
            <w:tcBorders>
              <w:top w:val="single" w:sz="12" w:space="0" w:color="auto"/>
              <w:bottom w:val="single" w:sz="4" w:space="0" w:color="auto"/>
            </w:tcBorders>
          </w:tcPr>
          <w:p w:rsidR="008B4809" w:rsidRPr="00B753FD" w:rsidRDefault="00B753FD" w:rsidP="00675810">
            <w:pPr>
              <w:pStyle w:val="SingleTxtGA"/>
              <w:spacing w:line="300" w:lineRule="exact"/>
              <w:ind w:left="0" w:right="0"/>
              <w:rPr>
                <w:sz w:val="16"/>
                <w:szCs w:val="24"/>
                <w:rtl/>
              </w:rPr>
            </w:pPr>
            <w:r>
              <w:rPr>
                <w:rFonts w:hint="cs"/>
                <w:sz w:val="16"/>
                <w:szCs w:val="24"/>
                <w:rtl/>
              </w:rPr>
              <w:t>الحالة</w:t>
            </w:r>
          </w:p>
        </w:tc>
        <w:tc>
          <w:tcPr>
            <w:tcW w:w="686" w:type="dxa"/>
            <w:tcBorders>
              <w:top w:val="single" w:sz="12" w:space="0" w:color="auto"/>
              <w:bottom w:val="single" w:sz="4" w:space="0" w:color="auto"/>
            </w:tcBorders>
          </w:tcPr>
          <w:p w:rsidR="008B4809" w:rsidRPr="00307AAE" w:rsidRDefault="008B4809" w:rsidP="00675810">
            <w:pPr>
              <w:pStyle w:val="SingleTxtGA"/>
              <w:spacing w:line="300" w:lineRule="exact"/>
              <w:ind w:left="0" w:right="-17"/>
              <w:jc w:val="center"/>
              <w:rPr>
                <w:szCs w:val="20"/>
                <w:rtl/>
              </w:rPr>
            </w:pPr>
            <w:r w:rsidRPr="00307AAE">
              <w:rPr>
                <w:noProof/>
                <w:szCs w:val="20"/>
              </w:rPr>
              <w:drawing>
                <wp:inline distT="0" distB="0" distL="0" distR="0" wp14:anchorId="0D5934E1" wp14:editId="324E5C7A">
                  <wp:extent cx="146050" cy="146050"/>
                  <wp:effectExtent l="0" t="0" r="6350" b="6350"/>
                  <wp:docPr id="52" name="Picture 52"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783" w:type="dxa"/>
            <w:tcBorders>
              <w:top w:val="single" w:sz="12" w:space="0" w:color="auto"/>
              <w:bottom w:val="single" w:sz="4" w:space="0" w:color="auto"/>
            </w:tcBorders>
          </w:tcPr>
          <w:p w:rsidR="008B4809" w:rsidRPr="00307AAE" w:rsidRDefault="008B4809" w:rsidP="00675810">
            <w:pPr>
              <w:pStyle w:val="SingleTxtGA"/>
              <w:spacing w:line="300" w:lineRule="exact"/>
              <w:ind w:left="0" w:right="-126"/>
              <w:jc w:val="center"/>
              <w:rPr>
                <w:szCs w:val="20"/>
                <w:rtl/>
              </w:rPr>
            </w:pPr>
            <w:r w:rsidRPr="00307AAE">
              <w:rPr>
                <w:noProof/>
                <w:szCs w:val="20"/>
              </w:rPr>
              <w:drawing>
                <wp:inline distT="0" distB="0" distL="0" distR="0" wp14:anchorId="033E8BC4" wp14:editId="118490B5">
                  <wp:extent cx="146050" cy="146050"/>
                  <wp:effectExtent l="0" t="0" r="6350" b="6350"/>
                  <wp:docPr id="51" name="Picture 51"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616" w:type="dxa"/>
            <w:tcBorders>
              <w:top w:val="single" w:sz="12" w:space="0" w:color="auto"/>
              <w:bottom w:val="single" w:sz="4" w:space="0" w:color="auto"/>
            </w:tcBorders>
          </w:tcPr>
          <w:p w:rsidR="008B4809" w:rsidRPr="00307AAE" w:rsidRDefault="008B4809" w:rsidP="00675810">
            <w:pPr>
              <w:pStyle w:val="SingleTxtGA"/>
              <w:spacing w:line="300" w:lineRule="exact"/>
              <w:ind w:left="0" w:right="-186"/>
              <w:jc w:val="center"/>
              <w:rPr>
                <w:szCs w:val="20"/>
                <w:rtl/>
              </w:rPr>
            </w:pPr>
            <w:r w:rsidRPr="00307AAE">
              <w:rPr>
                <w:noProof/>
                <w:szCs w:val="20"/>
              </w:rPr>
              <w:drawing>
                <wp:inline distT="0" distB="0" distL="0" distR="0" wp14:anchorId="25B03391" wp14:editId="73B71AEA">
                  <wp:extent cx="146050" cy="146050"/>
                  <wp:effectExtent l="0" t="0" r="6350" b="6350"/>
                  <wp:docPr id="50" name="Picture 50"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742" w:type="dxa"/>
            <w:tcBorders>
              <w:top w:val="single" w:sz="12" w:space="0" w:color="auto"/>
              <w:bottom w:val="single" w:sz="4" w:space="0" w:color="auto"/>
            </w:tcBorders>
          </w:tcPr>
          <w:p w:rsidR="008B4809" w:rsidRPr="00307AAE" w:rsidRDefault="008B4809" w:rsidP="00675810">
            <w:pPr>
              <w:pStyle w:val="SingleTxtGA"/>
              <w:spacing w:line="300" w:lineRule="exact"/>
              <w:ind w:left="0" w:right="-186"/>
              <w:jc w:val="center"/>
              <w:rPr>
                <w:szCs w:val="20"/>
                <w:rtl/>
              </w:rPr>
            </w:pPr>
            <w:r w:rsidRPr="00307AAE">
              <w:rPr>
                <w:noProof/>
                <w:szCs w:val="20"/>
              </w:rPr>
              <w:drawing>
                <wp:inline distT="0" distB="0" distL="0" distR="0" wp14:anchorId="529069A9" wp14:editId="09324C65">
                  <wp:extent cx="146050" cy="146050"/>
                  <wp:effectExtent l="0" t="0" r="6350" b="6350"/>
                  <wp:docPr id="49" name="Picture 49"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307AAE">
              <w:rPr>
                <w:noProof/>
              </w:rPr>
              <w:drawing>
                <wp:inline distT="0" distB="0" distL="0" distR="0" wp14:anchorId="69A9638E" wp14:editId="225D2683">
                  <wp:extent cx="101600" cy="82550"/>
                  <wp:effectExtent l="0" t="0" r="0" b="0"/>
                  <wp:docPr id="48" name="Picture 48" descr="Argentina ha reconocido la competencia de recibir y procesar comunicaciones individuales por parte de los órganos competentes.">
                    <a:hlinkClick xmlns:a="http://schemas.openxmlformats.org/drawingml/2006/main" r:id="rId19" tooltip="Argentina ha reconocido la competencia de recibir y procesar comunicaciones individuales por parte de los órganos competen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gentina ha reconocido la competencia de recibir y procesar comunicaciones individuales por parte de los órganos competent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82550"/>
                          </a:xfrm>
                          <a:prstGeom prst="rect">
                            <a:avLst/>
                          </a:prstGeom>
                          <a:noFill/>
                          <a:ln>
                            <a:noFill/>
                          </a:ln>
                        </pic:spPr>
                      </pic:pic>
                    </a:graphicData>
                  </a:graphic>
                </wp:inline>
              </w:drawing>
            </w:r>
          </w:p>
        </w:tc>
        <w:tc>
          <w:tcPr>
            <w:tcW w:w="756" w:type="dxa"/>
            <w:tcBorders>
              <w:top w:val="single" w:sz="12" w:space="0" w:color="auto"/>
              <w:bottom w:val="single" w:sz="4" w:space="0" w:color="auto"/>
            </w:tcBorders>
          </w:tcPr>
          <w:p w:rsidR="008B4809" w:rsidRPr="00307AAE" w:rsidRDefault="008B4809" w:rsidP="00675810">
            <w:pPr>
              <w:pStyle w:val="SingleTxtGA"/>
              <w:spacing w:line="300" w:lineRule="exact"/>
              <w:ind w:left="0" w:right="-186"/>
              <w:jc w:val="center"/>
              <w:rPr>
                <w:szCs w:val="20"/>
                <w:rtl/>
              </w:rPr>
            </w:pPr>
            <w:r w:rsidRPr="00307AAE">
              <w:rPr>
                <w:noProof/>
                <w:szCs w:val="20"/>
              </w:rPr>
              <w:drawing>
                <wp:inline distT="0" distB="0" distL="0" distR="0" wp14:anchorId="6A9B46F4" wp14:editId="61FDF6E6">
                  <wp:extent cx="146050" cy="146050"/>
                  <wp:effectExtent l="0" t="0" r="6350" b="6350"/>
                  <wp:docPr id="47" name="Picture 47"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966" w:type="dxa"/>
            <w:tcBorders>
              <w:top w:val="single" w:sz="12" w:space="0" w:color="auto"/>
              <w:bottom w:val="single" w:sz="4" w:space="0" w:color="auto"/>
            </w:tcBorders>
          </w:tcPr>
          <w:p w:rsidR="008B4809" w:rsidRPr="00307AAE" w:rsidRDefault="008B4809" w:rsidP="00675810">
            <w:pPr>
              <w:pStyle w:val="SingleTxtGA"/>
              <w:spacing w:line="300" w:lineRule="exact"/>
              <w:ind w:left="0"/>
              <w:rPr>
                <w:szCs w:val="20"/>
                <w:rtl/>
              </w:rPr>
            </w:pPr>
            <w:r w:rsidRPr="00307AAE">
              <w:rPr>
                <w:noProof/>
                <w:szCs w:val="20"/>
              </w:rPr>
              <w:drawing>
                <wp:inline distT="0" distB="0" distL="0" distR="0" wp14:anchorId="66F5C3D9" wp14:editId="7D67440E">
                  <wp:extent cx="146050" cy="146050"/>
                  <wp:effectExtent l="0" t="0" r="6350" b="6350"/>
                  <wp:docPr id="46" name="Picture 46"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036" w:type="dxa"/>
            <w:tcBorders>
              <w:top w:val="single" w:sz="12" w:space="0" w:color="auto"/>
              <w:bottom w:val="single" w:sz="4" w:space="0" w:color="auto"/>
            </w:tcBorders>
          </w:tcPr>
          <w:p w:rsidR="008B4809" w:rsidRPr="00307AAE" w:rsidRDefault="008B4809" w:rsidP="00675810">
            <w:pPr>
              <w:pStyle w:val="SingleTxtGA"/>
              <w:spacing w:line="300" w:lineRule="exact"/>
              <w:ind w:left="0"/>
              <w:rPr>
                <w:szCs w:val="20"/>
                <w:rtl/>
              </w:rPr>
            </w:pPr>
            <w:r w:rsidRPr="00307AAE">
              <w:rPr>
                <w:noProof/>
                <w:szCs w:val="20"/>
              </w:rPr>
              <w:drawing>
                <wp:inline distT="0" distB="0" distL="0" distR="0" wp14:anchorId="7DAAC052" wp14:editId="1AA117EE">
                  <wp:extent cx="146050" cy="146050"/>
                  <wp:effectExtent l="0" t="0" r="6350" b="6350"/>
                  <wp:docPr id="45" name="Picture 45"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671" w:type="dxa"/>
            <w:tcBorders>
              <w:top w:val="single" w:sz="12" w:space="0" w:color="auto"/>
              <w:bottom w:val="single" w:sz="4" w:space="0" w:color="auto"/>
            </w:tcBorders>
          </w:tcPr>
          <w:p w:rsidR="008B4809" w:rsidRPr="00307AAE" w:rsidRDefault="008B4809" w:rsidP="00675810">
            <w:pPr>
              <w:pStyle w:val="SingleTxtGA"/>
              <w:spacing w:line="300" w:lineRule="exact"/>
              <w:ind w:left="0" w:right="-186"/>
              <w:jc w:val="left"/>
              <w:rPr>
                <w:szCs w:val="20"/>
                <w:rtl/>
              </w:rPr>
            </w:pPr>
            <w:r w:rsidRPr="00307AAE">
              <w:rPr>
                <w:noProof/>
                <w:szCs w:val="20"/>
              </w:rPr>
              <w:drawing>
                <wp:inline distT="0" distB="0" distL="0" distR="0" wp14:anchorId="311FCEF8" wp14:editId="2C53BAD7">
                  <wp:extent cx="146050" cy="146050"/>
                  <wp:effectExtent l="0" t="0" r="6350" b="6350"/>
                  <wp:docPr id="44" name="Picture 44"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708" w:type="dxa"/>
            <w:tcBorders>
              <w:top w:val="single" w:sz="12" w:space="0" w:color="auto"/>
              <w:bottom w:val="single" w:sz="4" w:space="0" w:color="auto"/>
            </w:tcBorders>
          </w:tcPr>
          <w:p w:rsidR="008B4809" w:rsidRPr="00307AAE" w:rsidRDefault="008B4809" w:rsidP="00675810">
            <w:pPr>
              <w:pStyle w:val="SingleTxtGA"/>
              <w:spacing w:line="300" w:lineRule="exact"/>
              <w:ind w:left="0" w:right="-186"/>
              <w:jc w:val="left"/>
              <w:rPr>
                <w:szCs w:val="20"/>
                <w:rtl/>
              </w:rPr>
            </w:pPr>
            <w:r w:rsidRPr="00307AAE">
              <w:rPr>
                <w:noProof/>
                <w:szCs w:val="20"/>
              </w:rPr>
              <w:drawing>
                <wp:inline distT="0" distB="0" distL="0" distR="0" wp14:anchorId="23338D2B" wp14:editId="0BBB73E8">
                  <wp:extent cx="146050" cy="146050"/>
                  <wp:effectExtent l="0" t="0" r="6350" b="6350"/>
                  <wp:docPr id="43" name="Picture 43"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496" w:type="dxa"/>
            <w:tcBorders>
              <w:top w:val="single" w:sz="12" w:space="0" w:color="auto"/>
              <w:bottom w:val="single" w:sz="4" w:space="0" w:color="auto"/>
            </w:tcBorders>
          </w:tcPr>
          <w:p w:rsidR="008B4809" w:rsidRPr="00307AAE" w:rsidRDefault="008B4809" w:rsidP="00675810">
            <w:pPr>
              <w:pStyle w:val="SingleTxtGA"/>
              <w:spacing w:line="300" w:lineRule="exact"/>
              <w:ind w:left="0" w:right="-186"/>
              <w:jc w:val="left"/>
              <w:rPr>
                <w:szCs w:val="20"/>
                <w:rtl/>
              </w:rPr>
            </w:pPr>
            <w:r w:rsidRPr="00307AAE">
              <w:rPr>
                <w:noProof/>
                <w:szCs w:val="20"/>
              </w:rPr>
              <w:drawing>
                <wp:inline distT="0" distB="0" distL="0" distR="0" wp14:anchorId="315A311F" wp14:editId="6C1B41AF">
                  <wp:extent cx="146050" cy="146050"/>
                  <wp:effectExtent l="0" t="0" r="6350" b="6350"/>
                  <wp:docPr id="42" name="Picture 42"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812" w:type="dxa"/>
            <w:tcBorders>
              <w:top w:val="single" w:sz="12" w:space="0" w:color="auto"/>
              <w:bottom w:val="single" w:sz="4" w:space="0" w:color="auto"/>
            </w:tcBorders>
          </w:tcPr>
          <w:p w:rsidR="008B4809" w:rsidRPr="00307AAE" w:rsidRDefault="008B4809" w:rsidP="00675810">
            <w:pPr>
              <w:pStyle w:val="SingleTxtGA"/>
              <w:spacing w:line="300" w:lineRule="exact"/>
              <w:ind w:left="0" w:right="-186"/>
              <w:jc w:val="left"/>
              <w:rPr>
                <w:szCs w:val="20"/>
                <w:rtl/>
              </w:rPr>
            </w:pPr>
            <w:r w:rsidRPr="00307AAE">
              <w:rPr>
                <w:noProof/>
                <w:szCs w:val="20"/>
              </w:rPr>
              <w:drawing>
                <wp:inline distT="0" distB="0" distL="0" distR="0" wp14:anchorId="6CB3C517" wp14:editId="479D008F">
                  <wp:extent cx="146050" cy="146050"/>
                  <wp:effectExtent l="0" t="0" r="6350" b="6350"/>
                  <wp:docPr id="41" name="Picture 41"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432" w:type="dxa"/>
            <w:tcBorders>
              <w:top w:val="single" w:sz="12" w:space="0" w:color="auto"/>
              <w:bottom w:val="single" w:sz="4" w:space="0" w:color="auto"/>
            </w:tcBorders>
          </w:tcPr>
          <w:p w:rsidR="008B4809" w:rsidRPr="00307AAE" w:rsidRDefault="008B4809" w:rsidP="00675810">
            <w:pPr>
              <w:pStyle w:val="SingleTxtGA"/>
              <w:spacing w:line="300" w:lineRule="exact"/>
              <w:ind w:left="0" w:right="-186"/>
              <w:jc w:val="left"/>
              <w:rPr>
                <w:szCs w:val="20"/>
                <w:rtl/>
              </w:rPr>
            </w:pPr>
            <w:r w:rsidRPr="00307AAE">
              <w:rPr>
                <w:noProof/>
                <w:szCs w:val="20"/>
              </w:rPr>
              <w:drawing>
                <wp:inline distT="0" distB="0" distL="0" distR="0" wp14:anchorId="6D2B5BDE" wp14:editId="33703F65">
                  <wp:extent cx="146050" cy="146050"/>
                  <wp:effectExtent l="0" t="0" r="6350" b="6350"/>
                  <wp:docPr id="40" name="Picture 40"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744" w:type="dxa"/>
            <w:tcBorders>
              <w:top w:val="single" w:sz="12" w:space="0" w:color="auto"/>
              <w:bottom w:val="single" w:sz="4" w:space="0" w:color="auto"/>
            </w:tcBorders>
          </w:tcPr>
          <w:p w:rsidR="008B4809" w:rsidRPr="00307AAE" w:rsidRDefault="008B4809" w:rsidP="00675810">
            <w:pPr>
              <w:pStyle w:val="SingleTxtGA"/>
              <w:spacing w:line="300" w:lineRule="exact"/>
              <w:ind w:left="0" w:right="-186"/>
              <w:jc w:val="left"/>
              <w:rPr>
                <w:szCs w:val="20"/>
                <w:rtl/>
              </w:rPr>
            </w:pPr>
            <w:r w:rsidRPr="00307AAE">
              <w:rPr>
                <w:noProof/>
                <w:szCs w:val="20"/>
              </w:rPr>
              <w:drawing>
                <wp:inline distT="0" distB="0" distL="0" distR="0" wp14:anchorId="743CE72C" wp14:editId="5F7D68E3">
                  <wp:extent cx="146050" cy="146050"/>
                  <wp:effectExtent l="0" t="0" r="6350" b="6350"/>
                  <wp:docPr id="39" name="Picture 39"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815" w:type="dxa"/>
            <w:tcBorders>
              <w:top w:val="single" w:sz="12" w:space="0" w:color="auto"/>
              <w:bottom w:val="single" w:sz="4" w:space="0" w:color="auto"/>
            </w:tcBorders>
          </w:tcPr>
          <w:p w:rsidR="008B4809" w:rsidRPr="00307AAE" w:rsidRDefault="008B4809" w:rsidP="00675810">
            <w:pPr>
              <w:pStyle w:val="SingleTxtGA"/>
              <w:spacing w:line="300" w:lineRule="exact"/>
              <w:ind w:left="0" w:right="-479"/>
              <w:jc w:val="left"/>
              <w:rPr>
                <w:szCs w:val="20"/>
                <w:rtl/>
              </w:rPr>
            </w:pPr>
            <w:r w:rsidRPr="00307AAE">
              <w:rPr>
                <w:noProof/>
                <w:szCs w:val="20"/>
              </w:rPr>
              <w:drawing>
                <wp:inline distT="0" distB="0" distL="0" distR="0" wp14:anchorId="692DA780" wp14:editId="177FCDF1">
                  <wp:extent cx="146050" cy="146050"/>
                  <wp:effectExtent l="0" t="0" r="6350" b="6350"/>
                  <wp:docPr id="38" name="Picture 38"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949" w:type="dxa"/>
            <w:tcBorders>
              <w:top w:val="single" w:sz="12" w:space="0" w:color="auto"/>
              <w:bottom w:val="single" w:sz="4" w:space="0" w:color="auto"/>
            </w:tcBorders>
          </w:tcPr>
          <w:p w:rsidR="008B4809" w:rsidRPr="00307AAE" w:rsidRDefault="008B4809" w:rsidP="00675810">
            <w:pPr>
              <w:pStyle w:val="SingleTxtGA"/>
              <w:spacing w:line="300" w:lineRule="exact"/>
              <w:ind w:left="0"/>
              <w:rPr>
                <w:szCs w:val="20"/>
                <w:rtl/>
              </w:rPr>
            </w:pPr>
            <w:r w:rsidRPr="00307AAE">
              <w:rPr>
                <w:noProof/>
                <w:szCs w:val="20"/>
              </w:rPr>
              <w:drawing>
                <wp:inline distT="0" distB="0" distL="0" distR="0" wp14:anchorId="1D0C545E" wp14:editId="7D0D6E5D">
                  <wp:extent cx="146050" cy="146050"/>
                  <wp:effectExtent l="0" t="0" r="6350" b="6350"/>
                  <wp:docPr id="37" name="Picture 37"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378" w:type="dxa"/>
            <w:tcBorders>
              <w:top w:val="single" w:sz="12" w:space="0" w:color="auto"/>
              <w:bottom w:val="single" w:sz="4" w:space="0" w:color="auto"/>
            </w:tcBorders>
          </w:tcPr>
          <w:p w:rsidR="008B4809" w:rsidRPr="00307AAE" w:rsidRDefault="008B4809" w:rsidP="00675810">
            <w:pPr>
              <w:pStyle w:val="SingleTxtGA"/>
              <w:spacing w:line="300" w:lineRule="exact"/>
              <w:ind w:left="0" w:right="-185"/>
              <w:jc w:val="left"/>
              <w:rPr>
                <w:sz w:val="16"/>
                <w:szCs w:val="24"/>
                <w:rtl/>
              </w:rPr>
            </w:pPr>
            <w:r w:rsidRPr="00307AAE">
              <w:rPr>
                <w:noProof/>
                <w:sz w:val="16"/>
                <w:szCs w:val="24"/>
              </w:rPr>
              <w:drawing>
                <wp:inline distT="0" distB="0" distL="0" distR="0" wp14:anchorId="074FEC49" wp14:editId="202861CC">
                  <wp:extent cx="146050" cy="146050"/>
                  <wp:effectExtent l="0" t="0" r="6350" b="6350"/>
                  <wp:docPr id="36" name="Picture 36"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658" w:type="dxa"/>
            <w:tcBorders>
              <w:top w:val="single" w:sz="12" w:space="0" w:color="auto"/>
              <w:bottom w:val="single" w:sz="4" w:space="0" w:color="auto"/>
            </w:tcBorders>
          </w:tcPr>
          <w:p w:rsidR="008B4809" w:rsidRPr="00307AAE" w:rsidRDefault="008B4809" w:rsidP="00675810">
            <w:pPr>
              <w:pStyle w:val="SingleTxtGA"/>
              <w:spacing w:line="300" w:lineRule="exact"/>
              <w:ind w:left="0" w:right="-185"/>
              <w:jc w:val="left"/>
              <w:rPr>
                <w:rtl/>
              </w:rPr>
            </w:pPr>
            <w:r w:rsidRPr="00307AAE">
              <w:rPr>
                <w:noProof/>
                <w:sz w:val="16"/>
                <w:szCs w:val="24"/>
              </w:rPr>
              <w:drawing>
                <wp:inline distT="0" distB="0" distL="0" distR="0" wp14:anchorId="483C8834" wp14:editId="55421C77">
                  <wp:extent cx="146050" cy="146050"/>
                  <wp:effectExtent l="0" t="0" r="6350" b="6350"/>
                  <wp:docPr id="35" name="Picture 35"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r>
      <w:tr w:rsidR="008B4809" w:rsidRPr="00A47696" w:rsidTr="00675810">
        <w:tc>
          <w:tcPr>
            <w:tcW w:w="13183" w:type="dxa"/>
            <w:gridSpan w:val="18"/>
            <w:tcBorders>
              <w:bottom w:val="single" w:sz="12" w:space="0" w:color="auto"/>
            </w:tcBorders>
          </w:tcPr>
          <w:p w:rsidR="008B4809" w:rsidRPr="00A47696" w:rsidRDefault="008B4809" w:rsidP="00675810">
            <w:pPr>
              <w:pStyle w:val="SingleTxtGA"/>
              <w:spacing w:line="300" w:lineRule="exact"/>
              <w:ind w:left="0" w:right="57"/>
              <w:jc w:val="both"/>
              <w:rPr>
                <w:sz w:val="16"/>
                <w:szCs w:val="26"/>
              </w:rPr>
            </w:pPr>
            <w:r w:rsidRPr="00A47696">
              <w:rPr>
                <w:noProof/>
                <w:sz w:val="16"/>
                <w:szCs w:val="26"/>
              </w:rPr>
              <w:drawing>
                <wp:inline distT="0" distB="0" distL="0" distR="0" wp14:anchorId="5CAF4369" wp14:editId="4AB9F24E">
                  <wp:extent cx="146050" cy="146050"/>
                  <wp:effectExtent l="0" t="0" r="6350" b="6350"/>
                  <wp:docPr id="34" name="Picture 34" descr="Firmado y ratificado.">
                    <a:hlinkClick xmlns:a="http://schemas.openxmlformats.org/drawingml/2006/main" r:id="rId17" tooltip="Firmado y ratificad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do y ratificad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A47696">
              <w:rPr>
                <w:rFonts w:hint="cs"/>
                <w:sz w:val="16"/>
                <w:szCs w:val="26"/>
                <w:rtl/>
              </w:rPr>
              <w:t xml:space="preserve"> توقيع وتصديق، </w:t>
            </w:r>
            <w:r w:rsidRPr="00A47696">
              <w:rPr>
                <w:noProof/>
                <w:sz w:val="16"/>
                <w:szCs w:val="26"/>
              </w:rPr>
              <w:drawing>
                <wp:inline distT="0" distB="0" distL="0" distR="0" wp14:anchorId="5A916809" wp14:editId="175108F9">
                  <wp:extent cx="146050" cy="146050"/>
                  <wp:effectExtent l="0" t="0" r="6350" b="6350"/>
                  <wp:docPr id="33" name="Picture 33" descr="Check.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sv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A47696">
              <w:rPr>
                <w:rFonts w:hint="cs"/>
                <w:sz w:val="16"/>
                <w:szCs w:val="26"/>
                <w:rtl/>
              </w:rPr>
              <w:t xml:space="preserve"> توقيع دون تصديق، </w:t>
            </w:r>
            <w:r w:rsidRPr="00A47696">
              <w:rPr>
                <w:noProof/>
                <w:sz w:val="16"/>
                <w:szCs w:val="26"/>
              </w:rPr>
              <w:drawing>
                <wp:inline distT="0" distB="0" distL="0" distR="0" wp14:anchorId="1AD1FAEC" wp14:editId="0493E7A3">
                  <wp:extent cx="101600" cy="107950"/>
                  <wp:effectExtent l="0" t="0" r="0" b="6350"/>
                  <wp:docPr id="32" name="Picture 32" descr="X mark.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X mark.sv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107950"/>
                          </a:xfrm>
                          <a:prstGeom prst="rect">
                            <a:avLst/>
                          </a:prstGeom>
                          <a:noFill/>
                          <a:ln>
                            <a:noFill/>
                          </a:ln>
                        </pic:spPr>
                      </pic:pic>
                    </a:graphicData>
                  </a:graphic>
                </wp:inline>
              </w:drawing>
            </w:r>
            <w:r w:rsidRPr="00A47696">
              <w:rPr>
                <w:rFonts w:hint="cs"/>
                <w:sz w:val="16"/>
                <w:szCs w:val="26"/>
                <w:rtl/>
              </w:rPr>
              <w:t xml:space="preserve"> لا توقيع ولا تصديق، </w:t>
            </w:r>
            <w:r w:rsidRPr="00A47696">
              <w:rPr>
                <w:noProof/>
                <w:sz w:val="16"/>
                <w:szCs w:val="26"/>
              </w:rPr>
              <w:drawing>
                <wp:inline distT="0" distB="0" distL="0" distR="0" wp14:anchorId="3929F8A9" wp14:editId="1A3537D3">
                  <wp:extent cx="146050" cy="146050"/>
                  <wp:effectExtent l="0" t="0" r="6350" b="6350"/>
                  <wp:docPr id="31" name="Picture 31" descr="Symbol comment vot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ymbol comment vote.sv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A47696">
              <w:rPr>
                <w:rFonts w:hint="cs"/>
                <w:noProof/>
                <w:sz w:val="16"/>
                <w:szCs w:val="26"/>
                <w:rtl/>
                <w:lang w:val="fr-CH" w:eastAsia="fr-CH"/>
              </w:rPr>
              <w:t xml:space="preserve"> عدم وجود معلومات، </w:t>
            </w:r>
            <w:r w:rsidRPr="00A47696">
              <w:rPr>
                <w:noProof/>
                <w:sz w:val="16"/>
                <w:szCs w:val="26"/>
              </w:rPr>
              <w:drawing>
                <wp:inline distT="0" distB="0" distL="0" distR="0" wp14:anchorId="06AB579F" wp14:editId="764D2A8D">
                  <wp:extent cx="146050" cy="120650"/>
                  <wp:effectExtent l="0" t="0" r="6350" b="0"/>
                  <wp:docPr id="30" name="Picture 30" descr="Zeichen 10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eichen 101.sv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050" cy="120650"/>
                          </a:xfrm>
                          <a:prstGeom prst="rect">
                            <a:avLst/>
                          </a:prstGeom>
                          <a:noFill/>
                          <a:ln>
                            <a:noFill/>
                          </a:ln>
                        </pic:spPr>
                      </pic:pic>
                    </a:graphicData>
                  </a:graphic>
                </wp:inline>
              </w:drawing>
            </w:r>
            <w:r w:rsidRPr="00A47696">
              <w:rPr>
                <w:rFonts w:hint="cs"/>
                <w:noProof/>
                <w:sz w:val="16"/>
                <w:szCs w:val="26"/>
                <w:rtl/>
                <w:lang w:val="fr-CH" w:eastAsia="fr-CH"/>
              </w:rPr>
              <w:t xml:space="preserve"> باشرت إجراءات التوقيع والتصديق على الصك المعني وتعترف أيضاً باختصاص الهيئات المختصة بتلقي البلاغات الفردية ومعالجتها.</w:t>
            </w:r>
          </w:p>
        </w:tc>
      </w:tr>
    </w:tbl>
    <w:p w:rsidR="008B4809" w:rsidRDefault="008B4809" w:rsidP="007F277A">
      <w:pPr>
        <w:pStyle w:val="SingleTxt"/>
        <w:spacing w:after="0" w:line="120" w:lineRule="exact"/>
        <w:rPr>
          <w:w w:val="100"/>
          <w:kern w:val="0"/>
          <w:sz w:val="10"/>
          <w:lang w:val="fr-FR"/>
        </w:rPr>
      </w:pPr>
    </w:p>
    <w:p w:rsidR="007F277A" w:rsidRPr="007F277A" w:rsidRDefault="007F277A" w:rsidP="007F277A">
      <w:pPr>
        <w:pStyle w:val="SingleTxt"/>
        <w:spacing w:after="0" w:line="120" w:lineRule="exact"/>
        <w:rPr>
          <w:w w:val="100"/>
          <w:kern w:val="0"/>
          <w:sz w:val="10"/>
          <w:rtl/>
          <w:lang w:val="fr-FR"/>
        </w:rPr>
      </w:pPr>
    </w:p>
    <w:p w:rsidR="007F277A" w:rsidRPr="00307AAE" w:rsidRDefault="007F277A" w:rsidP="007F277A">
      <w:pPr>
        <w:pStyle w:val="SingleTxt"/>
        <w:spacing w:after="100" w:line="360" w:lineRule="exact"/>
        <w:rPr>
          <w:w w:val="100"/>
          <w:kern w:val="0"/>
          <w:rtl/>
          <w:lang w:val="fr-FR"/>
        </w:rPr>
      </w:pPr>
      <w:r w:rsidRPr="00307AAE">
        <w:rPr>
          <w:w w:val="100"/>
          <w:kern w:val="0"/>
          <w:rtl/>
          <w:lang w:val="fr-FR"/>
        </w:rPr>
        <w:t>78-</w:t>
      </w:r>
      <w:r w:rsidRPr="00307AAE">
        <w:rPr>
          <w:w w:val="100"/>
          <w:kern w:val="0"/>
          <w:rtl/>
          <w:lang w:val="fr-FR"/>
        </w:rPr>
        <w:tab/>
        <w:t>ويتألف النظام القانوني الساري المفعول في جمهورية الأرجنتين من معايير قانونية مختلفة في تراتبيتها ونطاقات سريانها، تستجيب كلها للقواعد التي ينص عليها الدستور في هذا الصدد.</w:t>
      </w:r>
    </w:p>
    <w:p w:rsidR="007F277A" w:rsidRPr="00307AAE" w:rsidRDefault="007F277A" w:rsidP="00560D93">
      <w:pPr>
        <w:pStyle w:val="SingleTxt"/>
        <w:spacing w:after="0" w:line="360" w:lineRule="exact"/>
        <w:rPr>
          <w:w w:val="100"/>
          <w:rtl/>
          <w:lang w:val="fr-FR"/>
        </w:rPr>
      </w:pPr>
      <w:r w:rsidRPr="00307AAE">
        <w:rPr>
          <w:w w:val="100"/>
          <w:rtl/>
          <w:lang w:val="fr-FR"/>
        </w:rPr>
        <w:t>79-</w:t>
      </w:r>
      <w:r w:rsidRPr="00307AAE">
        <w:rPr>
          <w:w w:val="100"/>
          <w:rtl/>
          <w:lang w:val="fr-FR"/>
        </w:rPr>
        <w:tab/>
        <w:t>وصلاحية إبرام المعاهدات من اختصاص السلطة التنفيذية للدولة (الفقرة 11 من المادة 99 من الدستور الوطني). ودون المساس بذلك، خول الدستور الوطني للسلطة التشريعية القيام بإجراء جوهري (قبول أو رفض المعاهدات المبرمة مع الدول الأخرى ومع المنظمات الدولية؛ الفقرة 22 من المادة 75 من الدستور الوطني) في فترة ما بين إبرام معاهدة ما وإبداء الموافقة على الالتزام بها، وذلك على أساس مبدأ الفصل بين السلطات وما يرتبط به من ممارسة المراقبة المتبادلة. ويكفل ذلك مشاركة ممثلي الشعب وممثلي المحافظات في اتخاذ القرار بشأن المسائل التي يلتزم بها البلد.</w:t>
      </w:r>
    </w:p>
    <w:p w:rsidR="00E1404F" w:rsidRPr="00307AAE" w:rsidRDefault="00E1404F" w:rsidP="00983EC8">
      <w:pPr>
        <w:pStyle w:val="SingleTxt"/>
        <w:rPr>
          <w:w w:val="100"/>
          <w:kern w:val="0"/>
          <w:rtl/>
          <w:lang w:val="fr-FR"/>
        </w:rPr>
      </w:pPr>
    </w:p>
    <w:p w:rsidR="00E1404F" w:rsidRPr="00307AAE" w:rsidRDefault="00E1404F" w:rsidP="00983EC8">
      <w:pPr>
        <w:pStyle w:val="SingleTxt"/>
        <w:rPr>
          <w:w w:val="100"/>
          <w:kern w:val="0"/>
          <w:rtl/>
          <w:lang w:val="fr-FR"/>
        </w:rPr>
        <w:sectPr w:rsidR="00E1404F" w:rsidRPr="00307AAE" w:rsidSect="00E1404F">
          <w:headerReference w:type="even" r:id="rId25"/>
          <w:headerReference w:type="default" r:id="rId26"/>
          <w:footerReference w:type="even" r:id="rId27"/>
          <w:footerReference w:type="default" r:id="rId28"/>
          <w:endnotePr>
            <w:numFmt w:val="decimal"/>
          </w:endnotePr>
          <w:pgSz w:w="16834" w:h="11909" w:orient="landscape" w:code="1"/>
          <w:pgMar w:top="1195" w:right="1742" w:bottom="1195" w:left="1901" w:header="576" w:footer="1037" w:gutter="0"/>
          <w:cols w:space="720"/>
          <w:noEndnote/>
          <w:bidi/>
          <w:rtlGutter/>
          <w:docGrid w:linePitch="278"/>
        </w:sectPr>
      </w:pPr>
    </w:p>
    <w:p w:rsidR="00CC0F13" w:rsidRPr="00307AAE" w:rsidRDefault="00CC0F13" w:rsidP="004C4B32">
      <w:pPr>
        <w:pStyle w:val="SingleTxt"/>
        <w:spacing w:line="386" w:lineRule="exact"/>
        <w:rPr>
          <w:w w:val="100"/>
          <w:rtl/>
          <w:lang w:val="fr-FR"/>
        </w:rPr>
      </w:pPr>
      <w:r w:rsidRPr="00307AAE">
        <w:rPr>
          <w:w w:val="100"/>
          <w:rtl/>
          <w:lang w:val="fr-FR"/>
        </w:rPr>
        <w:t>80-</w:t>
      </w:r>
      <w:r w:rsidRPr="00307AAE">
        <w:rPr>
          <w:w w:val="100"/>
          <w:rtl/>
          <w:lang w:val="fr-FR"/>
        </w:rPr>
        <w:tab/>
        <w:t>وتمنح المادة 75 من الدستور الوطني الأسبقية الدستورية لمعاهدات حقوق الإنسان التالية، التي تسمو على القوانين الوطنية بحكم شروط سريانها، وينبغي اعتبارها مكملة للحقوق والضمانات المعترف بها في الدستور الوطني:</w:t>
      </w:r>
    </w:p>
    <w:p w:rsidR="00CC0F13" w:rsidRPr="00307AAE" w:rsidRDefault="00CC0F13" w:rsidP="004C4B32">
      <w:pPr>
        <w:pStyle w:val="SingleTxt"/>
        <w:numPr>
          <w:ilvl w:val="0"/>
          <w:numId w:val="36"/>
        </w:numPr>
        <w:tabs>
          <w:tab w:val="clear" w:pos="1930"/>
        </w:tabs>
        <w:spacing w:line="386" w:lineRule="exact"/>
        <w:rPr>
          <w:w w:val="100"/>
          <w:rtl/>
          <w:lang w:val="fr-FR"/>
        </w:rPr>
      </w:pPr>
      <w:r w:rsidRPr="00307AAE">
        <w:rPr>
          <w:w w:val="100"/>
          <w:rtl/>
          <w:lang w:val="fr-FR"/>
        </w:rPr>
        <w:t>الإعلان الأمريكي لحقوق الإنسان وواجباته؛</w:t>
      </w:r>
    </w:p>
    <w:p w:rsidR="00CC0F13" w:rsidRPr="00307AAE" w:rsidRDefault="00CC0F13" w:rsidP="004C4B32">
      <w:pPr>
        <w:pStyle w:val="SingleTxt"/>
        <w:numPr>
          <w:ilvl w:val="0"/>
          <w:numId w:val="36"/>
        </w:numPr>
        <w:tabs>
          <w:tab w:val="clear" w:pos="1930"/>
        </w:tabs>
        <w:spacing w:line="386" w:lineRule="exact"/>
        <w:rPr>
          <w:w w:val="100"/>
          <w:rtl/>
          <w:lang w:val="fr-FR"/>
        </w:rPr>
      </w:pPr>
      <w:r w:rsidRPr="00307AAE">
        <w:rPr>
          <w:w w:val="100"/>
          <w:rtl/>
          <w:lang w:val="fr-FR"/>
        </w:rPr>
        <w:t>الإعلان العالمي لحقوق الإنسان؛</w:t>
      </w:r>
    </w:p>
    <w:p w:rsidR="00CC0F13" w:rsidRPr="00307AAE" w:rsidRDefault="00CC0F13" w:rsidP="004C4B32">
      <w:pPr>
        <w:pStyle w:val="SingleTxt"/>
        <w:numPr>
          <w:ilvl w:val="0"/>
          <w:numId w:val="36"/>
        </w:numPr>
        <w:tabs>
          <w:tab w:val="clear" w:pos="1930"/>
        </w:tabs>
        <w:spacing w:line="386" w:lineRule="exact"/>
        <w:rPr>
          <w:w w:val="100"/>
          <w:rtl/>
          <w:lang w:val="fr-FR"/>
        </w:rPr>
      </w:pPr>
      <w:r w:rsidRPr="00307AAE">
        <w:rPr>
          <w:w w:val="100"/>
          <w:rtl/>
          <w:lang w:val="fr-FR"/>
        </w:rPr>
        <w:t>الاتفاقية الأمريكية لحقوق الإنسان؛</w:t>
      </w:r>
    </w:p>
    <w:p w:rsidR="00CC0F13" w:rsidRPr="00307AAE" w:rsidRDefault="00CC0F13" w:rsidP="004C4B32">
      <w:pPr>
        <w:pStyle w:val="SingleTxt"/>
        <w:numPr>
          <w:ilvl w:val="0"/>
          <w:numId w:val="36"/>
        </w:numPr>
        <w:tabs>
          <w:tab w:val="clear" w:pos="1930"/>
        </w:tabs>
        <w:spacing w:line="386" w:lineRule="exact"/>
        <w:rPr>
          <w:w w:val="100"/>
          <w:rtl/>
          <w:lang w:val="fr-FR"/>
        </w:rPr>
      </w:pPr>
      <w:r w:rsidRPr="00307AAE">
        <w:rPr>
          <w:w w:val="100"/>
          <w:rtl/>
          <w:lang w:val="fr-FR"/>
        </w:rPr>
        <w:t>العهد الدولي الخاص بالحقوق الاقتصادية والاجتماعية والثقافية؛</w:t>
      </w:r>
    </w:p>
    <w:p w:rsidR="00CC0F13" w:rsidRPr="00307AAE" w:rsidRDefault="00CC0F13" w:rsidP="004C4B32">
      <w:pPr>
        <w:pStyle w:val="SingleTxt"/>
        <w:numPr>
          <w:ilvl w:val="0"/>
          <w:numId w:val="36"/>
        </w:numPr>
        <w:tabs>
          <w:tab w:val="clear" w:pos="1930"/>
        </w:tabs>
        <w:spacing w:line="386" w:lineRule="exact"/>
        <w:rPr>
          <w:w w:val="100"/>
          <w:rtl/>
          <w:lang w:val="fr-FR"/>
        </w:rPr>
      </w:pPr>
      <w:r w:rsidRPr="00307AAE">
        <w:rPr>
          <w:w w:val="100"/>
          <w:rtl/>
          <w:lang w:val="fr-FR"/>
        </w:rPr>
        <w:t>العهد الدولي الخاص بالحقوق المدنية والسياسية وبروتوكوله الاختياري؛</w:t>
      </w:r>
    </w:p>
    <w:p w:rsidR="00CC0F13" w:rsidRPr="00307AAE" w:rsidRDefault="00CC0F13" w:rsidP="004C4B32">
      <w:pPr>
        <w:pStyle w:val="SingleTxt"/>
        <w:numPr>
          <w:ilvl w:val="0"/>
          <w:numId w:val="36"/>
        </w:numPr>
        <w:tabs>
          <w:tab w:val="clear" w:pos="1930"/>
        </w:tabs>
        <w:spacing w:line="386" w:lineRule="exact"/>
        <w:rPr>
          <w:w w:val="100"/>
          <w:rtl/>
          <w:lang w:val="fr-FR"/>
        </w:rPr>
      </w:pPr>
      <w:r w:rsidRPr="00307AAE">
        <w:rPr>
          <w:w w:val="100"/>
          <w:rtl/>
          <w:lang w:val="fr-FR"/>
        </w:rPr>
        <w:t>اتفاقية منع جريمة الإبادة الجماعية والمعاقبة عليها؛</w:t>
      </w:r>
    </w:p>
    <w:p w:rsidR="00CC0F13" w:rsidRPr="00307AAE" w:rsidRDefault="00CC0F13" w:rsidP="004C4B32">
      <w:pPr>
        <w:pStyle w:val="SingleTxt"/>
        <w:numPr>
          <w:ilvl w:val="0"/>
          <w:numId w:val="36"/>
        </w:numPr>
        <w:tabs>
          <w:tab w:val="clear" w:pos="1930"/>
        </w:tabs>
        <w:spacing w:line="386" w:lineRule="exact"/>
        <w:rPr>
          <w:w w:val="100"/>
          <w:rtl/>
          <w:lang w:val="fr-FR"/>
        </w:rPr>
      </w:pPr>
      <w:r w:rsidRPr="00307AAE">
        <w:rPr>
          <w:w w:val="100"/>
          <w:rtl/>
          <w:lang w:val="fr-FR"/>
        </w:rPr>
        <w:t>الاتفاقية الدولية للقضاء على جميع أشكال التمييز العنصري؛</w:t>
      </w:r>
    </w:p>
    <w:p w:rsidR="00CC0F13" w:rsidRPr="00307AAE" w:rsidRDefault="00CC0F13" w:rsidP="004C4B32">
      <w:pPr>
        <w:pStyle w:val="SingleTxt"/>
        <w:numPr>
          <w:ilvl w:val="0"/>
          <w:numId w:val="36"/>
        </w:numPr>
        <w:tabs>
          <w:tab w:val="clear" w:pos="1930"/>
        </w:tabs>
        <w:spacing w:line="386" w:lineRule="exact"/>
        <w:rPr>
          <w:w w:val="100"/>
          <w:rtl/>
          <w:lang w:val="fr-FR"/>
        </w:rPr>
      </w:pPr>
      <w:r w:rsidRPr="00307AAE">
        <w:rPr>
          <w:w w:val="100"/>
          <w:rtl/>
          <w:lang w:val="fr-FR"/>
        </w:rPr>
        <w:t xml:space="preserve">اتفاقية القضاء على جميع أشكال التمييز ضد المرأة؛ </w:t>
      </w:r>
    </w:p>
    <w:p w:rsidR="00CC0F13" w:rsidRPr="004C4B32" w:rsidRDefault="00CC0F13" w:rsidP="004C4B32">
      <w:pPr>
        <w:pStyle w:val="SingleTxt"/>
        <w:numPr>
          <w:ilvl w:val="0"/>
          <w:numId w:val="36"/>
        </w:numPr>
        <w:tabs>
          <w:tab w:val="clear" w:pos="1930"/>
        </w:tabs>
        <w:spacing w:line="386" w:lineRule="exact"/>
        <w:rPr>
          <w:spacing w:val="-6"/>
          <w:w w:val="100"/>
          <w:rtl/>
          <w:lang w:val="fr-FR"/>
        </w:rPr>
      </w:pPr>
      <w:r w:rsidRPr="004C4B32">
        <w:rPr>
          <w:spacing w:val="-6"/>
          <w:w w:val="100"/>
          <w:rtl/>
          <w:lang w:val="fr-FR"/>
        </w:rPr>
        <w:t>اتفاقية مناهضة التعذيب وغيره من ضروب المعاملة أو العقوبة القاسية أو اللاإنسانية أو المهينة؛</w:t>
      </w:r>
    </w:p>
    <w:p w:rsidR="00CC0F13" w:rsidRPr="00307AAE" w:rsidRDefault="00CC0F13" w:rsidP="004C4B32">
      <w:pPr>
        <w:pStyle w:val="SingleTxt"/>
        <w:numPr>
          <w:ilvl w:val="0"/>
          <w:numId w:val="36"/>
        </w:numPr>
        <w:tabs>
          <w:tab w:val="clear" w:pos="1930"/>
        </w:tabs>
        <w:spacing w:line="386" w:lineRule="exact"/>
        <w:rPr>
          <w:w w:val="100"/>
          <w:rtl/>
          <w:lang w:val="fr-FR"/>
        </w:rPr>
      </w:pPr>
      <w:r w:rsidRPr="00307AAE">
        <w:rPr>
          <w:w w:val="100"/>
          <w:rtl/>
          <w:lang w:val="fr-FR"/>
        </w:rPr>
        <w:t>اتفاقية حقوق الطفل؛</w:t>
      </w:r>
    </w:p>
    <w:p w:rsidR="00CC0F13" w:rsidRPr="00307AAE" w:rsidRDefault="00CC0F13" w:rsidP="004C4B32">
      <w:pPr>
        <w:pStyle w:val="SingleTxt"/>
        <w:numPr>
          <w:ilvl w:val="0"/>
          <w:numId w:val="36"/>
        </w:numPr>
        <w:tabs>
          <w:tab w:val="clear" w:pos="1930"/>
        </w:tabs>
        <w:spacing w:line="386" w:lineRule="exact"/>
        <w:rPr>
          <w:w w:val="100"/>
          <w:rtl/>
          <w:lang w:val="fr-FR"/>
        </w:rPr>
      </w:pPr>
      <w:r w:rsidRPr="00307AAE">
        <w:rPr>
          <w:w w:val="100"/>
          <w:rtl/>
          <w:lang w:val="fr-FR"/>
        </w:rPr>
        <w:t>اتفاقية البلدان الأمريكية بشأن الاختفاء القسري للأشخاص؛</w:t>
      </w:r>
    </w:p>
    <w:p w:rsidR="00CC0F13" w:rsidRPr="00307AAE" w:rsidRDefault="00CC0F13" w:rsidP="004C4B32">
      <w:pPr>
        <w:pStyle w:val="SingleTxt"/>
        <w:numPr>
          <w:ilvl w:val="0"/>
          <w:numId w:val="36"/>
        </w:numPr>
        <w:tabs>
          <w:tab w:val="clear" w:pos="1930"/>
        </w:tabs>
        <w:spacing w:line="386" w:lineRule="exact"/>
        <w:rPr>
          <w:w w:val="100"/>
          <w:rtl/>
          <w:lang w:val="fr-FR"/>
        </w:rPr>
      </w:pPr>
      <w:r w:rsidRPr="00307AAE">
        <w:rPr>
          <w:w w:val="100"/>
          <w:rtl/>
          <w:lang w:val="fr-FR"/>
        </w:rPr>
        <w:t>اتفاقية عدم تقادم جرائم الحرب والجرائم المرتكبة ضد الإنسانية.</w:t>
      </w:r>
    </w:p>
    <w:p w:rsidR="00560D93" w:rsidRPr="00560D93" w:rsidRDefault="00560D93" w:rsidP="00560D9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560D93" w:rsidRPr="00560D93" w:rsidRDefault="00560D93" w:rsidP="00560D9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Default="00CC0F13" w:rsidP="00BF665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r>
      <w:bookmarkStart w:id="8" w:name="_Toc430532836"/>
      <w:r w:rsidRPr="00307AAE">
        <w:rPr>
          <w:w w:val="100"/>
          <w:rtl/>
          <w:lang w:val="fr-FR"/>
        </w:rPr>
        <w:t>باء</w:t>
      </w:r>
      <w:r w:rsidR="00307AAE" w:rsidRPr="00307AAE">
        <w:rPr>
          <w:w w:val="100"/>
          <w:rtl/>
          <w:lang w:val="fr-FR"/>
        </w:rPr>
        <w:t>-</w:t>
      </w:r>
      <w:r w:rsidR="00307AAE" w:rsidRPr="00307AAE">
        <w:rPr>
          <w:w w:val="100"/>
          <w:rtl/>
          <w:lang w:val="fr-FR"/>
        </w:rPr>
        <w:tab/>
      </w:r>
      <w:r w:rsidRPr="00307AAE">
        <w:rPr>
          <w:w w:val="100"/>
          <w:rtl/>
          <w:lang w:val="fr-FR"/>
        </w:rPr>
        <w:t>الإطار القانوني لحماية حقوق الإنسان على الصعيد الوطني</w:t>
      </w:r>
      <w:bookmarkEnd w:id="8"/>
    </w:p>
    <w:p w:rsidR="00560D93" w:rsidRPr="00560D93" w:rsidRDefault="00560D93" w:rsidP="00560D93">
      <w:pPr>
        <w:pStyle w:val="SingleTxt"/>
        <w:spacing w:after="0" w:line="120" w:lineRule="exact"/>
        <w:rPr>
          <w:sz w:val="10"/>
          <w:rtl/>
          <w:lang w:val="fr-FR"/>
        </w:rPr>
      </w:pPr>
    </w:p>
    <w:p w:rsidR="00CC0F13" w:rsidRPr="00307AAE" w:rsidRDefault="00560D93" w:rsidP="00560D9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السلطات المختصة</w:t>
      </w:r>
    </w:p>
    <w:p w:rsidR="00CC0F13" w:rsidRPr="00307AAE" w:rsidRDefault="00560D93" w:rsidP="00560D9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sidR="00CC0F13" w:rsidRPr="00307AAE">
        <w:rPr>
          <w:w w:val="100"/>
          <w:rtl/>
          <w:lang w:val="fr-FR"/>
        </w:rPr>
        <w:t>1-</w:t>
      </w:r>
      <w:r w:rsidR="00CC0F13" w:rsidRPr="00307AAE">
        <w:rPr>
          <w:w w:val="100"/>
          <w:rtl/>
          <w:lang w:val="fr-FR"/>
        </w:rPr>
        <w:tab/>
        <w:t>السلطات القضائية</w:t>
      </w:r>
    </w:p>
    <w:p w:rsidR="00CC0F13" w:rsidRPr="00307AAE" w:rsidRDefault="00CC0F13" w:rsidP="004C4B32">
      <w:pPr>
        <w:pStyle w:val="SingleTxt"/>
        <w:spacing w:line="386" w:lineRule="exact"/>
        <w:rPr>
          <w:w w:val="100"/>
          <w:kern w:val="0"/>
          <w:rtl/>
          <w:lang w:val="fr-FR"/>
        </w:rPr>
      </w:pPr>
      <w:r w:rsidRPr="004C4B32">
        <w:rPr>
          <w:w w:val="100"/>
          <w:kern w:val="0"/>
          <w:rtl/>
          <w:lang w:val="fr-FR"/>
        </w:rPr>
        <w:t>81-</w:t>
      </w:r>
      <w:r w:rsidRPr="004C4B32">
        <w:rPr>
          <w:w w:val="100"/>
          <w:kern w:val="0"/>
          <w:rtl/>
          <w:lang w:val="fr-FR"/>
        </w:rPr>
        <w:tab/>
        <w:t>إقامة العدل سلطة مشتركة بين الدولة والمحافظات في النظام القضائي الأرجنتيني. وفي هذا الصدد، تنص المادتان 5 و123 من الدستور الوطني على أن تضع كل محافظة دستور</w:t>
      </w:r>
      <w:r w:rsidR="00A71B00">
        <w:rPr>
          <w:w w:val="100"/>
          <w:kern w:val="0"/>
          <w:rtl/>
          <w:lang w:val="fr-FR"/>
        </w:rPr>
        <w:t xml:space="preserve">اً </w:t>
      </w:r>
      <w:r w:rsidRPr="004C4B32">
        <w:rPr>
          <w:w w:val="100"/>
          <w:kern w:val="0"/>
          <w:rtl/>
          <w:lang w:val="fr-FR"/>
        </w:rPr>
        <w:t>خاص</w:t>
      </w:r>
      <w:r w:rsidR="00A71B00">
        <w:rPr>
          <w:w w:val="100"/>
          <w:kern w:val="0"/>
          <w:rtl/>
          <w:lang w:val="fr-FR"/>
        </w:rPr>
        <w:t xml:space="preserve">اً </w:t>
      </w:r>
      <w:r w:rsidRPr="004C4B32">
        <w:rPr>
          <w:w w:val="100"/>
          <w:kern w:val="0"/>
          <w:rtl/>
          <w:lang w:val="fr-FR"/>
        </w:rPr>
        <w:t>بها وفق</w:t>
      </w:r>
      <w:r w:rsidR="00A71B00">
        <w:rPr>
          <w:w w:val="100"/>
          <w:kern w:val="0"/>
          <w:rtl/>
          <w:lang w:val="fr-FR"/>
        </w:rPr>
        <w:t xml:space="preserve">اً </w:t>
      </w:r>
      <w:r w:rsidRPr="004C4B32">
        <w:rPr>
          <w:w w:val="100"/>
          <w:kern w:val="0"/>
          <w:rtl/>
          <w:lang w:val="fr-FR"/>
        </w:rPr>
        <w:t>لمبادئ وإعلانات وضمانات القانون الأسمى "يكفل إدارة النظام القضائي بها". وتختار كل محافظة موظفيها وقضاتها دون تدخل من الحكومة الاتحادية (المادة 22 من الدستور الوطني). وبالتالي، تشكل القوانين التي يصدرها الكونغرس الوطني والمعاهدات المبرمة مع الدول الأجنبية القانون الأسمى للدولة؛ وينبغي لسلطات كل محافظة أن تلتزم به، بصرف النظر عن أي حكم مخالف لذلك قد تتضمنه قوانين المحافظات أو دساتيرها (المادة 31 من الدستور الوطني).</w:t>
      </w:r>
    </w:p>
    <w:p w:rsidR="00CC0F13" w:rsidRPr="00307AAE" w:rsidRDefault="00CC0F13" w:rsidP="00CC0F13">
      <w:pPr>
        <w:pStyle w:val="SingleTxt"/>
        <w:rPr>
          <w:w w:val="100"/>
          <w:kern w:val="0"/>
          <w:rtl/>
          <w:lang w:val="fr-FR"/>
        </w:rPr>
      </w:pPr>
      <w:r w:rsidRPr="00307AAE">
        <w:rPr>
          <w:w w:val="100"/>
          <w:kern w:val="0"/>
          <w:rtl/>
          <w:lang w:val="fr-FR"/>
        </w:rPr>
        <w:t>82-</w:t>
      </w:r>
      <w:r w:rsidRPr="00307AAE">
        <w:rPr>
          <w:w w:val="100"/>
          <w:kern w:val="0"/>
          <w:rtl/>
          <w:lang w:val="fr-FR"/>
        </w:rPr>
        <w:tab/>
        <w:t>وإدارة النظام القضائي العادي من اختصاص السلطة القضائية لكل محافظة، داخل إقليمها، من خلال تنفيذ القوانين المشار إليها في الفقرة 12 من المادة 75 (القانون المدني، والقانون التجاري، والقانون الجنائي، وقانون التعدين وقانون العمل والضمان الاجتماعي)، حسبما إذا كانت القضايا أو الأشخاص خاضعين لولاياتها القضائية الخاصة.</w:t>
      </w:r>
    </w:p>
    <w:p w:rsidR="00CC0F13" w:rsidRPr="00307AAE" w:rsidRDefault="00CC0F13" w:rsidP="00A71B00">
      <w:pPr>
        <w:pStyle w:val="SingleTxt"/>
        <w:rPr>
          <w:w w:val="100"/>
          <w:kern w:val="0"/>
          <w:rtl/>
          <w:lang w:val="fr-FR"/>
        </w:rPr>
      </w:pPr>
      <w:r w:rsidRPr="00307AAE">
        <w:rPr>
          <w:w w:val="100"/>
          <w:kern w:val="0"/>
          <w:rtl/>
          <w:lang w:val="fr-FR"/>
        </w:rPr>
        <w:t>83-</w:t>
      </w:r>
      <w:r w:rsidRPr="00307AAE">
        <w:rPr>
          <w:w w:val="100"/>
          <w:kern w:val="0"/>
          <w:rtl/>
          <w:lang w:val="fr-FR"/>
        </w:rPr>
        <w:tab/>
        <w:t xml:space="preserve">وفيما يتعلق بنظام القضاء الوطني، تنص المادة 116 من الدستور الوطني على أن تتولى المحكمة الوطنية العليا والمحاكم ذات الدرجات الأدنى للدولة النظر والتقرير في جميع القضايا التي </w:t>
      </w:r>
      <w:r w:rsidRPr="00A71B00">
        <w:rPr>
          <w:spacing w:val="-4"/>
          <w:w w:val="100"/>
          <w:kern w:val="0"/>
          <w:rtl/>
          <w:lang w:val="fr-FR"/>
        </w:rPr>
        <w:t>تتمحور حول المسائل التي ينظمها الدستور وقوانين الدولة، رهن</w:t>
      </w:r>
      <w:r w:rsidR="00A71B00" w:rsidRPr="00A71B00">
        <w:rPr>
          <w:spacing w:val="-4"/>
          <w:w w:val="100"/>
          <w:kern w:val="0"/>
          <w:rtl/>
          <w:lang w:val="fr-FR"/>
        </w:rPr>
        <w:t xml:space="preserve">اً </w:t>
      </w:r>
      <w:r w:rsidRPr="00A71B00">
        <w:rPr>
          <w:spacing w:val="-4"/>
          <w:w w:val="100"/>
          <w:kern w:val="0"/>
          <w:rtl/>
          <w:lang w:val="fr-FR"/>
        </w:rPr>
        <w:t>بما يقع ضمن اختصاصات الولايات القضائية للمحافظات. وفي هذه الحالات، تمارس المحكمة الوطنية العليا ولايتها الاستئنافية</w:t>
      </w:r>
      <w:r w:rsidRPr="00307AAE">
        <w:rPr>
          <w:w w:val="100"/>
          <w:kern w:val="0"/>
          <w:rtl/>
          <w:lang w:val="fr-FR"/>
        </w:rPr>
        <w:t xml:space="preserve"> (المادة</w:t>
      </w:r>
      <w:r w:rsidR="00A71B00">
        <w:rPr>
          <w:rFonts w:hint="cs"/>
          <w:w w:val="100"/>
          <w:kern w:val="0"/>
          <w:rtl/>
          <w:lang w:val="fr-FR"/>
        </w:rPr>
        <w:t> </w:t>
      </w:r>
      <w:r w:rsidRPr="00307AAE">
        <w:rPr>
          <w:w w:val="100"/>
          <w:kern w:val="0"/>
          <w:rtl/>
          <w:lang w:val="fr-FR"/>
        </w:rPr>
        <w:t xml:space="preserve">117 من الدستور الوطني). </w:t>
      </w:r>
    </w:p>
    <w:p w:rsidR="004C4B32" w:rsidRPr="004C4B32" w:rsidRDefault="004C4B32" w:rsidP="004C4B3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4C4B32" w:rsidP="004C4B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sidR="00CC0F13" w:rsidRPr="00307AAE">
        <w:rPr>
          <w:w w:val="100"/>
          <w:rtl/>
          <w:lang w:val="fr-FR"/>
        </w:rPr>
        <w:t>2-</w:t>
      </w:r>
      <w:r w:rsidR="00CC0F13" w:rsidRPr="00307AAE">
        <w:rPr>
          <w:w w:val="100"/>
          <w:rtl/>
          <w:lang w:val="fr-FR"/>
        </w:rPr>
        <w:tab/>
        <w:t>السلطات الإدارية</w:t>
      </w:r>
    </w:p>
    <w:p w:rsidR="00CC0F13" w:rsidRPr="00307AAE" w:rsidRDefault="004C4B32" w:rsidP="004C4B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أمانة حقوق الإنسان</w:t>
      </w:r>
    </w:p>
    <w:p w:rsidR="00CC0F13" w:rsidRPr="00307AAE" w:rsidRDefault="00CC0F13" w:rsidP="00A71B00">
      <w:pPr>
        <w:pStyle w:val="SingleTxt"/>
        <w:rPr>
          <w:w w:val="100"/>
          <w:kern w:val="0"/>
          <w:rtl/>
          <w:lang w:val="fr-FR"/>
        </w:rPr>
      </w:pPr>
      <w:r w:rsidRPr="00307AAE">
        <w:rPr>
          <w:w w:val="100"/>
          <w:kern w:val="0"/>
          <w:rtl/>
          <w:lang w:val="fr-FR"/>
        </w:rPr>
        <w:t>84-</w:t>
      </w:r>
      <w:r w:rsidRPr="00307AAE">
        <w:rPr>
          <w:w w:val="100"/>
          <w:kern w:val="0"/>
          <w:rtl/>
          <w:lang w:val="fr-FR"/>
        </w:rPr>
        <w:tab/>
        <w:t>تعتبر أمانة حقوق الإنسان، التابعة لوزارة العدل وحقوق الإنسان، السلطة المختصة فيما</w:t>
      </w:r>
      <w:r w:rsidR="00A71B00">
        <w:rPr>
          <w:rFonts w:hint="cs"/>
          <w:w w:val="100"/>
          <w:kern w:val="0"/>
          <w:rtl/>
          <w:lang w:val="fr-FR"/>
        </w:rPr>
        <w:t> </w:t>
      </w:r>
      <w:r w:rsidRPr="00307AAE">
        <w:rPr>
          <w:w w:val="100"/>
          <w:kern w:val="0"/>
          <w:rtl/>
          <w:lang w:val="fr-FR"/>
        </w:rPr>
        <w:t>يتعلق بحقوق الإنسان على الصعيد الوطني.</w:t>
      </w:r>
    </w:p>
    <w:p w:rsidR="00CC0F13" w:rsidRPr="00307AAE" w:rsidRDefault="00CC0F13" w:rsidP="00CC0F13">
      <w:pPr>
        <w:pStyle w:val="SingleTxt"/>
        <w:rPr>
          <w:w w:val="100"/>
          <w:kern w:val="0"/>
          <w:rtl/>
          <w:lang w:val="fr-FR"/>
        </w:rPr>
      </w:pPr>
      <w:r w:rsidRPr="00307AAE">
        <w:rPr>
          <w:w w:val="100"/>
          <w:kern w:val="0"/>
          <w:rtl/>
          <w:lang w:val="fr-FR"/>
        </w:rPr>
        <w:t>85-</w:t>
      </w:r>
      <w:r w:rsidRPr="00307AAE">
        <w:rPr>
          <w:w w:val="100"/>
          <w:kern w:val="0"/>
          <w:rtl/>
          <w:lang w:val="fr-FR"/>
        </w:rPr>
        <w:tab/>
        <w:t>وتتمثل أهداف هذه الأمانة والإجراءات التي تضطلع بها فيما يلي:</w:t>
      </w:r>
    </w:p>
    <w:p w:rsidR="00CC0F13" w:rsidRPr="00307AAE" w:rsidRDefault="00CC0F13" w:rsidP="004C4B32">
      <w:pPr>
        <w:pStyle w:val="SingleTxt"/>
        <w:numPr>
          <w:ilvl w:val="0"/>
          <w:numId w:val="36"/>
        </w:numPr>
        <w:tabs>
          <w:tab w:val="clear" w:pos="1930"/>
        </w:tabs>
        <w:spacing w:line="386" w:lineRule="exact"/>
        <w:rPr>
          <w:w w:val="100"/>
          <w:rtl/>
          <w:lang w:val="fr-FR"/>
        </w:rPr>
      </w:pPr>
      <w:r w:rsidRPr="00307AAE">
        <w:rPr>
          <w:w w:val="100"/>
          <w:rtl/>
          <w:lang w:val="fr-FR"/>
        </w:rPr>
        <w:t>إعداد وتنفيذ ومتابعة السياسات والخطط والبرامج الرامية إلى تعزيز وحماية الحقوق المدنية والسياسية والاقتصادية والاجتماعية والثقافية وحقوق المجتمعات المحلية والحقوق الجماعية بشكل عام؛</w:t>
      </w:r>
    </w:p>
    <w:p w:rsidR="00CC0F13" w:rsidRPr="00307AAE" w:rsidRDefault="00CC0F13" w:rsidP="004C4B32">
      <w:pPr>
        <w:pStyle w:val="SingleTxt"/>
        <w:numPr>
          <w:ilvl w:val="0"/>
          <w:numId w:val="36"/>
        </w:numPr>
        <w:tabs>
          <w:tab w:val="clear" w:pos="1930"/>
        </w:tabs>
        <w:spacing w:line="386" w:lineRule="exact"/>
        <w:rPr>
          <w:w w:val="100"/>
          <w:rtl/>
          <w:lang w:val="fr-FR"/>
        </w:rPr>
      </w:pPr>
      <w:r w:rsidRPr="00307AAE">
        <w:rPr>
          <w:w w:val="100"/>
          <w:rtl/>
          <w:lang w:val="fr-FR"/>
        </w:rPr>
        <w:t>تنسيق إجراءات تعزيز وحماية حقوق الإنسان مع الوزارات الأخرى، ومع السلطة القضائية ومكتب المدعي العام ومكتب أمين المظالم والكونغرس الوطني ومنظمات المجتمع المدني؛</w:t>
      </w:r>
    </w:p>
    <w:p w:rsidR="00CC0F13" w:rsidRPr="00307AAE" w:rsidRDefault="00CC0F13" w:rsidP="004C4B32">
      <w:pPr>
        <w:pStyle w:val="SingleTxt"/>
        <w:numPr>
          <w:ilvl w:val="0"/>
          <w:numId w:val="36"/>
        </w:numPr>
        <w:tabs>
          <w:tab w:val="clear" w:pos="1930"/>
        </w:tabs>
        <w:spacing w:line="386" w:lineRule="exact"/>
        <w:rPr>
          <w:w w:val="100"/>
          <w:rtl/>
          <w:lang w:val="fr-FR"/>
        </w:rPr>
      </w:pPr>
      <w:r w:rsidRPr="00307AAE">
        <w:rPr>
          <w:w w:val="100"/>
          <w:rtl/>
          <w:lang w:val="fr-FR"/>
        </w:rPr>
        <w:t>تخطيط وتنسيق ومراقبة تنفيذ الأنشطة المتعلقة بالتدريب وبتعزيز المؤسسات في مجال حقوق الإنسان والقانون الدولي الإنساني، سواء على صعيد الدولة أو فيما يتعلق بالمجتمع المدني؛</w:t>
      </w:r>
    </w:p>
    <w:p w:rsidR="00CC0F13" w:rsidRPr="00307AAE" w:rsidRDefault="00CC0F13" w:rsidP="004C4B32">
      <w:pPr>
        <w:pStyle w:val="SingleTxt"/>
        <w:numPr>
          <w:ilvl w:val="0"/>
          <w:numId w:val="36"/>
        </w:numPr>
        <w:tabs>
          <w:tab w:val="clear" w:pos="1930"/>
        </w:tabs>
        <w:spacing w:line="386" w:lineRule="exact"/>
        <w:rPr>
          <w:w w:val="100"/>
          <w:rtl/>
          <w:lang w:val="fr-FR"/>
        </w:rPr>
      </w:pPr>
      <w:r w:rsidRPr="00307AAE">
        <w:rPr>
          <w:w w:val="100"/>
          <w:rtl/>
          <w:lang w:val="fr-FR"/>
        </w:rPr>
        <w:t>تنسيق إجراءات المجلس الاتحادي لحقوق الإنسان وتنفيذ إجراءات المفوضيات التابعة للأمانة العامة لحقوق الإنسان على الصعيد الداخلي؛</w:t>
      </w:r>
    </w:p>
    <w:p w:rsidR="00CC0F13" w:rsidRPr="00307AAE" w:rsidRDefault="00CC0F13" w:rsidP="004C4B32">
      <w:pPr>
        <w:pStyle w:val="SingleTxt"/>
        <w:numPr>
          <w:ilvl w:val="0"/>
          <w:numId w:val="36"/>
        </w:numPr>
        <w:tabs>
          <w:tab w:val="clear" w:pos="1930"/>
        </w:tabs>
        <w:spacing w:line="386" w:lineRule="exact"/>
        <w:rPr>
          <w:w w:val="100"/>
          <w:rtl/>
          <w:lang w:val="fr-FR"/>
        </w:rPr>
      </w:pPr>
      <w:r w:rsidRPr="00307AAE">
        <w:rPr>
          <w:w w:val="100"/>
          <w:rtl/>
          <w:lang w:val="fr-FR"/>
        </w:rPr>
        <w:t>تقديم المساعدة لوزارة العدل وحقوق الإنسان فيما يتعلق بمواءمة معايير القانون المحلي مع القانون الدولي لحقوق الإنسان؛</w:t>
      </w:r>
    </w:p>
    <w:p w:rsidR="00CC0F13" w:rsidRPr="00307AAE" w:rsidRDefault="00CC0F13" w:rsidP="004C4B32">
      <w:pPr>
        <w:pStyle w:val="SingleTxt"/>
        <w:numPr>
          <w:ilvl w:val="0"/>
          <w:numId w:val="36"/>
        </w:numPr>
        <w:tabs>
          <w:tab w:val="clear" w:pos="1930"/>
        </w:tabs>
        <w:spacing w:line="386" w:lineRule="exact"/>
        <w:rPr>
          <w:w w:val="100"/>
          <w:rtl/>
          <w:lang w:val="fr-FR"/>
        </w:rPr>
      </w:pPr>
      <w:r w:rsidRPr="00307AAE">
        <w:rPr>
          <w:w w:val="100"/>
          <w:rtl/>
          <w:lang w:val="fr-FR"/>
        </w:rPr>
        <w:t>المشاركة في المراقبة النشطة للقضايا والحالات المتعلقة بحقوق الإنسان والحقوق المدنية والسياسية والاقتصادية والاجتماعية والثقافية وحقوق المجتمعات المحلية والحقوق الجماعية ومتابعتها والإبلاغ عنها، وذلك بالاشتراك مع الهيئات الوطنية، والهيئات القائمة على صعيد المحافظات والبلديات ومع منظمات المجتمع المدني، المعنية بهذا الموضوع.</w:t>
      </w:r>
    </w:p>
    <w:p w:rsidR="004C4B32" w:rsidRPr="004C4B32" w:rsidRDefault="004C4B32" w:rsidP="004C4B3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4C4B32" w:rsidP="004C4B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أمين المظالم</w:t>
      </w:r>
    </w:p>
    <w:p w:rsidR="00CC0F13" w:rsidRPr="00307AAE" w:rsidRDefault="00CC0F13" w:rsidP="004C4B32">
      <w:pPr>
        <w:pStyle w:val="SingleTxt"/>
        <w:spacing w:line="380" w:lineRule="exact"/>
        <w:rPr>
          <w:w w:val="100"/>
          <w:kern w:val="0"/>
          <w:rtl/>
          <w:lang w:val="fr-FR"/>
        </w:rPr>
      </w:pPr>
      <w:r w:rsidRPr="00307AAE">
        <w:rPr>
          <w:w w:val="100"/>
          <w:kern w:val="0"/>
          <w:rtl/>
          <w:lang w:val="fr-FR"/>
        </w:rPr>
        <w:t>86-</w:t>
      </w:r>
      <w:r w:rsidRPr="00307AAE">
        <w:rPr>
          <w:w w:val="100"/>
          <w:kern w:val="0"/>
          <w:rtl/>
          <w:lang w:val="fr-FR"/>
        </w:rPr>
        <w:tab/>
        <w:t>أمين المظالم هيئة تتمتع بالاستقلالية التامة عن باقي سلطات الدولة، وتستجيب مهمتها الأساسية، المحددة بموجب الدستور الوطني (المادة 86)، إلى حاجة النظام الجمهوري لحماية حقوق الإنسان وإلى مؤسسة المراقب المالي الدائم للإدارة العامة والشركات التي تقدم خدمات عامة.</w:t>
      </w:r>
    </w:p>
    <w:p w:rsidR="00CC0F13" w:rsidRPr="004C4B32" w:rsidRDefault="00CC0F13" w:rsidP="004C4B32">
      <w:pPr>
        <w:pStyle w:val="SingleTxt"/>
        <w:spacing w:line="380" w:lineRule="exact"/>
        <w:rPr>
          <w:spacing w:val="-2"/>
          <w:w w:val="100"/>
          <w:kern w:val="0"/>
          <w:rtl/>
          <w:lang w:val="fr-FR"/>
        </w:rPr>
      </w:pPr>
      <w:r w:rsidRPr="004C4B32">
        <w:rPr>
          <w:spacing w:val="-2"/>
          <w:w w:val="100"/>
          <w:kern w:val="0"/>
          <w:rtl/>
          <w:lang w:val="fr-FR"/>
        </w:rPr>
        <w:t>87-</w:t>
      </w:r>
      <w:r w:rsidRPr="004C4B32">
        <w:rPr>
          <w:spacing w:val="-2"/>
          <w:w w:val="100"/>
          <w:kern w:val="0"/>
          <w:rtl/>
          <w:lang w:val="fr-FR"/>
        </w:rPr>
        <w:tab/>
        <w:t>وفي 1 كانون الأول/ديسمبر 1993، سن الكونغرس الوطني القانون رقم 24</w:t>
      </w:r>
      <w:r w:rsidR="008B4809">
        <w:rPr>
          <w:rFonts w:hint="cs"/>
          <w:spacing w:val="-2"/>
          <w:w w:val="100"/>
          <w:kern w:val="0"/>
          <w:rtl/>
          <w:lang w:val="fr-FR"/>
        </w:rPr>
        <w:t>-</w:t>
      </w:r>
      <w:r w:rsidRPr="004C4B32">
        <w:rPr>
          <w:spacing w:val="-2"/>
          <w:w w:val="100"/>
          <w:kern w:val="0"/>
          <w:rtl/>
          <w:lang w:val="fr-FR"/>
        </w:rPr>
        <w:t>284 الذي أنشأ، في إطار السلطة التشريعية، مكتب أمين المظالم. ويمارس أمين المظالم، المعروف أيض</w:t>
      </w:r>
      <w:r w:rsidR="00A71B00">
        <w:rPr>
          <w:spacing w:val="-2"/>
          <w:w w:val="100"/>
          <w:kern w:val="0"/>
          <w:rtl/>
          <w:lang w:val="fr-FR"/>
        </w:rPr>
        <w:t xml:space="preserve">اً </w:t>
      </w:r>
      <w:r w:rsidRPr="004C4B32">
        <w:rPr>
          <w:spacing w:val="-2"/>
          <w:w w:val="100"/>
          <w:kern w:val="0"/>
          <w:rtl/>
          <w:lang w:val="fr-FR"/>
        </w:rPr>
        <w:t>باسم "أومبودسمان"، مهامه دون تلقي تعليمات من أي جهة حكومية. وقد أُنيطت بأمين المظالم مهمتان أساسيتان، تتمثل الأولى في ممارسة المراقبة المستمرة، الرامية إلى رصد أي مظهر من مظاهر الاختلال في أداء الإدارات العامة لمهامها، سواء كانت تصرفات أو أفعال</w:t>
      </w:r>
      <w:r w:rsidR="00A71B00">
        <w:rPr>
          <w:spacing w:val="-2"/>
          <w:w w:val="100"/>
          <w:kern w:val="0"/>
          <w:rtl/>
          <w:lang w:val="fr-FR"/>
        </w:rPr>
        <w:t xml:space="preserve">اً </w:t>
      </w:r>
      <w:r w:rsidRPr="004C4B32">
        <w:rPr>
          <w:spacing w:val="-2"/>
          <w:w w:val="100"/>
          <w:kern w:val="0"/>
          <w:rtl/>
          <w:lang w:val="fr-FR"/>
        </w:rPr>
        <w:t>أو أوجه تقصير، أو كانت غير مشروعة، أو تعسفية، أو متسمة بالإجحاف أو الإهمال أو غير لائقة بشكل خطير؛ وتتمثل الثانية، الوثيقة الصلة بالأولى، في الدفاع عن حقوق جميع سكان البلد. ويجوز له أن يباشر، بحكم منصبه أو</w:t>
      </w:r>
      <w:r w:rsidR="004C4B32">
        <w:rPr>
          <w:rFonts w:hint="cs"/>
          <w:spacing w:val="-2"/>
          <w:w w:val="100"/>
          <w:kern w:val="0"/>
          <w:rtl/>
          <w:lang w:val="fr-FR"/>
        </w:rPr>
        <w:t> </w:t>
      </w:r>
      <w:r w:rsidRPr="004C4B32">
        <w:rPr>
          <w:spacing w:val="-2"/>
          <w:w w:val="100"/>
          <w:kern w:val="0"/>
          <w:rtl/>
          <w:lang w:val="fr-FR"/>
        </w:rPr>
        <w:t>بطلب من طرف ما، تحقيقات من أجل استجلاء حقيقة أفعال الإدارة العامة التي قد تشكل انتهاك</w:t>
      </w:r>
      <w:r w:rsidR="00A71B00">
        <w:rPr>
          <w:spacing w:val="-2"/>
          <w:w w:val="100"/>
          <w:kern w:val="0"/>
          <w:rtl/>
          <w:lang w:val="fr-FR"/>
        </w:rPr>
        <w:t xml:space="preserve">اً </w:t>
      </w:r>
      <w:r w:rsidRPr="004C4B32">
        <w:rPr>
          <w:spacing w:val="-2"/>
          <w:w w:val="100"/>
          <w:kern w:val="0"/>
          <w:rtl/>
          <w:lang w:val="fr-FR"/>
        </w:rPr>
        <w:t>لحقوق المواطنين ومصالحهم، بما في ذلك الحقوق الجماعية أو المتصلة بالمصلحة العامة.</w:t>
      </w:r>
    </w:p>
    <w:p w:rsidR="00CC0F13" w:rsidRPr="004C4B32" w:rsidRDefault="00CC0F13" w:rsidP="004C4B32">
      <w:pPr>
        <w:pStyle w:val="SingleTxt"/>
        <w:spacing w:line="380" w:lineRule="exact"/>
        <w:rPr>
          <w:spacing w:val="-3"/>
          <w:w w:val="100"/>
          <w:kern w:val="0"/>
          <w:rtl/>
          <w:lang w:val="fr-FR"/>
        </w:rPr>
      </w:pPr>
      <w:r w:rsidRPr="004C4B32">
        <w:rPr>
          <w:spacing w:val="-3"/>
          <w:w w:val="100"/>
          <w:kern w:val="0"/>
          <w:rtl/>
          <w:lang w:val="fr-FR"/>
        </w:rPr>
        <w:t>88-</w:t>
      </w:r>
      <w:r w:rsidRPr="004C4B32">
        <w:rPr>
          <w:spacing w:val="-3"/>
          <w:w w:val="100"/>
          <w:kern w:val="0"/>
          <w:rtl/>
          <w:lang w:val="fr-FR"/>
        </w:rPr>
        <w:tab/>
        <w:t>ويعتمد أمين المظالم، من أجل إنجاز مهمته، على آليات قانونية شتى. ويجوز له طلب</w:t>
      </w:r>
      <w:r w:rsidR="004C4B32">
        <w:rPr>
          <w:rFonts w:hint="cs"/>
          <w:spacing w:val="-3"/>
          <w:w w:val="100"/>
          <w:kern w:val="0"/>
          <w:rtl/>
          <w:lang w:val="fr-FR"/>
        </w:rPr>
        <w:t> </w:t>
      </w:r>
      <w:r w:rsidRPr="004C4B32">
        <w:rPr>
          <w:spacing w:val="-3"/>
          <w:w w:val="100"/>
          <w:kern w:val="0"/>
          <w:rtl/>
          <w:lang w:val="fr-FR"/>
        </w:rPr>
        <w:t>ملفات، والتماس تقارير، وإنجاز عمليات تفتيش وتحقق، وطلب اتخاذ إجراءات أو تدابير أخرى إثباتية تحقيق</w:t>
      </w:r>
      <w:r w:rsidR="00A71B00">
        <w:rPr>
          <w:spacing w:val="-3"/>
          <w:w w:val="100"/>
          <w:kern w:val="0"/>
          <w:rtl/>
          <w:lang w:val="fr-FR"/>
        </w:rPr>
        <w:t xml:space="preserve">اً </w:t>
      </w:r>
      <w:r w:rsidRPr="004C4B32">
        <w:rPr>
          <w:spacing w:val="-3"/>
          <w:w w:val="100"/>
          <w:kern w:val="0"/>
          <w:rtl/>
          <w:lang w:val="fr-FR"/>
        </w:rPr>
        <w:t>لمهمته. ولكن الدستور الوطني يتيح له أيض</w:t>
      </w:r>
      <w:r w:rsidR="00A71B00">
        <w:rPr>
          <w:spacing w:val="-3"/>
          <w:w w:val="100"/>
          <w:kern w:val="0"/>
          <w:rtl/>
          <w:lang w:val="fr-FR"/>
        </w:rPr>
        <w:t xml:space="preserve">اً </w:t>
      </w:r>
      <w:r w:rsidRPr="004C4B32">
        <w:rPr>
          <w:spacing w:val="-3"/>
          <w:w w:val="100"/>
          <w:kern w:val="0"/>
          <w:rtl/>
          <w:lang w:val="fr-FR"/>
        </w:rPr>
        <w:t>أداة أساسية تتميز عما سواها: إنها إضفاء الطابع القانوني على ما يتخذه من إجراءات للجوء إلى العدالة، كلما طال الحقوق الجماعية للمواطنين تهديد أو تعسف أو إنكار بسبب أي تصرف من تصرفات الدولة، أو من يخضعون لسلطتها.</w:t>
      </w:r>
    </w:p>
    <w:p w:rsidR="004C4B32" w:rsidRPr="004C4B32" w:rsidRDefault="004C4B32" w:rsidP="004C4B3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4C4B32" w:rsidP="004C4B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مكتب وكيل شؤون السجون</w:t>
      </w:r>
    </w:p>
    <w:p w:rsidR="00CC0F13" w:rsidRPr="004C4B32" w:rsidRDefault="00CC0F13" w:rsidP="004C4B32">
      <w:pPr>
        <w:pStyle w:val="SingleTxt"/>
        <w:spacing w:line="380" w:lineRule="exact"/>
        <w:rPr>
          <w:spacing w:val="-4"/>
          <w:w w:val="100"/>
          <w:kern w:val="0"/>
          <w:rtl/>
          <w:lang w:val="fr-FR"/>
        </w:rPr>
      </w:pPr>
      <w:r w:rsidRPr="004C4B32">
        <w:rPr>
          <w:spacing w:val="-4"/>
          <w:w w:val="100"/>
          <w:kern w:val="0"/>
          <w:rtl/>
          <w:lang w:val="fr-FR"/>
        </w:rPr>
        <w:t>89-</w:t>
      </w:r>
      <w:r w:rsidRPr="004C4B32">
        <w:rPr>
          <w:spacing w:val="-4"/>
          <w:w w:val="100"/>
          <w:kern w:val="0"/>
          <w:rtl/>
          <w:lang w:val="fr-FR"/>
        </w:rPr>
        <w:tab/>
        <w:t>أنشئ مكتب وكيل شؤون السجون بموجب مرسوم للسلطة التنفيذية في عام 1993، ضمن وزارة العدل وحقوق الإنسان، وعمل في إطارها 10 سنوات. وفي كانون الأول/ديسمبر 2003، سن الكونغرس الوطني القانون رقم 25875 بشأن مكتب وكيل شؤون السجون، الذي يضع هذه الهيئة في إطار السلطة التشريعية ويمنحها كامل السيادة والاستقلالية.</w:t>
      </w:r>
    </w:p>
    <w:p w:rsidR="00CC0F13" w:rsidRPr="00307AAE" w:rsidRDefault="00CC0F13" w:rsidP="004C4B32">
      <w:pPr>
        <w:pStyle w:val="SingleTxt"/>
        <w:spacing w:line="380" w:lineRule="exact"/>
        <w:rPr>
          <w:w w:val="100"/>
          <w:kern w:val="0"/>
          <w:rtl/>
          <w:lang w:val="fr-FR"/>
        </w:rPr>
      </w:pPr>
      <w:r w:rsidRPr="00307AAE">
        <w:rPr>
          <w:w w:val="100"/>
          <w:kern w:val="0"/>
          <w:rtl/>
          <w:lang w:val="fr-FR"/>
        </w:rPr>
        <w:t>90-</w:t>
      </w:r>
      <w:r w:rsidRPr="00307AAE">
        <w:rPr>
          <w:w w:val="100"/>
          <w:kern w:val="0"/>
          <w:rtl/>
          <w:lang w:val="fr-FR"/>
        </w:rPr>
        <w:tab/>
        <w:t>ويتمتع وكيل شؤون السجون بصفة وكيل الوزير، وولايته أربع سنوات قابلة للتجديد. ومهمته الأساسية حماية حقوق الإنسان للمحتجزين الواردة في نظام السجون الاتحادي، وهي</w:t>
      </w:r>
      <w:r w:rsidR="004C4B32">
        <w:rPr>
          <w:rFonts w:hint="cs"/>
          <w:w w:val="100"/>
          <w:kern w:val="0"/>
          <w:rtl/>
          <w:lang w:val="fr-FR"/>
        </w:rPr>
        <w:t> </w:t>
      </w:r>
      <w:r w:rsidRPr="00307AAE">
        <w:rPr>
          <w:w w:val="100"/>
          <w:kern w:val="0"/>
          <w:rtl/>
          <w:lang w:val="fr-FR"/>
        </w:rPr>
        <w:t>حقوق منصوص عليها في النظام القانوني الوطني وفي المعاهدات الدولية القائمة في هذا المجال التي انضمت إليها الأرجنتين. ولا يخضع وكيل شؤون السجون في سياق ممارسته لمهمته لأي أمر إلزامي ولا يتلقى تعليمات من أي سلطة، وإنما يتعين عليه أداء مهمته باستقلالية، وأن يستند إلى سلطته التقديرية لتحديد الحالات الواجب متابعتها.</w:t>
      </w:r>
    </w:p>
    <w:p w:rsidR="00CC0F13" w:rsidRPr="00307AAE" w:rsidRDefault="00CC0F13" w:rsidP="00F933F5">
      <w:pPr>
        <w:pStyle w:val="SingleTxt"/>
        <w:spacing w:line="390" w:lineRule="exact"/>
        <w:rPr>
          <w:w w:val="100"/>
          <w:kern w:val="0"/>
          <w:rtl/>
          <w:lang w:val="fr-FR"/>
        </w:rPr>
      </w:pPr>
      <w:r w:rsidRPr="00307AAE">
        <w:rPr>
          <w:w w:val="100"/>
          <w:kern w:val="0"/>
          <w:rtl/>
          <w:lang w:val="fr-FR"/>
        </w:rPr>
        <w:t>91-</w:t>
      </w:r>
      <w:r w:rsidRPr="00307AAE">
        <w:rPr>
          <w:w w:val="100"/>
          <w:kern w:val="0"/>
          <w:rtl/>
          <w:lang w:val="fr-FR"/>
        </w:rPr>
        <w:tab/>
        <w:t>إن ولاية وكيل شؤون السجون تخول له القيام بزيارات دورية إلى جميع المؤسسات السجنية التي يوجد بها المحتجزون المدانون بأحكام صادرة عن محاكم وطنية أو اتحادية. ويجوز له، بحكم منصبه أو بطلب من طرف ما، أن يحقق في أي فعل أو تقصير من شأنه المساس بحقوق المحتجزين، ويكون ملزم</w:t>
      </w:r>
      <w:r w:rsidR="00A71B00">
        <w:rPr>
          <w:w w:val="100"/>
          <w:kern w:val="0"/>
          <w:rtl/>
          <w:lang w:val="fr-FR"/>
        </w:rPr>
        <w:t xml:space="preserve">اً </w:t>
      </w:r>
      <w:r w:rsidRPr="00307AAE">
        <w:rPr>
          <w:w w:val="100"/>
          <w:kern w:val="0"/>
          <w:rtl/>
          <w:lang w:val="fr-FR"/>
        </w:rPr>
        <w:t>بإقامة دعوى جنائية إن اقتضى الأمر ذلك. وتُترجم آراء وكيل شؤون السجون أو</w:t>
      </w:r>
      <w:r w:rsidR="004C4B32">
        <w:rPr>
          <w:rFonts w:hint="cs"/>
          <w:w w:val="100"/>
          <w:kern w:val="0"/>
          <w:rtl/>
          <w:lang w:val="fr-FR"/>
        </w:rPr>
        <w:t> </w:t>
      </w:r>
      <w:r w:rsidRPr="00307AAE">
        <w:rPr>
          <w:w w:val="100"/>
          <w:kern w:val="0"/>
          <w:rtl/>
          <w:lang w:val="fr-FR"/>
        </w:rPr>
        <w:t>وجهات نظره إلى توصيات موجهة إلى وزارة العدل، التي تقع عليها مسؤولية مراقبة ورصد نظام السجون الوطني والاتحادي، يُفَعلها صاحب هذه الحقيبة الوزارية من خلال الموافقة عليها بقرارات.</w:t>
      </w:r>
    </w:p>
    <w:p w:rsidR="00CC0F13" w:rsidRPr="00307AAE" w:rsidRDefault="00CC0F13" w:rsidP="00F933F5">
      <w:pPr>
        <w:pStyle w:val="SingleTxt"/>
        <w:spacing w:line="390" w:lineRule="exact"/>
        <w:rPr>
          <w:w w:val="100"/>
          <w:kern w:val="0"/>
          <w:rtl/>
          <w:lang w:val="fr-FR"/>
        </w:rPr>
      </w:pPr>
      <w:r w:rsidRPr="00307AAE">
        <w:rPr>
          <w:w w:val="100"/>
          <w:kern w:val="0"/>
          <w:rtl/>
          <w:lang w:val="fr-FR"/>
        </w:rPr>
        <w:t>92-</w:t>
      </w:r>
      <w:r w:rsidRPr="00307AAE">
        <w:rPr>
          <w:w w:val="100"/>
          <w:kern w:val="0"/>
          <w:rtl/>
          <w:lang w:val="fr-FR"/>
        </w:rPr>
        <w:tab/>
        <w:t>وفضل</w:t>
      </w:r>
      <w:r w:rsidR="00A71B00">
        <w:rPr>
          <w:w w:val="100"/>
          <w:kern w:val="0"/>
          <w:rtl/>
          <w:lang w:val="fr-FR"/>
        </w:rPr>
        <w:t xml:space="preserve">اً </w:t>
      </w:r>
      <w:r w:rsidRPr="00307AAE">
        <w:rPr>
          <w:w w:val="100"/>
          <w:kern w:val="0"/>
          <w:rtl/>
          <w:lang w:val="fr-FR"/>
        </w:rPr>
        <w:t>عن ذلك، لدى أمانة حقوق الإنسان أمانة فرعية لحماية حقوق الإنسان وأمانة فرعية لتعزيز حقوق الإنسان.</w:t>
      </w:r>
    </w:p>
    <w:p w:rsidR="008B4809" w:rsidRPr="008B4809" w:rsidRDefault="008B4809" w:rsidP="008B480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8B4809" w:rsidP="008B480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الأمانة الفرعية لحماية حقوق الإنسان</w:t>
      </w:r>
    </w:p>
    <w:p w:rsidR="00CC0F13" w:rsidRPr="00307AAE" w:rsidRDefault="00CC0F13" w:rsidP="00F933F5">
      <w:pPr>
        <w:pStyle w:val="SingleTxt"/>
        <w:spacing w:line="390" w:lineRule="exact"/>
        <w:rPr>
          <w:w w:val="100"/>
          <w:kern w:val="0"/>
          <w:rtl/>
          <w:lang w:val="fr-FR"/>
        </w:rPr>
      </w:pPr>
      <w:r w:rsidRPr="00307AAE">
        <w:rPr>
          <w:w w:val="100"/>
          <w:kern w:val="0"/>
          <w:rtl/>
          <w:lang w:val="fr-FR"/>
        </w:rPr>
        <w:t>93-</w:t>
      </w:r>
      <w:r w:rsidRPr="00307AAE">
        <w:rPr>
          <w:w w:val="100"/>
          <w:kern w:val="0"/>
          <w:rtl/>
          <w:lang w:val="fr-FR"/>
        </w:rPr>
        <w:tab/>
        <w:t>تضطلع هذه الأمانة الفرعية بما يلي:</w:t>
      </w:r>
    </w:p>
    <w:p w:rsidR="00CC0F13" w:rsidRPr="004C4B32" w:rsidRDefault="00CC0F13" w:rsidP="00F933F5">
      <w:pPr>
        <w:pStyle w:val="SingleTxt"/>
        <w:numPr>
          <w:ilvl w:val="0"/>
          <w:numId w:val="36"/>
        </w:numPr>
        <w:tabs>
          <w:tab w:val="clear" w:pos="1930"/>
        </w:tabs>
        <w:spacing w:after="100" w:line="390" w:lineRule="exact"/>
        <w:ind w:left="1979" w:hanging="357"/>
        <w:rPr>
          <w:w w:val="100"/>
          <w:rtl/>
          <w:lang w:val="fr-FR"/>
        </w:rPr>
      </w:pPr>
      <w:r w:rsidRPr="004C4B32">
        <w:rPr>
          <w:w w:val="100"/>
          <w:rtl/>
          <w:lang w:val="fr-FR"/>
        </w:rPr>
        <w:t>إعداد خطط وبرامج خاصة في مجال حماية حقوق الإنسان الفردية والجماعية، والإشراف على تنفيذها</w:t>
      </w:r>
      <w:r w:rsidR="004C4B32">
        <w:rPr>
          <w:rFonts w:hint="cs"/>
          <w:w w:val="100"/>
          <w:rtl/>
          <w:lang w:val="fr-FR"/>
        </w:rPr>
        <w:t>؛</w:t>
      </w:r>
    </w:p>
    <w:p w:rsidR="00CC0F13" w:rsidRPr="004C4B32" w:rsidRDefault="00CC0F13" w:rsidP="00F933F5">
      <w:pPr>
        <w:pStyle w:val="SingleTxt"/>
        <w:numPr>
          <w:ilvl w:val="0"/>
          <w:numId w:val="36"/>
        </w:numPr>
        <w:tabs>
          <w:tab w:val="clear" w:pos="1930"/>
        </w:tabs>
        <w:spacing w:after="100" w:line="390" w:lineRule="exact"/>
        <w:ind w:left="1979" w:hanging="357"/>
        <w:rPr>
          <w:spacing w:val="-2"/>
          <w:w w:val="100"/>
          <w:rtl/>
          <w:lang w:val="fr-FR"/>
        </w:rPr>
      </w:pPr>
      <w:r w:rsidRPr="004C4B32">
        <w:rPr>
          <w:spacing w:val="-2"/>
          <w:w w:val="100"/>
          <w:rtl/>
          <w:lang w:val="fr-FR"/>
        </w:rPr>
        <w:t xml:space="preserve">المشاركة في عمليات جمع وتحديث وحفظ ورقمنة المحفوظات والمعلومات المتعلقة بانتهاكات حقوق الإنسان بسبب إرهاب الدولة والإشراف على التنفيذ الفعلي لجميع قوانين </w:t>
      </w:r>
      <w:r w:rsidR="004C4B32">
        <w:rPr>
          <w:spacing w:val="-2"/>
          <w:w w:val="100"/>
          <w:rtl/>
          <w:lang w:val="fr-FR"/>
        </w:rPr>
        <w:t>جبر الضرر من قبل دولة الأرجنتين</w:t>
      </w:r>
      <w:r w:rsidR="004C4B32">
        <w:rPr>
          <w:rFonts w:hint="cs"/>
          <w:spacing w:val="-2"/>
          <w:w w:val="100"/>
          <w:rtl/>
          <w:lang w:val="fr-FR"/>
        </w:rPr>
        <w:t>؛</w:t>
      </w:r>
    </w:p>
    <w:p w:rsidR="00CC0F13" w:rsidRPr="004C4B32" w:rsidRDefault="00CC0F13" w:rsidP="00F933F5">
      <w:pPr>
        <w:pStyle w:val="SingleTxt"/>
        <w:numPr>
          <w:ilvl w:val="0"/>
          <w:numId w:val="36"/>
        </w:numPr>
        <w:tabs>
          <w:tab w:val="clear" w:pos="1930"/>
        </w:tabs>
        <w:spacing w:line="390" w:lineRule="exact"/>
        <w:rPr>
          <w:w w:val="100"/>
          <w:rtl/>
          <w:lang w:val="fr-FR"/>
        </w:rPr>
      </w:pPr>
      <w:r w:rsidRPr="004C4B32">
        <w:rPr>
          <w:w w:val="100"/>
          <w:rtl/>
          <w:lang w:val="fr-FR"/>
        </w:rPr>
        <w:t xml:space="preserve">المشاركة في أنشطة المراقبة النشطة للقضايا والحالات المتعلقة بحقوق الإنسان ومتابعتها </w:t>
      </w:r>
      <w:r w:rsidRPr="004C4B32">
        <w:rPr>
          <w:spacing w:val="-4"/>
          <w:w w:val="100"/>
          <w:rtl/>
          <w:lang w:val="fr-FR"/>
        </w:rPr>
        <w:t>والإبلاغ عنها على الصعيدين الوطني والدولي، و</w:t>
      </w:r>
      <w:r w:rsidR="00307AAE" w:rsidRPr="004C4B32">
        <w:rPr>
          <w:spacing w:val="-4"/>
          <w:w w:val="100"/>
          <w:rtl/>
          <w:lang w:val="fr-FR"/>
        </w:rPr>
        <w:t>لا سيما</w:t>
      </w:r>
      <w:r w:rsidRPr="004C4B32">
        <w:rPr>
          <w:spacing w:val="-4"/>
          <w:w w:val="100"/>
          <w:rtl/>
          <w:lang w:val="fr-FR"/>
        </w:rPr>
        <w:t xml:space="preserve"> أمام منظمة الأمم المتحدة، ومنظمة</w:t>
      </w:r>
      <w:r w:rsidRPr="004C4B32">
        <w:rPr>
          <w:w w:val="100"/>
          <w:rtl/>
          <w:lang w:val="fr-FR"/>
        </w:rPr>
        <w:t xml:space="preserve"> الدول الأم</w:t>
      </w:r>
      <w:r w:rsidR="004C4B32">
        <w:rPr>
          <w:w w:val="100"/>
          <w:rtl/>
          <w:lang w:val="fr-FR"/>
        </w:rPr>
        <w:t>ريكية والسوق الجنوبية المشتركة.</w:t>
      </w:r>
    </w:p>
    <w:p w:rsidR="00CC0F13" w:rsidRPr="00307AAE" w:rsidRDefault="00CC0F13" w:rsidP="00F933F5">
      <w:pPr>
        <w:pStyle w:val="SingleTxt"/>
        <w:spacing w:line="390" w:lineRule="exact"/>
        <w:rPr>
          <w:w w:val="100"/>
          <w:kern w:val="0"/>
          <w:rtl/>
          <w:lang w:val="fr-FR"/>
        </w:rPr>
      </w:pPr>
      <w:r w:rsidRPr="00307AAE">
        <w:rPr>
          <w:w w:val="100"/>
          <w:kern w:val="0"/>
          <w:rtl/>
          <w:lang w:val="fr-FR"/>
        </w:rPr>
        <w:t>94-</w:t>
      </w:r>
      <w:r w:rsidRPr="00307AAE">
        <w:rPr>
          <w:w w:val="100"/>
          <w:kern w:val="0"/>
          <w:rtl/>
          <w:lang w:val="fr-FR"/>
        </w:rPr>
        <w:tab/>
        <w:t>وفيما يلي بعض الوحدات التابعة لأمانة حقوق الإنسان:</w:t>
      </w:r>
    </w:p>
    <w:p w:rsidR="00F933F5" w:rsidRPr="00F933F5" w:rsidRDefault="00F933F5" w:rsidP="00F933F5">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4C4B32" w:rsidRDefault="004C4B32" w:rsidP="00F933F5">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line="390" w:lineRule="exact"/>
        <w:ind w:left="1267" w:right="1267" w:hanging="1267"/>
        <w:rPr>
          <w:w w:val="100"/>
          <w:rtl/>
          <w:lang w:val="fr-FR"/>
        </w:rPr>
      </w:pPr>
      <w:r w:rsidRPr="004C4B32">
        <w:rPr>
          <w:rFonts w:hint="cs"/>
          <w:w w:val="100"/>
          <w:rtl/>
          <w:lang w:val="fr-FR"/>
        </w:rPr>
        <w:tab/>
      </w:r>
      <w:r w:rsidR="00CC0F13" w:rsidRPr="004C4B32">
        <w:rPr>
          <w:w w:val="100"/>
          <w:rtl/>
          <w:lang w:val="fr-FR"/>
        </w:rPr>
        <w:t>(أ)</w:t>
      </w:r>
      <w:r w:rsidRPr="004C4B32">
        <w:rPr>
          <w:rFonts w:hint="cs"/>
          <w:w w:val="100"/>
          <w:rtl/>
          <w:lang w:val="fr-FR"/>
        </w:rPr>
        <w:tab/>
      </w:r>
      <w:r w:rsidR="00CC0F13" w:rsidRPr="004C4B32">
        <w:rPr>
          <w:w w:val="100"/>
          <w:rtl/>
          <w:lang w:val="fr-FR"/>
        </w:rPr>
        <w:t>المديرية الوطنية للشؤون القانونية المتعلقة بحقوق الإنسان</w:t>
      </w:r>
    </w:p>
    <w:p w:rsidR="00CC0F13" w:rsidRPr="00307AAE" w:rsidRDefault="00CC0F13" w:rsidP="00F933F5">
      <w:pPr>
        <w:pStyle w:val="SingleTxt"/>
        <w:spacing w:line="390" w:lineRule="exact"/>
        <w:rPr>
          <w:w w:val="100"/>
          <w:kern w:val="0"/>
          <w:rtl/>
          <w:lang w:val="fr-FR"/>
        </w:rPr>
      </w:pPr>
      <w:r w:rsidRPr="00307AAE">
        <w:rPr>
          <w:w w:val="100"/>
          <w:kern w:val="0"/>
          <w:rtl/>
          <w:lang w:val="fr-FR"/>
        </w:rPr>
        <w:t>95-</w:t>
      </w:r>
      <w:r w:rsidRPr="00307AAE">
        <w:rPr>
          <w:w w:val="100"/>
          <w:kern w:val="0"/>
          <w:rtl/>
          <w:lang w:val="fr-FR"/>
        </w:rPr>
        <w:tab/>
        <w:t>ومهامها هي:</w:t>
      </w:r>
    </w:p>
    <w:p w:rsidR="00CC0F13" w:rsidRPr="00F933F5" w:rsidRDefault="00CC0F13" w:rsidP="00F933F5">
      <w:pPr>
        <w:pStyle w:val="SingleTxt"/>
        <w:spacing w:line="390" w:lineRule="exact"/>
        <w:rPr>
          <w:w w:val="100"/>
          <w:kern w:val="0"/>
          <w:rtl/>
          <w:lang w:val="fr-FR"/>
        </w:rPr>
      </w:pPr>
      <w:r w:rsidRPr="00F933F5">
        <w:rPr>
          <w:spacing w:val="-4"/>
          <w:w w:val="100"/>
          <w:kern w:val="0"/>
          <w:rtl/>
          <w:lang w:val="fr-FR"/>
        </w:rPr>
        <w:tab/>
        <w:t>(أ)</w:t>
      </w:r>
      <w:r w:rsidR="00F933F5" w:rsidRPr="00F933F5">
        <w:rPr>
          <w:rFonts w:hint="cs"/>
          <w:spacing w:val="-4"/>
          <w:w w:val="100"/>
          <w:kern w:val="0"/>
          <w:rtl/>
          <w:lang w:val="fr-FR"/>
        </w:rPr>
        <w:tab/>
      </w:r>
      <w:r w:rsidRPr="00F933F5">
        <w:rPr>
          <w:spacing w:val="-4"/>
          <w:w w:val="100"/>
          <w:kern w:val="0"/>
          <w:rtl/>
          <w:lang w:val="fr-FR"/>
        </w:rPr>
        <w:t>إسداء المشورة بشأن تنفيذ المعايير القانونية وإبداء الرأي فيما يخص الشؤون القانونية المتعلقة بمهام أمانة حقوق الإنسان؛</w:t>
      </w:r>
    </w:p>
    <w:p w:rsidR="00CC0F13" w:rsidRPr="00F933F5" w:rsidRDefault="00CC0F13" w:rsidP="00F933F5">
      <w:pPr>
        <w:pStyle w:val="SingleTxt"/>
        <w:rPr>
          <w:spacing w:val="-4"/>
          <w:w w:val="100"/>
          <w:kern w:val="0"/>
          <w:rtl/>
          <w:lang w:val="fr-FR"/>
        </w:rPr>
      </w:pPr>
      <w:r w:rsidRPr="00F933F5">
        <w:rPr>
          <w:spacing w:val="-4"/>
          <w:w w:val="100"/>
          <w:kern w:val="0"/>
          <w:rtl/>
          <w:lang w:val="fr-FR"/>
        </w:rPr>
        <w:tab/>
        <w:t>(ب)</w:t>
      </w:r>
      <w:r w:rsidR="00F933F5">
        <w:rPr>
          <w:rFonts w:hint="cs"/>
          <w:spacing w:val="-4"/>
          <w:w w:val="100"/>
          <w:kern w:val="0"/>
          <w:rtl/>
          <w:lang w:val="fr-FR"/>
        </w:rPr>
        <w:tab/>
      </w:r>
      <w:r w:rsidRPr="00F933F5">
        <w:rPr>
          <w:spacing w:val="-4"/>
          <w:w w:val="100"/>
          <w:kern w:val="0"/>
          <w:rtl/>
          <w:lang w:val="fr-FR"/>
        </w:rPr>
        <w:t>ممارسة دور المدافع، والمدعي، والمتضرر، والمراقب، وصديق المحكمة و/أو أي شكل آخر من أشكال المشاركة المناسبة في الإجراءات القضائية، حسب المعايير الرسمية للهيئة القضائية المختصة، وذلك في جميع الحالات التي قد تقع فيها انتهاكات خطيرة لحقوق الإنسان، تشكل ظاهري</w:t>
      </w:r>
      <w:r w:rsidR="00A71B00">
        <w:rPr>
          <w:spacing w:val="-4"/>
          <w:w w:val="100"/>
          <w:kern w:val="0"/>
          <w:rtl/>
          <w:lang w:val="fr-FR"/>
        </w:rPr>
        <w:t xml:space="preserve">اً </w:t>
      </w:r>
      <w:r w:rsidRPr="00F933F5">
        <w:rPr>
          <w:spacing w:val="-4"/>
          <w:w w:val="100"/>
          <w:kern w:val="0"/>
          <w:rtl/>
          <w:lang w:val="fr-FR"/>
        </w:rPr>
        <w:t>جرائم ضد الإنسانية وتنطوي على انتهاكات لحقوق الإنسان قد تحدث اضطراب</w:t>
      </w:r>
      <w:r w:rsidR="00A71B00">
        <w:rPr>
          <w:spacing w:val="-4"/>
          <w:w w:val="100"/>
          <w:kern w:val="0"/>
          <w:rtl/>
          <w:lang w:val="fr-FR"/>
        </w:rPr>
        <w:t xml:space="preserve">اً </w:t>
      </w:r>
      <w:r w:rsidRPr="00F933F5">
        <w:rPr>
          <w:spacing w:val="-4"/>
          <w:w w:val="100"/>
          <w:kern w:val="0"/>
          <w:rtl/>
          <w:lang w:val="fr-FR"/>
        </w:rPr>
        <w:t>و/أو فزع</w:t>
      </w:r>
      <w:r w:rsidR="00A71B00">
        <w:rPr>
          <w:spacing w:val="-4"/>
          <w:w w:val="100"/>
          <w:kern w:val="0"/>
          <w:rtl/>
          <w:lang w:val="fr-FR"/>
        </w:rPr>
        <w:t xml:space="preserve">اً </w:t>
      </w:r>
      <w:r w:rsidRPr="00F933F5">
        <w:rPr>
          <w:spacing w:val="-4"/>
          <w:w w:val="100"/>
          <w:kern w:val="0"/>
          <w:rtl/>
          <w:lang w:val="fr-FR"/>
        </w:rPr>
        <w:t>اجتماعي</w:t>
      </w:r>
      <w:r w:rsidR="00955E01">
        <w:rPr>
          <w:spacing w:val="-4"/>
          <w:w w:val="100"/>
          <w:kern w:val="0"/>
          <w:rtl/>
          <w:lang w:val="fr-FR"/>
        </w:rPr>
        <w:t>اً؛</w:t>
      </w:r>
    </w:p>
    <w:p w:rsidR="00CC0F13" w:rsidRPr="00307AAE" w:rsidRDefault="00CC0F13" w:rsidP="00F933F5">
      <w:pPr>
        <w:pStyle w:val="SingleTxt"/>
        <w:rPr>
          <w:w w:val="100"/>
          <w:kern w:val="0"/>
          <w:rtl/>
          <w:lang w:val="fr-FR"/>
        </w:rPr>
      </w:pPr>
      <w:r w:rsidRPr="00307AAE">
        <w:rPr>
          <w:w w:val="100"/>
          <w:kern w:val="0"/>
          <w:rtl/>
          <w:lang w:val="fr-FR"/>
        </w:rPr>
        <w:tab/>
        <w:t>(ج)</w:t>
      </w:r>
      <w:r w:rsidR="00F933F5">
        <w:rPr>
          <w:rFonts w:hint="cs"/>
          <w:w w:val="100"/>
          <w:kern w:val="0"/>
          <w:rtl/>
          <w:lang w:val="fr-FR"/>
        </w:rPr>
        <w:tab/>
      </w:r>
      <w:r w:rsidRPr="00307AAE">
        <w:rPr>
          <w:w w:val="100"/>
          <w:kern w:val="0"/>
          <w:rtl/>
          <w:lang w:val="fr-FR"/>
        </w:rPr>
        <w:t>تنفيذ الإجراءات المتعلقة بالشؤون ذات الطابع الإقليمي والدولي المتصلة بمسألة حقوق الإنسان التي تندرج ضمنها اختصاصات الأمانة؛</w:t>
      </w:r>
    </w:p>
    <w:p w:rsidR="00CC0F13" w:rsidRPr="00307AAE" w:rsidRDefault="00CC0F13" w:rsidP="00F933F5">
      <w:pPr>
        <w:pStyle w:val="SingleTxt"/>
        <w:rPr>
          <w:w w:val="100"/>
          <w:kern w:val="0"/>
          <w:rtl/>
          <w:lang w:val="fr-FR"/>
        </w:rPr>
      </w:pPr>
      <w:r w:rsidRPr="00307AAE">
        <w:rPr>
          <w:w w:val="100"/>
          <w:kern w:val="0"/>
          <w:rtl/>
          <w:lang w:val="fr-FR"/>
        </w:rPr>
        <w:tab/>
        <w:t>(د)</w:t>
      </w:r>
      <w:r w:rsidR="00F933F5">
        <w:rPr>
          <w:rFonts w:hint="cs"/>
          <w:w w:val="100"/>
          <w:kern w:val="0"/>
          <w:rtl/>
          <w:lang w:val="fr-FR"/>
        </w:rPr>
        <w:tab/>
      </w:r>
      <w:r w:rsidRPr="00307AAE">
        <w:rPr>
          <w:w w:val="100"/>
          <w:kern w:val="0"/>
          <w:rtl/>
          <w:lang w:val="fr-FR"/>
        </w:rPr>
        <w:t>متابعة تنفيذ المعايير والأحكام والقرارات المتعلقة بمكافحة الإفلات من العقاب وجبر الضرر الناجم عن الانتهاكات الخطيرة لحقوق الإنسان، ضمن جملة أمور أخرى.</w:t>
      </w:r>
    </w:p>
    <w:p w:rsidR="00F933F5" w:rsidRPr="00F933F5" w:rsidRDefault="00F933F5" w:rsidP="00F933F5">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F933F5" w:rsidRDefault="00F933F5" w:rsidP="00F933F5">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F933F5">
        <w:rPr>
          <w:rFonts w:hint="cs"/>
          <w:w w:val="100"/>
          <w:rtl/>
          <w:lang w:val="fr-FR"/>
        </w:rPr>
        <w:tab/>
      </w:r>
      <w:r w:rsidR="00CC0F13" w:rsidRPr="00F933F5">
        <w:rPr>
          <w:w w:val="100"/>
          <w:rtl/>
          <w:lang w:val="fr-FR"/>
        </w:rPr>
        <w:t>(ب)</w:t>
      </w:r>
      <w:r w:rsidRPr="00F933F5">
        <w:rPr>
          <w:rFonts w:hint="cs"/>
          <w:w w:val="100"/>
          <w:rtl/>
          <w:lang w:val="fr-FR"/>
        </w:rPr>
        <w:tab/>
      </w:r>
      <w:r w:rsidR="00CC0F13" w:rsidRPr="00F933F5">
        <w:rPr>
          <w:w w:val="100"/>
          <w:rtl/>
          <w:lang w:val="fr-FR"/>
        </w:rPr>
        <w:t>مديرية تدبير سياسات جبر الضرر</w:t>
      </w:r>
    </w:p>
    <w:p w:rsidR="00CC0F13" w:rsidRPr="00307AAE" w:rsidRDefault="00CC0F13" w:rsidP="00CC0F13">
      <w:pPr>
        <w:pStyle w:val="SingleTxt"/>
        <w:rPr>
          <w:w w:val="100"/>
          <w:kern w:val="0"/>
          <w:rtl/>
          <w:lang w:val="fr-FR"/>
        </w:rPr>
      </w:pPr>
      <w:r w:rsidRPr="00307AAE">
        <w:rPr>
          <w:w w:val="100"/>
          <w:kern w:val="0"/>
          <w:rtl/>
          <w:lang w:val="fr-FR"/>
        </w:rPr>
        <w:t>96-</w:t>
      </w:r>
      <w:r w:rsidRPr="00307AAE">
        <w:rPr>
          <w:w w:val="100"/>
          <w:kern w:val="0"/>
          <w:rtl/>
          <w:lang w:val="fr-FR"/>
        </w:rPr>
        <w:tab/>
        <w:t>من بين المهام التي تندرج ضمن اختصاصاتها ما يلي:</w:t>
      </w:r>
    </w:p>
    <w:p w:rsidR="00CC0F13" w:rsidRPr="00F933F5" w:rsidRDefault="00CC0F13" w:rsidP="00F933F5">
      <w:pPr>
        <w:pStyle w:val="SingleTxt"/>
        <w:rPr>
          <w:spacing w:val="-4"/>
          <w:w w:val="100"/>
          <w:kern w:val="0"/>
          <w:rtl/>
          <w:lang w:val="fr-FR"/>
        </w:rPr>
      </w:pPr>
      <w:r w:rsidRPr="00F933F5">
        <w:rPr>
          <w:spacing w:val="-4"/>
          <w:w w:val="100"/>
          <w:kern w:val="0"/>
          <w:rtl/>
          <w:lang w:val="fr-FR"/>
        </w:rPr>
        <w:tab/>
        <w:t>(أ)</w:t>
      </w:r>
      <w:r w:rsidR="00F933F5" w:rsidRPr="00F933F5">
        <w:rPr>
          <w:rFonts w:hint="cs"/>
          <w:spacing w:val="-4"/>
          <w:w w:val="100"/>
          <w:kern w:val="0"/>
          <w:rtl/>
          <w:lang w:val="fr-FR"/>
        </w:rPr>
        <w:tab/>
      </w:r>
      <w:r w:rsidRPr="00F933F5">
        <w:rPr>
          <w:spacing w:val="-4"/>
          <w:w w:val="100"/>
          <w:kern w:val="0"/>
          <w:rtl/>
          <w:lang w:val="fr-FR"/>
        </w:rPr>
        <w:t>مساعدة المدير الوطني للشؤون القانونية المتعلقة بحقوق الإنسان في تنسيق الإجراءات المتصلة بخطط وبرامج جبر الضرر الناجم عن آثار انتهاكات حقوق الإنسان التي تسببت فيها الدولة؛</w:t>
      </w:r>
    </w:p>
    <w:p w:rsidR="00CC0F13" w:rsidRPr="00307AAE" w:rsidRDefault="00CC0F13" w:rsidP="00F933F5">
      <w:pPr>
        <w:pStyle w:val="SingleTxt"/>
        <w:rPr>
          <w:w w:val="100"/>
          <w:kern w:val="0"/>
          <w:rtl/>
          <w:lang w:val="fr-FR"/>
        </w:rPr>
      </w:pPr>
      <w:r w:rsidRPr="00307AAE">
        <w:rPr>
          <w:w w:val="100"/>
          <w:kern w:val="0"/>
          <w:rtl/>
          <w:lang w:val="fr-FR"/>
        </w:rPr>
        <w:tab/>
        <w:t>(ب)</w:t>
      </w:r>
      <w:r w:rsidR="00F933F5">
        <w:rPr>
          <w:rFonts w:hint="cs"/>
          <w:w w:val="100"/>
          <w:kern w:val="0"/>
          <w:rtl/>
          <w:lang w:val="fr-FR"/>
        </w:rPr>
        <w:tab/>
      </w:r>
      <w:r w:rsidRPr="00307AAE">
        <w:rPr>
          <w:w w:val="100"/>
          <w:kern w:val="0"/>
          <w:rtl/>
          <w:lang w:val="fr-FR"/>
        </w:rPr>
        <w:t>تنفيذ قوانين جبر الضرر الوطنية، وأي قانون يمكن سنه في هذا المجال؛</w:t>
      </w:r>
    </w:p>
    <w:p w:rsidR="00CC0F13" w:rsidRPr="00307AAE" w:rsidRDefault="00CC0F13" w:rsidP="00F933F5">
      <w:pPr>
        <w:pStyle w:val="SingleTxt"/>
        <w:rPr>
          <w:w w:val="100"/>
          <w:kern w:val="0"/>
          <w:rtl/>
          <w:lang w:val="fr-FR"/>
        </w:rPr>
      </w:pPr>
      <w:r w:rsidRPr="00307AAE">
        <w:rPr>
          <w:w w:val="100"/>
          <w:kern w:val="0"/>
          <w:rtl/>
          <w:lang w:val="fr-FR"/>
        </w:rPr>
        <w:tab/>
        <w:t>(ج)</w:t>
      </w:r>
      <w:r w:rsidR="00F933F5">
        <w:rPr>
          <w:rFonts w:hint="cs"/>
          <w:w w:val="100"/>
          <w:kern w:val="0"/>
          <w:rtl/>
          <w:lang w:val="fr-FR"/>
        </w:rPr>
        <w:tab/>
      </w:r>
      <w:r w:rsidRPr="00307AAE">
        <w:rPr>
          <w:w w:val="100"/>
          <w:kern w:val="0"/>
          <w:rtl/>
          <w:lang w:val="fr-FR"/>
        </w:rPr>
        <w:t>تنفيذ البرامج والأنشطة الموضوعة وتحديد الاحتياجات الجديدة.</w:t>
      </w:r>
    </w:p>
    <w:p w:rsidR="00F933F5" w:rsidRPr="00F933F5" w:rsidRDefault="00F933F5" w:rsidP="00F933F5">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F933F5" w:rsidRDefault="00F933F5" w:rsidP="00F933F5">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F933F5">
        <w:rPr>
          <w:rFonts w:hint="cs"/>
          <w:w w:val="100"/>
          <w:rtl/>
          <w:lang w:val="fr-FR"/>
        </w:rPr>
        <w:tab/>
      </w:r>
      <w:r w:rsidR="00CC0F13" w:rsidRPr="00F933F5">
        <w:rPr>
          <w:w w:val="100"/>
          <w:rtl/>
          <w:lang w:val="fr-FR"/>
        </w:rPr>
        <w:t>(ج)</w:t>
      </w:r>
      <w:r w:rsidRPr="00F933F5">
        <w:rPr>
          <w:rFonts w:hint="cs"/>
          <w:w w:val="100"/>
          <w:rtl/>
          <w:lang w:val="fr-FR"/>
        </w:rPr>
        <w:tab/>
      </w:r>
      <w:r w:rsidR="00CC0F13" w:rsidRPr="00F933F5">
        <w:rPr>
          <w:w w:val="100"/>
          <w:rtl/>
          <w:lang w:val="fr-FR"/>
        </w:rPr>
        <w:t>المديرية الوطنية لرعاية الفئات الضعيفة</w:t>
      </w:r>
    </w:p>
    <w:p w:rsidR="00CC0F13" w:rsidRPr="00307AAE" w:rsidRDefault="00CC0F13" w:rsidP="00CC0F13">
      <w:pPr>
        <w:pStyle w:val="SingleTxt"/>
        <w:rPr>
          <w:w w:val="100"/>
          <w:kern w:val="0"/>
          <w:rtl/>
          <w:lang w:val="fr-FR"/>
        </w:rPr>
      </w:pPr>
      <w:r w:rsidRPr="00307AAE">
        <w:rPr>
          <w:w w:val="100"/>
          <w:kern w:val="0"/>
          <w:rtl/>
          <w:lang w:val="fr-FR"/>
        </w:rPr>
        <w:t>97-</w:t>
      </w:r>
      <w:r w:rsidRPr="00307AAE">
        <w:rPr>
          <w:w w:val="100"/>
          <w:kern w:val="0"/>
          <w:rtl/>
          <w:lang w:val="fr-FR"/>
        </w:rPr>
        <w:tab/>
        <w:t>تتمثل مهامها في:</w:t>
      </w:r>
    </w:p>
    <w:p w:rsidR="00CC0F13" w:rsidRPr="00307AAE" w:rsidRDefault="00CC0F13" w:rsidP="00F933F5">
      <w:pPr>
        <w:pStyle w:val="SingleTxt"/>
        <w:rPr>
          <w:w w:val="100"/>
          <w:kern w:val="0"/>
          <w:rtl/>
          <w:lang w:val="fr-FR"/>
        </w:rPr>
      </w:pPr>
      <w:r w:rsidRPr="00307AAE">
        <w:rPr>
          <w:w w:val="100"/>
          <w:kern w:val="0"/>
          <w:rtl/>
          <w:lang w:val="fr-FR"/>
        </w:rPr>
        <w:tab/>
        <w:t>(أ)</w:t>
      </w:r>
      <w:r w:rsidR="00F933F5">
        <w:rPr>
          <w:rFonts w:hint="cs"/>
          <w:w w:val="100"/>
          <w:kern w:val="0"/>
          <w:rtl/>
          <w:lang w:val="fr-FR"/>
        </w:rPr>
        <w:tab/>
      </w:r>
      <w:r w:rsidRPr="00307AAE">
        <w:rPr>
          <w:w w:val="100"/>
          <w:kern w:val="0"/>
          <w:rtl/>
          <w:lang w:val="fr-FR"/>
        </w:rPr>
        <w:t>كفالة التنفيذ الفعلي للمعايير الوطنية والدولية التي تكفل حقوق الإنسان والحريات الأساسية، مع مراعاة وضع الفئات الضعيفة، بمن فيهم المعوزون والمهاجرون والأطفال وطالبو اللجوء والأشخاص ذوو الإعاقة، والمسنون والشعوب الأصلية والأقليات الجنسية؛</w:t>
      </w:r>
    </w:p>
    <w:p w:rsidR="00CC0F13" w:rsidRPr="00F933F5" w:rsidRDefault="00CC0F13" w:rsidP="00F933F5">
      <w:pPr>
        <w:pStyle w:val="SingleTxt"/>
        <w:rPr>
          <w:spacing w:val="-2"/>
          <w:w w:val="100"/>
          <w:kern w:val="0"/>
          <w:rtl/>
          <w:lang w:val="fr-FR"/>
        </w:rPr>
      </w:pPr>
      <w:r w:rsidRPr="00F933F5">
        <w:rPr>
          <w:spacing w:val="-2"/>
          <w:w w:val="100"/>
          <w:kern w:val="0"/>
          <w:rtl/>
          <w:lang w:val="fr-FR"/>
        </w:rPr>
        <w:tab/>
        <w:t>(ب)</w:t>
      </w:r>
      <w:r w:rsidR="00F933F5" w:rsidRPr="00F933F5">
        <w:rPr>
          <w:rFonts w:hint="cs"/>
          <w:spacing w:val="-2"/>
          <w:w w:val="100"/>
          <w:kern w:val="0"/>
          <w:rtl/>
          <w:lang w:val="fr-FR"/>
        </w:rPr>
        <w:tab/>
      </w:r>
      <w:r w:rsidRPr="00F933F5">
        <w:rPr>
          <w:spacing w:val="-2"/>
          <w:w w:val="100"/>
          <w:kern w:val="0"/>
          <w:rtl/>
          <w:lang w:val="fr-FR"/>
        </w:rPr>
        <w:t>تلقي الشكاوى المتعلقة بانتهاكات حقوق الإنسان ووضع آلية للإجراءات العاجلة ومتابعة تنفيذها لحمايتها على أفضل وجه؛</w:t>
      </w:r>
    </w:p>
    <w:p w:rsidR="00CC0F13" w:rsidRPr="00307AAE" w:rsidRDefault="00CC0F13" w:rsidP="00F933F5">
      <w:pPr>
        <w:pStyle w:val="SingleTxt"/>
        <w:rPr>
          <w:w w:val="100"/>
          <w:kern w:val="0"/>
          <w:rtl/>
          <w:lang w:val="fr-FR"/>
        </w:rPr>
      </w:pPr>
      <w:r w:rsidRPr="00307AAE">
        <w:rPr>
          <w:w w:val="100"/>
          <w:kern w:val="0"/>
          <w:rtl/>
          <w:lang w:val="fr-FR"/>
        </w:rPr>
        <w:tab/>
        <w:t>(ج)</w:t>
      </w:r>
      <w:r w:rsidR="00F933F5">
        <w:rPr>
          <w:rFonts w:hint="cs"/>
          <w:w w:val="100"/>
          <w:kern w:val="0"/>
          <w:rtl/>
          <w:lang w:val="fr-FR"/>
        </w:rPr>
        <w:tab/>
      </w:r>
      <w:r w:rsidRPr="00307AAE">
        <w:rPr>
          <w:w w:val="100"/>
          <w:kern w:val="0"/>
          <w:rtl/>
          <w:lang w:val="fr-FR"/>
        </w:rPr>
        <w:t>مساعدة أمين حقوق الإنسان في إعداد برامج لتعزيز وحماية حقوق الأشخاص ذوي الإعاقة وأخرى مماثلة موجهة إلى الأشخاص المصابين بفيروس نقص المناعة البشرية/الإيدز وإلى الفئات الضعيفة الأخرى، على أساس مبدأ عدم التمييز؛</w:t>
      </w:r>
    </w:p>
    <w:p w:rsidR="00CC0F13" w:rsidRPr="00F933F5" w:rsidRDefault="00CC0F13" w:rsidP="00F933F5">
      <w:pPr>
        <w:pStyle w:val="SingleTxt"/>
        <w:rPr>
          <w:spacing w:val="-2"/>
          <w:w w:val="100"/>
          <w:kern w:val="0"/>
          <w:rtl/>
          <w:lang w:val="fr-FR"/>
        </w:rPr>
      </w:pPr>
      <w:r w:rsidRPr="00F933F5">
        <w:rPr>
          <w:spacing w:val="-2"/>
          <w:w w:val="100"/>
          <w:kern w:val="0"/>
          <w:rtl/>
          <w:lang w:val="fr-FR"/>
        </w:rPr>
        <w:tab/>
        <w:t>(د)</w:t>
      </w:r>
      <w:r w:rsidR="00F933F5" w:rsidRPr="00F933F5">
        <w:rPr>
          <w:rFonts w:hint="cs"/>
          <w:spacing w:val="-2"/>
          <w:w w:val="100"/>
          <w:kern w:val="0"/>
          <w:rtl/>
          <w:lang w:val="fr-FR"/>
        </w:rPr>
        <w:tab/>
      </w:r>
      <w:r w:rsidRPr="00F933F5">
        <w:rPr>
          <w:spacing w:val="-2"/>
          <w:w w:val="100"/>
          <w:kern w:val="0"/>
          <w:rtl/>
          <w:lang w:val="fr-FR"/>
        </w:rPr>
        <w:t>وضع إجراءات المراقبة النشطة للمشاكل المتعلقة بانتهاك حقوق الإنسان، بالتنسيق مع الهيئات الحكومية والشبكات الاجتماعية، وذلك بحكم المنصب أو بطلب من طرف ما.</w:t>
      </w:r>
    </w:p>
    <w:p w:rsidR="00CC0F13" w:rsidRPr="00F933F5" w:rsidRDefault="00F933F5" w:rsidP="00F933F5">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sidR="00CC0F13" w:rsidRPr="00F933F5">
        <w:rPr>
          <w:w w:val="100"/>
          <w:rtl/>
          <w:lang w:val="fr-FR"/>
        </w:rPr>
        <w:t>(د)</w:t>
      </w:r>
      <w:r w:rsidRPr="00F933F5">
        <w:rPr>
          <w:rFonts w:hint="cs"/>
          <w:w w:val="100"/>
          <w:rtl/>
          <w:lang w:val="fr-FR"/>
        </w:rPr>
        <w:tab/>
      </w:r>
      <w:r w:rsidR="00CC0F13" w:rsidRPr="00F933F5">
        <w:rPr>
          <w:w w:val="100"/>
          <w:rtl/>
          <w:lang w:val="fr-FR"/>
        </w:rPr>
        <w:t>إدارة مركز مساعدة ضحايا انتهاكات حقوق الإنسان "الدكتور فيرناندو أويوا"</w:t>
      </w:r>
    </w:p>
    <w:p w:rsidR="00CC0F13" w:rsidRPr="00F933F5" w:rsidRDefault="00CC0F13" w:rsidP="00F933F5">
      <w:pPr>
        <w:pStyle w:val="SingleTxt"/>
        <w:spacing w:line="390" w:lineRule="exact"/>
        <w:rPr>
          <w:spacing w:val="-3"/>
          <w:w w:val="100"/>
          <w:kern w:val="0"/>
          <w:rtl/>
          <w:lang w:val="fr-FR"/>
        </w:rPr>
      </w:pPr>
      <w:r w:rsidRPr="00F933F5">
        <w:rPr>
          <w:spacing w:val="-3"/>
          <w:w w:val="100"/>
          <w:kern w:val="0"/>
          <w:rtl/>
          <w:lang w:val="fr-FR"/>
        </w:rPr>
        <w:t>98-</w:t>
      </w:r>
      <w:r w:rsidRPr="00F933F5">
        <w:rPr>
          <w:spacing w:val="-3"/>
          <w:w w:val="100"/>
          <w:kern w:val="0"/>
          <w:rtl/>
          <w:lang w:val="fr-FR"/>
        </w:rPr>
        <w:tab/>
        <w:t>يدير هذا المركز أعمال المساعدة الشاملة لضحايا إرهاب الدولة وضحايا سوء استعمال السلطة الذين عانوا صدمات نفسية خطيرة من شأنها الإضرار بحقوقهم الأساسية، و/أو بذويهم، ويُقصد بذلك تقديم الدعم النفسي، والتوجيه والإرشاد للمتضررين و/أو لذويهم حسب الاحتياجات التي يجري تحديدها. وينسق إجراءات مساعدة الضحايا والشهود والمدعين الذين يتعين عليهم المثول أمام المحاكم، وبخاصة المحاكمات المتصلة بالتحقيق في الجرائم ضد الإنسانية، ويقدم المركز من أجل ذلك المساعدة والدعم النفسي خلال جلسات الاستماع في الحالات التي تقتضي ذلك.</w:t>
      </w:r>
    </w:p>
    <w:p w:rsidR="00CC0F13" w:rsidRPr="00F933F5" w:rsidRDefault="00F933F5" w:rsidP="00F933F5">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sidR="00CC0F13" w:rsidRPr="00F933F5">
        <w:rPr>
          <w:w w:val="100"/>
          <w:rtl/>
          <w:lang w:val="fr-FR"/>
        </w:rPr>
        <w:t>(ه)</w:t>
      </w:r>
      <w:r w:rsidRPr="00F933F5">
        <w:rPr>
          <w:rFonts w:hint="cs"/>
          <w:w w:val="100"/>
          <w:rtl/>
          <w:lang w:val="fr-FR"/>
        </w:rPr>
        <w:tab/>
      </w:r>
      <w:r w:rsidR="00CC0F13" w:rsidRPr="00F933F5">
        <w:rPr>
          <w:w w:val="100"/>
          <w:rtl/>
          <w:lang w:val="fr-FR"/>
        </w:rPr>
        <w:t>المجلس الاتحادي لحقوق الإنسان</w:t>
      </w:r>
    </w:p>
    <w:p w:rsidR="00CC0F13" w:rsidRPr="00307AAE" w:rsidRDefault="00CC0F13" w:rsidP="00F933F5">
      <w:pPr>
        <w:pStyle w:val="SingleTxt"/>
        <w:spacing w:line="390" w:lineRule="exact"/>
        <w:rPr>
          <w:w w:val="100"/>
          <w:kern w:val="0"/>
          <w:rtl/>
          <w:lang w:val="fr-FR"/>
        </w:rPr>
      </w:pPr>
      <w:r w:rsidRPr="00307AAE">
        <w:rPr>
          <w:w w:val="100"/>
          <w:kern w:val="0"/>
          <w:rtl/>
          <w:lang w:val="fr-FR"/>
        </w:rPr>
        <w:t>99-</w:t>
      </w:r>
      <w:r w:rsidRPr="00307AAE">
        <w:rPr>
          <w:w w:val="100"/>
          <w:kern w:val="0"/>
          <w:rtl/>
          <w:lang w:val="fr-FR"/>
        </w:rPr>
        <w:tab/>
        <w:t>يناقش المجلس، الذي يتألف منذ عام 2003 من السلطات العليا لحقوق الإنسان على صعيد الدولة والمحافظات ومدينة بوينس آيرس، المبادرات وينسق مختلف المواضيع المتعلقة بحماية وتعزيز حقوق الإنسان، بغرض تنسيق السياسات العامة في مجال حقوق الإنسان مع حكومات المحافظات، على صعيد الدولة والمحافظات والبلديات، من خلال تعزيز التعاون الأفقي بين مختلف الولايات القضائية.</w:t>
      </w:r>
    </w:p>
    <w:p w:rsidR="00F933F5" w:rsidRPr="00F933F5"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Pr>
          <w:w w:val="100"/>
          <w:rtl/>
          <w:lang w:val="fr-FR"/>
        </w:rPr>
        <w:t>البرامج</w:t>
      </w:r>
    </w:p>
    <w:p w:rsidR="00CC0F13" w:rsidRPr="00307AAE" w:rsidRDefault="00CC0F13" w:rsidP="00F933F5">
      <w:pPr>
        <w:pStyle w:val="SingleTxt"/>
        <w:spacing w:line="390" w:lineRule="exact"/>
        <w:rPr>
          <w:w w:val="100"/>
          <w:kern w:val="0"/>
          <w:rtl/>
          <w:lang w:val="fr-FR"/>
        </w:rPr>
      </w:pPr>
      <w:r w:rsidRPr="00307AAE">
        <w:rPr>
          <w:w w:val="100"/>
          <w:kern w:val="0"/>
          <w:rtl/>
          <w:lang w:val="fr-FR"/>
        </w:rPr>
        <w:t>100-</w:t>
      </w:r>
      <w:r w:rsidRPr="00307AAE">
        <w:rPr>
          <w:w w:val="100"/>
          <w:kern w:val="0"/>
          <w:rtl/>
          <w:lang w:val="fr-FR"/>
        </w:rPr>
        <w:tab/>
        <w:t>توجد داخل وزارة العدل وحقوق الإنسان برامج شتى تعمل من أجل حماية حقوق الإنسان. وبالإضافة إلى ذلك، تجدر الإشارة إلى أن مختلف وزارات الحكومة الوطنية لديها أقسام تهتم بتعزيز وحماية حقوق الإنسان في نطاق اختصاصاتها الوزارية على وجه التحديد. ويمكن الإشارة على سبيل المثال إلى مديرية حقوق الإنسان والقانون الدولي الإنساني التابعة لوزارة الدفاع، ومديرية الشؤون الدولية التابعة لوزارة العمل، والأمانة الوطنية لشؤون الطفل والمراهق والأسرة، والأمانة الفرعية للسياسات الغذائية التابعة لوزارة التنمية الاجتماعية، ومديرية حقوق الإنسان التابعة لوزارة الشؤون الخارجية والدينية، إلى جانب أقسام أخرى.</w:t>
      </w:r>
    </w:p>
    <w:p w:rsidR="00F933F5" w:rsidRPr="00F933F5"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برنامج "الضحايا ضد أعمال العنف"</w:t>
      </w:r>
    </w:p>
    <w:p w:rsidR="00CC0F13" w:rsidRPr="00307AAE" w:rsidRDefault="00CC0F13" w:rsidP="00145307">
      <w:pPr>
        <w:pStyle w:val="SingleTxt"/>
        <w:spacing w:line="390" w:lineRule="exact"/>
        <w:rPr>
          <w:w w:val="100"/>
          <w:kern w:val="0"/>
          <w:rtl/>
          <w:lang w:val="fr-FR"/>
        </w:rPr>
      </w:pPr>
      <w:r w:rsidRPr="00307AAE">
        <w:rPr>
          <w:w w:val="100"/>
          <w:kern w:val="0"/>
          <w:rtl/>
          <w:lang w:val="fr-FR"/>
        </w:rPr>
        <w:t>101-</w:t>
      </w:r>
      <w:r w:rsidRPr="00307AAE">
        <w:rPr>
          <w:w w:val="100"/>
          <w:kern w:val="0"/>
          <w:rtl/>
          <w:lang w:val="fr-FR"/>
        </w:rPr>
        <w:tab/>
        <w:t xml:space="preserve">يقدم هذا البرنامج الرعاية لضحايا الاعتداءات وغيرها من ضروب المعاملة السيئة الناتجة عن ممارسة العنف </w:t>
      </w:r>
      <w:r w:rsidR="00A71B00">
        <w:rPr>
          <w:rFonts w:hint="cs"/>
          <w:w w:val="100"/>
          <w:kern w:val="0"/>
          <w:rtl/>
          <w:lang w:val="fr-FR"/>
        </w:rPr>
        <w:t>أيّاً</w:t>
      </w:r>
      <w:r w:rsidRPr="00307AAE">
        <w:rPr>
          <w:w w:val="100"/>
          <w:kern w:val="0"/>
          <w:rtl/>
          <w:lang w:val="fr-FR"/>
        </w:rPr>
        <w:t xml:space="preserve"> كانت طبيعته، وذلك في إطار من الاحتواء والأمن وكفالة الحقوق. ويشمل مكافحة العنف الأسري، وسوء </w:t>
      </w:r>
      <w:r w:rsidR="00145307">
        <w:rPr>
          <w:w w:val="100"/>
          <w:kern w:val="0"/>
          <w:rtl/>
          <w:lang w:val="fr-FR"/>
        </w:rPr>
        <w:t>المعاملة، واستغلال الأطفال وبغا</w:t>
      </w:r>
      <w:r w:rsidR="00145307">
        <w:rPr>
          <w:rFonts w:hint="cs"/>
          <w:w w:val="100"/>
          <w:kern w:val="0"/>
          <w:rtl/>
          <w:lang w:val="fr-FR"/>
        </w:rPr>
        <w:t>ء</w:t>
      </w:r>
      <w:r w:rsidRPr="00307AAE">
        <w:rPr>
          <w:w w:val="100"/>
          <w:kern w:val="0"/>
          <w:rtl/>
          <w:lang w:val="fr-FR"/>
        </w:rPr>
        <w:t>هم.</w:t>
      </w:r>
    </w:p>
    <w:p w:rsidR="00CC0F13" w:rsidRPr="00307AAE" w:rsidRDefault="00CC0F13" w:rsidP="00145307">
      <w:pPr>
        <w:pStyle w:val="SingleTxt"/>
        <w:spacing w:line="390" w:lineRule="exact"/>
        <w:rPr>
          <w:w w:val="100"/>
          <w:kern w:val="0"/>
          <w:rtl/>
          <w:lang w:val="fr-FR"/>
        </w:rPr>
      </w:pPr>
      <w:r w:rsidRPr="00307AAE">
        <w:rPr>
          <w:w w:val="100"/>
          <w:kern w:val="0"/>
          <w:rtl/>
          <w:lang w:val="fr-FR"/>
        </w:rPr>
        <w:t>102-</w:t>
      </w:r>
      <w:r w:rsidRPr="00307AAE">
        <w:rPr>
          <w:w w:val="100"/>
          <w:kern w:val="0"/>
          <w:rtl/>
          <w:lang w:val="fr-FR"/>
        </w:rPr>
        <w:tab/>
        <w:t>وفي مدينة بوينس آيرس المستقلة ذاتياً، تسجل هذه الهيئة بيانات طلبات المساعدة من خلال خط هاتفي (الخط رقم 137)، ويتقرر بناء عليها تدخل الفريق المتنقل الذي ينتقل إلى منزل الضحية لمساعدتها واحتوائها ومرافقتها في تقديم الشكوى. وبالتالي، فإن العمل مع الضحايا فعال على الصعيد الميداني، إذ يجري التعامل مباشرة مع الضحية نفسها وفي المكان الذي تقع فيه أعمال العنف. ويشار إلى أن ضحايا العنف الجنسي يقدمون شكاواهم إلى مفوضية الشرطة ومن ثمة يبدأ تدخل هذا البرنامج.</w:t>
      </w:r>
    </w:p>
    <w:p w:rsidR="00F933F5" w:rsidRPr="00F933F5"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الوحدات الخاصة التابعة لقوات الأمن الاتحادية</w:t>
      </w:r>
    </w:p>
    <w:p w:rsidR="00CC0F13" w:rsidRPr="00307AAE" w:rsidRDefault="00CC0F13" w:rsidP="00145307">
      <w:pPr>
        <w:pStyle w:val="SingleTxt"/>
        <w:rPr>
          <w:w w:val="100"/>
          <w:kern w:val="0"/>
          <w:rtl/>
          <w:lang w:val="fr-FR"/>
        </w:rPr>
      </w:pPr>
      <w:r w:rsidRPr="00307AAE">
        <w:rPr>
          <w:w w:val="100"/>
          <w:kern w:val="0"/>
          <w:rtl/>
          <w:lang w:val="fr-FR"/>
        </w:rPr>
        <w:t>103-</w:t>
      </w:r>
      <w:r w:rsidRPr="00307AAE">
        <w:rPr>
          <w:w w:val="100"/>
          <w:kern w:val="0"/>
          <w:rtl/>
          <w:lang w:val="fr-FR"/>
        </w:rPr>
        <w:tab/>
        <w:t>تجدر الإشارة إلى أن وزارة الأمن الوطني أُنشئت في كانون الأول/ديسمبر 2010، وصار يتبع لها كل من الشرطة الاتحادية، والشرطة البحرية، وجهاز الدرك، والمجلس الاتحادي للأمن الداخلي (وهي أجهزة كانت في السابق تابعة لوزارة العدل والأمن وحقوق الإنسان). كما يعطي قرار وزاري تعليمات لجهاز الدرك والشرطة الاتحادية والشرطة البحرية وشرطة أمن المطارات بإنشاء وحدات خاصة لأغراض القيام بمهام منع جريمة الاتجار بالأشخاص والتحقيق فيها، وكذلك مهام الاستخبارات اللازمة لهذا الغرض.</w:t>
      </w:r>
    </w:p>
    <w:p w:rsidR="00CC0F13" w:rsidRPr="00307AAE" w:rsidRDefault="00F933F5" w:rsidP="0014530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 xml:space="preserve">مكتب إنقاذ ودعم الأشخاص المتضررين </w:t>
      </w:r>
      <w:r w:rsidR="00145307">
        <w:rPr>
          <w:w w:val="100"/>
          <w:rtl/>
          <w:lang w:val="fr-FR"/>
        </w:rPr>
        <w:t>من جريمة الاتجار بالأشخاص</w:t>
      </w:r>
    </w:p>
    <w:p w:rsidR="00CC0F13" w:rsidRPr="00307AAE" w:rsidRDefault="00CC0F13" w:rsidP="00CC0F13">
      <w:pPr>
        <w:pStyle w:val="SingleTxt"/>
        <w:rPr>
          <w:w w:val="100"/>
          <w:kern w:val="0"/>
          <w:rtl/>
          <w:lang w:val="fr-FR"/>
        </w:rPr>
      </w:pPr>
      <w:r w:rsidRPr="00307AAE">
        <w:rPr>
          <w:w w:val="100"/>
          <w:kern w:val="0"/>
          <w:rtl/>
          <w:lang w:val="fr-FR"/>
        </w:rPr>
        <w:t>104-</w:t>
      </w:r>
      <w:r w:rsidRPr="00307AAE">
        <w:rPr>
          <w:w w:val="100"/>
          <w:kern w:val="0"/>
          <w:rtl/>
          <w:lang w:val="fr-FR"/>
        </w:rPr>
        <w:tab/>
        <w:t>يشكل هذا المكتب مركز جميع الأنشطة المتعلقة بمنع جريمة الاتجار بالأشخاص والتحقيق فيها، وكذلك بتوفير الدعم والمساعد</w:t>
      </w:r>
      <w:r w:rsidR="00145307">
        <w:rPr>
          <w:w w:val="100"/>
          <w:kern w:val="0"/>
          <w:rtl/>
          <w:lang w:val="fr-FR"/>
        </w:rPr>
        <w:t>ة القضائية للأشخاص المتضررين من</w:t>
      </w:r>
      <w:r w:rsidRPr="00307AAE">
        <w:rPr>
          <w:w w:val="100"/>
          <w:kern w:val="0"/>
          <w:rtl/>
          <w:lang w:val="fr-FR"/>
        </w:rPr>
        <w:t xml:space="preserve"> هذه الجريمة إلى حين إدلاء الضحية بشهادتها. وفور ذلك، يتلقى الضحايا المساعدة من البرامج المتخصصة في "مساعدة ضحايا الاتجار بالأشخاص".</w:t>
      </w:r>
    </w:p>
    <w:p w:rsidR="00F933F5" w:rsidRPr="00F933F5"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البرنامج الوطني لمنع اختطاف الأطفال والاتجار بهم ومكافحة جرائم طمس هويتهم، الذي يعمل في إطاره السجل الوطني للمعلومات المتعلقة بالقاصرين المختطفين</w:t>
      </w:r>
    </w:p>
    <w:p w:rsidR="00CC0F13" w:rsidRPr="00307AAE" w:rsidRDefault="00CC0F13" w:rsidP="00CC0F13">
      <w:pPr>
        <w:pStyle w:val="SingleTxt"/>
        <w:rPr>
          <w:w w:val="100"/>
          <w:kern w:val="0"/>
          <w:rtl/>
          <w:lang w:val="fr-FR"/>
        </w:rPr>
      </w:pPr>
      <w:r w:rsidRPr="00307AAE">
        <w:rPr>
          <w:w w:val="100"/>
          <w:kern w:val="0"/>
          <w:rtl/>
          <w:lang w:val="fr-FR"/>
        </w:rPr>
        <w:t>105-</w:t>
      </w:r>
      <w:r w:rsidRPr="00307AAE">
        <w:rPr>
          <w:w w:val="100"/>
          <w:kern w:val="0"/>
          <w:rtl/>
          <w:lang w:val="fr-FR"/>
        </w:rPr>
        <w:tab/>
        <w:t>يتوخى هذا السجل تنظيم وتبادل المعلومات المتاحة على صعيد البلد ككل في قاعدة البيانات</w:t>
      </w:r>
      <w:r w:rsidR="00145307">
        <w:rPr>
          <w:w w:val="100"/>
          <w:kern w:val="0"/>
          <w:rtl/>
          <w:lang w:val="fr-FR"/>
        </w:rPr>
        <w:t xml:space="preserve"> المتعلقة بالقاصرين المجهولُي </w:t>
      </w:r>
      <w:r w:rsidRPr="00307AAE">
        <w:rPr>
          <w:w w:val="100"/>
          <w:kern w:val="0"/>
          <w:rtl/>
          <w:lang w:val="fr-FR"/>
        </w:rPr>
        <w:t>مصيرهم، وكذلك بأولئك الذين عُثر عليهم أو الذين يوجدون في مؤسسات الرعاية أو الحماية أو الاحتجاز، وذلك في جميع الحالات التي تُجهل فيها البيانات المتعلقة بنَسبهم أو هويتهم.</w:t>
      </w:r>
    </w:p>
    <w:p w:rsidR="00F933F5" w:rsidRPr="00F933F5"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مكتب مساعدة ضحايا الجريمة</w:t>
      </w:r>
    </w:p>
    <w:p w:rsidR="00CC0F13" w:rsidRPr="00307AAE" w:rsidRDefault="00CC0F13" w:rsidP="00145307">
      <w:pPr>
        <w:pStyle w:val="SingleTxt"/>
        <w:rPr>
          <w:w w:val="100"/>
          <w:kern w:val="0"/>
          <w:rtl/>
          <w:lang w:val="fr-FR"/>
        </w:rPr>
      </w:pPr>
      <w:r w:rsidRPr="00307AAE">
        <w:rPr>
          <w:w w:val="100"/>
          <w:kern w:val="0"/>
          <w:rtl/>
          <w:lang w:val="fr-FR"/>
        </w:rPr>
        <w:t>106-</w:t>
      </w:r>
      <w:r w:rsidRPr="00307AAE">
        <w:rPr>
          <w:w w:val="100"/>
          <w:kern w:val="0"/>
          <w:rtl/>
          <w:lang w:val="fr-FR"/>
        </w:rPr>
        <w:tab/>
        <w:t>يندرج ضمن اختصاصات هذا المكتب التابع للنيابة العامة الوطنية ما يلي: تقديم المشورة القانونية لضحايا الجرائم بشأن إمكانيات حصولهم على مساعدة الدولة، وبخاصة ذوو الدخل المحدود منهم؛ وتقديم المشورة لضحايا الجرائم الذين يشكلون حالات اجتماعية معقدة للغاية بغرض إرشادهم إلى آليات الدعم والمساعدة التابعة للدولة وغير الحكومية.</w:t>
      </w:r>
    </w:p>
    <w:p w:rsidR="00CC0F13" w:rsidRPr="00F933F5"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2"/>
          <w:w w:val="100"/>
          <w:rtl/>
          <w:lang w:val="fr-FR"/>
        </w:rPr>
      </w:pPr>
      <w:r w:rsidRPr="00F933F5">
        <w:rPr>
          <w:rFonts w:hint="cs"/>
          <w:spacing w:val="-2"/>
          <w:w w:val="100"/>
          <w:rtl/>
          <w:lang w:val="fr-FR"/>
        </w:rPr>
        <w:tab/>
      </w:r>
      <w:r w:rsidRPr="00F933F5">
        <w:rPr>
          <w:rFonts w:hint="cs"/>
          <w:spacing w:val="-2"/>
          <w:w w:val="100"/>
          <w:rtl/>
          <w:lang w:val="fr-FR"/>
        </w:rPr>
        <w:tab/>
      </w:r>
      <w:r w:rsidR="00CC0F13" w:rsidRPr="00F933F5">
        <w:rPr>
          <w:spacing w:val="-2"/>
          <w:w w:val="100"/>
          <w:rtl/>
          <w:lang w:val="fr-FR"/>
        </w:rPr>
        <w:t>الوحدة التابعة لمكتب المدعي العام للمساعدة في قضايا الاختطاف بغرض الابتزاز وحالات الاتجار بالأشخاص</w:t>
      </w:r>
    </w:p>
    <w:p w:rsidR="00CC0F13" w:rsidRPr="00F933F5" w:rsidRDefault="00CC0F13" w:rsidP="00F933F5">
      <w:pPr>
        <w:pStyle w:val="SingleTxt"/>
        <w:rPr>
          <w:w w:val="100"/>
          <w:rtl/>
          <w:lang w:val="fr-FR"/>
        </w:rPr>
      </w:pPr>
      <w:r w:rsidRPr="00F933F5">
        <w:rPr>
          <w:w w:val="100"/>
          <w:rtl/>
          <w:lang w:val="fr-FR"/>
        </w:rPr>
        <w:t>107-</w:t>
      </w:r>
      <w:r w:rsidRPr="00F933F5">
        <w:rPr>
          <w:w w:val="100"/>
          <w:rtl/>
          <w:lang w:val="fr-FR"/>
        </w:rPr>
        <w:tab/>
        <w:t>تقدم هذه الوحدة المساعدة لمكاتب المدعين العامين في سائر البلد في قضايا الاختطاف والاتجار بالأشخاص. وتقدَّم المساعدة بطلب من المدعي العام المكلف بالقضية وتحت إشرافه. كما تنسق برامج التدريب وتعد قاعدة بيانات بشأن قضايا الاختطاف بغرض الابتزاز وحالات الاتجار بالأشخاص.</w:t>
      </w:r>
    </w:p>
    <w:p w:rsidR="00F933F5" w:rsidRPr="00F933F5"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الوحدة التابعة لمكتب المدعي العام المعنية بالتحقيق في جرائم المساس بالسلامة الجنسية والاتجار بالأشخاص وبغاء الأطفال</w:t>
      </w:r>
    </w:p>
    <w:p w:rsidR="00CC0F13" w:rsidRPr="00307AAE" w:rsidRDefault="00CC0F13" w:rsidP="00CC0F13">
      <w:pPr>
        <w:pStyle w:val="SingleTxt"/>
        <w:rPr>
          <w:w w:val="100"/>
          <w:kern w:val="0"/>
          <w:rtl/>
          <w:lang w:val="fr-FR"/>
        </w:rPr>
      </w:pPr>
      <w:r w:rsidRPr="00307AAE">
        <w:rPr>
          <w:w w:val="100"/>
          <w:kern w:val="0"/>
          <w:rtl/>
          <w:lang w:val="fr-FR"/>
        </w:rPr>
        <w:t>108-</w:t>
      </w:r>
      <w:r w:rsidRPr="00307AAE">
        <w:rPr>
          <w:w w:val="100"/>
          <w:kern w:val="0"/>
          <w:rtl/>
          <w:lang w:val="fr-FR"/>
        </w:rPr>
        <w:tab/>
        <w:t>هي وحدة تابعة لمكتب المدعي العام و</w:t>
      </w:r>
      <w:r w:rsidR="00F933F5">
        <w:rPr>
          <w:w w:val="100"/>
          <w:kern w:val="0"/>
          <w:rtl/>
          <w:lang w:val="fr-FR"/>
        </w:rPr>
        <w:t>نطاق ولايتها مدينة بوينس آيرس.</w:t>
      </w:r>
    </w:p>
    <w:p w:rsidR="00F933F5" w:rsidRPr="00F933F5"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مكتب مكافحة العنف المنزلي التابع للمحكمة العليا الوطنية</w:t>
      </w:r>
    </w:p>
    <w:p w:rsidR="00CC0F13" w:rsidRPr="00F933F5" w:rsidRDefault="00CC0F13" w:rsidP="00CC0F13">
      <w:pPr>
        <w:pStyle w:val="SingleTxt"/>
        <w:rPr>
          <w:spacing w:val="-3"/>
          <w:w w:val="100"/>
          <w:kern w:val="0"/>
          <w:rtl/>
          <w:lang w:val="fr-FR"/>
        </w:rPr>
      </w:pPr>
      <w:r w:rsidRPr="00F933F5">
        <w:rPr>
          <w:spacing w:val="-3"/>
          <w:w w:val="100"/>
          <w:kern w:val="0"/>
          <w:rtl/>
          <w:lang w:val="fr-FR"/>
        </w:rPr>
        <w:t>109-</w:t>
      </w:r>
      <w:r w:rsidRPr="00F933F5">
        <w:rPr>
          <w:spacing w:val="-3"/>
          <w:w w:val="100"/>
          <w:kern w:val="0"/>
          <w:rtl/>
          <w:lang w:val="fr-FR"/>
        </w:rPr>
        <w:tab/>
        <w:t>يقدم هذا المكتب المساعدة للأشخاص الذين يعانون الاعتداءات البدنية أو النفسية أو المادية في الوسط الأسري، بغرض ضمان الاحتكام السريع إلى القضاء. ويقدم المعلومات والإرشادات بشأن الخطوات القضائية الواجب اتخاذها في كل حالة على حدة، ويحيل الشكاوى، ويصدر شهادات بشأن الحالة الصحية والإصابات المحتملة ويعد في نفس الوقت التقارير ذات الصلة. ويعمل مكتب مكافحة العنف المنزلي بشكل وثيق مع المؤسسات العامة الأخرى التي يمكن أن تقدَّم إليها الشكاوى وهي: مفوضيات الشرطة والمحاكم ومكاتب المدعين العامين وبرنامج "الضحايا ضد أعمال العنف" وشرطة الطوارئ.</w:t>
      </w:r>
    </w:p>
    <w:p w:rsidR="00F933F5" w:rsidRPr="00F933F5" w:rsidRDefault="00F933F5" w:rsidP="00F933F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F933F5" w:rsidRPr="00F933F5" w:rsidRDefault="00F933F5" w:rsidP="00F933F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Default="00CC0F13" w:rsidP="00F933F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r>
      <w:bookmarkStart w:id="9" w:name="_Toc430532837"/>
      <w:r w:rsidRPr="00307AAE">
        <w:rPr>
          <w:w w:val="100"/>
          <w:rtl/>
          <w:lang w:val="fr-FR"/>
        </w:rPr>
        <w:t>جيم</w:t>
      </w:r>
      <w:r w:rsidR="00307AAE" w:rsidRPr="00307AAE">
        <w:rPr>
          <w:w w:val="100"/>
          <w:rtl/>
          <w:lang w:val="fr-FR"/>
        </w:rPr>
        <w:t>-</w:t>
      </w:r>
      <w:r w:rsidR="00307AAE" w:rsidRPr="00307AAE">
        <w:rPr>
          <w:w w:val="100"/>
          <w:rtl/>
          <w:lang w:val="fr-FR"/>
        </w:rPr>
        <w:tab/>
      </w:r>
      <w:r w:rsidRPr="00307AAE">
        <w:rPr>
          <w:w w:val="100"/>
          <w:rtl/>
          <w:lang w:val="fr-FR"/>
        </w:rPr>
        <w:t>إطار تعزيز حقوق الإنسان على الصعيد الوطني</w:t>
      </w:r>
      <w:bookmarkEnd w:id="9"/>
    </w:p>
    <w:p w:rsidR="00F933F5" w:rsidRPr="00F933F5" w:rsidRDefault="00F933F5" w:rsidP="00F933F5">
      <w:pPr>
        <w:pStyle w:val="SingleTxt"/>
        <w:spacing w:after="0" w:line="120" w:lineRule="exact"/>
        <w:rPr>
          <w:sz w:val="10"/>
          <w:rtl/>
          <w:lang w:val="fr-FR"/>
        </w:rPr>
      </w:pPr>
    </w:p>
    <w:p w:rsidR="00CC0F13" w:rsidRPr="00307AAE" w:rsidRDefault="00CC0F13" w:rsidP="00CC0F13">
      <w:pPr>
        <w:pStyle w:val="SingleTxt"/>
        <w:rPr>
          <w:w w:val="100"/>
          <w:kern w:val="0"/>
          <w:rtl/>
          <w:lang w:val="fr-FR"/>
        </w:rPr>
      </w:pPr>
      <w:r w:rsidRPr="00307AAE">
        <w:rPr>
          <w:w w:val="100"/>
          <w:kern w:val="0"/>
          <w:rtl/>
          <w:lang w:val="fr-FR"/>
        </w:rPr>
        <w:t>110-</w:t>
      </w:r>
      <w:r w:rsidRPr="00307AAE">
        <w:rPr>
          <w:w w:val="100"/>
          <w:kern w:val="0"/>
          <w:rtl/>
          <w:lang w:val="fr-FR"/>
        </w:rPr>
        <w:tab/>
        <w:t>الأمانةُ الفرعية لتعزيز حقوق الإنسان تابعة للأمانة الوطنية لحقوق الإنسان. ومهامها هي:</w:t>
      </w:r>
    </w:p>
    <w:p w:rsidR="00CC0F13" w:rsidRPr="004C4B32" w:rsidRDefault="00CC0F13" w:rsidP="00F933F5">
      <w:pPr>
        <w:pStyle w:val="SingleTxt"/>
        <w:numPr>
          <w:ilvl w:val="0"/>
          <w:numId w:val="36"/>
        </w:numPr>
        <w:tabs>
          <w:tab w:val="clear" w:pos="1930"/>
        </w:tabs>
        <w:spacing w:line="386" w:lineRule="exact"/>
        <w:rPr>
          <w:w w:val="100"/>
          <w:rtl/>
          <w:lang w:val="fr-FR"/>
        </w:rPr>
      </w:pPr>
      <w:r w:rsidRPr="004C4B32">
        <w:rPr>
          <w:w w:val="100"/>
          <w:rtl/>
          <w:lang w:val="fr-FR"/>
        </w:rPr>
        <w:t>إعداد خطط وبرامج خاصة في مجال تعزيز حقوق الإنسان الفردية والجماعية، والإشراف على تنفيذها</w:t>
      </w:r>
      <w:r w:rsidR="00F933F5">
        <w:rPr>
          <w:rFonts w:hint="cs"/>
          <w:w w:val="100"/>
          <w:rtl/>
          <w:lang w:val="fr-FR"/>
        </w:rPr>
        <w:t>؛</w:t>
      </w:r>
    </w:p>
    <w:p w:rsidR="00CC0F13" w:rsidRPr="00F933F5" w:rsidRDefault="00CC0F13" w:rsidP="004C4B32">
      <w:pPr>
        <w:pStyle w:val="SingleTxt"/>
        <w:numPr>
          <w:ilvl w:val="0"/>
          <w:numId w:val="36"/>
        </w:numPr>
        <w:tabs>
          <w:tab w:val="clear" w:pos="1930"/>
        </w:tabs>
        <w:spacing w:line="386" w:lineRule="exact"/>
        <w:rPr>
          <w:spacing w:val="-4"/>
          <w:w w:val="100"/>
          <w:rtl/>
          <w:lang w:val="fr-FR"/>
        </w:rPr>
      </w:pPr>
      <w:r w:rsidRPr="00F933F5">
        <w:rPr>
          <w:spacing w:val="-4"/>
          <w:w w:val="100"/>
          <w:rtl/>
          <w:lang w:val="fr-FR"/>
        </w:rPr>
        <w:t>المشاركة في أنشطة التواصل العام وفي التظاهرات الثقافية الرامية إلى تعزيز حقوق الإنسان</w:t>
      </w:r>
      <w:r w:rsidR="00F933F5" w:rsidRPr="00F933F5">
        <w:rPr>
          <w:rFonts w:hint="cs"/>
          <w:spacing w:val="-4"/>
          <w:w w:val="100"/>
          <w:rtl/>
          <w:lang w:val="fr-FR"/>
        </w:rPr>
        <w:t>؛</w:t>
      </w:r>
    </w:p>
    <w:p w:rsidR="00CC0F13" w:rsidRPr="004C4B32" w:rsidRDefault="00CC0F13" w:rsidP="004C4B32">
      <w:pPr>
        <w:pStyle w:val="SingleTxt"/>
        <w:numPr>
          <w:ilvl w:val="0"/>
          <w:numId w:val="36"/>
        </w:numPr>
        <w:tabs>
          <w:tab w:val="clear" w:pos="1930"/>
        </w:tabs>
        <w:spacing w:line="386" w:lineRule="exact"/>
        <w:rPr>
          <w:w w:val="100"/>
          <w:rtl/>
          <w:lang w:val="fr-FR"/>
        </w:rPr>
      </w:pPr>
      <w:r w:rsidRPr="004C4B32">
        <w:rPr>
          <w:w w:val="100"/>
          <w:rtl/>
          <w:lang w:val="fr-FR"/>
        </w:rPr>
        <w:t>تخطيط وتنسيق وتتبع الأنشطة المتعلقة بالتدريب وبتعزيز المؤسسات في مجال حقوق الإنسان والقانون الدولي الإنساني على صعيد المجتمع المدني والدولة، بما في ذلك القوات المسلحة وقوات الأمن والشرطة ونظام السجون.</w:t>
      </w:r>
    </w:p>
    <w:p w:rsidR="00CC0F13" w:rsidRPr="00307AAE"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تعزيز التثقيف والتدريب في مجال حقوق الإنسان</w:t>
      </w:r>
    </w:p>
    <w:p w:rsidR="00CC0F13" w:rsidRPr="00307AAE" w:rsidRDefault="00CC0F13" w:rsidP="00CC0F13">
      <w:pPr>
        <w:pStyle w:val="SingleTxt"/>
        <w:rPr>
          <w:w w:val="100"/>
          <w:kern w:val="0"/>
          <w:rtl/>
          <w:lang w:val="fr-FR"/>
        </w:rPr>
      </w:pPr>
      <w:r w:rsidRPr="00307AAE">
        <w:rPr>
          <w:w w:val="100"/>
          <w:kern w:val="0"/>
          <w:rtl/>
          <w:lang w:val="fr-FR"/>
        </w:rPr>
        <w:t>111-</w:t>
      </w:r>
      <w:r w:rsidRPr="00307AAE">
        <w:rPr>
          <w:w w:val="100"/>
          <w:kern w:val="0"/>
          <w:rtl/>
          <w:lang w:val="fr-FR"/>
        </w:rPr>
        <w:tab/>
        <w:t>تتبع المديريةُ الوطنية للتدريب في مجال حقوق الإنسان والمديريةُ الوطنية لتطوير المعايير المتعلقة بحقوق الإنسان للأمانة الفرعية لتعزيز حقوق الإنسان.</w:t>
      </w:r>
    </w:p>
    <w:p w:rsidR="00F933F5" w:rsidRPr="00F933F5"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مشروع تعزيز نظام حماية حقوق الإنسان</w:t>
      </w:r>
    </w:p>
    <w:p w:rsidR="00CC0F13" w:rsidRPr="00307AAE" w:rsidRDefault="00CC0F13" w:rsidP="00CC0F13">
      <w:pPr>
        <w:pStyle w:val="SingleTxt"/>
        <w:rPr>
          <w:w w:val="100"/>
          <w:kern w:val="0"/>
          <w:rtl/>
          <w:lang w:val="fr-FR"/>
        </w:rPr>
      </w:pPr>
      <w:r w:rsidRPr="00307AAE">
        <w:rPr>
          <w:w w:val="100"/>
          <w:kern w:val="0"/>
          <w:rtl/>
          <w:lang w:val="fr-FR"/>
        </w:rPr>
        <w:t>112-</w:t>
      </w:r>
      <w:r w:rsidRPr="00307AAE">
        <w:rPr>
          <w:w w:val="100"/>
          <w:kern w:val="0"/>
          <w:rtl/>
          <w:lang w:val="fr-FR"/>
        </w:rPr>
        <w:tab/>
        <w:t>يتبع للأمانة الفرعية لتعزيز حقوق الإنسان أيض</w:t>
      </w:r>
      <w:r w:rsidR="00A71B00">
        <w:rPr>
          <w:w w:val="100"/>
          <w:kern w:val="0"/>
          <w:rtl/>
          <w:lang w:val="fr-FR"/>
        </w:rPr>
        <w:t xml:space="preserve">اً </w:t>
      </w:r>
      <w:r w:rsidRPr="00307AAE">
        <w:rPr>
          <w:w w:val="100"/>
          <w:kern w:val="0"/>
          <w:rtl/>
          <w:lang w:val="fr-FR"/>
        </w:rPr>
        <w:t>هذا المشروع المتعلق بتعزيز نظام حماية حقوق الإنسان. وتتمثل أنشطته الرئيسية في إنشاء مراصد لحقوق الإنسان في مختلف محافظات البلد؛ وتنظيم حملات لنشر حقوق الإنسان والتوعية بها على الصعيد الوطني والإقليمي والمحلي؛ والقيام بأنشطة للتأهيل والتدريب في مجال حقوق الإنسان من خلال تنسيق دورات تدريبية متعددة في جميع أنحاء البلد.</w:t>
      </w:r>
    </w:p>
    <w:p w:rsidR="00F933F5" w:rsidRPr="00F933F5"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اللجنة الوطنية الاستشارية المعنية بإدماج الأشخاص ذوي الإعاقة</w:t>
      </w:r>
    </w:p>
    <w:p w:rsidR="00CC0F13" w:rsidRPr="00307AAE" w:rsidRDefault="00CC0F13" w:rsidP="00CC0F13">
      <w:pPr>
        <w:pStyle w:val="SingleTxt"/>
        <w:rPr>
          <w:w w:val="100"/>
          <w:kern w:val="0"/>
          <w:rtl/>
          <w:lang w:val="fr-FR"/>
        </w:rPr>
      </w:pPr>
      <w:r w:rsidRPr="00307AAE">
        <w:rPr>
          <w:w w:val="100"/>
          <w:kern w:val="0"/>
          <w:rtl/>
          <w:lang w:val="fr-FR"/>
        </w:rPr>
        <w:t>113-</w:t>
      </w:r>
      <w:r w:rsidRPr="00307AAE">
        <w:rPr>
          <w:w w:val="100"/>
          <w:kern w:val="0"/>
          <w:rtl/>
          <w:lang w:val="fr-FR"/>
        </w:rPr>
        <w:tab/>
        <w:t>تتمثل مهمة هذه اللجنة الوطنية في تنسيق وتوحيد وتوجيه وتعزيز ونشر جميع الأنشطة التي من شأنها أن تسهم بصورة مباشرة أو غير مباشرة في إدماج الأشخاص ذوي الإعاقة على الصعيد الوطني، دون تمييز على أساس السن أو الجنس أو العرق أو الدين أو المستوى الاجتماعي والاقتصادي، مع ضمان التوزيع العادل للمزايا الناشئة عنها والاستفادة منها.</w:t>
      </w:r>
    </w:p>
    <w:p w:rsidR="00CC0F13" w:rsidRPr="00307AAE" w:rsidRDefault="00CC0F13" w:rsidP="00CC0F13">
      <w:pPr>
        <w:pStyle w:val="SingleTxt"/>
        <w:rPr>
          <w:w w:val="100"/>
          <w:kern w:val="0"/>
          <w:rtl/>
          <w:lang w:val="fr-FR"/>
        </w:rPr>
      </w:pPr>
      <w:r w:rsidRPr="00307AAE">
        <w:rPr>
          <w:w w:val="100"/>
          <w:kern w:val="0"/>
          <w:rtl/>
          <w:lang w:val="fr-FR"/>
        </w:rPr>
        <w:t>114-</w:t>
      </w:r>
      <w:r w:rsidRPr="00307AAE">
        <w:rPr>
          <w:w w:val="100"/>
          <w:kern w:val="0"/>
          <w:rtl/>
          <w:lang w:val="fr-FR"/>
        </w:rPr>
        <w:tab/>
        <w:t>وتتألف اللجنة الوطنية الاستشارية المعنية بإدماج الأشخاص ذوي الإعاقة من رئيس ومجلس للإدارة مكون من ثلاثة مدراء وأمين عام، متخصصين في مختلف المجالات ذات الصلة بحالة الإعاقة (الوقاية وإعادة التأهيل والدعم وتكافؤ الفرص) يوفرون المعلومات التقنية التي تدعم عملية اتخاذ القرارات. ويمارس الرئيس، الذي يتمتع في الهرم الإداري بصفةٍ تعادل رتبة وزير الدولة، مهمة التمثيل القانوني لهذه الهيئة وتوجيه عملها وإدارته.</w:t>
      </w:r>
    </w:p>
    <w:p w:rsidR="00CC0F13" w:rsidRPr="00307AAE" w:rsidRDefault="00CC0F13" w:rsidP="00CC0F13">
      <w:pPr>
        <w:pStyle w:val="SingleTxt"/>
        <w:rPr>
          <w:w w:val="100"/>
          <w:kern w:val="0"/>
          <w:rtl/>
          <w:lang w:val="fr-FR"/>
        </w:rPr>
      </w:pPr>
      <w:r w:rsidRPr="00F933F5">
        <w:rPr>
          <w:spacing w:val="-2"/>
          <w:w w:val="100"/>
          <w:kern w:val="0"/>
          <w:rtl/>
          <w:lang w:val="fr-FR"/>
        </w:rPr>
        <w:t>115-</w:t>
      </w:r>
      <w:r w:rsidRPr="00F933F5">
        <w:rPr>
          <w:spacing w:val="-2"/>
          <w:w w:val="100"/>
          <w:kern w:val="0"/>
          <w:rtl/>
          <w:lang w:val="fr-FR"/>
        </w:rPr>
        <w:tab/>
        <w:t>واعتُمد الهيكل التنظيمي للجنة الوطنية الاستشارية المعنية بإدماج الأشخاص ذوي الإعاقة بموجب المرسوم رقم 984/1992، الذي ينص في مادته الثامنة على الاستعانة بلجنة تقنية ولجنة استشارية. وتتألف هذه اللجنة الاستشارية من منظمات غير حكومية منشأة في جمهورية الأرجنتين</w:t>
      </w:r>
      <w:r w:rsidRPr="00307AAE">
        <w:rPr>
          <w:w w:val="100"/>
          <w:kern w:val="0"/>
          <w:rtl/>
          <w:lang w:val="fr-FR"/>
        </w:rPr>
        <w:t xml:space="preserve">، تعمل في مجال الإعاقة. </w:t>
      </w:r>
    </w:p>
    <w:p w:rsidR="00CC0F13" w:rsidRPr="00307AAE" w:rsidRDefault="00CC0F13" w:rsidP="00CC0F13">
      <w:pPr>
        <w:pStyle w:val="SingleTxt"/>
        <w:rPr>
          <w:w w:val="100"/>
          <w:kern w:val="0"/>
          <w:rtl/>
          <w:lang w:val="fr-FR"/>
        </w:rPr>
      </w:pPr>
      <w:r w:rsidRPr="00307AAE">
        <w:rPr>
          <w:w w:val="100"/>
          <w:kern w:val="0"/>
          <w:rtl/>
          <w:lang w:val="fr-FR"/>
        </w:rPr>
        <w:t>116-</w:t>
      </w:r>
      <w:r w:rsidRPr="00307AAE">
        <w:rPr>
          <w:w w:val="100"/>
          <w:kern w:val="0"/>
          <w:rtl/>
          <w:lang w:val="fr-FR"/>
        </w:rPr>
        <w:tab/>
        <w:t>أما اللجنة التقنية فتتألف من مندوبي هيئات السلطة التنفيذية وممثلي السلطتين التشريعية والقضائية بصفة مستشارين.</w:t>
      </w:r>
    </w:p>
    <w:p w:rsidR="00CC0F13" w:rsidRPr="00307AAE" w:rsidRDefault="00CC0F13" w:rsidP="00CC0F13">
      <w:pPr>
        <w:pStyle w:val="SingleTxt"/>
        <w:rPr>
          <w:w w:val="100"/>
          <w:kern w:val="0"/>
          <w:rtl/>
          <w:lang w:val="fr-FR"/>
        </w:rPr>
      </w:pPr>
      <w:r w:rsidRPr="00307AAE">
        <w:rPr>
          <w:w w:val="100"/>
          <w:kern w:val="0"/>
          <w:rtl/>
          <w:lang w:val="fr-FR"/>
        </w:rPr>
        <w:t>117-</w:t>
      </w:r>
      <w:r w:rsidRPr="00307AAE">
        <w:rPr>
          <w:w w:val="100"/>
          <w:kern w:val="0"/>
          <w:rtl/>
          <w:lang w:val="fr-FR"/>
        </w:rPr>
        <w:tab/>
        <w:t>وأخير</w:t>
      </w:r>
      <w:r w:rsidR="00955E01">
        <w:rPr>
          <w:w w:val="100"/>
          <w:kern w:val="0"/>
          <w:rtl/>
          <w:lang w:val="fr-FR"/>
        </w:rPr>
        <w:t>اً،</w:t>
      </w:r>
      <w:r w:rsidRPr="00307AAE">
        <w:rPr>
          <w:w w:val="100"/>
          <w:kern w:val="0"/>
          <w:rtl/>
          <w:lang w:val="fr-FR"/>
        </w:rPr>
        <w:t xml:space="preserve"> تجدر الإشارة إلى أن اللجنة الوطنية الاستشارية المعنية بإدماج الأشخاص ذوي </w:t>
      </w:r>
      <w:r w:rsidRPr="00F933F5">
        <w:rPr>
          <w:spacing w:val="-4"/>
          <w:w w:val="100"/>
          <w:kern w:val="0"/>
          <w:rtl/>
          <w:lang w:val="fr-FR"/>
        </w:rPr>
        <w:t xml:space="preserve">الإعاقة ترأس المجلس الاتحادي لشؤون الإعاقة المنشأ بموجب القانون رقم 24657 في عام 1996. </w:t>
      </w:r>
      <w:r w:rsidRPr="00307AAE">
        <w:rPr>
          <w:w w:val="100"/>
          <w:kern w:val="0"/>
          <w:rtl/>
          <w:lang w:val="fr-FR"/>
        </w:rPr>
        <w:t>ويتألف المجلس الاتحادي لشؤون الإعاقة من الموظفين الذين يمارسون السلطة على أعلى مستوى في هذا المجال في كل محافظة وفي مدينة بوينس آيرس، ومن ممثلي المنظمات غير الحكومية للأشخاص ذوي الإعاقة، الذين يجري انتخابهم وفق</w:t>
      </w:r>
      <w:r w:rsidR="00A71B00">
        <w:rPr>
          <w:w w:val="100"/>
          <w:kern w:val="0"/>
          <w:rtl/>
          <w:lang w:val="fr-FR"/>
        </w:rPr>
        <w:t xml:space="preserve">اً </w:t>
      </w:r>
      <w:r w:rsidRPr="00307AAE">
        <w:rPr>
          <w:w w:val="100"/>
          <w:kern w:val="0"/>
          <w:rtl/>
          <w:lang w:val="fr-FR"/>
        </w:rPr>
        <w:t>للقانون.</w:t>
      </w:r>
    </w:p>
    <w:p w:rsidR="00F933F5" w:rsidRPr="00F933F5"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F933F5" w:rsidP="0014530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البرنامج الوطني لمساعدة الأشخاص ذوي الإعاقة في معاملاتهم مع إقامة العدل</w:t>
      </w:r>
    </w:p>
    <w:p w:rsidR="00CC0F13" w:rsidRPr="00307AAE" w:rsidRDefault="00CC0F13" w:rsidP="00145307">
      <w:pPr>
        <w:pStyle w:val="SingleTxt"/>
        <w:rPr>
          <w:w w:val="100"/>
          <w:kern w:val="0"/>
          <w:rtl/>
          <w:lang w:val="fr-FR"/>
        </w:rPr>
      </w:pPr>
      <w:r w:rsidRPr="00307AAE">
        <w:rPr>
          <w:w w:val="100"/>
          <w:kern w:val="0"/>
          <w:rtl/>
          <w:lang w:val="fr-FR"/>
        </w:rPr>
        <w:t>118-</w:t>
      </w:r>
      <w:r w:rsidRPr="00307AAE">
        <w:rPr>
          <w:w w:val="100"/>
          <w:kern w:val="0"/>
          <w:rtl/>
          <w:lang w:val="fr-FR"/>
        </w:rPr>
        <w:tab/>
        <w:t>أنشئ هذا البرنامج من قِبل مؤسسة رئاسة الدولة امتثال</w:t>
      </w:r>
      <w:r w:rsidR="00A71B00">
        <w:rPr>
          <w:w w:val="100"/>
          <w:kern w:val="0"/>
          <w:rtl/>
          <w:lang w:val="fr-FR"/>
        </w:rPr>
        <w:t xml:space="preserve">اً </w:t>
      </w:r>
      <w:r w:rsidRPr="00307AAE">
        <w:rPr>
          <w:w w:val="100"/>
          <w:kern w:val="0"/>
          <w:rtl/>
          <w:lang w:val="fr-FR"/>
        </w:rPr>
        <w:t>لاتفاقية حقوق الأشخاص ذوي الإعاقة وبروتوكولها الاختياري، وبخاصة التزام الأرجنتين كدولة طرف بأن تكفل للأشخاص ذوي الإعاقة سبل</w:t>
      </w:r>
      <w:r w:rsidR="00A71B00">
        <w:rPr>
          <w:w w:val="100"/>
          <w:kern w:val="0"/>
          <w:rtl/>
          <w:lang w:val="fr-FR"/>
        </w:rPr>
        <w:t xml:space="preserve">اً </w:t>
      </w:r>
      <w:r w:rsidRPr="00307AAE">
        <w:rPr>
          <w:w w:val="100"/>
          <w:kern w:val="0"/>
          <w:rtl/>
          <w:lang w:val="fr-FR"/>
        </w:rPr>
        <w:t>فعالة للوصول إلى القضاء.</w:t>
      </w:r>
    </w:p>
    <w:p w:rsidR="00CC0F13" w:rsidRPr="00307AAE" w:rsidRDefault="00CC0F13" w:rsidP="00CC0F13">
      <w:pPr>
        <w:pStyle w:val="SingleTxt"/>
        <w:rPr>
          <w:w w:val="100"/>
          <w:kern w:val="0"/>
          <w:rtl/>
          <w:lang w:val="fr-FR"/>
        </w:rPr>
      </w:pPr>
      <w:r w:rsidRPr="00307AAE">
        <w:rPr>
          <w:w w:val="100"/>
          <w:kern w:val="0"/>
          <w:rtl/>
          <w:lang w:val="fr-FR"/>
        </w:rPr>
        <w:t>119-</w:t>
      </w:r>
      <w:r w:rsidRPr="00307AAE">
        <w:rPr>
          <w:w w:val="100"/>
          <w:kern w:val="0"/>
          <w:rtl/>
          <w:lang w:val="fr-FR"/>
        </w:rPr>
        <w:tab/>
        <w:t>وهذا البرنامج تابع لوزارة العدل، ويندرج هدفه ضمن سياسات الإدماج الاجتماعي التي تنفذها الحكومة الوطنية، بغرض تعزيز حقوق الأشخاص ذوي الإعاقة من خلال اتخاذ الإجراءات المناسبة والتواصل والإعلام في إطار السياسات.</w:t>
      </w:r>
    </w:p>
    <w:p w:rsidR="00CC0F13" w:rsidRPr="00307AAE" w:rsidRDefault="00CC0F13" w:rsidP="00F933F5">
      <w:pPr>
        <w:pStyle w:val="SingleTxt"/>
        <w:rPr>
          <w:w w:val="100"/>
          <w:kern w:val="0"/>
          <w:rtl/>
          <w:lang w:val="fr-FR"/>
        </w:rPr>
      </w:pPr>
      <w:r w:rsidRPr="00307AAE">
        <w:rPr>
          <w:w w:val="100"/>
          <w:kern w:val="0"/>
          <w:rtl/>
          <w:lang w:val="fr-FR"/>
        </w:rPr>
        <w:t>120-</w:t>
      </w:r>
      <w:r w:rsidRPr="00307AAE">
        <w:rPr>
          <w:w w:val="100"/>
          <w:kern w:val="0"/>
          <w:rtl/>
          <w:lang w:val="fr-FR"/>
        </w:rPr>
        <w:tab/>
        <w:t>ويستهدف هذا البرنامج الأشخاص ذوي الإعاقة، والعاملين في مجال القضاء، وموظفي السجون، وقوات الأمن، وموظفي الإدارة العامة، والهيئات المهنية ومنظمات المجتمع المدني، ومهامه</w:t>
      </w:r>
      <w:r w:rsidR="00F933F5">
        <w:rPr>
          <w:rFonts w:hint="cs"/>
          <w:w w:val="100"/>
          <w:kern w:val="0"/>
          <w:rtl/>
          <w:lang w:val="fr-FR"/>
        </w:rPr>
        <w:t> </w:t>
      </w:r>
      <w:r w:rsidRPr="00307AAE">
        <w:rPr>
          <w:w w:val="100"/>
          <w:kern w:val="0"/>
          <w:rtl/>
          <w:lang w:val="fr-FR"/>
        </w:rPr>
        <w:t>هي:</w:t>
      </w:r>
    </w:p>
    <w:p w:rsidR="00CC0F13" w:rsidRPr="004C4B32" w:rsidRDefault="00CC0F13" w:rsidP="004C4B32">
      <w:pPr>
        <w:pStyle w:val="SingleTxt"/>
        <w:numPr>
          <w:ilvl w:val="0"/>
          <w:numId w:val="36"/>
        </w:numPr>
        <w:tabs>
          <w:tab w:val="clear" w:pos="1930"/>
        </w:tabs>
        <w:spacing w:line="386" w:lineRule="exact"/>
        <w:rPr>
          <w:w w:val="100"/>
          <w:rtl/>
          <w:lang w:val="fr-FR"/>
        </w:rPr>
      </w:pPr>
      <w:r w:rsidRPr="004C4B32">
        <w:rPr>
          <w:w w:val="100"/>
          <w:rtl/>
          <w:lang w:val="fr-FR"/>
        </w:rPr>
        <w:t>التوجيه، والمساعدة التقنية، والإحالة، وإعداد أدلة التدخل وبروتوكولاته؛</w:t>
      </w:r>
    </w:p>
    <w:p w:rsidR="00CC0F13" w:rsidRPr="004C4B32" w:rsidRDefault="00CC0F13" w:rsidP="004C4B32">
      <w:pPr>
        <w:pStyle w:val="SingleTxt"/>
        <w:numPr>
          <w:ilvl w:val="0"/>
          <w:numId w:val="36"/>
        </w:numPr>
        <w:tabs>
          <w:tab w:val="clear" w:pos="1930"/>
        </w:tabs>
        <w:spacing w:line="386" w:lineRule="exact"/>
        <w:rPr>
          <w:w w:val="100"/>
          <w:rtl/>
          <w:lang w:val="fr-FR"/>
        </w:rPr>
      </w:pPr>
      <w:r w:rsidRPr="004C4B32">
        <w:rPr>
          <w:w w:val="100"/>
          <w:rtl/>
          <w:lang w:val="fr-FR"/>
        </w:rPr>
        <w:t>توفير التدريب للفاعلين في مجال السلطة القضائية، وللهيئات المهنية وموظفي الإدارة العامة، وكذلك لكيانات القطاع الخاص التي تطلبه؛</w:t>
      </w:r>
    </w:p>
    <w:p w:rsidR="00CC0F13" w:rsidRPr="004C4B32" w:rsidRDefault="00CC0F13" w:rsidP="004C4B32">
      <w:pPr>
        <w:pStyle w:val="SingleTxt"/>
        <w:numPr>
          <w:ilvl w:val="0"/>
          <w:numId w:val="36"/>
        </w:numPr>
        <w:tabs>
          <w:tab w:val="clear" w:pos="1930"/>
        </w:tabs>
        <w:spacing w:line="386" w:lineRule="exact"/>
        <w:rPr>
          <w:w w:val="100"/>
          <w:rtl/>
          <w:lang w:val="fr-FR"/>
        </w:rPr>
      </w:pPr>
      <w:r w:rsidRPr="004C4B32">
        <w:rPr>
          <w:w w:val="100"/>
          <w:rtl/>
          <w:lang w:val="fr-FR"/>
        </w:rPr>
        <w:t xml:space="preserve">النظر والتدخل في حالات الأشخاص ذوي الإعاقة الموجودين في حالة احتجاز؛ </w:t>
      </w:r>
    </w:p>
    <w:p w:rsidR="00CC0F13" w:rsidRPr="004C4B32" w:rsidRDefault="00CC0F13" w:rsidP="004C4B32">
      <w:pPr>
        <w:pStyle w:val="SingleTxt"/>
        <w:numPr>
          <w:ilvl w:val="0"/>
          <w:numId w:val="36"/>
        </w:numPr>
        <w:tabs>
          <w:tab w:val="clear" w:pos="1930"/>
        </w:tabs>
        <w:spacing w:line="386" w:lineRule="exact"/>
        <w:rPr>
          <w:w w:val="100"/>
          <w:rtl/>
          <w:lang w:val="fr-FR"/>
        </w:rPr>
      </w:pPr>
      <w:r w:rsidRPr="004C4B32">
        <w:rPr>
          <w:w w:val="100"/>
          <w:rtl/>
          <w:lang w:val="fr-FR"/>
        </w:rPr>
        <w:t>مواءمة عمليات تدخل هيئات الخبراء في الإجراءات القضائية أو التمهيدية التي يكون الأشخاص ذوو الإعاقة طرف</w:t>
      </w:r>
      <w:r w:rsidR="00A71B00">
        <w:rPr>
          <w:w w:val="100"/>
          <w:rtl/>
          <w:lang w:val="fr-FR"/>
        </w:rPr>
        <w:t xml:space="preserve">اً </w:t>
      </w:r>
      <w:r w:rsidRPr="004C4B32">
        <w:rPr>
          <w:w w:val="100"/>
          <w:rtl/>
          <w:lang w:val="fr-FR"/>
        </w:rPr>
        <w:t>فيها؛</w:t>
      </w:r>
    </w:p>
    <w:p w:rsidR="00CC0F13" w:rsidRPr="004C4B32" w:rsidRDefault="00CC0F13" w:rsidP="004C4B32">
      <w:pPr>
        <w:pStyle w:val="SingleTxt"/>
        <w:numPr>
          <w:ilvl w:val="0"/>
          <w:numId w:val="36"/>
        </w:numPr>
        <w:tabs>
          <w:tab w:val="clear" w:pos="1930"/>
        </w:tabs>
        <w:spacing w:line="386" w:lineRule="exact"/>
        <w:rPr>
          <w:w w:val="100"/>
          <w:rtl/>
          <w:lang w:val="fr-FR"/>
        </w:rPr>
      </w:pPr>
      <w:r w:rsidRPr="004C4B32">
        <w:rPr>
          <w:w w:val="100"/>
          <w:rtl/>
          <w:lang w:val="fr-FR"/>
        </w:rPr>
        <w:t>تقديم المساعدة التقنية اللازمة لمواءمة القوانين وإصلاحها؛</w:t>
      </w:r>
    </w:p>
    <w:p w:rsidR="00CC0F13" w:rsidRPr="004C4B32" w:rsidRDefault="00CC0F13" w:rsidP="004C4B32">
      <w:pPr>
        <w:pStyle w:val="SingleTxt"/>
        <w:numPr>
          <w:ilvl w:val="0"/>
          <w:numId w:val="36"/>
        </w:numPr>
        <w:tabs>
          <w:tab w:val="clear" w:pos="1930"/>
        </w:tabs>
        <w:spacing w:line="386" w:lineRule="exact"/>
        <w:rPr>
          <w:w w:val="100"/>
          <w:rtl/>
          <w:lang w:val="fr-FR"/>
        </w:rPr>
      </w:pPr>
      <w:r w:rsidRPr="004C4B32">
        <w:rPr>
          <w:w w:val="100"/>
          <w:rtl/>
          <w:lang w:val="fr-FR"/>
        </w:rPr>
        <w:t>تعزيز التعاون بين الوكالات؛</w:t>
      </w:r>
    </w:p>
    <w:p w:rsidR="00CC0F13" w:rsidRPr="00307AAE" w:rsidRDefault="00CC0F13" w:rsidP="004C4B32">
      <w:pPr>
        <w:pStyle w:val="SingleTxt"/>
        <w:numPr>
          <w:ilvl w:val="0"/>
          <w:numId w:val="36"/>
        </w:numPr>
        <w:tabs>
          <w:tab w:val="clear" w:pos="1930"/>
        </w:tabs>
        <w:spacing w:line="386" w:lineRule="exact"/>
        <w:rPr>
          <w:w w:val="100"/>
          <w:kern w:val="0"/>
          <w:rtl/>
          <w:lang w:val="fr-FR"/>
        </w:rPr>
      </w:pPr>
      <w:r w:rsidRPr="00307AAE">
        <w:rPr>
          <w:w w:val="100"/>
          <w:kern w:val="0"/>
          <w:rtl/>
          <w:lang w:val="fr-FR"/>
        </w:rPr>
        <w:t xml:space="preserve">حفز التعاون وتبادل الخبرات مع المؤسسات والهيئات الدولية. </w:t>
      </w:r>
    </w:p>
    <w:p w:rsidR="00F933F5" w:rsidRPr="00F933F5"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F933F5" w:rsidP="00F933F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الأمانة الوطنية لشؤون الطفل والمراهق والأسرة</w:t>
      </w:r>
    </w:p>
    <w:p w:rsidR="00CC0F13" w:rsidRPr="00307AAE" w:rsidRDefault="00CC0F13" w:rsidP="00CC0F13">
      <w:pPr>
        <w:pStyle w:val="SingleTxt"/>
        <w:rPr>
          <w:w w:val="100"/>
          <w:kern w:val="0"/>
          <w:rtl/>
          <w:lang w:val="fr-FR"/>
        </w:rPr>
      </w:pPr>
      <w:r w:rsidRPr="00307AAE">
        <w:rPr>
          <w:w w:val="100"/>
          <w:kern w:val="0"/>
          <w:rtl/>
          <w:lang w:val="fr-FR"/>
        </w:rPr>
        <w:t>121-</w:t>
      </w:r>
      <w:r w:rsidRPr="00307AAE">
        <w:rPr>
          <w:w w:val="100"/>
          <w:kern w:val="0"/>
          <w:rtl/>
          <w:lang w:val="fr-FR"/>
        </w:rPr>
        <w:tab/>
        <w:t>يندرج القانون رقم 26061، المعتمد في عام 2005، ضمن مبادئ الرعاية الشاملة للأطفال والمراهقين.</w:t>
      </w:r>
    </w:p>
    <w:p w:rsidR="00CC0F13" w:rsidRPr="00307AAE" w:rsidRDefault="00CC0F13" w:rsidP="00CC0F13">
      <w:pPr>
        <w:pStyle w:val="SingleTxt"/>
        <w:rPr>
          <w:w w:val="100"/>
          <w:kern w:val="0"/>
          <w:rtl/>
          <w:lang w:val="fr-FR"/>
        </w:rPr>
      </w:pPr>
      <w:r w:rsidRPr="00307AAE">
        <w:rPr>
          <w:w w:val="100"/>
          <w:kern w:val="0"/>
          <w:rtl/>
          <w:lang w:val="fr-FR"/>
        </w:rPr>
        <w:t>122-</w:t>
      </w:r>
      <w:r w:rsidRPr="00307AAE">
        <w:rPr>
          <w:w w:val="100"/>
          <w:kern w:val="0"/>
          <w:rtl/>
          <w:lang w:val="fr-FR"/>
        </w:rPr>
        <w:tab/>
        <w:t>وأُنشئت بموجب هذا القانون الأمانةُ الوطنية لشؤون الطفل والمراهق والأسرة بوصفها الهيئة المتخصصة في مجال حقوق الطفل والمراهق التابعة للسلطة التنفيذية الوطنية، وبالتالي الموجهة للسياسات العامة في هذا المجال.</w:t>
      </w:r>
    </w:p>
    <w:p w:rsidR="00CC0F13" w:rsidRPr="00307AAE" w:rsidRDefault="00CC0F13" w:rsidP="00CC0F13">
      <w:pPr>
        <w:pStyle w:val="SingleTxt"/>
        <w:rPr>
          <w:w w:val="100"/>
          <w:kern w:val="0"/>
          <w:rtl/>
          <w:lang w:val="fr-FR"/>
        </w:rPr>
      </w:pPr>
      <w:r w:rsidRPr="00307AAE">
        <w:rPr>
          <w:w w:val="100"/>
          <w:kern w:val="0"/>
          <w:rtl/>
          <w:lang w:val="fr-FR"/>
        </w:rPr>
        <w:t>123-</w:t>
      </w:r>
      <w:r w:rsidRPr="00307AAE">
        <w:rPr>
          <w:w w:val="100"/>
          <w:kern w:val="0"/>
          <w:rtl/>
          <w:lang w:val="fr-FR"/>
        </w:rPr>
        <w:tab/>
        <w:t xml:space="preserve">ومن خلال المرسوم رقم 416/06، المنظم لهذا القانون، أنشأت السلطة التنفيذية الوطنية </w:t>
      </w:r>
      <w:r w:rsidRPr="00A71B00">
        <w:rPr>
          <w:spacing w:val="-4"/>
          <w:w w:val="100"/>
          <w:kern w:val="0"/>
          <w:rtl/>
          <w:lang w:val="fr-FR"/>
        </w:rPr>
        <w:t>وحدتها التابعة لوزارة التنمية الاجتماعية، لتضمن بذلك إنجاز عملها في إطار السياسات الاجتماعية</w:t>
      </w:r>
      <w:r w:rsidRPr="00307AAE">
        <w:rPr>
          <w:w w:val="100"/>
          <w:kern w:val="0"/>
          <w:rtl/>
          <w:lang w:val="fr-FR"/>
        </w:rPr>
        <w:t xml:space="preserve"> الشاملة، ومنحتها الاستقلال المالي بغرض تسريع وتيرة تنفيذ سياساتها.</w:t>
      </w:r>
    </w:p>
    <w:p w:rsidR="00CC0F13" w:rsidRPr="00307AAE" w:rsidRDefault="00CC0F13" w:rsidP="00CC0F13">
      <w:pPr>
        <w:pStyle w:val="SingleTxt"/>
        <w:rPr>
          <w:w w:val="100"/>
          <w:kern w:val="0"/>
          <w:rtl/>
          <w:lang w:val="fr-FR"/>
        </w:rPr>
      </w:pPr>
      <w:r w:rsidRPr="00307AAE">
        <w:rPr>
          <w:w w:val="100"/>
          <w:kern w:val="0"/>
          <w:rtl/>
          <w:lang w:val="fr-FR"/>
        </w:rPr>
        <w:t>124-</w:t>
      </w:r>
      <w:r w:rsidRPr="00307AAE">
        <w:rPr>
          <w:w w:val="100"/>
          <w:kern w:val="0"/>
          <w:rtl/>
          <w:lang w:val="fr-FR"/>
        </w:rPr>
        <w:tab/>
        <w:t>والهيئة المعنية بحماية الحقوق على الصعيد الاتحادي هي المجلس الاتحادي لشؤون الطفل والمراهق والأسرة الذي يتألف من المكلف بولاية الأمانة الوطنية لشؤون الطفل والمراهق والأسرة، وهو من يرأسها، ومن ممثلي هيئات حماية حقوق الطفل والمراهق والأسرة القائمة في كل محافظة وفي مدينة بوينس آيرس المستقلة ذاتياً. وأكد المجلس الاتحادي لشؤون الطفل والمراهق والأسرة، في جلسته الافتتاحية المعقودة في 15 كانون الأول/ديسمبر 2006، التزاماته بشأن ما يلي:</w:t>
      </w:r>
    </w:p>
    <w:p w:rsidR="00CC0F13" w:rsidRPr="00307AAE" w:rsidRDefault="00CC0F13" w:rsidP="00B83BCF">
      <w:pPr>
        <w:pStyle w:val="SingleTxt"/>
        <w:rPr>
          <w:w w:val="100"/>
          <w:kern w:val="0"/>
          <w:rtl/>
          <w:lang w:val="fr-FR"/>
        </w:rPr>
      </w:pPr>
      <w:r w:rsidRPr="00307AAE">
        <w:rPr>
          <w:w w:val="100"/>
          <w:kern w:val="0"/>
          <w:rtl/>
          <w:lang w:val="fr-FR"/>
        </w:rPr>
        <w:tab/>
        <w:t>(أ)</w:t>
      </w:r>
      <w:r w:rsidR="00B83BCF">
        <w:rPr>
          <w:rFonts w:hint="cs"/>
          <w:w w:val="100"/>
          <w:kern w:val="0"/>
          <w:rtl/>
          <w:lang w:val="fr-FR"/>
        </w:rPr>
        <w:tab/>
      </w:r>
      <w:r w:rsidRPr="00307AAE">
        <w:rPr>
          <w:w w:val="100"/>
          <w:kern w:val="0"/>
          <w:rtl/>
          <w:lang w:val="fr-FR"/>
        </w:rPr>
        <w:t>ترسيخ عملية التحول المؤسسي وتعزيز إجراءات مواءمة المعايير على صعيد الدولة والمحافظات والبلديات، على نحو يجعل مؤسسات الدولة وإطاراتها القانونية تتسق مع الحقوق والمبادئ والضمانات المكرسة في اتفاقية حقوق الطفل وتحترمها؛</w:t>
      </w:r>
    </w:p>
    <w:p w:rsidR="00CC0F13" w:rsidRPr="00307AAE" w:rsidRDefault="00CC0F13" w:rsidP="00B83BCF">
      <w:pPr>
        <w:pStyle w:val="SingleTxt"/>
        <w:rPr>
          <w:w w:val="100"/>
          <w:kern w:val="0"/>
          <w:rtl/>
          <w:lang w:val="fr-FR"/>
        </w:rPr>
      </w:pPr>
      <w:r w:rsidRPr="00307AAE">
        <w:rPr>
          <w:w w:val="100"/>
          <w:kern w:val="0"/>
          <w:rtl/>
          <w:lang w:val="fr-FR"/>
        </w:rPr>
        <w:tab/>
        <w:t>(ب)</w:t>
      </w:r>
      <w:r w:rsidR="00B83BCF">
        <w:rPr>
          <w:rFonts w:hint="cs"/>
          <w:w w:val="100"/>
          <w:kern w:val="0"/>
          <w:rtl/>
          <w:lang w:val="fr-FR"/>
        </w:rPr>
        <w:tab/>
      </w:r>
      <w:r w:rsidRPr="00307AAE">
        <w:rPr>
          <w:w w:val="100"/>
          <w:kern w:val="0"/>
          <w:rtl/>
          <w:lang w:val="fr-FR"/>
        </w:rPr>
        <w:t>اعتماد أشكال تنظيمية على جميع مستويات الإدارة، من شأنها ضمان نظام صارم للحماية الشاملة لحقوق الأطفال والمراهقين، يعزز التمتع الشامل بالحقوق وله القدرة على المواجهة الفعالة والملائمة لما قد يلحق هذه الحقوق من تهديد أو انتهاك، مع إقرار خاصيات كل مجتمع في عمليات التدخل؛</w:t>
      </w:r>
    </w:p>
    <w:p w:rsidR="00CC0F13" w:rsidRPr="00307AAE" w:rsidRDefault="00CC0F13" w:rsidP="00B83BCF">
      <w:pPr>
        <w:pStyle w:val="SingleTxt"/>
        <w:rPr>
          <w:w w:val="100"/>
          <w:kern w:val="0"/>
          <w:rtl/>
          <w:lang w:val="fr-FR"/>
        </w:rPr>
      </w:pPr>
      <w:r w:rsidRPr="00307AAE">
        <w:rPr>
          <w:w w:val="100"/>
          <w:kern w:val="0"/>
          <w:rtl/>
          <w:lang w:val="fr-FR"/>
        </w:rPr>
        <w:tab/>
        <w:t>(ج)</w:t>
      </w:r>
      <w:r w:rsidR="00B83BCF">
        <w:rPr>
          <w:rFonts w:hint="cs"/>
          <w:w w:val="100"/>
          <w:kern w:val="0"/>
          <w:rtl/>
          <w:lang w:val="fr-FR"/>
        </w:rPr>
        <w:tab/>
      </w:r>
      <w:r w:rsidRPr="00307AAE">
        <w:rPr>
          <w:w w:val="100"/>
          <w:kern w:val="0"/>
          <w:rtl/>
          <w:lang w:val="fr-FR"/>
        </w:rPr>
        <w:t>تعزيز مشاركة المجتمع، من خلال منظماته، في إعداد وتنفيذ سياسات تعزيز الحقوق وحمايتها و/أو استعادتها، وممارسة الأطفال والمراهقين لحقهم في الاستماع إليهم وحقهم في المشاركة؛</w:t>
      </w:r>
    </w:p>
    <w:p w:rsidR="00CC0F13" w:rsidRPr="00B83BCF" w:rsidRDefault="00CC0F13" w:rsidP="00B83BCF">
      <w:pPr>
        <w:pStyle w:val="SingleTxt"/>
        <w:rPr>
          <w:spacing w:val="-2"/>
          <w:w w:val="100"/>
          <w:kern w:val="0"/>
          <w:rtl/>
          <w:lang w:val="fr-FR"/>
        </w:rPr>
      </w:pPr>
      <w:r w:rsidRPr="00B83BCF">
        <w:rPr>
          <w:spacing w:val="-2"/>
          <w:w w:val="100"/>
          <w:kern w:val="0"/>
          <w:rtl/>
          <w:lang w:val="fr-FR"/>
        </w:rPr>
        <w:tab/>
        <w:t>(د)</w:t>
      </w:r>
      <w:r w:rsidR="00B83BCF" w:rsidRPr="00B83BCF">
        <w:rPr>
          <w:rFonts w:hint="cs"/>
          <w:spacing w:val="-2"/>
          <w:w w:val="100"/>
          <w:kern w:val="0"/>
          <w:rtl/>
          <w:lang w:val="fr-FR"/>
        </w:rPr>
        <w:tab/>
      </w:r>
      <w:r w:rsidRPr="00B83BCF">
        <w:rPr>
          <w:spacing w:val="-2"/>
          <w:w w:val="100"/>
          <w:kern w:val="0"/>
          <w:rtl/>
          <w:lang w:val="fr-FR"/>
        </w:rPr>
        <w:t>تعزيز عمليات مراجعة وتغيير الممارسات المؤسسية إزاء الأطفال والمراهقين بمواءمتها مع نموذج الحماية الشاملة، وتفادي تداخل الجهود، وازدواجية الهياكل، والتأخر في تحقيق الأهداف، وذلك من أجل توحيد الموارد والدوائر الإدارية وتنسيقها والاستفادة القصوى منها. وإعداد المعايير الدنيا لنوعية المساعدة، وبروتوكولات التدخل ونظم التسجيل في مجالات الطفولة، مع التركيز بشكل خاص على الأطفال والمراهقين المحرومين من الرعاية الأبوية.</w:t>
      </w:r>
    </w:p>
    <w:p w:rsidR="00CC0F13" w:rsidRPr="00307AAE" w:rsidRDefault="00B83BCF" w:rsidP="00B83B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المجلس الوطني لشؤون المرأة</w:t>
      </w:r>
    </w:p>
    <w:p w:rsidR="00CC0F13" w:rsidRPr="00307AAE" w:rsidRDefault="00CC0F13" w:rsidP="00CC0F13">
      <w:pPr>
        <w:pStyle w:val="SingleTxt"/>
        <w:rPr>
          <w:w w:val="100"/>
          <w:kern w:val="0"/>
          <w:rtl/>
          <w:lang w:val="fr-FR"/>
        </w:rPr>
      </w:pPr>
      <w:r w:rsidRPr="00307AAE">
        <w:rPr>
          <w:w w:val="100"/>
          <w:kern w:val="0"/>
          <w:rtl/>
          <w:lang w:val="fr-FR"/>
        </w:rPr>
        <w:t>125-</w:t>
      </w:r>
      <w:r w:rsidRPr="00307AAE">
        <w:rPr>
          <w:w w:val="100"/>
          <w:kern w:val="0"/>
          <w:rtl/>
          <w:lang w:val="fr-FR"/>
        </w:rPr>
        <w:tab/>
        <w:t>لدى الأرجنتين آلية وطنية للنهوض بالمرأة، تسمى المجلس الوطني لشؤون المرأة، وهي تابعة للمجلس الوطني لتنسيق السياسات الاجتماعية. والمجلس الوطني لشؤون المرأة هو الهيئة المكلفة بالسياسات العامة لتكافؤ الفرص والمساواة في المعاملة بين المرأة والرجل بغرض تعزيز عملية تحول اجتماعي وثقافي قائمة على المشاركة الكاملة والمتكافئة للمرأة في الحياة الاقتصادية والثقافية للبلد. ومن بين أهدافه المحددة حفز ورصد التنفيذ الفعلي لاتفاقية القضاء على جميع أشكال التمييز ضد المرأة، التي اكتسبت الصبغة الدستورية في البلد منذ عام 1994، واتفاقية البلدان الأمريكية لمنع العنف ضد المرأة والمعاقبة والقضاء عليه (المعروفة باتفاقية بيليم دو بارا).</w:t>
      </w:r>
    </w:p>
    <w:p w:rsidR="00CC0F13" w:rsidRPr="00307AAE" w:rsidRDefault="00CC0F13" w:rsidP="00B83BCF">
      <w:pPr>
        <w:pStyle w:val="SingleTxt"/>
        <w:spacing w:line="390" w:lineRule="exact"/>
        <w:rPr>
          <w:w w:val="100"/>
          <w:kern w:val="0"/>
          <w:rtl/>
          <w:lang w:val="fr-FR"/>
        </w:rPr>
      </w:pPr>
      <w:r w:rsidRPr="00307AAE">
        <w:rPr>
          <w:w w:val="100"/>
          <w:kern w:val="0"/>
          <w:rtl/>
          <w:lang w:val="fr-FR"/>
        </w:rPr>
        <w:t>126-</w:t>
      </w:r>
      <w:r w:rsidRPr="00307AAE">
        <w:rPr>
          <w:w w:val="100"/>
          <w:kern w:val="0"/>
          <w:rtl/>
          <w:lang w:val="fr-FR"/>
        </w:rPr>
        <w:tab/>
        <w:t>وبالإضافة إلى ذلك، فالمجلس الوطني لشؤون المرأة هو الهيئة المسؤولة عن تنفيذ القانون رقم</w:t>
      </w:r>
      <w:r w:rsidR="00B83BCF">
        <w:rPr>
          <w:rFonts w:hint="cs"/>
          <w:w w:val="100"/>
          <w:kern w:val="0"/>
          <w:rtl/>
          <w:lang w:val="fr-FR"/>
        </w:rPr>
        <w:t> </w:t>
      </w:r>
      <w:r w:rsidRPr="00307AAE">
        <w:rPr>
          <w:w w:val="100"/>
          <w:kern w:val="0"/>
          <w:rtl/>
          <w:lang w:val="fr-FR"/>
        </w:rPr>
        <w:t>26485، أي القانون الوطني لمنع العنف ضد المرأة والمعاقبة والقضاء عليه في نطاق علاقاتها الشخصية مع غيرها، المعتمد في عام 2009. ووسع هذا القانون نطاق تعريف العنف ضد المرأة الذي كان ساري</w:t>
      </w:r>
      <w:r w:rsidR="00A71B00">
        <w:rPr>
          <w:w w:val="100"/>
          <w:kern w:val="0"/>
          <w:rtl/>
          <w:lang w:val="fr-FR"/>
        </w:rPr>
        <w:t xml:space="preserve">اً </w:t>
      </w:r>
      <w:r w:rsidRPr="00307AAE">
        <w:rPr>
          <w:w w:val="100"/>
          <w:kern w:val="0"/>
          <w:rtl/>
          <w:lang w:val="fr-FR"/>
        </w:rPr>
        <w:t>حتى ذلك الحين في القوانين الوطنية، وذلك بإدخال مجموعة من أنواع العنف (البدني والنفسي والجنسي والاقتصادي والمادي والرمزي) وأنماطه (في المنزل والمؤسسات وأماكن العمل وأقسام الولادة ووسائط الإعلام).</w:t>
      </w:r>
    </w:p>
    <w:p w:rsidR="00B83BCF" w:rsidRPr="00B83BCF" w:rsidRDefault="00B83BCF" w:rsidP="00B83BC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B83BCF" w:rsidP="00B83B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المعهد الوطني لشؤون السكان الأصليين</w:t>
      </w:r>
    </w:p>
    <w:p w:rsidR="00CC0F13" w:rsidRPr="00307AAE" w:rsidRDefault="00CC0F13" w:rsidP="00B83BCF">
      <w:pPr>
        <w:pStyle w:val="SingleTxt"/>
        <w:spacing w:line="386" w:lineRule="exact"/>
        <w:rPr>
          <w:w w:val="100"/>
          <w:kern w:val="0"/>
          <w:rtl/>
          <w:lang w:val="fr-FR"/>
        </w:rPr>
      </w:pPr>
      <w:r w:rsidRPr="00307AAE">
        <w:rPr>
          <w:w w:val="100"/>
          <w:kern w:val="0"/>
          <w:rtl/>
          <w:lang w:val="fr-FR"/>
        </w:rPr>
        <w:t>127-</w:t>
      </w:r>
      <w:r w:rsidRPr="00307AAE">
        <w:rPr>
          <w:w w:val="100"/>
          <w:kern w:val="0"/>
          <w:rtl/>
          <w:lang w:val="fr-FR"/>
        </w:rPr>
        <w:tab/>
        <w:t>أُنشئت هذه الهيئة اللامركزية في أيلول/سبتمبر 1985، بموجب القانون رقم 23302،</w:t>
      </w:r>
      <w:r w:rsidR="00A71B00">
        <w:rPr>
          <w:w w:val="100"/>
          <w:kern w:val="0"/>
          <w:rtl/>
          <w:lang w:val="fr-FR"/>
        </w:rPr>
        <w:t xml:space="preserve"> </w:t>
      </w:r>
      <w:r w:rsidRPr="00307AAE">
        <w:rPr>
          <w:w w:val="100"/>
          <w:kern w:val="0"/>
          <w:rtl/>
          <w:lang w:val="fr-FR"/>
        </w:rPr>
        <w:t>بوصفها كيان</w:t>
      </w:r>
      <w:r w:rsidR="00A71B00">
        <w:rPr>
          <w:w w:val="100"/>
          <w:kern w:val="0"/>
          <w:rtl/>
          <w:lang w:val="fr-FR"/>
        </w:rPr>
        <w:t xml:space="preserve">اً </w:t>
      </w:r>
      <w:r w:rsidRPr="00307AAE">
        <w:rPr>
          <w:w w:val="100"/>
          <w:kern w:val="0"/>
          <w:rtl/>
          <w:lang w:val="fr-FR"/>
        </w:rPr>
        <w:t>لا</w:t>
      </w:r>
      <w:r w:rsidR="00B83BCF">
        <w:rPr>
          <w:rFonts w:hint="cs"/>
          <w:w w:val="100"/>
          <w:kern w:val="0"/>
          <w:rtl/>
          <w:lang w:val="fr-FR"/>
        </w:rPr>
        <w:t xml:space="preserve"> </w:t>
      </w:r>
      <w:r w:rsidRPr="00307AAE">
        <w:rPr>
          <w:w w:val="100"/>
          <w:kern w:val="0"/>
          <w:rtl/>
          <w:lang w:val="fr-FR"/>
        </w:rPr>
        <w:t>مركزي</w:t>
      </w:r>
      <w:r w:rsidR="00955E01">
        <w:rPr>
          <w:w w:val="100"/>
          <w:kern w:val="0"/>
          <w:rtl/>
          <w:lang w:val="fr-FR"/>
        </w:rPr>
        <w:t>اً،</w:t>
      </w:r>
      <w:r w:rsidRPr="00307AAE">
        <w:rPr>
          <w:w w:val="100"/>
          <w:kern w:val="0"/>
          <w:rtl/>
          <w:lang w:val="fr-FR"/>
        </w:rPr>
        <w:t xml:space="preserve"> بمشاركة السكان الأصليين، وينظم شؤونها المرسوم رقم 155 الصادر في شباط/فبراير 1989. وهدفها الرئيسي كفالة ممارسة المنتمين إلى الشعوب الأصلية لحقهم في المواطنة الكاملة، حيث يضمن إعمال الحقوق المكرسة دستوري</w:t>
      </w:r>
      <w:r w:rsidR="00A71B00">
        <w:rPr>
          <w:w w:val="100"/>
          <w:kern w:val="0"/>
          <w:rtl/>
          <w:lang w:val="fr-FR"/>
        </w:rPr>
        <w:t xml:space="preserve">اً </w:t>
      </w:r>
      <w:r w:rsidRPr="00307AAE">
        <w:rPr>
          <w:w w:val="100"/>
          <w:kern w:val="0"/>
          <w:rtl/>
          <w:lang w:val="fr-FR"/>
        </w:rPr>
        <w:t xml:space="preserve">(الفقرة 17 من المادة 75). </w:t>
      </w:r>
    </w:p>
    <w:p w:rsidR="00CC0F13" w:rsidRPr="00307AAE" w:rsidRDefault="00CC0F13" w:rsidP="00B83BCF">
      <w:pPr>
        <w:pStyle w:val="SingleTxt"/>
        <w:spacing w:line="386" w:lineRule="exact"/>
        <w:rPr>
          <w:w w:val="100"/>
          <w:kern w:val="0"/>
          <w:rtl/>
          <w:lang w:val="fr-FR"/>
        </w:rPr>
      </w:pPr>
      <w:r w:rsidRPr="00307AAE">
        <w:rPr>
          <w:w w:val="100"/>
          <w:kern w:val="0"/>
          <w:rtl/>
          <w:lang w:val="fr-FR"/>
        </w:rPr>
        <w:t>128-</w:t>
      </w:r>
      <w:r w:rsidRPr="00307AAE">
        <w:rPr>
          <w:w w:val="100"/>
          <w:kern w:val="0"/>
          <w:rtl/>
          <w:lang w:val="fr-FR"/>
        </w:rPr>
        <w:tab/>
        <w:t>وهدف المعهد الوطني لشؤون السكان الأصليين تقديم الرعاية والدعم للسكان الأصليين والمجتمعات الأصلية الموجودة في البلد، وكفالة حمايتها وتنميتها، ومشاركتها الكاملة في الحياة الاجتماعية والاقتصادية والثقافية للبلد، مع احترام قيمها وأنماط عيشها الخاصة، وذلك من خلال تنفيذ برامج تتيح حصولها على ملكية الأراضي وتعزيز إنتاجها الزراعي والغابوي والمعدني والصناعي أو التقليدي بجميع فروعه، والمحافظة على أنماطها الثقافية في الخطط المتعلقة بالتعليم وحماية صحة المنتمين إليها، وذلك وفق ما ينص عليه المرسوم رقم 410/06 المنظم للهيكل التنظيمي للمعهد.</w:t>
      </w:r>
    </w:p>
    <w:p w:rsidR="00CC0F13" w:rsidRPr="00307AAE" w:rsidRDefault="00CC0F13" w:rsidP="00B83BCF">
      <w:pPr>
        <w:pStyle w:val="SingleTxt"/>
        <w:spacing w:line="386" w:lineRule="exact"/>
        <w:rPr>
          <w:w w:val="100"/>
          <w:kern w:val="0"/>
          <w:rtl/>
          <w:lang w:val="fr-FR"/>
        </w:rPr>
      </w:pPr>
      <w:r w:rsidRPr="00307AAE">
        <w:rPr>
          <w:w w:val="100"/>
          <w:kern w:val="0"/>
          <w:rtl/>
          <w:lang w:val="fr-FR"/>
        </w:rPr>
        <w:t>129-</w:t>
      </w:r>
      <w:r w:rsidRPr="00307AAE">
        <w:rPr>
          <w:w w:val="100"/>
          <w:kern w:val="0"/>
          <w:rtl/>
          <w:lang w:val="fr-FR"/>
        </w:rPr>
        <w:tab/>
        <w:t xml:space="preserve">وبوصف هذا المعهد هيئة مكلفة بتنفيذ السياسة المتعلقة بالسكان الأصليين، فهو يحفز </w:t>
      </w:r>
      <w:r w:rsidRPr="00B83BCF">
        <w:rPr>
          <w:spacing w:val="-2"/>
          <w:w w:val="100"/>
          <w:kern w:val="0"/>
          <w:rtl/>
          <w:lang w:val="fr-FR"/>
        </w:rPr>
        <w:t>مشاركة المجتمعات في رسم وإدارة سياسات الدولة المتصلة بها، مع مراعاة أشكال تنظيمها التقليدي،</w:t>
      </w:r>
      <w:r w:rsidRPr="00307AAE">
        <w:rPr>
          <w:w w:val="100"/>
          <w:kern w:val="0"/>
          <w:rtl/>
          <w:lang w:val="fr-FR"/>
        </w:rPr>
        <w:t xml:space="preserve"> وكفالة تعزيز الهويات الإثنية والثقافية، وإنشاء الأسس اللازمة لتنمية شاملة ومستدامة ومتوافقة مع</w:t>
      </w:r>
      <w:r w:rsidR="00B83BCF">
        <w:rPr>
          <w:rFonts w:hint="cs"/>
          <w:w w:val="100"/>
          <w:kern w:val="0"/>
          <w:rtl/>
          <w:lang w:val="fr-FR"/>
        </w:rPr>
        <w:t> </w:t>
      </w:r>
      <w:r w:rsidRPr="00307AAE">
        <w:rPr>
          <w:w w:val="100"/>
          <w:kern w:val="0"/>
          <w:rtl/>
          <w:lang w:val="fr-FR"/>
        </w:rPr>
        <w:t>الحفاظ على البيئة في الأقاليم التي تقطنها هذه المجتمعات.</w:t>
      </w:r>
    </w:p>
    <w:p w:rsidR="00CC0F13" w:rsidRPr="00307AAE" w:rsidRDefault="00CC0F13" w:rsidP="00CC0F13">
      <w:pPr>
        <w:pStyle w:val="SingleTxt"/>
        <w:rPr>
          <w:w w:val="100"/>
          <w:kern w:val="0"/>
          <w:rtl/>
          <w:lang w:val="fr-FR"/>
        </w:rPr>
      </w:pPr>
      <w:r w:rsidRPr="00307AAE">
        <w:rPr>
          <w:w w:val="100"/>
          <w:kern w:val="0"/>
          <w:rtl/>
          <w:lang w:val="fr-FR"/>
        </w:rPr>
        <w:t>130-</w:t>
      </w:r>
      <w:r w:rsidRPr="00307AAE">
        <w:rPr>
          <w:w w:val="100"/>
          <w:kern w:val="0"/>
          <w:rtl/>
          <w:lang w:val="fr-FR"/>
        </w:rPr>
        <w:tab/>
        <w:t>ومن جهة أخرى، يحفز المعهد الوطني لشؤون السكان الأصليين، بالتنسيق مع وزارة التعليم الوطنية، تنفيذ نموذج التعليم المشترك بين الثقافات الثنائي اللغة، وذلك من أجل تعزيز قيمة ثقافة الشعوب الأصلية ولغاتها الأم ورؤيتها الكونية وتوطيدها.</w:t>
      </w:r>
    </w:p>
    <w:p w:rsidR="00CC0F13" w:rsidRPr="00307AAE" w:rsidRDefault="00CC0F13" w:rsidP="00CC0F13">
      <w:pPr>
        <w:pStyle w:val="SingleTxt"/>
        <w:rPr>
          <w:w w:val="100"/>
          <w:kern w:val="0"/>
          <w:rtl/>
          <w:lang w:val="fr-FR"/>
        </w:rPr>
      </w:pPr>
      <w:r w:rsidRPr="00307AAE">
        <w:rPr>
          <w:w w:val="100"/>
          <w:kern w:val="0"/>
          <w:rtl/>
          <w:lang w:val="fr-FR"/>
        </w:rPr>
        <w:t>131-</w:t>
      </w:r>
      <w:r w:rsidRPr="00307AAE">
        <w:rPr>
          <w:w w:val="100"/>
          <w:kern w:val="0"/>
          <w:rtl/>
          <w:lang w:val="fr-FR"/>
        </w:rPr>
        <w:tab/>
        <w:t>وتجدر الإشارة إلى مبادرات الحكومة الوطنية التالية:</w:t>
      </w:r>
    </w:p>
    <w:p w:rsidR="00B83BCF" w:rsidRPr="00B83BCF" w:rsidRDefault="00B83BCF" w:rsidP="00B83BC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B83BCF" w:rsidP="00B83B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الخطة الوطنية لحقوق الإنسان</w:t>
      </w:r>
    </w:p>
    <w:p w:rsidR="00CC0F13" w:rsidRPr="00B83BCF" w:rsidRDefault="00CC0F13" w:rsidP="00145307">
      <w:pPr>
        <w:pStyle w:val="SingleTxt"/>
        <w:rPr>
          <w:spacing w:val="-5"/>
          <w:w w:val="100"/>
          <w:kern w:val="0"/>
          <w:rtl/>
          <w:lang w:val="fr-FR"/>
        </w:rPr>
      </w:pPr>
      <w:r w:rsidRPr="00B83BCF">
        <w:rPr>
          <w:spacing w:val="-5"/>
          <w:w w:val="100"/>
          <w:kern w:val="0"/>
          <w:rtl/>
          <w:lang w:val="fr-FR"/>
        </w:rPr>
        <w:t>132-</w:t>
      </w:r>
      <w:r w:rsidRPr="00B83BCF">
        <w:rPr>
          <w:spacing w:val="-5"/>
          <w:w w:val="100"/>
          <w:kern w:val="0"/>
          <w:rtl/>
          <w:lang w:val="fr-FR"/>
        </w:rPr>
        <w:tab/>
        <w:t>تقرر وضع هذه الخطة في كانون الأول/ديسمبر 2010، وقد أفسحت عملية صياغتها مجال</w:t>
      </w:r>
      <w:r w:rsidR="00A71B00">
        <w:rPr>
          <w:spacing w:val="-5"/>
          <w:w w:val="100"/>
          <w:kern w:val="0"/>
          <w:rtl/>
          <w:lang w:val="fr-FR"/>
        </w:rPr>
        <w:t xml:space="preserve">اً </w:t>
      </w:r>
      <w:r w:rsidRPr="00B83BCF">
        <w:rPr>
          <w:spacing w:val="-5"/>
          <w:w w:val="100"/>
          <w:kern w:val="0"/>
          <w:rtl/>
          <w:lang w:val="fr-FR"/>
        </w:rPr>
        <w:t>للحوار والمشاركة الديمقراطية. وتستند الخطة إلى دعم مختلف الجهات الحكومية التي ترسم سياسة حقوق الإنسان وتتكلف بمتابعة وتنفيذ التوصيات المقدمة في إطار الاستعراض الدوري الشامل. وتشمل الخطة مجموعة من الالتزامات المتعلقة بعمل الدولة الرامية إلى توطيد نظام حماية وتعزيز حقوق الإنسان في مختلف مجالات عمل الحكومة، وتشكل إطار</w:t>
      </w:r>
      <w:r w:rsidR="00A71B00">
        <w:rPr>
          <w:spacing w:val="-5"/>
          <w:w w:val="100"/>
          <w:kern w:val="0"/>
          <w:rtl/>
          <w:lang w:val="fr-FR"/>
        </w:rPr>
        <w:t xml:space="preserve">اً </w:t>
      </w:r>
      <w:r w:rsidRPr="00B83BCF">
        <w:rPr>
          <w:spacing w:val="-5"/>
          <w:w w:val="100"/>
          <w:kern w:val="0"/>
          <w:rtl/>
          <w:lang w:val="fr-FR"/>
        </w:rPr>
        <w:t xml:space="preserve">للعمل يراعي المقترحات والتوصيات القائمة على المبادئ المعتمدة في مجال ترسيخ الديمقراطية والتنمية واحترام حقوق الإنسان. ومن بين العناصر الأساسية للخطة تعزيز الحقوق الاقتصادية والاجتماعية والثقافية التي تُعتبر عالمية وشاملة ومترابطة وتتطلب </w:t>
      </w:r>
      <w:r w:rsidR="00145307">
        <w:rPr>
          <w:rFonts w:hint="cs"/>
          <w:spacing w:val="-5"/>
          <w:w w:val="100"/>
          <w:kern w:val="0"/>
          <w:rtl/>
          <w:lang w:val="fr-FR"/>
        </w:rPr>
        <w:t xml:space="preserve">متابعةً وتنفيذاً </w:t>
      </w:r>
      <w:r w:rsidRPr="00B83BCF">
        <w:rPr>
          <w:spacing w:val="-5"/>
          <w:w w:val="100"/>
          <w:kern w:val="0"/>
          <w:rtl/>
          <w:lang w:val="fr-FR"/>
        </w:rPr>
        <w:t>تدريجيين. كما أن سياسات العدالة والحقيقة وسياسات الاستذكار تعد بدورها أساسية. وتشمل الخطة الوطنية لحقوق الإنسان ثلاثة محاور ذات أولوية هي: المساواة وعدم التمييز، وضمانات التمتع بالحقوق، والإدماج الاجتماعي.</w:t>
      </w:r>
    </w:p>
    <w:p w:rsidR="00CC0F13" w:rsidRPr="00307AAE" w:rsidRDefault="00145307" w:rsidP="00CC0F13">
      <w:pPr>
        <w:pStyle w:val="SingleTxt"/>
        <w:rPr>
          <w:w w:val="100"/>
          <w:kern w:val="0"/>
          <w:rtl/>
          <w:lang w:val="fr-FR"/>
        </w:rPr>
      </w:pPr>
      <w:r>
        <w:rPr>
          <w:rFonts w:hint="cs"/>
          <w:w w:val="100"/>
          <w:kern w:val="0"/>
          <w:rtl/>
          <w:lang w:val="fr-FR"/>
        </w:rPr>
        <w:t xml:space="preserve">138- </w:t>
      </w:r>
      <w:r w:rsidR="00CC0F13" w:rsidRPr="00307AAE">
        <w:rPr>
          <w:w w:val="100"/>
          <w:kern w:val="0"/>
          <w:rtl/>
          <w:lang w:val="fr-FR"/>
        </w:rPr>
        <w:t>المنهجية:</w:t>
      </w:r>
    </w:p>
    <w:p w:rsidR="00CC0F13" w:rsidRPr="004C4B32" w:rsidRDefault="00CC0F13" w:rsidP="004C4B32">
      <w:pPr>
        <w:pStyle w:val="SingleTxt"/>
        <w:numPr>
          <w:ilvl w:val="0"/>
          <w:numId w:val="36"/>
        </w:numPr>
        <w:tabs>
          <w:tab w:val="clear" w:pos="1930"/>
        </w:tabs>
        <w:spacing w:line="386" w:lineRule="exact"/>
        <w:rPr>
          <w:w w:val="100"/>
          <w:rtl/>
          <w:lang w:val="fr-FR"/>
        </w:rPr>
      </w:pPr>
      <w:r w:rsidRPr="004C4B32">
        <w:rPr>
          <w:w w:val="100"/>
          <w:rtl/>
          <w:lang w:val="fr-FR"/>
        </w:rPr>
        <w:t>الاستقصاء. ويشمل: (أ) الحوار على الصعيد الاتحادي؛ (ب) الحوار بين هيئات الولايات القضائية على الصعيد الوطني؛ (ج) مشاورة الفاعلين في المجتمع المدني والخبراء؛ (د) مشاورة المواطنين؛</w:t>
      </w:r>
    </w:p>
    <w:p w:rsidR="00CC0F13" w:rsidRPr="004C4B32" w:rsidRDefault="00CC0F13" w:rsidP="004C4B32">
      <w:pPr>
        <w:pStyle w:val="SingleTxt"/>
        <w:numPr>
          <w:ilvl w:val="0"/>
          <w:numId w:val="36"/>
        </w:numPr>
        <w:tabs>
          <w:tab w:val="clear" w:pos="1930"/>
        </w:tabs>
        <w:spacing w:line="386" w:lineRule="exact"/>
        <w:rPr>
          <w:w w:val="100"/>
          <w:rtl/>
          <w:lang w:val="fr-FR"/>
        </w:rPr>
      </w:pPr>
      <w:r w:rsidRPr="004C4B32">
        <w:rPr>
          <w:w w:val="100"/>
          <w:rtl/>
          <w:lang w:val="fr-FR"/>
        </w:rPr>
        <w:t>التنظيم المنهجي للمعلومات؛</w:t>
      </w:r>
    </w:p>
    <w:p w:rsidR="00CC0F13" w:rsidRPr="004C4B32" w:rsidRDefault="00CC0F13" w:rsidP="004C4B32">
      <w:pPr>
        <w:pStyle w:val="SingleTxt"/>
        <w:numPr>
          <w:ilvl w:val="0"/>
          <w:numId w:val="36"/>
        </w:numPr>
        <w:tabs>
          <w:tab w:val="clear" w:pos="1930"/>
        </w:tabs>
        <w:spacing w:line="386" w:lineRule="exact"/>
        <w:rPr>
          <w:w w:val="100"/>
          <w:rtl/>
          <w:lang w:val="fr-FR"/>
        </w:rPr>
      </w:pPr>
      <w:r w:rsidRPr="004C4B32">
        <w:rPr>
          <w:w w:val="100"/>
          <w:rtl/>
          <w:lang w:val="fr-FR"/>
        </w:rPr>
        <w:t>إعداد المقترحات؛</w:t>
      </w:r>
    </w:p>
    <w:p w:rsidR="00CC0F13" w:rsidRPr="00307AAE" w:rsidRDefault="00CC0F13" w:rsidP="004C4B32">
      <w:pPr>
        <w:pStyle w:val="SingleTxt"/>
        <w:numPr>
          <w:ilvl w:val="0"/>
          <w:numId w:val="36"/>
        </w:numPr>
        <w:tabs>
          <w:tab w:val="clear" w:pos="1930"/>
        </w:tabs>
        <w:spacing w:line="386" w:lineRule="exact"/>
        <w:rPr>
          <w:w w:val="100"/>
          <w:kern w:val="0"/>
          <w:rtl/>
          <w:lang w:val="fr-FR"/>
        </w:rPr>
      </w:pPr>
      <w:r w:rsidRPr="00307AAE">
        <w:rPr>
          <w:w w:val="100"/>
          <w:kern w:val="0"/>
          <w:rtl/>
          <w:lang w:val="fr-FR"/>
        </w:rPr>
        <w:t>صياغة الخطة.</w:t>
      </w:r>
    </w:p>
    <w:p w:rsidR="00B83BCF" w:rsidRPr="00B83BCF" w:rsidRDefault="00B83BCF" w:rsidP="00B83BC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B83BCF" w:rsidP="00B83B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معهد السياسات العامة لحقوق الإنسان التابع للسوق الجنوبية المشتركة</w:t>
      </w:r>
    </w:p>
    <w:p w:rsidR="00CC0F13" w:rsidRPr="00307AAE" w:rsidRDefault="00CC0F13" w:rsidP="00B83BCF">
      <w:pPr>
        <w:pStyle w:val="SingleTxt"/>
        <w:spacing w:line="380" w:lineRule="exact"/>
        <w:rPr>
          <w:w w:val="100"/>
          <w:kern w:val="0"/>
          <w:rtl/>
          <w:lang w:val="fr-FR"/>
        </w:rPr>
      </w:pPr>
      <w:r w:rsidRPr="00307AAE">
        <w:rPr>
          <w:w w:val="100"/>
          <w:kern w:val="0"/>
          <w:rtl/>
          <w:lang w:val="fr-FR"/>
        </w:rPr>
        <w:t>133-</w:t>
      </w:r>
      <w:r w:rsidRPr="00307AAE">
        <w:rPr>
          <w:w w:val="100"/>
          <w:kern w:val="0"/>
          <w:rtl/>
          <w:lang w:val="fr-FR"/>
        </w:rPr>
        <w:tab/>
        <w:t>وافق مجلس وزراء السوق الجنوبية المشتركة على إنشاء معهد السياسات العامة لحقوق الإنسان في سياق الاجتماع السابع عشر للسلطات العليا المعنية بحقوق الإنسان، خلال فترة رئاسة الأرجنتين المؤقتة لهذه السوق. وبغرض تنسيق السياسات المشتركة فيما يتعلق بمعالجة المسائل المتصلة بحقوق الإنسان، يسهر هذا المعهد على بلورة السياسات العامة في المنطقة كلها وتصميمها ومتابعة تنفيذها، وعلى اعتماد المعايير الدولية في هذا المجال. ولهذا الغرض، يسعى إلى سد الثغرات القانونية في مجال حماية حقوق الأطفال والمراهقين، والقضاء على جريمتي الاتجار بالأشخاص وتهريبهم، وضمان حماية حقوق الأشخاص ذوي الإعاقة وعدم التمييز ضد جماعات المثليات والمثليين ومزدوجي الميل الجنسي ومغايري الهوية الجنسانية وحاملي صفات الجنسين.</w:t>
      </w:r>
    </w:p>
    <w:p w:rsidR="00B83BCF" w:rsidRPr="00B83BCF" w:rsidRDefault="00B83BCF" w:rsidP="00B83BC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B83BCF" w:rsidP="00B83B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rFonts w:hint="cs"/>
          <w:w w:val="100"/>
          <w:rtl/>
          <w:lang w:val="fr-FR"/>
        </w:rPr>
        <w:tab/>
      </w:r>
      <w:r>
        <w:rPr>
          <w:rFonts w:hint="cs"/>
          <w:w w:val="100"/>
          <w:rtl/>
          <w:lang w:val="fr-FR"/>
        </w:rPr>
        <w:tab/>
      </w:r>
      <w:r w:rsidR="00CC0F13" w:rsidRPr="00307AAE">
        <w:rPr>
          <w:w w:val="100"/>
          <w:rtl/>
          <w:lang w:val="fr-FR"/>
        </w:rPr>
        <w:t>اللجان البرلمانية</w:t>
      </w:r>
    </w:p>
    <w:p w:rsidR="00CC0F13" w:rsidRPr="00307AAE" w:rsidRDefault="00CC0F13" w:rsidP="00B83BCF">
      <w:pPr>
        <w:pStyle w:val="SingleTxt"/>
        <w:spacing w:line="380" w:lineRule="exact"/>
        <w:rPr>
          <w:w w:val="100"/>
          <w:kern w:val="0"/>
          <w:rtl/>
          <w:lang w:val="fr-FR"/>
        </w:rPr>
      </w:pPr>
      <w:r w:rsidRPr="00307AAE">
        <w:rPr>
          <w:w w:val="100"/>
          <w:kern w:val="0"/>
          <w:rtl/>
          <w:lang w:val="fr-FR"/>
        </w:rPr>
        <w:t>134-</w:t>
      </w:r>
      <w:r w:rsidRPr="00307AAE">
        <w:rPr>
          <w:w w:val="100"/>
          <w:kern w:val="0"/>
          <w:rtl/>
          <w:lang w:val="fr-FR"/>
        </w:rPr>
        <w:tab/>
        <w:t>أنشئت كذلك في إطار السلطة التشريعية هيئات خاصة مختصة في مجال حقوق الإنسان. ولدى مجلس النواب ومجلس الشيوخ على حد سواء لجنة معنية بحقوق الإنسان والضمانات. وفي كلتا الحالتين، تضم اللجنتان برلمانيين منتمين إلى جميع الأحزاب السياسية الممثلة في البرلمان.</w:t>
      </w:r>
    </w:p>
    <w:p w:rsidR="00CC0F13" w:rsidRPr="00307AAE" w:rsidRDefault="00CC0F13" w:rsidP="00B83BCF">
      <w:pPr>
        <w:pStyle w:val="SingleTxt"/>
        <w:spacing w:line="380" w:lineRule="exact"/>
        <w:rPr>
          <w:w w:val="100"/>
          <w:kern w:val="0"/>
          <w:rtl/>
          <w:lang w:val="fr-FR"/>
        </w:rPr>
      </w:pPr>
      <w:r w:rsidRPr="00307AAE">
        <w:rPr>
          <w:w w:val="100"/>
          <w:kern w:val="0"/>
          <w:rtl/>
          <w:lang w:val="fr-FR"/>
        </w:rPr>
        <w:t>135-</w:t>
      </w:r>
      <w:r w:rsidRPr="00307AAE">
        <w:rPr>
          <w:w w:val="100"/>
          <w:kern w:val="0"/>
          <w:rtl/>
          <w:lang w:val="fr-FR"/>
        </w:rPr>
        <w:tab/>
        <w:t>وتثري عملَ هاتين اللجنتين مساهمةُ موظفي الحكومة الذين يُدعون بشكل دوري إلى تقديم المعلومات، ومساهمةُ الخبراء الوطنيين والدوليين في هذا المجال. وفضل</w:t>
      </w:r>
      <w:r w:rsidR="00A71B00">
        <w:rPr>
          <w:w w:val="100"/>
          <w:kern w:val="0"/>
          <w:rtl/>
          <w:lang w:val="fr-FR"/>
        </w:rPr>
        <w:t xml:space="preserve">اً </w:t>
      </w:r>
      <w:r w:rsidRPr="00307AAE">
        <w:rPr>
          <w:w w:val="100"/>
          <w:kern w:val="0"/>
          <w:rtl/>
          <w:lang w:val="fr-FR"/>
        </w:rPr>
        <w:t>عن أن هاتين اللجنتين تشكلان منتدى طبيعي</w:t>
      </w:r>
      <w:r w:rsidR="00A71B00">
        <w:rPr>
          <w:w w:val="100"/>
          <w:kern w:val="0"/>
          <w:rtl/>
          <w:lang w:val="fr-FR"/>
        </w:rPr>
        <w:t xml:space="preserve">اً </w:t>
      </w:r>
      <w:r w:rsidRPr="00307AAE">
        <w:rPr>
          <w:w w:val="100"/>
          <w:kern w:val="0"/>
          <w:rtl/>
          <w:lang w:val="fr-FR"/>
        </w:rPr>
        <w:t>لمناقشة مسائل تترجم إلى مشاريع قوانين، فإنهما تطلبان إلى السلطة التنفيذية الوطنية تقديم تقارير بشأن المسائل التي تندرج ضمن نطاق اختصاصهما. كما اقتدت المحافظات بهذا المثال وتجهزت مجالسها التشريعية بهيئات لحقوق الإنسان.</w:t>
      </w:r>
    </w:p>
    <w:p w:rsidR="00B83BCF" w:rsidRPr="00B83BCF" w:rsidRDefault="00B83BCF" w:rsidP="00B83BC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B83BCF" w:rsidRPr="00B83BCF" w:rsidRDefault="00B83BCF" w:rsidP="00B83BC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Default="00CC0F13" w:rsidP="0014530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t>دال</w:t>
      </w:r>
      <w:r w:rsidR="00307AAE" w:rsidRPr="00307AAE">
        <w:rPr>
          <w:w w:val="100"/>
          <w:rtl/>
          <w:lang w:val="fr-FR"/>
        </w:rPr>
        <w:t>-</w:t>
      </w:r>
      <w:r w:rsidR="00307AAE" w:rsidRPr="00307AAE">
        <w:rPr>
          <w:w w:val="100"/>
          <w:rtl/>
          <w:lang w:val="fr-FR"/>
        </w:rPr>
        <w:tab/>
      </w:r>
      <w:r w:rsidRPr="00307AAE">
        <w:rPr>
          <w:w w:val="100"/>
          <w:rtl/>
          <w:lang w:val="fr-FR"/>
        </w:rPr>
        <w:t>عملية تقديم التقارير على الصعيد الوطني</w:t>
      </w:r>
    </w:p>
    <w:p w:rsidR="00B83BCF" w:rsidRPr="00B83BCF" w:rsidRDefault="00B83BCF" w:rsidP="00B83BCF">
      <w:pPr>
        <w:pStyle w:val="SingleTxt"/>
        <w:spacing w:after="0" w:line="120" w:lineRule="exact"/>
        <w:rPr>
          <w:sz w:val="10"/>
          <w:rtl/>
          <w:lang w:val="fr-FR"/>
        </w:rPr>
      </w:pPr>
    </w:p>
    <w:p w:rsidR="00CC0F13" w:rsidRPr="00307AAE" w:rsidRDefault="00CC0F13" w:rsidP="00B83BCF">
      <w:pPr>
        <w:pStyle w:val="SingleTxt"/>
        <w:rPr>
          <w:w w:val="100"/>
          <w:kern w:val="0"/>
          <w:rtl/>
          <w:lang w:val="fr-FR"/>
        </w:rPr>
      </w:pPr>
      <w:r w:rsidRPr="00307AAE">
        <w:rPr>
          <w:w w:val="100"/>
          <w:kern w:val="0"/>
          <w:rtl/>
          <w:lang w:val="fr-FR"/>
        </w:rPr>
        <w:t>136-</w:t>
      </w:r>
      <w:r w:rsidRPr="00307AAE">
        <w:rPr>
          <w:w w:val="100"/>
          <w:kern w:val="0"/>
          <w:rtl/>
          <w:lang w:val="fr-FR"/>
        </w:rPr>
        <w:tab/>
        <w:t xml:space="preserve">تتولى المديرية العامة لحقوق الإنسان التابعة لوزارة الشؤون الخارجية والدينية تنسيق عملية تقديم التقارير الدورية إلى هيئات رصد تنفيذ المعاهدات الدولية في مجال حقوق الإنسان. ويستثنى </w:t>
      </w:r>
      <w:r w:rsidRPr="00A71B00">
        <w:rPr>
          <w:spacing w:val="-4"/>
          <w:w w:val="100"/>
          <w:kern w:val="0"/>
          <w:rtl/>
          <w:lang w:val="fr-FR"/>
        </w:rPr>
        <w:t>من ذلك عملية تقديم التقارير إلى اللجنة المعنية بالقضاء على التمييز ضد المرأة، التي تتولاها مديرية</w:t>
      </w:r>
      <w:r w:rsidRPr="00307AAE">
        <w:rPr>
          <w:w w:val="100"/>
          <w:kern w:val="0"/>
          <w:rtl/>
          <w:lang w:val="fr-FR"/>
        </w:rPr>
        <w:t xml:space="preserve"> شؤون المرأة بالتنسيق مع المجلس الوطني لشؤون المرأة.</w:t>
      </w:r>
    </w:p>
    <w:p w:rsidR="00CC0F13" w:rsidRPr="00307AAE" w:rsidRDefault="00CC0F13" w:rsidP="00B83BCF">
      <w:pPr>
        <w:pStyle w:val="SingleTxt"/>
        <w:rPr>
          <w:w w:val="100"/>
          <w:kern w:val="0"/>
          <w:rtl/>
          <w:lang w:val="fr-FR"/>
        </w:rPr>
      </w:pPr>
      <w:r w:rsidRPr="00307AAE">
        <w:rPr>
          <w:w w:val="100"/>
          <w:kern w:val="0"/>
          <w:rtl/>
          <w:lang w:val="fr-FR"/>
        </w:rPr>
        <w:t>137-</w:t>
      </w:r>
      <w:r w:rsidRPr="00307AAE">
        <w:rPr>
          <w:w w:val="100"/>
          <w:kern w:val="0"/>
          <w:rtl/>
          <w:lang w:val="fr-FR"/>
        </w:rPr>
        <w:tab/>
        <w:t xml:space="preserve">وحسب الاقتضاء، يُتخذ، بطلب من المديرية العامة لحقوق الإنسان، إجراء لاستدعاء جميع المتحاورين الحكوميين المعنيين بالموضوع الخاص بكل معاهدة، من أجل الحصول على جميع المعلومات اللازمة لإعداد تقرير البلد بشأن المعاهدة </w:t>
      </w:r>
      <w:r w:rsidR="00145307">
        <w:rPr>
          <w:w w:val="100"/>
          <w:kern w:val="0"/>
          <w:rtl/>
          <w:lang w:val="fr-FR"/>
        </w:rPr>
        <w:t xml:space="preserve">الدولية المعنية </w:t>
      </w:r>
      <w:r w:rsidR="00145307">
        <w:rPr>
          <w:rFonts w:hint="cs"/>
          <w:w w:val="100"/>
          <w:kern w:val="0"/>
          <w:rtl/>
          <w:lang w:val="fr-FR"/>
        </w:rPr>
        <w:t>ب</w:t>
      </w:r>
      <w:r w:rsidRPr="00307AAE">
        <w:rPr>
          <w:w w:val="100"/>
          <w:kern w:val="0"/>
          <w:rtl/>
          <w:lang w:val="fr-FR"/>
        </w:rPr>
        <w:t xml:space="preserve">حقوق الإنسان. </w:t>
      </w:r>
    </w:p>
    <w:p w:rsidR="00CC0F13" w:rsidRPr="00307AAE" w:rsidRDefault="00CC0F13" w:rsidP="00B83BCF">
      <w:pPr>
        <w:pStyle w:val="SingleTxt"/>
        <w:rPr>
          <w:w w:val="100"/>
          <w:kern w:val="0"/>
          <w:rtl/>
          <w:lang w:val="fr-FR"/>
        </w:rPr>
      </w:pPr>
      <w:r w:rsidRPr="00307AAE">
        <w:rPr>
          <w:w w:val="100"/>
          <w:kern w:val="0"/>
          <w:rtl/>
          <w:lang w:val="fr-FR"/>
        </w:rPr>
        <w:t>138-</w:t>
      </w:r>
      <w:r w:rsidRPr="00307AAE">
        <w:rPr>
          <w:w w:val="100"/>
          <w:kern w:val="0"/>
          <w:rtl/>
          <w:lang w:val="fr-FR"/>
        </w:rPr>
        <w:tab/>
        <w:t>وفي معظم الحالات يتمثل إجراء الاستدعاء فيما يلي:</w:t>
      </w:r>
    </w:p>
    <w:p w:rsidR="00CC0F13" w:rsidRPr="004C4B32" w:rsidRDefault="00CC0F13" w:rsidP="00B83BCF">
      <w:pPr>
        <w:pStyle w:val="SingleTxt"/>
        <w:numPr>
          <w:ilvl w:val="0"/>
          <w:numId w:val="36"/>
        </w:numPr>
        <w:tabs>
          <w:tab w:val="clear" w:pos="1930"/>
        </w:tabs>
        <w:rPr>
          <w:w w:val="100"/>
          <w:rtl/>
          <w:lang w:val="fr-FR"/>
        </w:rPr>
      </w:pPr>
      <w:r w:rsidRPr="004C4B32">
        <w:rPr>
          <w:w w:val="100"/>
          <w:rtl/>
          <w:lang w:val="fr-FR"/>
        </w:rPr>
        <w:t xml:space="preserve">يُستدعى ممثلو كل من الحكومة الوطنية، وحكومات المحافظات، والهيئات اللامركزية، والمجالس الاستشارية، والسلطة القضائية، والسلطة التشريعية ومكتب أمين المظالم، من خلال السلطات المعنية في كل منها، ويجري </w:t>
      </w:r>
      <w:r w:rsidR="00B83BCF">
        <w:rPr>
          <w:rFonts w:hint="cs"/>
          <w:w w:val="100"/>
          <w:rtl/>
          <w:lang w:val="fr-FR"/>
        </w:rPr>
        <w:t>ا</w:t>
      </w:r>
      <w:r w:rsidRPr="004C4B32">
        <w:rPr>
          <w:w w:val="100"/>
          <w:rtl/>
          <w:lang w:val="fr-FR"/>
        </w:rPr>
        <w:t>طلاعهم على تفاصيل التقرير الواجب إعداده، وإبلاغهم بأهميتها وطلب تعيين ممثل كمسؤول عن التنسيق؛</w:t>
      </w:r>
    </w:p>
    <w:p w:rsidR="00CC0F13" w:rsidRPr="004C4B32" w:rsidRDefault="00CC0F13" w:rsidP="00B83BCF">
      <w:pPr>
        <w:pStyle w:val="SingleTxt"/>
        <w:numPr>
          <w:ilvl w:val="0"/>
          <w:numId w:val="36"/>
        </w:numPr>
        <w:tabs>
          <w:tab w:val="clear" w:pos="1930"/>
        </w:tabs>
        <w:rPr>
          <w:w w:val="100"/>
          <w:rtl/>
          <w:lang w:val="fr-FR"/>
        </w:rPr>
      </w:pPr>
      <w:r w:rsidRPr="004C4B32">
        <w:rPr>
          <w:w w:val="100"/>
          <w:rtl/>
          <w:lang w:val="fr-FR"/>
        </w:rPr>
        <w:t>يُستدعى ممثلو المجلس الاتحادي لحقوق الإنسان عبر الاتصال بحكام كل محافظة؛</w:t>
      </w:r>
    </w:p>
    <w:p w:rsidR="00CC0F13" w:rsidRPr="004C4B32" w:rsidRDefault="00CC0F13" w:rsidP="004C4B32">
      <w:pPr>
        <w:pStyle w:val="SingleTxt"/>
        <w:numPr>
          <w:ilvl w:val="0"/>
          <w:numId w:val="36"/>
        </w:numPr>
        <w:tabs>
          <w:tab w:val="clear" w:pos="1930"/>
        </w:tabs>
        <w:spacing w:line="386" w:lineRule="exact"/>
        <w:rPr>
          <w:w w:val="100"/>
          <w:rtl/>
          <w:lang w:val="fr-FR"/>
        </w:rPr>
      </w:pPr>
      <w:r w:rsidRPr="004C4B32">
        <w:rPr>
          <w:w w:val="100"/>
          <w:rtl/>
          <w:lang w:val="fr-FR"/>
        </w:rPr>
        <w:t xml:space="preserve">يوضع جدول زمني للاجتماعات يُستهل باجتماع إعلامي. وفي هذا السياق تُعرض أهداف المهمة، والمبادئ التوجيهية، وفئات مصادر المعلومات ثم تباشَر الاجتماعات ذات الصلة. </w:t>
      </w:r>
    </w:p>
    <w:p w:rsidR="00CC0F13" w:rsidRPr="00307AAE" w:rsidRDefault="00CC0F13" w:rsidP="00B83BCF">
      <w:pPr>
        <w:pStyle w:val="SingleTxt"/>
        <w:spacing w:line="384" w:lineRule="exact"/>
        <w:rPr>
          <w:w w:val="100"/>
          <w:kern w:val="0"/>
          <w:rtl/>
          <w:lang w:val="fr-FR"/>
        </w:rPr>
      </w:pPr>
      <w:r w:rsidRPr="00307AAE">
        <w:rPr>
          <w:w w:val="100"/>
          <w:kern w:val="0"/>
          <w:rtl/>
          <w:lang w:val="fr-FR"/>
        </w:rPr>
        <w:t>139-</w:t>
      </w:r>
      <w:r w:rsidRPr="00307AAE">
        <w:rPr>
          <w:w w:val="100"/>
          <w:kern w:val="0"/>
          <w:rtl/>
          <w:lang w:val="fr-FR"/>
        </w:rPr>
        <w:tab/>
        <w:t xml:space="preserve">وفي كل لقاء، يقدم المسؤولون عن التنسيق في مختلف الهيئات المعنية تقارير عن عمل هذه الهيئات المتصل بمحاور الاتفاقية التي يتعلق بها الأمر، حيث يعرضون بيانات ملموسة بخصوص أعمالها المحددة في هذا المجال. </w:t>
      </w:r>
    </w:p>
    <w:p w:rsidR="00CC0F13" w:rsidRPr="00307AAE" w:rsidRDefault="00CC0F13" w:rsidP="00B83BCF">
      <w:pPr>
        <w:pStyle w:val="SingleTxt"/>
        <w:spacing w:line="384" w:lineRule="exact"/>
        <w:rPr>
          <w:w w:val="100"/>
          <w:kern w:val="0"/>
          <w:rtl/>
          <w:lang w:val="fr-FR"/>
        </w:rPr>
      </w:pPr>
      <w:r w:rsidRPr="00307AAE">
        <w:rPr>
          <w:w w:val="100"/>
          <w:kern w:val="0"/>
          <w:rtl/>
          <w:lang w:val="fr-FR"/>
        </w:rPr>
        <w:t>140-</w:t>
      </w:r>
      <w:r w:rsidRPr="00307AAE">
        <w:rPr>
          <w:w w:val="100"/>
          <w:kern w:val="0"/>
          <w:rtl/>
          <w:lang w:val="fr-FR"/>
        </w:rPr>
        <w:tab/>
        <w:t>وكما هو معتاد في مجال إعداد التقارير الدورية، تضع السلطات المختصة رهن إشارة منظمات المجتمع المدني الرئيسية المعنية بحماية حقوق الإنسان مسودة أولى للتقرير، وتدعوها إلى تقديم ملاحظاتها بشأنها.</w:t>
      </w:r>
    </w:p>
    <w:p w:rsidR="00CC0F13" w:rsidRPr="00307AAE" w:rsidRDefault="00CC0F13" w:rsidP="00B83BCF">
      <w:pPr>
        <w:pStyle w:val="SingleTxt"/>
        <w:spacing w:line="384" w:lineRule="exact"/>
        <w:rPr>
          <w:w w:val="100"/>
          <w:kern w:val="0"/>
          <w:rtl/>
          <w:lang w:val="fr-FR"/>
        </w:rPr>
      </w:pPr>
      <w:r w:rsidRPr="00307AAE">
        <w:rPr>
          <w:w w:val="100"/>
          <w:kern w:val="0"/>
          <w:rtl/>
          <w:lang w:val="fr-FR"/>
        </w:rPr>
        <w:t>141-</w:t>
      </w:r>
      <w:r w:rsidRPr="00307AAE">
        <w:rPr>
          <w:w w:val="100"/>
          <w:kern w:val="0"/>
          <w:rtl/>
          <w:lang w:val="fr-FR"/>
        </w:rPr>
        <w:tab/>
        <w:t>ودون المساس بذلك، تتمثل الممارسة العامة في اختيار منظمات المجتمع المدني في جمهورية الأرجنتين تقديم تقاريرها البديلة إلى هيئات رصد تنفيذ المعاهدات.</w:t>
      </w:r>
    </w:p>
    <w:p w:rsidR="00CC0F13" w:rsidRPr="00307AAE" w:rsidRDefault="00CC0F13" w:rsidP="00B83BCF">
      <w:pPr>
        <w:pStyle w:val="SingleTxt"/>
        <w:spacing w:line="384" w:lineRule="exact"/>
        <w:rPr>
          <w:w w:val="100"/>
          <w:kern w:val="0"/>
          <w:rtl/>
          <w:lang w:val="fr-FR"/>
        </w:rPr>
      </w:pPr>
      <w:r w:rsidRPr="00307AAE">
        <w:rPr>
          <w:w w:val="100"/>
          <w:kern w:val="0"/>
          <w:rtl/>
          <w:lang w:val="fr-FR"/>
        </w:rPr>
        <w:t>142-</w:t>
      </w:r>
      <w:r w:rsidRPr="00307AAE">
        <w:rPr>
          <w:w w:val="100"/>
          <w:kern w:val="0"/>
          <w:rtl/>
          <w:lang w:val="fr-FR"/>
        </w:rPr>
        <w:tab/>
        <w:t>وتجمع المديرية العامة لحقوق الإنسان، التي تتولى مهمة إعداد التقرير وصياغته وتقديمه، كل المعلومات التي تتلقاها خلال اجتماعات العمل.</w:t>
      </w:r>
    </w:p>
    <w:p w:rsidR="00CC0F13" w:rsidRPr="00307AAE" w:rsidRDefault="00CC0F13" w:rsidP="00B83BCF">
      <w:pPr>
        <w:pStyle w:val="SingleTxt"/>
        <w:spacing w:line="384" w:lineRule="exact"/>
        <w:rPr>
          <w:w w:val="100"/>
          <w:kern w:val="0"/>
          <w:rtl/>
          <w:lang w:val="fr-FR"/>
        </w:rPr>
      </w:pPr>
      <w:r w:rsidRPr="00307AAE">
        <w:rPr>
          <w:w w:val="100"/>
          <w:kern w:val="0"/>
          <w:rtl/>
          <w:lang w:val="fr-FR"/>
        </w:rPr>
        <w:t>143-</w:t>
      </w:r>
      <w:r w:rsidRPr="00307AAE">
        <w:rPr>
          <w:w w:val="100"/>
          <w:kern w:val="0"/>
          <w:rtl/>
          <w:lang w:val="fr-FR"/>
        </w:rPr>
        <w:tab/>
        <w:t>كما تتكلف المديرية العامة لحقوق الإنسان بتنسيق عملية الدفاع عن التقرير أمام هيئة المعاهدة ذات الصلة عندما تنص على ذلك الاتفاقية التي يتعلق بها الأمر.</w:t>
      </w:r>
    </w:p>
    <w:p w:rsidR="00B83BCF" w:rsidRPr="00B83BCF" w:rsidRDefault="00B83BCF" w:rsidP="00B83BCF">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B83BCF" w:rsidRPr="00B83BCF" w:rsidRDefault="00B83BCF" w:rsidP="00B83BCF">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Default="00CC0F13" w:rsidP="00B83BC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r>
      <w:bookmarkStart w:id="10" w:name="_Toc430532838"/>
      <w:r w:rsidRPr="00307AAE">
        <w:rPr>
          <w:w w:val="100"/>
          <w:rtl/>
          <w:lang w:val="fr-FR"/>
        </w:rPr>
        <w:t>ثالثا</w:t>
      </w:r>
      <w:r w:rsidR="00B83BCF">
        <w:rPr>
          <w:rFonts w:hint="cs"/>
          <w:w w:val="100"/>
          <w:rtl/>
          <w:lang w:val="fr-FR"/>
        </w:rPr>
        <w:t>ً</w:t>
      </w:r>
      <w:r w:rsidRPr="00307AAE">
        <w:rPr>
          <w:w w:val="100"/>
          <w:rtl/>
          <w:lang w:val="fr-FR"/>
        </w:rPr>
        <w:t>-</w:t>
      </w:r>
      <w:r w:rsidRPr="00307AAE">
        <w:rPr>
          <w:w w:val="100"/>
          <w:rtl/>
          <w:lang w:val="fr-FR"/>
        </w:rPr>
        <w:tab/>
        <w:t>معلومات بشأن المساواة وعدم التمييز وسبل الانتصاف الفعالة</w:t>
      </w:r>
      <w:bookmarkEnd w:id="10"/>
    </w:p>
    <w:p w:rsidR="00B83BCF" w:rsidRPr="00B83BCF" w:rsidRDefault="00B83BCF" w:rsidP="00B83BCF">
      <w:pPr>
        <w:pStyle w:val="SingleTxt"/>
        <w:spacing w:after="0" w:line="120" w:lineRule="exact"/>
        <w:rPr>
          <w:sz w:val="10"/>
          <w:rtl/>
          <w:lang w:val="fr-FR"/>
        </w:rPr>
      </w:pPr>
    </w:p>
    <w:p w:rsidR="00CC0F13" w:rsidRDefault="00CC0F13" w:rsidP="00B83BC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r>
      <w:bookmarkStart w:id="11" w:name="_Toc430532839"/>
      <w:r w:rsidRPr="00307AAE">
        <w:rPr>
          <w:w w:val="100"/>
          <w:rtl/>
          <w:lang w:val="fr-FR"/>
        </w:rPr>
        <w:t>ألف-</w:t>
      </w:r>
      <w:r w:rsidRPr="00307AAE">
        <w:rPr>
          <w:w w:val="100"/>
          <w:rtl/>
          <w:lang w:val="fr-FR"/>
        </w:rPr>
        <w:tab/>
        <w:t>المساواة وعدم التمييز</w:t>
      </w:r>
      <w:bookmarkEnd w:id="11"/>
    </w:p>
    <w:p w:rsidR="00B83BCF" w:rsidRPr="00B83BCF" w:rsidRDefault="00B83BCF" w:rsidP="00B83BCF">
      <w:pPr>
        <w:pStyle w:val="SingleTxt"/>
        <w:spacing w:after="0" w:line="120" w:lineRule="exact"/>
        <w:rPr>
          <w:sz w:val="10"/>
          <w:rtl/>
          <w:lang w:val="fr-FR"/>
        </w:rPr>
      </w:pPr>
    </w:p>
    <w:p w:rsidR="00CC0F13" w:rsidRPr="00307AAE" w:rsidRDefault="00CC0F13" w:rsidP="00B83BCF">
      <w:pPr>
        <w:pStyle w:val="SingleTxt"/>
        <w:spacing w:line="384" w:lineRule="exact"/>
        <w:rPr>
          <w:w w:val="100"/>
          <w:kern w:val="0"/>
          <w:rtl/>
          <w:lang w:val="fr-FR"/>
        </w:rPr>
      </w:pPr>
      <w:r w:rsidRPr="00307AAE">
        <w:rPr>
          <w:w w:val="100"/>
          <w:kern w:val="0"/>
          <w:rtl/>
          <w:lang w:val="fr-FR"/>
        </w:rPr>
        <w:t>144-</w:t>
      </w:r>
      <w:r w:rsidRPr="00307AAE">
        <w:rPr>
          <w:w w:val="100"/>
          <w:kern w:val="0"/>
          <w:rtl/>
          <w:lang w:val="fr-FR"/>
        </w:rPr>
        <w:tab/>
        <w:t>دون إغفال واجب كل بلد في أن يقرر داخلي</w:t>
      </w:r>
      <w:r w:rsidR="00A71B00">
        <w:rPr>
          <w:w w:val="100"/>
          <w:kern w:val="0"/>
          <w:rtl/>
          <w:lang w:val="fr-FR"/>
        </w:rPr>
        <w:t xml:space="preserve">اً </w:t>
      </w:r>
      <w:r w:rsidRPr="00307AAE">
        <w:rPr>
          <w:w w:val="100"/>
          <w:kern w:val="0"/>
          <w:rtl/>
          <w:lang w:val="fr-FR"/>
        </w:rPr>
        <w:t>نموذج المجتمع الذي يريد أن ينشئه، فإن سن القانون المتعلق بزواج المثليين، مؤخر</w:t>
      </w:r>
      <w:r w:rsidR="00955E01">
        <w:rPr>
          <w:w w:val="100"/>
          <w:kern w:val="0"/>
          <w:rtl/>
          <w:lang w:val="fr-FR"/>
        </w:rPr>
        <w:t>اً،</w:t>
      </w:r>
      <w:r w:rsidRPr="00307AAE">
        <w:rPr>
          <w:w w:val="100"/>
          <w:kern w:val="0"/>
          <w:rtl/>
          <w:lang w:val="fr-FR"/>
        </w:rPr>
        <w:t xml:space="preserve"> جعل من الأرجنتين أول دولة في أمريكا اللاتينية وعاشر دولة في العالم تجيز الارتباط بين شخصين من نفس نوع الجنس في جميع أنحاء إقليمها.</w:t>
      </w:r>
    </w:p>
    <w:p w:rsidR="00CC0F13" w:rsidRPr="00B83BCF" w:rsidRDefault="00CC0F13" w:rsidP="00B83BCF">
      <w:pPr>
        <w:pStyle w:val="SingleTxt"/>
        <w:spacing w:line="384" w:lineRule="exact"/>
        <w:rPr>
          <w:spacing w:val="-4"/>
          <w:w w:val="100"/>
          <w:kern w:val="0"/>
          <w:rtl/>
          <w:lang w:val="fr-FR"/>
        </w:rPr>
      </w:pPr>
      <w:r w:rsidRPr="00B83BCF">
        <w:rPr>
          <w:spacing w:val="-4"/>
          <w:w w:val="100"/>
          <w:kern w:val="0"/>
          <w:rtl/>
          <w:lang w:val="fr-FR"/>
        </w:rPr>
        <w:t>145-</w:t>
      </w:r>
      <w:r w:rsidRPr="00B83BCF">
        <w:rPr>
          <w:spacing w:val="-4"/>
          <w:w w:val="100"/>
          <w:kern w:val="0"/>
          <w:rtl/>
          <w:lang w:val="fr-FR"/>
        </w:rPr>
        <w:tab/>
        <w:t>وتقدمت الأرجنتين خطوة إضافية نحو تحقيق المساواة في الحقوق والتصدي للتمييز، إذ وافق الكونغرس الوطني، في 9 أيار/مايو 2012، على قانون الهوية الجنسانية، وبمقتضاه "يحق لكل شخص أن يُعترف بهويته الجنسانية وبحريته في تنمية شخصيته وفق</w:t>
      </w:r>
      <w:r w:rsidR="00A71B00">
        <w:rPr>
          <w:spacing w:val="-4"/>
          <w:w w:val="100"/>
          <w:kern w:val="0"/>
          <w:rtl/>
          <w:lang w:val="fr-FR"/>
        </w:rPr>
        <w:t xml:space="preserve">اً </w:t>
      </w:r>
      <w:r w:rsidRPr="00B83BCF">
        <w:rPr>
          <w:spacing w:val="-4"/>
          <w:w w:val="100"/>
          <w:kern w:val="0"/>
          <w:rtl/>
          <w:lang w:val="fr-FR"/>
        </w:rPr>
        <w:t>لهويته الجنسانية".</w:t>
      </w:r>
    </w:p>
    <w:p w:rsidR="00CC0F13" w:rsidRPr="00307AAE" w:rsidRDefault="00CC0F13" w:rsidP="00B83BCF">
      <w:pPr>
        <w:pStyle w:val="SingleTxt"/>
        <w:spacing w:line="384" w:lineRule="exact"/>
        <w:rPr>
          <w:w w:val="100"/>
          <w:kern w:val="0"/>
          <w:rtl/>
          <w:lang w:val="fr-FR"/>
        </w:rPr>
      </w:pPr>
      <w:r w:rsidRPr="00307AAE">
        <w:rPr>
          <w:w w:val="100"/>
          <w:kern w:val="0"/>
          <w:rtl/>
          <w:lang w:val="fr-FR"/>
        </w:rPr>
        <w:t>146-</w:t>
      </w:r>
      <w:r w:rsidRPr="00307AAE">
        <w:rPr>
          <w:w w:val="100"/>
          <w:kern w:val="0"/>
          <w:rtl/>
          <w:lang w:val="fr-FR"/>
        </w:rPr>
        <w:tab/>
        <w:t>وعلى الصعيدين الإقليمي والدولي، عززت الأرجنتين عملية التفاوض بشأن صكوك حماية حقوق الإنسان وشاركت فيها بنشاط. وفي عام 2011، وبالتصديق على البروتوكول الاختياري للعهد الدولي الخاص بالحقوق الاقتصادية والاجتماعية والثقافية، اكتملت عملية التصديق على أهم صكوك حقوق الإنسان في المنظومة العالمية والإقليمية.</w:t>
      </w:r>
    </w:p>
    <w:p w:rsidR="00CC0F13" w:rsidRPr="00307AAE" w:rsidRDefault="00CC0F13" w:rsidP="00B83BC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t>1-</w:t>
      </w:r>
      <w:r w:rsidRPr="00307AAE">
        <w:rPr>
          <w:w w:val="100"/>
          <w:rtl/>
          <w:lang w:val="fr-FR"/>
        </w:rPr>
        <w:tab/>
        <w:t>المعهد الوطني لمكافحة التمييز وكره الأجانب والعنصرية</w:t>
      </w:r>
    </w:p>
    <w:p w:rsidR="00CC0F13" w:rsidRPr="00307AAE" w:rsidRDefault="00CC0F13" w:rsidP="009C2AAE">
      <w:pPr>
        <w:pStyle w:val="SingleTxt"/>
        <w:rPr>
          <w:w w:val="100"/>
          <w:kern w:val="0"/>
          <w:rtl/>
          <w:lang w:val="fr-FR"/>
        </w:rPr>
      </w:pPr>
      <w:r w:rsidRPr="00B83BCF">
        <w:rPr>
          <w:spacing w:val="-4"/>
          <w:w w:val="100"/>
          <w:kern w:val="0"/>
          <w:rtl/>
          <w:lang w:val="fr-FR"/>
        </w:rPr>
        <w:t>147-</w:t>
      </w:r>
      <w:r w:rsidRPr="00B83BCF">
        <w:rPr>
          <w:spacing w:val="-4"/>
          <w:w w:val="100"/>
          <w:kern w:val="0"/>
          <w:rtl/>
          <w:lang w:val="fr-FR"/>
        </w:rPr>
        <w:tab/>
        <w:t>في 5 تموز/يوليه 1995، اعتمد الكونغرس الوطني القانون رقم 24</w:t>
      </w:r>
      <w:r w:rsidR="00145307">
        <w:rPr>
          <w:rFonts w:hint="cs"/>
          <w:spacing w:val="-4"/>
          <w:w w:val="100"/>
          <w:kern w:val="0"/>
          <w:rtl/>
          <w:lang w:val="fr-FR"/>
        </w:rPr>
        <w:t>-</w:t>
      </w:r>
      <w:r w:rsidRPr="00B83BCF">
        <w:rPr>
          <w:spacing w:val="-4"/>
          <w:w w:val="100"/>
          <w:kern w:val="0"/>
          <w:rtl/>
          <w:lang w:val="fr-FR"/>
        </w:rPr>
        <w:t>515، الصادر في</w:t>
      </w:r>
      <w:r w:rsidR="009C2AAE">
        <w:rPr>
          <w:rFonts w:hint="cs"/>
          <w:spacing w:val="-4"/>
          <w:w w:val="100"/>
          <w:kern w:val="0"/>
          <w:rtl/>
          <w:lang w:val="fr-FR"/>
        </w:rPr>
        <w:t> </w:t>
      </w:r>
      <w:r w:rsidRPr="00B83BCF">
        <w:rPr>
          <w:spacing w:val="-4"/>
          <w:w w:val="100"/>
          <w:kern w:val="0"/>
          <w:rtl/>
          <w:lang w:val="fr-FR"/>
        </w:rPr>
        <w:t>28</w:t>
      </w:r>
      <w:r w:rsidRPr="00307AAE">
        <w:rPr>
          <w:w w:val="100"/>
          <w:kern w:val="0"/>
          <w:rtl/>
          <w:lang w:val="fr-FR"/>
        </w:rPr>
        <w:t xml:space="preserve"> تموز/يوليه من نفس العام، والمنشئ للمعهد الوطني لمكافحة التمييز وكره الأجانب والعنصرية. وبدأ المعهد مهامه في عام 1997 بوصفه كيان</w:t>
      </w:r>
      <w:r w:rsidR="00A71B00">
        <w:rPr>
          <w:w w:val="100"/>
          <w:kern w:val="0"/>
          <w:rtl/>
          <w:lang w:val="fr-FR"/>
        </w:rPr>
        <w:t xml:space="preserve">اً </w:t>
      </w:r>
      <w:r w:rsidRPr="00307AAE">
        <w:rPr>
          <w:w w:val="100"/>
          <w:kern w:val="0"/>
          <w:rtl/>
          <w:lang w:val="fr-FR"/>
        </w:rPr>
        <w:t>لا</w:t>
      </w:r>
      <w:r w:rsidR="00B83BCF">
        <w:rPr>
          <w:rFonts w:hint="cs"/>
          <w:w w:val="100"/>
          <w:kern w:val="0"/>
          <w:rtl/>
          <w:lang w:val="fr-FR"/>
        </w:rPr>
        <w:t xml:space="preserve"> </w:t>
      </w:r>
      <w:r w:rsidRPr="00307AAE">
        <w:rPr>
          <w:w w:val="100"/>
          <w:kern w:val="0"/>
          <w:rtl/>
          <w:lang w:val="fr-FR"/>
        </w:rPr>
        <w:t>مركزي</w:t>
      </w:r>
      <w:r w:rsidR="00A71B00">
        <w:rPr>
          <w:w w:val="100"/>
          <w:kern w:val="0"/>
          <w:rtl/>
          <w:lang w:val="fr-FR"/>
        </w:rPr>
        <w:t xml:space="preserve">اً </w:t>
      </w:r>
      <w:r w:rsidRPr="00307AAE">
        <w:rPr>
          <w:w w:val="100"/>
          <w:kern w:val="0"/>
          <w:rtl/>
          <w:lang w:val="fr-FR"/>
        </w:rPr>
        <w:t>خاضع</w:t>
      </w:r>
      <w:r w:rsidR="00955E01">
        <w:rPr>
          <w:w w:val="100"/>
          <w:kern w:val="0"/>
          <w:rtl/>
          <w:lang w:val="fr-FR"/>
        </w:rPr>
        <w:t xml:space="preserve">اً </w:t>
      </w:r>
      <w:r w:rsidRPr="00307AAE">
        <w:rPr>
          <w:w w:val="100"/>
          <w:kern w:val="0"/>
          <w:rtl/>
          <w:lang w:val="fr-FR"/>
        </w:rPr>
        <w:t>لولاية وزارة</w:t>
      </w:r>
      <w:r w:rsidR="009C2AAE">
        <w:rPr>
          <w:rFonts w:hint="cs"/>
          <w:w w:val="100"/>
          <w:kern w:val="0"/>
          <w:rtl/>
          <w:lang w:val="fr-FR"/>
        </w:rPr>
        <w:t> </w:t>
      </w:r>
      <w:r w:rsidRPr="00307AAE">
        <w:rPr>
          <w:w w:val="100"/>
          <w:kern w:val="0"/>
          <w:rtl/>
          <w:lang w:val="fr-FR"/>
        </w:rPr>
        <w:t>الداخلية (أُلحق بوزارة العدل وحقوق الإنسان منذ آذار/مارس 2005، بموجب المرسوم الرئاسي رقم 184)، وذلك بهدف إعداد سياسات وطنية وتدابير ملموسة لمكافحة التمييز وكره الأجانب والعنصرية من خلال حفز وتنفيذ إجراءات لتحقيق هذه الغاية.</w:t>
      </w:r>
    </w:p>
    <w:p w:rsidR="00CC0F13" w:rsidRPr="00307AAE" w:rsidRDefault="00CC0F13" w:rsidP="00CC0F13">
      <w:pPr>
        <w:pStyle w:val="SingleTxt"/>
        <w:rPr>
          <w:w w:val="100"/>
          <w:kern w:val="0"/>
          <w:rtl/>
          <w:lang w:val="fr-FR"/>
        </w:rPr>
      </w:pPr>
      <w:r w:rsidRPr="00307AAE">
        <w:rPr>
          <w:w w:val="100"/>
          <w:kern w:val="0"/>
          <w:rtl/>
          <w:lang w:val="fr-FR"/>
        </w:rPr>
        <w:t>148-</w:t>
      </w:r>
      <w:r w:rsidRPr="00307AAE">
        <w:rPr>
          <w:w w:val="100"/>
          <w:kern w:val="0"/>
          <w:rtl/>
          <w:lang w:val="fr-FR"/>
        </w:rPr>
        <w:tab/>
        <w:t>وتستهدف إجراءات المعهد الوطني لمكافحة التمييز وكره الأجانب والعنصرية جميع من يتعرضون للتمييز، الفعلي أو المحتمل، مع إيلاء اهتمام خاص لأشد الفئات ضعف</w:t>
      </w:r>
      <w:r w:rsidR="00955E01">
        <w:rPr>
          <w:w w:val="100"/>
          <w:kern w:val="0"/>
          <w:rtl/>
          <w:lang w:val="fr-FR"/>
        </w:rPr>
        <w:t>اً،</w:t>
      </w:r>
      <w:r w:rsidRPr="00307AAE">
        <w:rPr>
          <w:w w:val="100"/>
          <w:kern w:val="0"/>
          <w:rtl/>
          <w:lang w:val="fr-FR"/>
        </w:rPr>
        <w:t xml:space="preserve"> بغرض ضمان الممارسة الفعلية للحقوق والضمانات على قدم المساواة ودون تمييز، أي المساواة الحقيقية في الفرص والمعاملة وليس المساواة القانونية فحسب.</w:t>
      </w:r>
    </w:p>
    <w:p w:rsidR="00CC0F13" w:rsidRPr="00307AAE" w:rsidRDefault="00CC0F13" w:rsidP="00CC0F13">
      <w:pPr>
        <w:pStyle w:val="SingleTxt"/>
        <w:rPr>
          <w:w w:val="100"/>
          <w:kern w:val="0"/>
          <w:rtl/>
          <w:lang w:val="fr-FR"/>
        </w:rPr>
      </w:pPr>
      <w:r w:rsidRPr="00307AAE">
        <w:rPr>
          <w:w w:val="100"/>
          <w:kern w:val="0"/>
          <w:rtl/>
          <w:lang w:val="fr-FR"/>
        </w:rPr>
        <w:t>149-</w:t>
      </w:r>
      <w:r w:rsidRPr="00307AAE">
        <w:rPr>
          <w:w w:val="100"/>
          <w:kern w:val="0"/>
          <w:rtl/>
          <w:lang w:val="fr-FR"/>
        </w:rPr>
        <w:tab/>
        <w:t xml:space="preserve">والصلاحيات التي يمنحها القانون رقم 24515 للمعهد واسعة النطاق: </w:t>
      </w:r>
    </w:p>
    <w:p w:rsidR="00CC0F13" w:rsidRPr="004C4B32" w:rsidRDefault="00CC0F13" w:rsidP="004C4B32">
      <w:pPr>
        <w:pStyle w:val="SingleTxt"/>
        <w:numPr>
          <w:ilvl w:val="0"/>
          <w:numId w:val="36"/>
        </w:numPr>
        <w:tabs>
          <w:tab w:val="clear" w:pos="1930"/>
        </w:tabs>
        <w:spacing w:line="386" w:lineRule="exact"/>
        <w:rPr>
          <w:w w:val="100"/>
          <w:rtl/>
          <w:lang w:val="fr-FR"/>
        </w:rPr>
      </w:pPr>
      <w:r w:rsidRPr="004C4B32">
        <w:rPr>
          <w:w w:val="100"/>
          <w:rtl/>
          <w:lang w:val="fr-FR"/>
        </w:rPr>
        <w:t>الوقاية/النشر: نشر المبادئ والمعايير القانونية السارية المفعول بشأن عدم التمييز؛ وتوعية الرأي العام؛</w:t>
      </w:r>
    </w:p>
    <w:p w:rsidR="00CC0F13" w:rsidRPr="004C4B32" w:rsidRDefault="00CC0F13" w:rsidP="004C4B32">
      <w:pPr>
        <w:pStyle w:val="SingleTxt"/>
        <w:numPr>
          <w:ilvl w:val="0"/>
          <w:numId w:val="36"/>
        </w:numPr>
        <w:tabs>
          <w:tab w:val="clear" w:pos="1930"/>
        </w:tabs>
        <w:spacing w:line="386" w:lineRule="exact"/>
        <w:rPr>
          <w:w w:val="100"/>
          <w:rtl/>
          <w:lang w:val="fr-FR"/>
        </w:rPr>
      </w:pPr>
      <w:r w:rsidRPr="004C4B32">
        <w:rPr>
          <w:w w:val="100"/>
          <w:rtl/>
          <w:lang w:val="fr-FR"/>
        </w:rPr>
        <w:t>التثقيف</w:t>
      </w:r>
      <w:r w:rsidR="00B83BCF">
        <w:rPr>
          <w:w w:val="100"/>
          <w:rtl/>
          <w:lang w:val="fr-FR"/>
        </w:rPr>
        <w:t>: إعداد حملات تثقيفية وتنفيذها؛</w:t>
      </w:r>
    </w:p>
    <w:p w:rsidR="00CC0F13" w:rsidRPr="00B83BCF" w:rsidRDefault="00CC0F13" w:rsidP="004C4B32">
      <w:pPr>
        <w:pStyle w:val="SingleTxt"/>
        <w:numPr>
          <w:ilvl w:val="0"/>
          <w:numId w:val="36"/>
        </w:numPr>
        <w:tabs>
          <w:tab w:val="clear" w:pos="1930"/>
        </w:tabs>
        <w:spacing w:line="386" w:lineRule="exact"/>
        <w:rPr>
          <w:spacing w:val="-4"/>
          <w:w w:val="100"/>
          <w:rtl/>
          <w:lang w:val="fr-FR"/>
        </w:rPr>
      </w:pPr>
      <w:r w:rsidRPr="00B83BCF">
        <w:rPr>
          <w:spacing w:val="-4"/>
          <w:w w:val="100"/>
          <w:rtl/>
          <w:lang w:val="fr-FR"/>
        </w:rPr>
        <w:t>التحقيق: تلقي الشكاوى المتعلقة بالسلوكات المتسمة بالتمييز أو كره الأجانب أو ا</w:t>
      </w:r>
      <w:r w:rsidR="00B83BCF">
        <w:rPr>
          <w:spacing w:val="-4"/>
          <w:w w:val="100"/>
          <w:rtl/>
          <w:lang w:val="fr-FR"/>
        </w:rPr>
        <w:t>لعنصرية وتجميعها وحفظها في سجل؛</w:t>
      </w:r>
    </w:p>
    <w:p w:rsidR="00CC0F13" w:rsidRPr="004C4B32" w:rsidRDefault="00CC0F13" w:rsidP="004C4B32">
      <w:pPr>
        <w:pStyle w:val="SingleTxt"/>
        <w:numPr>
          <w:ilvl w:val="0"/>
          <w:numId w:val="36"/>
        </w:numPr>
        <w:tabs>
          <w:tab w:val="clear" w:pos="1930"/>
        </w:tabs>
        <w:spacing w:line="386" w:lineRule="exact"/>
        <w:rPr>
          <w:w w:val="100"/>
          <w:rtl/>
          <w:lang w:val="fr-FR"/>
        </w:rPr>
      </w:pPr>
      <w:r w:rsidRPr="004C4B32">
        <w:rPr>
          <w:w w:val="100"/>
          <w:rtl/>
          <w:lang w:val="fr-FR"/>
        </w:rPr>
        <w:t>الخدمات: إسداء المشورة للضحايا؛ وتقديم المساعدة القضائية المجانية؛ وإسداء المشورة إلى مكتب المدعي الع</w:t>
      </w:r>
      <w:r w:rsidR="00B83BCF">
        <w:rPr>
          <w:w w:val="100"/>
          <w:rtl/>
          <w:lang w:val="fr-FR"/>
        </w:rPr>
        <w:t>ام في المسائل المتصلة باختصاصه؛</w:t>
      </w:r>
    </w:p>
    <w:p w:rsidR="00CC0F13" w:rsidRPr="00B83BCF" w:rsidRDefault="00CC0F13" w:rsidP="004C4B32">
      <w:pPr>
        <w:pStyle w:val="SingleTxt"/>
        <w:numPr>
          <w:ilvl w:val="0"/>
          <w:numId w:val="36"/>
        </w:numPr>
        <w:tabs>
          <w:tab w:val="clear" w:pos="1930"/>
        </w:tabs>
        <w:spacing w:line="386" w:lineRule="exact"/>
        <w:rPr>
          <w:spacing w:val="-4"/>
          <w:w w:val="100"/>
          <w:rtl/>
          <w:lang w:val="fr-FR"/>
        </w:rPr>
      </w:pPr>
      <w:r w:rsidRPr="00B83BCF">
        <w:rPr>
          <w:spacing w:val="-4"/>
          <w:w w:val="100"/>
          <w:rtl/>
          <w:lang w:val="fr-FR"/>
        </w:rPr>
        <w:t xml:space="preserve">التوثيق: تجميع وتحديث المعلومات المتعلقة بالقانون الوطني والدولي والمقارن في هذا المجال؛ وإنشاء سجل للتوثيق تابع للمعهد الوطني لمكافحة </w:t>
      </w:r>
      <w:r w:rsidR="00B83BCF">
        <w:rPr>
          <w:spacing w:val="-4"/>
          <w:w w:val="100"/>
          <w:rtl/>
          <w:lang w:val="fr-FR"/>
        </w:rPr>
        <w:t>التمييز وكره الأجانب والعنصرية؛</w:t>
      </w:r>
    </w:p>
    <w:p w:rsidR="00CC0F13" w:rsidRPr="004C4B32" w:rsidRDefault="00CC0F13" w:rsidP="004C4B32">
      <w:pPr>
        <w:pStyle w:val="SingleTxt"/>
        <w:numPr>
          <w:ilvl w:val="0"/>
          <w:numId w:val="36"/>
        </w:numPr>
        <w:tabs>
          <w:tab w:val="clear" w:pos="1930"/>
        </w:tabs>
        <w:spacing w:line="386" w:lineRule="exact"/>
        <w:rPr>
          <w:w w:val="100"/>
          <w:rtl/>
          <w:lang w:val="fr-FR"/>
        </w:rPr>
      </w:pPr>
      <w:r w:rsidRPr="004C4B32">
        <w:rPr>
          <w:w w:val="100"/>
          <w:rtl/>
          <w:lang w:val="fr-FR"/>
        </w:rPr>
        <w:t>التعاون: إقامة علاقات التعاون مع الكيانات الأخرى التي لديها نفس الأهداف؛ وإبرام اتفاقات.</w:t>
      </w:r>
    </w:p>
    <w:p w:rsidR="00CC0F13" w:rsidRPr="00307AAE" w:rsidRDefault="00CC0F13" w:rsidP="00CC0F13">
      <w:pPr>
        <w:pStyle w:val="SingleTxt"/>
        <w:rPr>
          <w:w w:val="100"/>
          <w:kern w:val="0"/>
          <w:rtl/>
          <w:lang w:val="fr-FR"/>
        </w:rPr>
      </w:pPr>
      <w:r w:rsidRPr="00307AAE">
        <w:rPr>
          <w:w w:val="100"/>
          <w:kern w:val="0"/>
          <w:rtl/>
          <w:lang w:val="fr-FR"/>
        </w:rPr>
        <w:t>150-</w:t>
      </w:r>
      <w:r w:rsidRPr="00307AAE">
        <w:rPr>
          <w:w w:val="100"/>
          <w:kern w:val="0"/>
          <w:rtl/>
          <w:lang w:val="fr-FR"/>
        </w:rPr>
        <w:tab/>
        <w:t xml:space="preserve">أما بخصوص أهداف هذا المعهد، فإن مهمته تتمثل فيما يلي: </w:t>
      </w:r>
    </w:p>
    <w:p w:rsidR="00CC0F13" w:rsidRPr="004C4B32" w:rsidRDefault="00CC0F13" w:rsidP="004C4B32">
      <w:pPr>
        <w:pStyle w:val="SingleTxt"/>
        <w:numPr>
          <w:ilvl w:val="0"/>
          <w:numId w:val="36"/>
        </w:numPr>
        <w:tabs>
          <w:tab w:val="clear" w:pos="1930"/>
        </w:tabs>
        <w:spacing w:line="386" w:lineRule="exact"/>
        <w:rPr>
          <w:w w:val="100"/>
          <w:rtl/>
          <w:lang w:val="fr-FR"/>
        </w:rPr>
      </w:pPr>
      <w:r w:rsidRPr="004C4B32">
        <w:rPr>
          <w:w w:val="100"/>
          <w:rtl/>
          <w:lang w:val="fr-FR"/>
        </w:rPr>
        <w:t xml:space="preserve">نشر المبادئ المكرسة في الدستور الوطني، والمعاهدات الدولية لحقوق الإنسان، والمعايير المتسقة والمتكاملة والقانون رقم 23592 المتعلق بأفعال التمييز، بالإضافة إلى نتائج الدراسات التي ينجزها المعهد أو يدعمها والاقتراحات التي يقدمها؛ </w:t>
      </w:r>
    </w:p>
    <w:p w:rsidR="00CC0F13" w:rsidRPr="004C4B32" w:rsidRDefault="00CC0F13" w:rsidP="004C4B32">
      <w:pPr>
        <w:pStyle w:val="SingleTxt"/>
        <w:numPr>
          <w:ilvl w:val="0"/>
          <w:numId w:val="36"/>
        </w:numPr>
        <w:tabs>
          <w:tab w:val="clear" w:pos="1930"/>
        </w:tabs>
        <w:spacing w:line="386" w:lineRule="exact"/>
        <w:rPr>
          <w:w w:val="100"/>
          <w:rtl/>
          <w:lang w:val="fr-FR"/>
        </w:rPr>
      </w:pPr>
      <w:r w:rsidRPr="004C4B32">
        <w:rPr>
          <w:w w:val="100"/>
          <w:rtl/>
          <w:lang w:val="fr-FR"/>
        </w:rPr>
        <w:t xml:space="preserve">إعداد وحفز تنظيم حملات للتثقيف والتواصل ترمي إلى تعزيز قيمة التعددية الاجتماعية والثقافية، وإلى القضاء على السلوكات المتسمة بالتمييز أو كره الأجانب أو العنصرية؛ </w:t>
      </w:r>
    </w:p>
    <w:p w:rsidR="00CC0F13" w:rsidRPr="004C4B32" w:rsidRDefault="00CC0F13" w:rsidP="004C4B32">
      <w:pPr>
        <w:pStyle w:val="SingleTxt"/>
        <w:numPr>
          <w:ilvl w:val="0"/>
          <w:numId w:val="36"/>
        </w:numPr>
        <w:tabs>
          <w:tab w:val="clear" w:pos="1930"/>
        </w:tabs>
        <w:spacing w:line="386" w:lineRule="exact"/>
        <w:rPr>
          <w:w w:val="100"/>
          <w:rtl/>
          <w:lang w:val="fr-FR"/>
        </w:rPr>
      </w:pPr>
      <w:r w:rsidRPr="004C4B32">
        <w:rPr>
          <w:w w:val="100"/>
          <w:rtl/>
          <w:lang w:val="fr-FR"/>
        </w:rPr>
        <w:t xml:space="preserve">تلقي الشكاوى المتعلقة بالسلوكات المتسمة بالتمييز وكره الأجانب والعنصرية وتنسيق عملية تلقيها وحفظها في سجل؛ </w:t>
      </w:r>
    </w:p>
    <w:p w:rsidR="00CC0F13" w:rsidRPr="00B83BCF" w:rsidRDefault="00CC0F13" w:rsidP="004C4B32">
      <w:pPr>
        <w:pStyle w:val="SingleTxt"/>
        <w:numPr>
          <w:ilvl w:val="0"/>
          <w:numId w:val="36"/>
        </w:numPr>
        <w:tabs>
          <w:tab w:val="clear" w:pos="1930"/>
        </w:tabs>
        <w:spacing w:line="386" w:lineRule="exact"/>
        <w:rPr>
          <w:spacing w:val="-4"/>
          <w:w w:val="100"/>
          <w:rtl/>
          <w:lang w:val="fr-FR"/>
        </w:rPr>
      </w:pPr>
      <w:r w:rsidRPr="00B83BCF">
        <w:rPr>
          <w:spacing w:val="-4"/>
          <w:w w:val="100"/>
          <w:rtl/>
          <w:lang w:val="fr-FR"/>
        </w:rPr>
        <w:t>تقديم المشورة الشاملة والمجانية للأفراد أو الجماعات ممن يعانون من التمييز أو لضحايا كره الأجانب أو العنصرية، مع توفير المساعدة القضائية المجانية للطرف المعني الذي يطلبها.</w:t>
      </w:r>
    </w:p>
    <w:p w:rsidR="00CC0F13" w:rsidRPr="00A71B00" w:rsidRDefault="00CC0F13" w:rsidP="00145307">
      <w:pPr>
        <w:pStyle w:val="SingleTxt"/>
        <w:rPr>
          <w:spacing w:val="-4"/>
          <w:w w:val="100"/>
          <w:kern w:val="0"/>
          <w:rtl/>
          <w:lang w:val="fr-FR"/>
        </w:rPr>
      </w:pPr>
      <w:r w:rsidRPr="00A71B00">
        <w:rPr>
          <w:spacing w:val="-4"/>
          <w:w w:val="100"/>
          <w:kern w:val="0"/>
          <w:rtl/>
          <w:lang w:val="fr-FR"/>
        </w:rPr>
        <w:t>151-</w:t>
      </w:r>
      <w:r w:rsidRPr="00A71B00">
        <w:rPr>
          <w:spacing w:val="-4"/>
          <w:w w:val="100"/>
          <w:kern w:val="0"/>
          <w:rtl/>
          <w:lang w:val="fr-FR"/>
        </w:rPr>
        <w:tab/>
        <w:t>وبالإضافة إلى ذلك، فإن السلطة التنفيذية الوطنية، من خلال سن المرسوم رقم 1086/05 المتعلق باعتماد الخطة الوطنية لمكافحة التمييز، المؤرخ 7 أيلول/سبتمبر 2005، تُسند، بموجب المادة</w:t>
      </w:r>
      <w:r w:rsidR="00A71B00">
        <w:rPr>
          <w:rFonts w:hint="cs"/>
          <w:spacing w:val="-4"/>
          <w:w w:val="100"/>
          <w:kern w:val="0"/>
          <w:rtl/>
          <w:lang w:val="fr-FR"/>
        </w:rPr>
        <w:t> </w:t>
      </w:r>
      <w:r w:rsidRPr="00A71B00">
        <w:rPr>
          <w:spacing w:val="-4"/>
          <w:w w:val="100"/>
          <w:kern w:val="0"/>
          <w:rtl/>
          <w:lang w:val="fr-FR"/>
        </w:rPr>
        <w:t>1 منه، إلى المعهد الوطني لمكافحة التمييز وكره الأجانب والعنصرية مهمة تنسيق عملية تنفيذ هذه الخطة. وبالتالي، يدرج المعهد ضمن الأهداف الرئيسية التي يسعى إليها الاستراتيجيات التالية: إضفاء الطابع الاتحادي على إدارة المعهد، وتنظيم حملات لتعزيز قيمة التعددية الاجتماعية والثقافية، وإدماج مظاهر التنوع والقضاء على جميع السلوكات المتسمة بالتمييز، وتحديث الدراسة التشخيصية لحالات التمييز في سائر الإقليم الوطني من خلال البحوث المتخصصة.</w:t>
      </w:r>
    </w:p>
    <w:p w:rsidR="00A71B00" w:rsidRPr="00A71B00" w:rsidRDefault="00A71B00"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CC0F13"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t>2-</w:t>
      </w:r>
      <w:r w:rsidR="00A71B00">
        <w:rPr>
          <w:w w:val="100"/>
          <w:rtl/>
          <w:lang w:val="fr-FR"/>
        </w:rPr>
        <w:tab/>
        <w:t>الخطة الوطنية لمكافحة التمييز</w:t>
      </w:r>
    </w:p>
    <w:p w:rsidR="00CC0F13" w:rsidRPr="00307AAE" w:rsidRDefault="00CC0F13" w:rsidP="00145307">
      <w:pPr>
        <w:pStyle w:val="SingleTxt"/>
        <w:rPr>
          <w:w w:val="100"/>
          <w:kern w:val="0"/>
          <w:rtl/>
          <w:lang w:val="fr-FR"/>
        </w:rPr>
      </w:pPr>
      <w:r w:rsidRPr="00307AAE">
        <w:rPr>
          <w:w w:val="100"/>
          <w:kern w:val="0"/>
          <w:rtl/>
          <w:lang w:val="fr-FR"/>
        </w:rPr>
        <w:t>152-</w:t>
      </w:r>
      <w:r w:rsidRPr="00307AAE">
        <w:rPr>
          <w:w w:val="100"/>
          <w:kern w:val="0"/>
          <w:rtl/>
          <w:lang w:val="fr-FR"/>
        </w:rPr>
        <w:tab/>
        <w:t>يجري منذ عام 2005 تنفيذ الخطة الوطنية لمكافحة التمييز، وهي برنامج عمل يشمل تشخيص</w:t>
      </w:r>
      <w:r w:rsidR="00955E01">
        <w:rPr>
          <w:w w:val="100"/>
          <w:kern w:val="0"/>
          <w:rtl/>
          <w:lang w:val="fr-FR"/>
        </w:rPr>
        <w:t xml:space="preserve">اً </w:t>
      </w:r>
      <w:r w:rsidRPr="00307AAE">
        <w:rPr>
          <w:w w:val="100"/>
          <w:kern w:val="0"/>
          <w:rtl/>
          <w:lang w:val="fr-FR"/>
        </w:rPr>
        <w:t>دقيق</w:t>
      </w:r>
      <w:r w:rsidR="00955E01">
        <w:rPr>
          <w:w w:val="100"/>
          <w:kern w:val="0"/>
          <w:rtl/>
          <w:lang w:val="fr-FR"/>
        </w:rPr>
        <w:t xml:space="preserve">اً </w:t>
      </w:r>
      <w:r w:rsidRPr="00307AAE">
        <w:rPr>
          <w:w w:val="100"/>
          <w:kern w:val="0"/>
          <w:rtl/>
          <w:lang w:val="fr-FR"/>
        </w:rPr>
        <w:t xml:space="preserve">لهذه المسألة ويقدم توصيات محددة بهذا الخصوص، ما يجعل </w:t>
      </w:r>
      <w:r w:rsidR="00145307">
        <w:rPr>
          <w:rFonts w:hint="cs"/>
          <w:w w:val="100"/>
          <w:kern w:val="0"/>
          <w:rtl/>
          <w:lang w:val="fr-FR"/>
        </w:rPr>
        <w:t xml:space="preserve">بلدنا نبراساً في </w:t>
      </w:r>
      <w:r w:rsidRPr="00307AAE">
        <w:rPr>
          <w:w w:val="100"/>
          <w:kern w:val="0"/>
          <w:rtl/>
          <w:lang w:val="fr-FR"/>
        </w:rPr>
        <w:t>إعداد خطط مماثلة في بلدان أخرى.</w:t>
      </w:r>
    </w:p>
    <w:p w:rsidR="00A71B00" w:rsidRPr="00A71B00" w:rsidRDefault="00A71B00" w:rsidP="00A71B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A71B00" w:rsidRPr="00A71B00" w:rsidRDefault="00A71B00" w:rsidP="00A71B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Default="00CC0F13" w:rsidP="00A71B0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r>
      <w:bookmarkStart w:id="12" w:name="_Toc430532840"/>
      <w:r w:rsidRPr="00307AAE">
        <w:rPr>
          <w:w w:val="100"/>
          <w:rtl/>
          <w:lang w:val="fr-FR"/>
        </w:rPr>
        <w:t>باء-</w:t>
      </w:r>
      <w:r w:rsidRPr="00307AAE">
        <w:rPr>
          <w:w w:val="100"/>
          <w:rtl/>
          <w:lang w:val="fr-FR"/>
        </w:rPr>
        <w:tab/>
        <w:t>سبل الانتصاف الفعالة</w:t>
      </w:r>
      <w:bookmarkEnd w:id="12"/>
    </w:p>
    <w:p w:rsidR="00A71B00" w:rsidRPr="00A71B00" w:rsidRDefault="00A71B00" w:rsidP="00A71B00">
      <w:pPr>
        <w:pStyle w:val="SingleTxt"/>
        <w:spacing w:after="0" w:line="120" w:lineRule="exact"/>
        <w:rPr>
          <w:sz w:val="10"/>
          <w:rtl/>
          <w:lang w:val="fr-FR"/>
        </w:rPr>
      </w:pPr>
    </w:p>
    <w:p w:rsidR="00CC0F13" w:rsidRPr="00307AAE" w:rsidRDefault="00CC0F13" w:rsidP="00145307">
      <w:pPr>
        <w:pStyle w:val="SingleTxt"/>
        <w:rPr>
          <w:w w:val="100"/>
          <w:kern w:val="0"/>
          <w:rtl/>
          <w:lang w:val="fr-FR"/>
        </w:rPr>
      </w:pPr>
      <w:r w:rsidRPr="00307AAE">
        <w:rPr>
          <w:w w:val="100"/>
          <w:kern w:val="0"/>
          <w:rtl/>
          <w:lang w:val="fr-FR"/>
        </w:rPr>
        <w:t>153-</w:t>
      </w:r>
      <w:r w:rsidRPr="00307AAE">
        <w:rPr>
          <w:w w:val="100"/>
          <w:kern w:val="0"/>
          <w:rtl/>
          <w:lang w:val="fr-FR"/>
        </w:rPr>
        <w:tab/>
        <w:t>تتوافر لجميع سكان جمهورية الأرجنتين مجموعة من سبل الانتصاف التي تتيح معالجة الحالات التي يُنتهك فيها حق أساسي. وتنظَّم سبل الانتصاف هذه بمقتضى القوانين العادية وتتنوع حسب موضوعها. وينص الدستور الوطني في المادة 43 منه على إجراءات الحماية المؤقتة، وأمر الإحضار أمام المحكمة والاطلاع على البيانات الشخصية.</w:t>
      </w:r>
    </w:p>
    <w:p w:rsidR="00CC0F13" w:rsidRPr="00A71B00" w:rsidRDefault="00CC0F13" w:rsidP="00145307">
      <w:pPr>
        <w:pStyle w:val="SingleTxt"/>
        <w:rPr>
          <w:spacing w:val="-4"/>
          <w:w w:val="100"/>
          <w:kern w:val="0"/>
          <w:rtl/>
          <w:lang w:val="fr-FR"/>
        </w:rPr>
      </w:pPr>
      <w:r w:rsidRPr="00A71B00">
        <w:rPr>
          <w:spacing w:val="-4"/>
          <w:w w:val="100"/>
          <w:kern w:val="0"/>
          <w:rtl/>
          <w:lang w:val="fr-FR"/>
        </w:rPr>
        <w:t>154-</w:t>
      </w:r>
      <w:r w:rsidRPr="00A71B00">
        <w:rPr>
          <w:spacing w:val="-4"/>
          <w:w w:val="100"/>
          <w:kern w:val="0"/>
          <w:rtl/>
          <w:lang w:val="fr-FR"/>
        </w:rPr>
        <w:tab/>
        <w:t>وينص قانون الإجراءات الجنائية على أنه "يجوز لكل شخص يع</w:t>
      </w:r>
      <w:r w:rsidR="00145307">
        <w:rPr>
          <w:spacing w:val="-4"/>
          <w:w w:val="100"/>
          <w:kern w:val="0"/>
          <w:rtl/>
          <w:lang w:val="fr-FR"/>
        </w:rPr>
        <w:t xml:space="preserve">تبر </w:t>
      </w:r>
      <w:r w:rsidRPr="00A71B00">
        <w:rPr>
          <w:spacing w:val="-4"/>
          <w:w w:val="100"/>
          <w:kern w:val="0"/>
          <w:rtl/>
          <w:lang w:val="fr-FR"/>
        </w:rPr>
        <w:t>أنه تضرر من جريمة تستوجب الملاحقة القضائية أو يعلم بارتكابها دون أن يدعي تضرره منها أن</w:t>
      </w:r>
      <w:r w:rsidR="00A71B00">
        <w:rPr>
          <w:rFonts w:hint="cs"/>
          <w:spacing w:val="-4"/>
          <w:w w:val="100"/>
          <w:kern w:val="0"/>
          <w:rtl/>
          <w:lang w:val="fr-FR"/>
        </w:rPr>
        <w:t> </w:t>
      </w:r>
      <w:r w:rsidRPr="00A71B00">
        <w:rPr>
          <w:spacing w:val="-4"/>
          <w:w w:val="100"/>
          <w:kern w:val="0"/>
          <w:rtl/>
          <w:lang w:val="fr-FR"/>
        </w:rPr>
        <w:t xml:space="preserve">يبلغ </w:t>
      </w:r>
      <w:r w:rsidR="00145307">
        <w:rPr>
          <w:spacing w:val="-4"/>
          <w:w w:val="100"/>
          <w:kern w:val="0"/>
          <w:rtl/>
          <w:lang w:val="fr-FR"/>
        </w:rPr>
        <w:t>القاضي</w:t>
      </w:r>
      <w:r w:rsidRPr="00A71B00">
        <w:rPr>
          <w:spacing w:val="-4"/>
          <w:w w:val="100"/>
          <w:kern w:val="0"/>
          <w:rtl/>
          <w:lang w:val="fr-FR"/>
        </w:rPr>
        <w:t xml:space="preserve"> أو المدعي العام أو الشرطة بوقوعها. وعندما يتعلق الأمر بدعوى جنائية شخصية، لا</w:t>
      </w:r>
      <w:r w:rsidR="00A71B00">
        <w:rPr>
          <w:rFonts w:hint="cs"/>
          <w:spacing w:val="-4"/>
          <w:w w:val="100"/>
          <w:kern w:val="0"/>
          <w:rtl/>
          <w:lang w:val="fr-FR"/>
        </w:rPr>
        <w:t> </w:t>
      </w:r>
      <w:r w:rsidRPr="00A71B00">
        <w:rPr>
          <w:spacing w:val="-4"/>
          <w:w w:val="100"/>
          <w:kern w:val="0"/>
          <w:rtl/>
          <w:lang w:val="fr-FR"/>
        </w:rPr>
        <w:t>يجوز الإبلاغ إلا لمن يحق له إقامة الدعوى، وفق</w:t>
      </w:r>
      <w:r w:rsidR="00955E01">
        <w:rPr>
          <w:spacing w:val="-4"/>
          <w:w w:val="100"/>
          <w:kern w:val="0"/>
          <w:rtl/>
          <w:lang w:val="fr-FR"/>
        </w:rPr>
        <w:t xml:space="preserve">اً </w:t>
      </w:r>
      <w:r w:rsidRPr="00A71B00">
        <w:rPr>
          <w:spacing w:val="-4"/>
          <w:w w:val="100"/>
          <w:kern w:val="0"/>
          <w:rtl/>
          <w:lang w:val="fr-FR"/>
        </w:rPr>
        <w:t>لما ينص عليه القانون الجنائي في هذا الصدد. ووفق</w:t>
      </w:r>
      <w:r w:rsidR="00955E01">
        <w:rPr>
          <w:spacing w:val="-4"/>
          <w:w w:val="100"/>
          <w:kern w:val="0"/>
          <w:rtl/>
          <w:lang w:val="fr-FR"/>
        </w:rPr>
        <w:t xml:space="preserve">اً </w:t>
      </w:r>
      <w:r w:rsidRPr="00A71B00">
        <w:rPr>
          <w:spacing w:val="-4"/>
          <w:w w:val="100"/>
          <w:kern w:val="0"/>
          <w:rtl/>
          <w:lang w:val="fr-FR"/>
        </w:rPr>
        <w:t>للإجراءات المنصوص عليها (...) يجوز للمعني بالأمر أن يطلب اعتباره طرف</w:t>
      </w:r>
      <w:r w:rsidR="00955E01">
        <w:rPr>
          <w:spacing w:val="-4"/>
          <w:w w:val="100"/>
          <w:kern w:val="0"/>
          <w:rtl/>
          <w:lang w:val="fr-FR"/>
        </w:rPr>
        <w:t xml:space="preserve">اً </w:t>
      </w:r>
      <w:r w:rsidRPr="00A71B00">
        <w:rPr>
          <w:spacing w:val="-4"/>
          <w:w w:val="100"/>
          <w:kern w:val="0"/>
          <w:rtl/>
          <w:lang w:val="fr-FR"/>
        </w:rPr>
        <w:t>مدعي</w:t>
      </w:r>
      <w:r w:rsidR="00955E01">
        <w:rPr>
          <w:spacing w:val="-4"/>
          <w:w w:val="100"/>
          <w:kern w:val="0"/>
          <w:rtl/>
          <w:lang w:val="fr-FR"/>
        </w:rPr>
        <w:t>اً"</w:t>
      </w:r>
      <w:r w:rsidRPr="00A71B00">
        <w:rPr>
          <w:spacing w:val="-4"/>
          <w:w w:val="100"/>
          <w:kern w:val="0"/>
          <w:rtl/>
          <w:lang w:val="fr-FR"/>
        </w:rPr>
        <w:t>.</w:t>
      </w:r>
    </w:p>
    <w:p w:rsidR="00CC0F13" w:rsidRPr="00307AAE" w:rsidRDefault="00CC0F13" w:rsidP="00145307">
      <w:pPr>
        <w:pStyle w:val="SingleTxt"/>
        <w:rPr>
          <w:w w:val="100"/>
          <w:kern w:val="0"/>
          <w:rtl/>
          <w:lang w:val="fr-FR"/>
        </w:rPr>
      </w:pPr>
      <w:r w:rsidRPr="00307AAE">
        <w:rPr>
          <w:w w:val="100"/>
          <w:kern w:val="0"/>
          <w:rtl/>
          <w:lang w:val="fr-FR"/>
        </w:rPr>
        <w:t>155-</w:t>
      </w:r>
      <w:r w:rsidRPr="00307AAE">
        <w:rPr>
          <w:w w:val="100"/>
          <w:kern w:val="0"/>
          <w:rtl/>
          <w:lang w:val="fr-FR"/>
        </w:rPr>
        <w:tab/>
        <w:t>وينص قانون الإجراءات الجنائية (المادة 177) على أن مسؤولية الإبلاغ عن الجرائم المستوجبة للملاحقة القضائية تقع على عاتق الموظفين أو المستخدمين في القطاع العام الذين يعلمون بها خلال ممارستهم لمهامهم، وعلى الأطباء، والقابلات، والصيادلة وغيرهم ممن يشتغلون بأي فرع من فروع فن العلاج فيما يتعلق بالجرائم التي يعلمون بها لدى تقديم الإسعافات المتصلة بمهنهم، ما لم تندرج الوقائع ضمن أسرار المهنة.</w:t>
      </w:r>
    </w:p>
    <w:p w:rsidR="00A71B00" w:rsidRPr="00A71B00" w:rsidRDefault="00A71B00"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A71B00"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Pr>
          <w:w w:val="100"/>
          <w:rtl/>
          <w:lang w:val="fr-FR"/>
        </w:rPr>
        <w:tab/>
        <w:t>1-</w:t>
      </w:r>
      <w:r>
        <w:rPr>
          <w:w w:val="100"/>
          <w:rtl/>
          <w:lang w:val="fr-FR"/>
        </w:rPr>
        <w:tab/>
        <w:t>تدبير الحماية المؤقتة</w:t>
      </w:r>
    </w:p>
    <w:p w:rsidR="00CC0F13" w:rsidRPr="00A71B00" w:rsidRDefault="00CC0F13" w:rsidP="00A71B00">
      <w:pPr>
        <w:pStyle w:val="SingleTxt"/>
        <w:rPr>
          <w:spacing w:val="-2"/>
          <w:w w:val="100"/>
          <w:kern w:val="0"/>
          <w:rtl/>
          <w:lang w:val="fr-FR"/>
        </w:rPr>
      </w:pPr>
      <w:r w:rsidRPr="00A71B00">
        <w:rPr>
          <w:spacing w:val="-2"/>
          <w:w w:val="100"/>
          <w:kern w:val="0"/>
          <w:rtl/>
          <w:lang w:val="fr-FR"/>
        </w:rPr>
        <w:t>156-</w:t>
      </w:r>
      <w:r w:rsidRPr="00A71B00">
        <w:rPr>
          <w:spacing w:val="-2"/>
          <w:w w:val="100"/>
          <w:kern w:val="0"/>
          <w:rtl/>
          <w:lang w:val="fr-FR"/>
        </w:rPr>
        <w:tab/>
        <w:t>ينظم القانون رقم 16986 تدبير الحماية المؤقتة في إطار الحقوق أو الضمانات التي يعترف بها الدستور الوطني بشكل صريح أو ضمني، باستثناء الحرية الفردية التي يكفلها إجراء أمر الإحضار أمام القضاء. ويجوز تقديم هذه الدعوى ضد أي فعل أو تقصير من جانب السلطات العامة أو</w:t>
      </w:r>
      <w:r w:rsidR="00A71B00">
        <w:rPr>
          <w:rFonts w:hint="cs"/>
          <w:spacing w:val="-2"/>
          <w:w w:val="100"/>
          <w:kern w:val="0"/>
          <w:rtl/>
          <w:lang w:val="fr-FR"/>
        </w:rPr>
        <w:t> </w:t>
      </w:r>
      <w:r w:rsidRPr="00A71B00">
        <w:rPr>
          <w:spacing w:val="-2"/>
          <w:w w:val="100"/>
          <w:kern w:val="0"/>
          <w:rtl/>
          <w:lang w:val="fr-FR"/>
        </w:rPr>
        <w:t>أشخاص مستقلين يمكن في شكله الحالي أو الوشيك أن ينتهك أو يقيد أو يغير أو يهدد، بشكل تعسفي أو غير قانوني، الحقوق والضمانات التي يكفلها الدستور الوطني أو إحدى المعاهدات أو</w:t>
      </w:r>
      <w:r w:rsidR="00A71B00">
        <w:rPr>
          <w:rFonts w:hint="cs"/>
          <w:spacing w:val="-2"/>
          <w:w w:val="100"/>
          <w:kern w:val="0"/>
          <w:rtl/>
          <w:lang w:val="fr-FR"/>
        </w:rPr>
        <w:t> </w:t>
      </w:r>
      <w:r w:rsidRPr="00A71B00">
        <w:rPr>
          <w:spacing w:val="-2"/>
          <w:w w:val="100"/>
          <w:kern w:val="0"/>
          <w:rtl/>
          <w:lang w:val="fr-FR"/>
        </w:rPr>
        <w:t>القوانين. وعند الاقتضاء، يمكن للقاضي أن يعلن عدم توافر صفة المشروعية الدستورية في القاعدة التي ارتكز عليها الفعل أو التقصير المسبب للضرر.</w:t>
      </w:r>
    </w:p>
    <w:p w:rsidR="00CC0F13" w:rsidRPr="00307AAE" w:rsidRDefault="00CC0F13" w:rsidP="00CC0F13">
      <w:pPr>
        <w:pStyle w:val="SingleTxt"/>
        <w:rPr>
          <w:w w:val="100"/>
          <w:kern w:val="0"/>
          <w:rtl/>
          <w:lang w:val="fr-FR"/>
        </w:rPr>
      </w:pPr>
      <w:r w:rsidRPr="00307AAE">
        <w:rPr>
          <w:w w:val="100"/>
          <w:kern w:val="0"/>
          <w:rtl/>
          <w:lang w:val="fr-FR"/>
        </w:rPr>
        <w:t>157-</w:t>
      </w:r>
      <w:r w:rsidRPr="00307AAE">
        <w:rPr>
          <w:w w:val="100"/>
          <w:kern w:val="0"/>
          <w:rtl/>
          <w:lang w:val="fr-FR"/>
        </w:rPr>
        <w:tab/>
        <w:t>ويمكن تقديم هذه الدعوى ضد أي شكل من أشكال التمييز وكل ما يتعلق بحقوق حماية البيئة والمنافسة والمستخدمين والمستهلكين، وكذلك الحقوق الجماعية بوجه عام، من قِبل الشخص المتضرر وأمين المظالم والرابطات التي تعمل لتحقيق هذه الغايات والمسجلة وفقاً للقانون الذي يحدد شروط وصيغ تنظيمها.</w:t>
      </w:r>
    </w:p>
    <w:p w:rsidR="00CC0F13" w:rsidRPr="00307AAE" w:rsidRDefault="00CC0F13" w:rsidP="00CC0F13">
      <w:pPr>
        <w:pStyle w:val="SingleTxt"/>
        <w:rPr>
          <w:w w:val="100"/>
          <w:kern w:val="0"/>
          <w:rtl/>
          <w:lang w:val="fr-FR"/>
        </w:rPr>
      </w:pPr>
      <w:r w:rsidRPr="00307AAE">
        <w:rPr>
          <w:w w:val="100"/>
          <w:kern w:val="0"/>
          <w:rtl/>
          <w:lang w:val="fr-FR"/>
        </w:rPr>
        <w:t>158-</w:t>
      </w:r>
      <w:r w:rsidRPr="00307AAE">
        <w:rPr>
          <w:w w:val="100"/>
          <w:kern w:val="0"/>
          <w:rtl/>
          <w:lang w:val="fr-FR"/>
        </w:rPr>
        <w:tab/>
        <w:t>ويتعين تقديم الدعوى أمام قاضي المحكمة الابتدائية التي يشمل نطاق ولايتها المكان الذي وقع فيه الفعل أو الذي طاله أثره أو قد يطاله. وعندما تُقبل الدعوى، يطلب القاضي من السلطة المختصة إنجاز تقرير مفصل عن ملابسات وأسس الإجراء المطعون فيه، يجب تقديمه خلال أجل معقول يحدده (خمسة أيام على العموم). وإن قُدم التقرير أو انصرم الأجل المحدد دون تقديمه، ولم يقدم الطرف المدعي أي دليل، أصدر القاضي، خلال 48 ساعة، حكم</w:t>
      </w:r>
      <w:r w:rsidR="00955E01">
        <w:rPr>
          <w:w w:val="100"/>
          <w:kern w:val="0"/>
          <w:rtl/>
          <w:lang w:val="fr-FR"/>
        </w:rPr>
        <w:t xml:space="preserve">اً </w:t>
      </w:r>
      <w:r w:rsidRPr="00307AAE">
        <w:rPr>
          <w:w w:val="100"/>
          <w:kern w:val="0"/>
          <w:rtl/>
          <w:lang w:val="fr-FR"/>
        </w:rPr>
        <w:t>مرتكز</w:t>
      </w:r>
      <w:r w:rsidR="00955E01">
        <w:rPr>
          <w:w w:val="100"/>
          <w:kern w:val="0"/>
          <w:rtl/>
          <w:lang w:val="fr-FR"/>
        </w:rPr>
        <w:t xml:space="preserve">اً </w:t>
      </w:r>
      <w:r w:rsidRPr="00307AAE">
        <w:rPr>
          <w:w w:val="100"/>
          <w:kern w:val="0"/>
          <w:rtl/>
          <w:lang w:val="fr-FR"/>
        </w:rPr>
        <w:t>إلى أساس قانوني بالموافقة على تدبير الحماية المؤقتة أو رفضه.</w:t>
      </w:r>
    </w:p>
    <w:p w:rsidR="00CC0F13" w:rsidRPr="00307AAE" w:rsidRDefault="00CC0F13" w:rsidP="00CC0F13">
      <w:pPr>
        <w:pStyle w:val="SingleTxt"/>
        <w:rPr>
          <w:w w:val="100"/>
          <w:kern w:val="0"/>
          <w:rtl/>
          <w:lang w:val="fr-FR"/>
        </w:rPr>
      </w:pPr>
      <w:r w:rsidRPr="00307AAE">
        <w:rPr>
          <w:w w:val="100"/>
          <w:kern w:val="0"/>
          <w:rtl/>
          <w:lang w:val="fr-FR"/>
        </w:rPr>
        <w:t>159-</w:t>
      </w:r>
      <w:r w:rsidRPr="00307AAE">
        <w:rPr>
          <w:w w:val="100"/>
          <w:kern w:val="0"/>
          <w:rtl/>
          <w:lang w:val="fr-FR"/>
        </w:rPr>
        <w:tab/>
        <w:t>وتنظم المادة 321 من قانون الإجراءات المدنية والتجارية تدبير الحماية المؤقتة ضد فعلِ أو تقصير شخص مستقل. وفي حالة</w:t>
      </w:r>
      <w:r w:rsidR="00A71B00">
        <w:rPr>
          <w:w w:val="100"/>
          <w:kern w:val="0"/>
          <w:rtl/>
          <w:lang w:val="fr-FR"/>
        </w:rPr>
        <w:t xml:space="preserve"> </w:t>
      </w:r>
      <w:r w:rsidRPr="00307AAE">
        <w:rPr>
          <w:w w:val="100"/>
          <w:kern w:val="0"/>
          <w:rtl/>
          <w:lang w:val="fr-FR"/>
        </w:rPr>
        <w:t>هذا الإجراء تنطبق المعايير المتعلقة بالإجراءات الموجزة.</w:t>
      </w:r>
    </w:p>
    <w:p w:rsidR="00CC0F13" w:rsidRPr="00A71B00" w:rsidRDefault="00CC0F13" w:rsidP="00145307">
      <w:pPr>
        <w:pStyle w:val="SingleTxt"/>
        <w:rPr>
          <w:spacing w:val="-2"/>
          <w:w w:val="100"/>
          <w:kern w:val="0"/>
          <w:rtl/>
          <w:lang w:val="fr-FR"/>
        </w:rPr>
      </w:pPr>
      <w:r w:rsidRPr="00A71B00">
        <w:rPr>
          <w:spacing w:val="-2"/>
          <w:w w:val="100"/>
          <w:kern w:val="0"/>
          <w:rtl/>
          <w:lang w:val="fr-FR"/>
        </w:rPr>
        <w:t>160-</w:t>
      </w:r>
      <w:r w:rsidRPr="00A71B00">
        <w:rPr>
          <w:spacing w:val="-2"/>
          <w:w w:val="100"/>
          <w:kern w:val="0"/>
          <w:rtl/>
          <w:lang w:val="fr-FR"/>
        </w:rPr>
        <w:tab/>
        <w:t>وتكرس المادة 28 من قانون الإجراءات الإدارية (القانون رقم 19549 والتعديلات المدخلة عليه) تدبير الحماية المؤقتة بسبب تأخر في الإجراءات الإدارية، عندما لا تراعي السلطة الإدارية الآجال المحددة أو، في حالة عدم تحديد هذه الآجال، عندما تمر فترة زمنية تتجاوز الأجل المعقول لإصدار الحكم أو القرار الذي يطلبه الشخص المعني، من حيث الشكل أو المضمون. وبعد تقديم الطلب، يصدر القاضي قرار</w:t>
      </w:r>
      <w:r w:rsidR="00955E01">
        <w:rPr>
          <w:spacing w:val="-2"/>
          <w:w w:val="100"/>
          <w:kern w:val="0"/>
          <w:rtl/>
          <w:lang w:val="fr-FR"/>
        </w:rPr>
        <w:t xml:space="preserve">اً </w:t>
      </w:r>
      <w:r w:rsidRPr="00A71B00">
        <w:rPr>
          <w:spacing w:val="-2"/>
          <w:w w:val="100"/>
          <w:kern w:val="0"/>
          <w:rtl/>
          <w:lang w:val="fr-FR"/>
        </w:rPr>
        <w:t>بشأن مقبوليته مع مراعاة ملابسات القضية ويطلب من السلطة الإدارية المعنية، إذا رأى ذلك مناسب</w:t>
      </w:r>
      <w:r w:rsidR="00955E01">
        <w:rPr>
          <w:spacing w:val="-2"/>
          <w:w w:val="100"/>
          <w:kern w:val="0"/>
          <w:rtl/>
          <w:lang w:val="fr-FR"/>
        </w:rPr>
        <w:t>اً،</w:t>
      </w:r>
      <w:r w:rsidRPr="00A71B00">
        <w:rPr>
          <w:spacing w:val="-2"/>
          <w:w w:val="100"/>
          <w:kern w:val="0"/>
          <w:rtl/>
          <w:lang w:val="fr-FR"/>
        </w:rPr>
        <w:t xml:space="preserve"> أن تطلعه، خلال أجل يحدده، على أسباب التأخير المزعوم.</w:t>
      </w:r>
    </w:p>
    <w:p w:rsidR="00A71B00" w:rsidRPr="00A71B00" w:rsidRDefault="00A71B00"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CC0F13"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t>2-</w:t>
      </w:r>
      <w:r w:rsidRPr="00307AAE">
        <w:rPr>
          <w:w w:val="100"/>
          <w:rtl/>
          <w:lang w:val="fr-FR"/>
        </w:rPr>
        <w:tab/>
        <w:t>أمر الإحضار أمام القضاء</w:t>
      </w:r>
    </w:p>
    <w:p w:rsidR="00CC0F13" w:rsidRPr="00307AAE" w:rsidRDefault="00CC0F13" w:rsidP="00CC0F13">
      <w:pPr>
        <w:pStyle w:val="SingleTxt"/>
        <w:rPr>
          <w:w w:val="100"/>
          <w:kern w:val="0"/>
          <w:rtl/>
          <w:lang w:val="fr-FR"/>
        </w:rPr>
      </w:pPr>
      <w:r w:rsidRPr="00307AAE">
        <w:rPr>
          <w:w w:val="100"/>
          <w:kern w:val="0"/>
          <w:rtl/>
          <w:lang w:val="fr-FR"/>
        </w:rPr>
        <w:t>161-</w:t>
      </w:r>
      <w:r w:rsidRPr="00307AAE">
        <w:rPr>
          <w:w w:val="100"/>
          <w:kern w:val="0"/>
          <w:rtl/>
          <w:lang w:val="fr-FR"/>
        </w:rPr>
        <w:tab/>
        <w:t>عندما يتعرض الحق في الحرية البدنية للضرر أو التقييد أو التغيير أو التهديد، أو في حالة تشديد غير مشروع لشكل الاحتجاز أو ظروفه، أو في حالة اختفاء قسري للأشخاص، يجوز تقديم دعوى للمثول أمام القضاء. ويمكن تقديم هذا الطلب من قِبل المتضرر أو أي شخص ينوب عنه ويبت فيها القاضي بشكل فوري، حتى خلال فترة سريان حالة الحصار.</w:t>
      </w:r>
    </w:p>
    <w:p w:rsidR="00CC0F13" w:rsidRPr="00307AAE" w:rsidRDefault="00CC0F13" w:rsidP="00A71B00">
      <w:pPr>
        <w:pStyle w:val="SingleTxt"/>
        <w:rPr>
          <w:w w:val="100"/>
          <w:kern w:val="0"/>
          <w:rtl/>
          <w:lang w:val="fr-FR"/>
        </w:rPr>
      </w:pPr>
      <w:r w:rsidRPr="00307AAE">
        <w:rPr>
          <w:w w:val="100"/>
          <w:kern w:val="0"/>
          <w:rtl/>
          <w:lang w:val="fr-FR"/>
        </w:rPr>
        <w:t>162-</w:t>
      </w:r>
      <w:r w:rsidRPr="00307AAE">
        <w:rPr>
          <w:w w:val="100"/>
          <w:kern w:val="0"/>
          <w:rtl/>
          <w:lang w:val="fr-FR"/>
        </w:rPr>
        <w:tab/>
        <w:t>وينص القانون رقم 23098 على أنه يتعين إصدار أمر الإحضار أمام القضاء في حالة الإبلاغ عن فعل أو تقصير من جانب إحدى السلطات العامة يترتب عليه ما يلي: (أ) تقييدٌ أو</w:t>
      </w:r>
      <w:r w:rsidR="00A71B00">
        <w:rPr>
          <w:rFonts w:hint="cs"/>
          <w:w w:val="100"/>
          <w:kern w:val="0"/>
          <w:rtl/>
          <w:lang w:val="fr-FR"/>
        </w:rPr>
        <w:t> </w:t>
      </w:r>
      <w:r w:rsidRPr="00307AAE">
        <w:rPr>
          <w:w w:val="100"/>
          <w:kern w:val="0"/>
          <w:rtl/>
          <w:lang w:val="fr-FR"/>
        </w:rPr>
        <w:t xml:space="preserve">تهديدٌ فعلي لحرية التنقل دون أمر خطي صادر عن سلطة مختصة؛ (ب) تشديد غير مشروع </w:t>
      </w:r>
      <w:r w:rsidRPr="00A71B00">
        <w:rPr>
          <w:spacing w:val="-4"/>
          <w:w w:val="100"/>
          <w:kern w:val="0"/>
          <w:rtl/>
          <w:lang w:val="fr-FR"/>
        </w:rPr>
        <w:t>لشكل وظروف الحرمان من الحرية دون المساس بالصلاحيات الخاصة بقاضي الموضوع، إن وُجدت.</w:t>
      </w:r>
    </w:p>
    <w:p w:rsidR="00CC0F13" w:rsidRPr="00307AAE" w:rsidRDefault="00CC0F13" w:rsidP="00CC0F13">
      <w:pPr>
        <w:pStyle w:val="SingleTxt"/>
        <w:rPr>
          <w:w w:val="100"/>
          <w:kern w:val="0"/>
          <w:rtl/>
          <w:lang w:val="fr-FR"/>
        </w:rPr>
      </w:pPr>
      <w:r w:rsidRPr="00307AAE">
        <w:rPr>
          <w:w w:val="100"/>
          <w:kern w:val="0"/>
          <w:rtl/>
          <w:lang w:val="fr-FR"/>
        </w:rPr>
        <w:t>163-</w:t>
      </w:r>
      <w:r w:rsidRPr="00307AAE">
        <w:rPr>
          <w:w w:val="100"/>
          <w:kern w:val="0"/>
          <w:rtl/>
          <w:lang w:val="fr-FR"/>
        </w:rPr>
        <w:tab/>
        <w:t>وعندما تقيَّد حرية شخص ما بموجب إعلان حالة الحصار، يمكن أن تكون الغاية من إجراء الإحضار أمام القضاء، في هذه الحالة تحديد</w:t>
      </w:r>
      <w:r w:rsidR="00955E01">
        <w:rPr>
          <w:w w:val="100"/>
          <w:kern w:val="0"/>
          <w:rtl/>
          <w:lang w:val="fr-FR"/>
        </w:rPr>
        <w:t>اً،</w:t>
      </w:r>
      <w:r w:rsidRPr="00307AAE">
        <w:rPr>
          <w:w w:val="100"/>
          <w:kern w:val="0"/>
          <w:rtl/>
          <w:lang w:val="fr-FR"/>
        </w:rPr>
        <w:t xml:space="preserve"> التأكد مما يلي: (أ) مشروعية إعلان حالة الحصار؛ (</w:t>
      </w:r>
      <w:r w:rsidR="00A71B00">
        <w:rPr>
          <w:w w:val="100"/>
          <w:kern w:val="0"/>
          <w:rtl/>
          <w:lang w:val="fr-FR"/>
        </w:rPr>
        <w:t>ب)</w:t>
      </w:r>
      <w:r w:rsidRPr="00307AAE">
        <w:rPr>
          <w:w w:val="100"/>
          <w:kern w:val="0"/>
          <w:rtl/>
          <w:lang w:val="fr-FR"/>
        </w:rPr>
        <w:t xml:space="preserve"> العلاقة بين أمر الحرمان من الحرية والوضع الذي أدى إلى إعلان حالة الحصار؛ (ج) التشديد غير المشروع لشكل وظروف الحرمان من الحرية وهو ما لا يجوز بأي حال من الأحوال أن يجري داخل المؤسسات المخصصة لتنفيذ العقوبات؛ (د) الممارسة الفعلية لحق اختيار مغادرة الإقليم الوطني.</w:t>
      </w:r>
    </w:p>
    <w:p w:rsidR="00CC0F13" w:rsidRPr="00A71B00" w:rsidRDefault="00CC0F13" w:rsidP="00CC0F13">
      <w:pPr>
        <w:pStyle w:val="SingleTxt"/>
        <w:rPr>
          <w:spacing w:val="-2"/>
          <w:w w:val="100"/>
          <w:kern w:val="0"/>
          <w:rtl/>
          <w:lang w:val="fr-FR"/>
        </w:rPr>
      </w:pPr>
      <w:r w:rsidRPr="00A71B00">
        <w:rPr>
          <w:spacing w:val="-2"/>
          <w:w w:val="100"/>
          <w:kern w:val="0"/>
          <w:rtl/>
          <w:lang w:val="fr-FR"/>
        </w:rPr>
        <w:t>164-</w:t>
      </w:r>
      <w:r w:rsidRPr="00A71B00">
        <w:rPr>
          <w:spacing w:val="-2"/>
          <w:w w:val="100"/>
          <w:kern w:val="0"/>
          <w:rtl/>
          <w:lang w:val="fr-FR"/>
        </w:rPr>
        <w:tab/>
        <w:t>وعندما يتعلق الأمر بحرمان شخص ما من الحرية، وبمجرد تقديم الشكوى، يصدر القاضي، عند الاقتضاء، أمر</w:t>
      </w:r>
      <w:r w:rsidR="00955E01">
        <w:rPr>
          <w:spacing w:val="-2"/>
          <w:w w:val="100"/>
          <w:kern w:val="0"/>
          <w:rtl/>
          <w:lang w:val="fr-FR"/>
        </w:rPr>
        <w:t xml:space="preserve">اً </w:t>
      </w:r>
      <w:r w:rsidRPr="00A71B00">
        <w:rPr>
          <w:spacing w:val="-2"/>
          <w:w w:val="100"/>
          <w:kern w:val="0"/>
          <w:rtl/>
          <w:lang w:val="fr-FR"/>
        </w:rPr>
        <w:t>فوري</w:t>
      </w:r>
      <w:r w:rsidR="00955E01">
        <w:rPr>
          <w:spacing w:val="-2"/>
          <w:w w:val="100"/>
          <w:kern w:val="0"/>
          <w:rtl/>
          <w:lang w:val="fr-FR"/>
        </w:rPr>
        <w:t xml:space="preserve">اً </w:t>
      </w:r>
      <w:r w:rsidRPr="00A71B00">
        <w:rPr>
          <w:spacing w:val="-2"/>
          <w:w w:val="100"/>
          <w:kern w:val="0"/>
          <w:rtl/>
          <w:lang w:val="fr-FR"/>
        </w:rPr>
        <w:t>إلى السلطة المعنية بعرض المحتجز عليه وتقديم تقرير مفصل عن سبب إجراء الاحتجاز، وعن شكل وظروف تنفيذه، وعما إذا كانت السلطة قد تصرفت بناء على أمر خطي صادر عن سلطة مختصة، وهي الحالة التي ينبغي فيها إرفاقه، وعما إذا كان المحتجز قد أُحيل على سلطة أخرى، مع تحديد تلك السلطة وسبب الإحالة وظروفها. وعندما يتعلق الأمر بتهديد فعلي بحرمان شخص ما من الحرية، يأمر القاضي السلطة المعنية بتقديم تقرير في هذا الشأن.</w:t>
      </w:r>
    </w:p>
    <w:p w:rsidR="00CC0F13" w:rsidRPr="00307AAE" w:rsidRDefault="00CC0F13" w:rsidP="00A71B00">
      <w:pPr>
        <w:pStyle w:val="SingleTxt"/>
        <w:rPr>
          <w:w w:val="100"/>
          <w:kern w:val="0"/>
          <w:rtl/>
          <w:lang w:val="fr-FR"/>
        </w:rPr>
      </w:pPr>
      <w:r w:rsidRPr="00307AAE">
        <w:rPr>
          <w:w w:val="100"/>
          <w:kern w:val="0"/>
          <w:rtl/>
          <w:lang w:val="fr-FR"/>
        </w:rPr>
        <w:t>165-</w:t>
      </w:r>
      <w:r w:rsidRPr="00307AAE">
        <w:rPr>
          <w:w w:val="100"/>
          <w:kern w:val="0"/>
          <w:rtl/>
          <w:lang w:val="fr-FR"/>
        </w:rPr>
        <w:tab/>
        <w:t>وفي الحالات التي يكون فيها لدى المحكمة المختصة أو القاضي المختص دليل كاف على أن شخص</w:t>
      </w:r>
      <w:r w:rsidR="00955E01">
        <w:rPr>
          <w:w w:val="100"/>
          <w:kern w:val="0"/>
          <w:rtl/>
          <w:lang w:val="fr-FR"/>
        </w:rPr>
        <w:t xml:space="preserve">اً </w:t>
      </w:r>
      <w:r w:rsidRPr="00307AAE">
        <w:rPr>
          <w:w w:val="100"/>
          <w:kern w:val="0"/>
          <w:rtl/>
          <w:lang w:val="fr-FR"/>
        </w:rPr>
        <w:t>ما أُودع رهن الاعتقال أو الاحتجاز أو الحبس من قِبل موظف خاضع لسلطتهما أو</w:t>
      </w:r>
      <w:r w:rsidR="00A71B00">
        <w:rPr>
          <w:rFonts w:hint="cs"/>
          <w:w w:val="100"/>
          <w:kern w:val="0"/>
          <w:rtl/>
          <w:lang w:val="fr-FR"/>
        </w:rPr>
        <w:t> </w:t>
      </w:r>
      <w:r w:rsidRPr="00307AAE">
        <w:rPr>
          <w:w w:val="100"/>
          <w:kern w:val="0"/>
          <w:rtl/>
          <w:lang w:val="fr-FR"/>
        </w:rPr>
        <w:t>من قِبل مرؤوس إداري أو سياسي أو عسكري، ويُخشى أن يُنقل خارج دائرة ولايتهما القضائية أو يلحق به ضرر لا يمكن جبره، قبل استفادته من إجراء أمر الإحضار أمام القضاء، يجوز للقاضي أو المحكمة أن يصدرا، بحكم منصبهما، قرار</w:t>
      </w:r>
      <w:r w:rsidR="00955E01">
        <w:rPr>
          <w:w w:val="100"/>
          <w:kern w:val="0"/>
          <w:rtl/>
          <w:lang w:val="fr-FR"/>
        </w:rPr>
        <w:t xml:space="preserve">اً </w:t>
      </w:r>
      <w:r w:rsidRPr="00307AAE">
        <w:rPr>
          <w:w w:val="100"/>
          <w:kern w:val="0"/>
          <w:rtl/>
          <w:lang w:val="fr-FR"/>
        </w:rPr>
        <w:t>بتوجيه أمر إلى من يحتجز هذا الشخص أو إلى أي مفتش شرطة، أو ضابط شرطة أو أي موظف آخر، بعرض الشخص المحتجز أو المهدد على القضاء من أجل اتخ</w:t>
      </w:r>
      <w:r w:rsidR="00A71B00">
        <w:rPr>
          <w:w w:val="100"/>
          <w:kern w:val="0"/>
          <w:rtl/>
          <w:lang w:val="fr-FR"/>
        </w:rPr>
        <w:t>اذ القرار المناسب وفق</w:t>
      </w:r>
      <w:r w:rsidR="00955E01">
        <w:rPr>
          <w:w w:val="100"/>
          <w:kern w:val="0"/>
          <w:rtl/>
          <w:lang w:val="fr-FR"/>
        </w:rPr>
        <w:t xml:space="preserve">اً </w:t>
      </w:r>
      <w:r w:rsidR="00A71B00">
        <w:rPr>
          <w:w w:val="100"/>
          <w:kern w:val="0"/>
          <w:rtl/>
          <w:lang w:val="fr-FR"/>
        </w:rPr>
        <w:t>للقانون.</w:t>
      </w:r>
    </w:p>
    <w:p w:rsidR="00CC0F13" w:rsidRPr="00307AAE" w:rsidRDefault="00CC0F13"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t>3-</w:t>
      </w:r>
      <w:r w:rsidRPr="00307AAE">
        <w:rPr>
          <w:w w:val="100"/>
          <w:rtl/>
          <w:lang w:val="fr-FR"/>
        </w:rPr>
        <w:tab/>
        <w:t>الاطلاع على البيانات الشخصية</w:t>
      </w:r>
    </w:p>
    <w:p w:rsidR="00CC0F13" w:rsidRPr="00307AAE" w:rsidRDefault="00CC0F13" w:rsidP="00CC0F13">
      <w:pPr>
        <w:pStyle w:val="SingleTxt"/>
        <w:rPr>
          <w:w w:val="100"/>
          <w:kern w:val="0"/>
          <w:rtl/>
          <w:lang w:val="fr-FR"/>
        </w:rPr>
      </w:pPr>
      <w:r w:rsidRPr="00307AAE">
        <w:rPr>
          <w:w w:val="100"/>
          <w:kern w:val="0"/>
          <w:rtl/>
          <w:lang w:val="fr-FR"/>
        </w:rPr>
        <w:t>166-</w:t>
      </w:r>
      <w:r w:rsidRPr="00307AAE">
        <w:rPr>
          <w:w w:val="100"/>
          <w:kern w:val="0"/>
          <w:rtl/>
          <w:lang w:val="fr-FR"/>
        </w:rPr>
        <w:tab/>
        <w:t>يجوز لكل شخص أن يقدم هذه الدعوى من أجل الاطلاع على ما يخصه من البيانات الواردة في السجلات أو في مصارف البيانات العامة أو الخاصة الموجهة لإعداد التقارير، ومعرفة الغاية من تلك البيانات وطلب إلغائها أو تصحيحها أو إبقائها سرية أو تحديثها، في حالة التزوير أو التمييز. ولا يجوز المساس بسرية مصادر معلومات الصحافة.</w:t>
      </w:r>
    </w:p>
    <w:p w:rsidR="00A71B00" w:rsidRPr="00A71B00" w:rsidRDefault="00A71B00"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CC0F13"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t>4-</w:t>
      </w:r>
      <w:r w:rsidRPr="00307AAE">
        <w:rPr>
          <w:w w:val="100"/>
          <w:rtl/>
          <w:lang w:val="fr-FR"/>
        </w:rPr>
        <w:tab/>
        <w:t>الطعن الاستثنائي</w:t>
      </w:r>
    </w:p>
    <w:p w:rsidR="00CC0F13" w:rsidRPr="00A71B00" w:rsidRDefault="00CC0F13" w:rsidP="00CC0F13">
      <w:pPr>
        <w:pStyle w:val="SingleTxt"/>
        <w:rPr>
          <w:spacing w:val="-4"/>
          <w:w w:val="100"/>
          <w:kern w:val="0"/>
          <w:rtl/>
          <w:lang w:val="fr-FR"/>
        </w:rPr>
      </w:pPr>
      <w:r w:rsidRPr="00A71B00">
        <w:rPr>
          <w:spacing w:val="-4"/>
          <w:w w:val="100"/>
          <w:kern w:val="0"/>
          <w:rtl/>
          <w:lang w:val="fr-FR"/>
        </w:rPr>
        <w:t>167-</w:t>
      </w:r>
      <w:r w:rsidRPr="00A71B00">
        <w:rPr>
          <w:spacing w:val="-4"/>
          <w:w w:val="100"/>
          <w:kern w:val="0"/>
          <w:rtl/>
          <w:lang w:val="fr-FR"/>
        </w:rPr>
        <w:tab/>
        <w:t xml:space="preserve">تنظم المادة 14 من القانون رقم 48 إجراء الطعن الاستثنائي أمام المحكمة الوطنية العليا. ويمكن الطعن في الأحكام النهائية في الحالات التالية: (أ) عندما تتضمن الدعوى طعناً في صحة معاهدة، أو قانون صادر عن الكونغرس أو عن سلطة تتصرف باسم الأمة، ويكون القرار ضد صحتها؛ (ب) عندما تكون صحة قانون أو مرسوم أو سلطة إقليمية موضوع طعن بدعوى مخالفة الدستور الوطني أو المعاهدات أو القوانين الصادرة عن الكونغرس، ويكون القرار لصالح صحة القانون أو السلطة الإقليمية؛ (ج) عندما يكون تفسير حكم من أحكام الدستور أو أحكام معاهدة أو قانون صادر عن الكونغرس أو هيئة تتصرف باسم السلطة الوطنية، موضوع طعن، ويكون القرار ضد صحة الاستحقاق، أو الحق، أو الامتياز أو الإعفاء المستند إلى الحكم المذكور، ويشكل موضوع الدعوى. </w:t>
      </w:r>
    </w:p>
    <w:p w:rsidR="00CC0F13" w:rsidRPr="00307AAE" w:rsidRDefault="00CC0F13" w:rsidP="00CC0F13">
      <w:pPr>
        <w:pStyle w:val="SingleTxt"/>
        <w:rPr>
          <w:w w:val="100"/>
          <w:kern w:val="0"/>
          <w:rtl/>
          <w:lang w:val="fr-FR"/>
        </w:rPr>
      </w:pPr>
      <w:r w:rsidRPr="00307AAE">
        <w:rPr>
          <w:w w:val="100"/>
          <w:kern w:val="0"/>
          <w:rtl/>
          <w:lang w:val="fr-FR"/>
        </w:rPr>
        <w:t>168-</w:t>
      </w:r>
      <w:r w:rsidRPr="00307AAE">
        <w:rPr>
          <w:w w:val="100"/>
          <w:kern w:val="0"/>
          <w:rtl/>
          <w:lang w:val="fr-FR"/>
        </w:rPr>
        <w:tab/>
        <w:t>وقد وسع الاجتهاد القضائي للمحكمة الوطنية العليا نطاق الطعن الاستثنائي ليشمل حالات الأحكام التعسفية، أي الحالات التي يتم فيها، بشكل من الأشكال، انتهاك ضمانات الدفاع أمام القضاء (بسبب تنفيذ قوانين لم يبدأ نفاذها بعد، وإسقاط الأدلة، وإغفال مسائل ذات صلة وما إلى ذلك).</w:t>
      </w:r>
    </w:p>
    <w:p w:rsidR="00A71B00" w:rsidRPr="00A71B00" w:rsidRDefault="00A71B00"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CC0F13"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t>5-</w:t>
      </w:r>
      <w:r w:rsidRPr="00307AAE">
        <w:rPr>
          <w:w w:val="100"/>
          <w:rtl/>
          <w:lang w:val="fr-FR"/>
        </w:rPr>
        <w:tab/>
        <w:t>سبل الانتصاف الإدارية</w:t>
      </w:r>
    </w:p>
    <w:p w:rsidR="00CC0F13" w:rsidRPr="00307AAE" w:rsidRDefault="00CC0F13" w:rsidP="00CC0F13">
      <w:pPr>
        <w:pStyle w:val="SingleTxt"/>
        <w:rPr>
          <w:w w:val="100"/>
          <w:kern w:val="0"/>
          <w:rtl/>
          <w:lang w:val="fr-FR"/>
        </w:rPr>
      </w:pPr>
      <w:r w:rsidRPr="00307AAE">
        <w:rPr>
          <w:w w:val="100"/>
          <w:kern w:val="0"/>
          <w:rtl/>
          <w:lang w:val="fr-FR"/>
        </w:rPr>
        <w:t>169-</w:t>
      </w:r>
      <w:r w:rsidRPr="00307AAE">
        <w:rPr>
          <w:w w:val="100"/>
          <w:kern w:val="0"/>
          <w:rtl/>
          <w:lang w:val="fr-FR"/>
        </w:rPr>
        <w:tab/>
        <w:t>ينظم القانون رقم 19549 المتعلق بالإجراءات الإدارية، سبل الانتصاف التي يمكن اللجوء إليها ضد أفعال الإدارة العامة. وتتمثل في التماس إعادة النظر الذي يقدم أمام الهيئة التي صدر عنها الإجراء موضوع الطعن، والطعن الهرمي، الذي يقدم أمام نفس السلطة بيد أن الوزير المختص هو من يتخذ القرار بشأنه. ويتولى رئيس الدولة تسوية مسألة الطعون الهرمية المقدمة ضد أفعال الوزراء.</w:t>
      </w:r>
    </w:p>
    <w:p w:rsidR="00CC0F13" w:rsidRPr="00307AAE" w:rsidRDefault="00CC0F13"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t>6-</w:t>
      </w:r>
      <w:r w:rsidRPr="00307AAE">
        <w:rPr>
          <w:w w:val="100"/>
          <w:rtl/>
          <w:lang w:val="fr-FR"/>
        </w:rPr>
        <w:tab/>
        <w:t>نظم التعويض</w:t>
      </w:r>
    </w:p>
    <w:p w:rsidR="00CC0F13" w:rsidRPr="00307AAE" w:rsidRDefault="00CC0F13" w:rsidP="00CC0F13">
      <w:pPr>
        <w:pStyle w:val="SingleTxt"/>
        <w:rPr>
          <w:w w:val="100"/>
          <w:kern w:val="0"/>
          <w:rtl/>
          <w:lang w:val="fr-FR"/>
        </w:rPr>
      </w:pPr>
      <w:r w:rsidRPr="00307AAE">
        <w:rPr>
          <w:w w:val="100"/>
          <w:kern w:val="0"/>
          <w:rtl/>
          <w:lang w:val="fr-FR"/>
        </w:rPr>
        <w:t>170-</w:t>
      </w:r>
      <w:r w:rsidRPr="00307AAE">
        <w:rPr>
          <w:w w:val="100"/>
          <w:kern w:val="0"/>
          <w:rtl/>
          <w:lang w:val="fr-FR"/>
        </w:rPr>
        <w:tab/>
        <w:t>التعويض بوصفه جبر</w:t>
      </w:r>
      <w:r w:rsidR="00955E01">
        <w:rPr>
          <w:w w:val="100"/>
          <w:kern w:val="0"/>
          <w:rtl/>
          <w:lang w:val="fr-FR"/>
        </w:rPr>
        <w:t xml:space="preserve">اً </w:t>
      </w:r>
      <w:r w:rsidRPr="00307AAE">
        <w:rPr>
          <w:w w:val="100"/>
          <w:kern w:val="0"/>
          <w:rtl/>
          <w:lang w:val="fr-FR"/>
        </w:rPr>
        <w:t>للضرر هو تحديد مقدار المسؤولية. وبالتالي، يتعين على السلطات القضائية تحديده في الدعاوى الجنائية وغيرها على حد سواء.</w:t>
      </w:r>
    </w:p>
    <w:p w:rsidR="009C2AAE" w:rsidRDefault="009C2AAE">
      <w:pPr>
        <w:bidi w:val="0"/>
        <w:spacing w:line="240" w:lineRule="auto"/>
        <w:jc w:val="left"/>
        <w:rPr>
          <w:b/>
          <w:bCs/>
          <w:w w:val="100"/>
          <w:sz w:val="24"/>
          <w:szCs w:val="34"/>
          <w:rtl/>
          <w:lang w:val="fr-FR"/>
        </w:rPr>
      </w:pPr>
      <w:r>
        <w:rPr>
          <w:w w:val="100"/>
          <w:rtl/>
          <w:lang w:val="fr-FR"/>
        </w:rPr>
        <w:br w:type="page"/>
      </w:r>
    </w:p>
    <w:p w:rsidR="00CC0F13" w:rsidRDefault="00CC0F13" w:rsidP="00A71B0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r>
      <w:bookmarkStart w:id="13" w:name="_Toc430532841"/>
      <w:r w:rsidRPr="00307AAE">
        <w:rPr>
          <w:w w:val="100"/>
          <w:rtl/>
          <w:lang w:val="fr-FR"/>
        </w:rPr>
        <w:t>جيم-</w:t>
      </w:r>
      <w:r w:rsidRPr="00307AAE">
        <w:rPr>
          <w:w w:val="100"/>
          <w:rtl/>
          <w:lang w:val="fr-FR"/>
        </w:rPr>
        <w:tab/>
        <w:t>معلومات أخرى ذات صلة متعلقة بحقوق الإنسان</w:t>
      </w:r>
      <w:bookmarkEnd w:id="13"/>
    </w:p>
    <w:p w:rsidR="00A71B00" w:rsidRPr="00A71B00" w:rsidRDefault="00A71B00" w:rsidP="00A71B00">
      <w:pPr>
        <w:pStyle w:val="SingleTxt"/>
        <w:spacing w:after="0" w:line="120" w:lineRule="exact"/>
        <w:rPr>
          <w:sz w:val="10"/>
          <w:rtl/>
          <w:lang w:val="fr-FR"/>
        </w:rPr>
      </w:pPr>
    </w:p>
    <w:p w:rsidR="00CC0F13" w:rsidRPr="00307AAE" w:rsidRDefault="00CC0F13" w:rsidP="00CC0F13">
      <w:pPr>
        <w:pStyle w:val="SingleTxt"/>
        <w:rPr>
          <w:w w:val="100"/>
          <w:kern w:val="0"/>
          <w:rtl/>
          <w:lang w:val="fr-FR"/>
        </w:rPr>
      </w:pPr>
      <w:r w:rsidRPr="00307AAE">
        <w:rPr>
          <w:w w:val="100"/>
          <w:kern w:val="0"/>
          <w:rtl/>
          <w:lang w:val="fr-FR"/>
        </w:rPr>
        <w:t>171-</w:t>
      </w:r>
      <w:r w:rsidRPr="00307AAE">
        <w:rPr>
          <w:w w:val="100"/>
          <w:kern w:val="0"/>
          <w:rtl/>
          <w:lang w:val="fr-FR"/>
        </w:rPr>
        <w:tab/>
        <w:t>منذ إعادة إرساء الديمقراطية، وبخاصة منذ عام 2003، والدولة تنتهج سياسة تعزيز حقوق الإنسان وحمايتها، وهي سياسة تعكس المطالب الأساسية للمجتمع الأرجنتيني. ولذلك، فحماية هذه الحقوق وتعزيزها يشكلان محور السياسة الخارجية لبلدنا.</w:t>
      </w:r>
    </w:p>
    <w:p w:rsidR="00CC0F13" w:rsidRPr="00307AAE" w:rsidRDefault="00CC0F13" w:rsidP="00CC0F13">
      <w:pPr>
        <w:pStyle w:val="SingleTxt"/>
        <w:rPr>
          <w:w w:val="100"/>
          <w:kern w:val="0"/>
          <w:rtl/>
          <w:lang w:val="fr-FR"/>
        </w:rPr>
      </w:pPr>
      <w:r w:rsidRPr="00307AAE">
        <w:rPr>
          <w:w w:val="100"/>
          <w:kern w:val="0"/>
          <w:rtl/>
          <w:lang w:val="fr-FR"/>
        </w:rPr>
        <w:t>172-</w:t>
      </w:r>
      <w:r w:rsidRPr="00307AAE">
        <w:rPr>
          <w:w w:val="100"/>
          <w:kern w:val="0"/>
          <w:rtl/>
          <w:lang w:val="fr-FR"/>
        </w:rPr>
        <w:tab/>
        <w:t>وينص دستور الأرجنتين على مجتمع ديمقراطي تعددي، محوره الأساسي الاحترام التام لحقوق الإنسان. ومن الركائز التي يستند إليها كفالة المساواة التامة في التمتع بالحقوق لجميع السكان، سواء كانوا مواطنين أو أجانب، وضمان مبدأ عدم التمييز وفصل السلطات.</w:t>
      </w:r>
    </w:p>
    <w:p w:rsidR="00CC0F13" w:rsidRPr="00307AAE" w:rsidRDefault="00CC0F13" w:rsidP="00CC0F13">
      <w:pPr>
        <w:pStyle w:val="SingleTxt"/>
        <w:rPr>
          <w:w w:val="100"/>
          <w:kern w:val="0"/>
          <w:rtl/>
          <w:lang w:val="fr-FR"/>
        </w:rPr>
      </w:pPr>
      <w:r w:rsidRPr="00307AAE">
        <w:rPr>
          <w:w w:val="100"/>
          <w:kern w:val="0"/>
          <w:rtl/>
          <w:lang w:val="fr-FR"/>
        </w:rPr>
        <w:t>173-</w:t>
      </w:r>
      <w:r w:rsidRPr="00307AAE">
        <w:rPr>
          <w:w w:val="100"/>
          <w:kern w:val="0"/>
          <w:rtl/>
          <w:lang w:val="fr-FR"/>
        </w:rPr>
        <w:tab/>
        <w:t>وفي عام 1994، حينما جرى إصلاح الدستور الوطني، ترسخ الالتزام بحماية حقوق الإنسان وتعزيزها بتضمين نصه أحكام الصكوك الرئيسية للقانون الدولي لحقوق الإنسان:</w:t>
      </w:r>
    </w:p>
    <w:p w:rsidR="00CC0F13" w:rsidRPr="00A71B00" w:rsidRDefault="00CC0F13" w:rsidP="00145307">
      <w:pPr>
        <w:pStyle w:val="SingleTxt"/>
        <w:rPr>
          <w:spacing w:val="-2"/>
          <w:w w:val="100"/>
          <w:kern w:val="0"/>
          <w:rtl/>
          <w:lang w:val="fr-FR"/>
        </w:rPr>
      </w:pPr>
      <w:r w:rsidRPr="00A71B00">
        <w:rPr>
          <w:spacing w:val="-2"/>
          <w:w w:val="100"/>
          <w:kern w:val="0"/>
          <w:rtl/>
          <w:lang w:val="fr-FR"/>
        </w:rPr>
        <w:t>174-</w:t>
      </w:r>
      <w:r w:rsidRPr="00A71B00">
        <w:rPr>
          <w:spacing w:val="-2"/>
          <w:w w:val="100"/>
          <w:kern w:val="0"/>
          <w:rtl/>
          <w:lang w:val="fr-FR"/>
        </w:rPr>
        <w:tab/>
        <w:t>ففي الآونة الأخيرة، حددت الأرجنتين أسس تنفيذ خطة وطنية لحقوق الإنسان، فأفسحت بذلك مجال</w:t>
      </w:r>
      <w:r w:rsidR="00955E01">
        <w:rPr>
          <w:spacing w:val="-2"/>
          <w:w w:val="100"/>
          <w:kern w:val="0"/>
          <w:rtl/>
          <w:lang w:val="fr-FR"/>
        </w:rPr>
        <w:t xml:space="preserve">اً </w:t>
      </w:r>
      <w:r w:rsidRPr="00A71B00">
        <w:rPr>
          <w:spacing w:val="-2"/>
          <w:w w:val="100"/>
          <w:kern w:val="0"/>
          <w:rtl/>
          <w:lang w:val="fr-FR"/>
        </w:rPr>
        <w:t xml:space="preserve">للحوار والمشاركة الديمقراطية يرمي إلى إعادة تأكيد راهنية حقوق الإنسان وإعمالها في الأرجنتين، وأنشأت هيئة إضافية لترسيخ الالتزامات الدولية وتوطيدها. </w:t>
      </w:r>
    </w:p>
    <w:p w:rsidR="00CC0F13" w:rsidRPr="00307AAE" w:rsidRDefault="00CC0F13" w:rsidP="00145307">
      <w:pPr>
        <w:pStyle w:val="SingleTxt"/>
        <w:rPr>
          <w:w w:val="100"/>
          <w:kern w:val="0"/>
          <w:rtl/>
          <w:lang w:val="fr-FR"/>
        </w:rPr>
      </w:pPr>
      <w:r w:rsidRPr="00307AAE">
        <w:rPr>
          <w:w w:val="100"/>
          <w:kern w:val="0"/>
          <w:rtl/>
          <w:lang w:val="fr-FR"/>
        </w:rPr>
        <w:t>175-</w:t>
      </w:r>
      <w:r w:rsidRPr="00307AAE">
        <w:rPr>
          <w:w w:val="100"/>
          <w:kern w:val="0"/>
          <w:rtl/>
          <w:lang w:val="fr-FR"/>
        </w:rPr>
        <w:tab/>
        <w:t>وفضل</w:t>
      </w:r>
      <w:r w:rsidR="00955E01">
        <w:rPr>
          <w:w w:val="100"/>
          <w:kern w:val="0"/>
          <w:rtl/>
          <w:lang w:val="fr-FR"/>
        </w:rPr>
        <w:t xml:space="preserve">اً </w:t>
      </w:r>
      <w:r w:rsidRPr="00307AAE">
        <w:rPr>
          <w:w w:val="100"/>
          <w:kern w:val="0"/>
          <w:rtl/>
          <w:lang w:val="fr-FR"/>
        </w:rPr>
        <w:t>عن ذلك، يجري منذ عام 2005</w:t>
      </w:r>
      <w:r w:rsidR="00145307">
        <w:rPr>
          <w:rFonts w:hint="cs"/>
          <w:w w:val="100"/>
          <w:kern w:val="0"/>
          <w:rtl/>
          <w:lang w:val="fr-FR"/>
        </w:rPr>
        <w:t>،</w:t>
      </w:r>
      <w:r w:rsidRPr="00307AAE">
        <w:rPr>
          <w:w w:val="100"/>
          <w:kern w:val="0"/>
          <w:rtl/>
          <w:lang w:val="fr-FR"/>
        </w:rPr>
        <w:t xml:space="preserve"> تنفيذ الخطة الوطنية لمكافحة التمييز، وهي برنامج عمل يشمل تشخيص</w:t>
      </w:r>
      <w:r w:rsidR="00955E01">
        <w:rPr>
          <w:w w:val="100"/>
          <w:kern w:val="0"/>
          <w:rtl/>
          <w:lang w:val="fr-FR"/>
        </w:rPr>
        <w:t xml:space="preserve">اً </w:t>
      </w:r>
      <w:r w:rsidRPr="00307AAE">
        <w:rPr>
          <w:w w:val="100"/>
          <w:kern w:val="0"/>
          <w:rtl/>
          <w:lang w:val="fr-FR"/>
        </w:rPr>
        <w:t>دقيق</w:t>
      </w:r>
      <w:r w:rsidR="00955E01">
        <w:rPr>
          <w:w w:val="100"/>
          <w:kern w:val="0"/>
          <w:rtl/>
          <w:lang w:val="fr-FR"/>
        </w:rPr>
        <w:t xml:space="preserve">اً </w:t>
      </w:r>
      <w:r w:rsidRPr="00307AAE">
        <w:rPr>
          <w:w w:val="100"/>
          <w:kern w:val="0"/>
          <w:rtl/>
          <w:lang w:val="fr-FR"/>
        </w:rPr>
        <w:t>لهذه المسألة ويقدم توصيات محددة بهذا الخصوص، ما يجعل بلدنا نبراساً في إعداد خطط مماثلة في بلدان أخرى.</w:t>
      </w:r>
    </w:p>
    <w:p w:rsidR="00CC0F13" w:rsidRPr="00307AAE" w:rsidRDefault="00CC0F13" w:rsidP="00CC0F13">
      <w:pPr>
        <w:pStyle w:val="SingleTxt"/>
        <w:rPr>
          <w:w w:val="100"/>
          <w:kern w:val="0"/>
          <w:rtl/>
          <w:lang w:val="fr-FR"/>
        </w:rPr>
      </w:pPr>
      <w:r w:rsidRPr="00307AAE">
        <w:rPr>
          <w:w w:val="100"/>
          <w:kern w:val="0"/>
          <w:rtl/>
          <w:lang w:val="fr-FR"/>
        </w:rPr>
        <w:t>176-</w:t>
      </w:r>
      <w:r w:rsidRPr="00307AAE">
        <w:rPr>
          <w:w w:val="100"/>
          <w:kern w:val="0"/>
          <w:rtl/>
          <w:lang w:val="fr-FR"/>
        </w:rPr>
        <w:tab/>
        <w:t>وقد ركزت الأرجنتين بوجه خاص على العمل تدريجي</w:t>
      </w:r>
      <w:r w:rsidR="00955E01">
        <w:rPr>
          <w:w w:val="100"/>
          <w:kern w:val="0"/>
          <w:rtl/>
          <w:lang w:val="fr-FR"/>
        </w:rPr>
        <w:t xml:space="preserve">اً </w:t>
      </w:r>
      <w:r w:rsidRPr="00307AAE">
        <w:rPr>
          <w:w w:val="100"/>
          <w:kern w:val="0"/>
          <w:rtl/>
          <w:lang w:val="fr-FR"/>
        </w:rPr>
        <w:t>على دمج ممارسات وقواعد المعايير الدولية لحقوق الإنسان:</w:t>
      </w:r>
    </w:p>
    <w:p w:rsidR="00CC0F13" w:rsidRPr="00307AAE" w:rsidRDefault="00CC0F13" w:rsidP="00145307">
      <w:pPr>
        <w:pStyle w:val="SingleTxt"/>
        <w:rPr>
          <w:w w:val="100"/>
          <w:kern w:val="0"/>
          <w:rtl/>
          <w:lang w:val="fr-FR"/>
        </w:rPr>
      </w:pPr>
      <w:r w:rsidRPr="00307AAE">
        <w:rPr>
          <w:w w:val="100"/>
          <w:kern w:val="0"/>
          <w:rtl/>
          <w:lang w:val="fr-FR"/>
        </w:rPr>
        <w:t>177-</w:t>
      </w:r>
      <w:r w:rsidRPr="00307AAE">
        <w:rPr>
          <w:w w:val="100"/>
          <w:kern w:val="0"/>
          <w:rtl/>
          <w:lang w:val="fr-FR"/>
        </w:rPr>
        <w:tab/>
        <w:t>ففي عام 2004، أدى سن قانون الهجرة الجديد رقم 25871 إلى إلغاء القوانين التي كان فرضها الحكم الديكتاتوري العسكري الأخير وإلى تحديد مبادئ بموجب الدستور الوطني والمعاهدات الدولية لحقوق الإنسان. وأفضت لائحة هذا القانون إلى توطيد نهج سياسة عدم التمييز إزاء المهاجرين من خلال تنفيذ برنامجين خاصين لتوحيد وثائق الهجرة: أحدهما موجه للمهاجرين من خارج السوق الجنوبية المشتركة والثاني، وهو البرنامج الوطني لتوحيد وثائق الهجرة "الوطن الكبير"، موجه للمهاجرين من البلدان ذات العضوية الكاملة في السوق الجنوبية المشتركة والبلدان المنتسبة إليها، الذي تم من خلاله تسجيل 000 420 شخص للحصول على رخصة الإقا</w:t>
      </w:r>
      <w:r w:rsidR="00145307">
        <w:rPr>
          <w:w w:val="100"/>
          <w:kern w:val="0"/>
          <w:rtl/>
          <w:lang w:val="fr-FR"/>
        </w:rPr>
        <w:t xml:space="preserve">مة القانونية. وهذا يعزز سياسة </w:t>
      </w:r>
      <w:r w:rsidRPr="00307AAE">
        <w:rPr>
          <w:w w:val="100"/>
          <w:kern w:val="0"/>
          <w:rtl/>
          <w:lang w:val="fr-FR"/>
        </w:rPr>
        <w:t>هجرة تيسر للمهاجرين الحصول على الإقامة القانونية، وهي عنصر رئيسي لضمان العمل في ظروف تصون الكرامة سواء تعلق الأمر بالعمال الوافدين على الأرجنتين أو بالمواطنين الأرجنتينيين المتنقلين عبر إقليم أمريكا الجنوبية.</w:t>
      </w:r>
    </w:p>
    <w:p w:rsidR="00CC0F13" w:rsidRPr="00307AAE" w:rsidRDefault="00CC0F13"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t>1-</w:t>
      </w:r>
      <w:r w:rsidRPr="00307AAE">
        <w:rPr>
          <w:w w:val="100"/>
          <w:rtl/>
          <w:lang w:val="fr-FR"/>
        </w:rPr>
        <w:tab/>
        <w:t>الإدماج الاجتماعي</w:t>
      </w:r>
    </w:p>
    <w:p w:rsidR="00CC0F13" w:rsidRPr="00307AAE" w:rsidRDefault="00CC0F13" w:rsidP="00CC0F13">
      <w:pPr>
        <w:pStyle w:val="SingleTxt"/>
        <w:rPr>
          <w:w w:val="100"/>
          <w:kern w:val="0"/>
          <w:rtl/>
          <w:lang w:val="fr-FR"/>
        </w:rPr>
      </w:pPr>
      <w:r w:rsidRPr="00307AAE">
        <w:rPr>
          <w:w w:val="100"/>
          <w:kern w:val="0"/>
          <w:rtl/>
          <w:lang w:val="fr-FR"/>
        </w:rPr>
        <w:t>178-</w:t>
      </w:r>
      <w:r w:rsidRPr="00307AAE">
        <w:rPr>
          <w:w w:val="100"/>
          <w:kern w:val="0"/>
          <w:rtl/>
          <w:lang w:val="fr-FR"/>
        </w:rPr>
        <w:tab/>
        <w:t>أنشأ المرسوم رقم 1602 الصادر في عام 2009 الإعانة الشاملة لكل طفل، التي يستفيد منها حالي</w:t>
      </w:r>
      <w:r w:rsidR="00955E01">
        <w:rPr>
          <w:w w:val="100"/>
          <w:kern w:val="0"/>
          <w:rtl/>
          <w:lang w:val="fr-FR"/>
        </w:rPr>
        <w:t xml:space="preserve">اً </w:t>
      </w:r>
      <w:r w:rsidRPr="00307AAE">
        <w:rPr>
          <w:w w:val="100"/>
          <w:kern w:val="0"/>
          <w:rtl/>
          <w:lang w:val="fr-FR"/>
        </w:rPr>
        <w:t>أكثر من 3</w:t>
      </w:r>
      <w:r w:rsidR="00307AAE" w:rsidRPr="00307AAE">
        <w:rPr>
          <w:w w:val="100"/>
          <w:kern w:val="0"/>
          <w:rtl/>
          <w:lang w:val="fr-FR"/>
        </w:rPr>
        <w:t>.</w:t>
      </w:r>
      <w:r w:rsidRPr="00307AAE">
        <w:rPr>
          <w:w w:val="100"/>
          <w:kern w:val="0"/>
          <w:rtl/>
          <w:lang w:val="fr-FR"/>
        </w:rPr>
        <w:t>6 ملايين من الأطفال والمراهقين، من سن الولادة حتى 18 سنة. وبالمثل، شُرع بموجب المرسوم الرئاسي رقم 446/2011 تنظيم الإعانة الشاملة الخاصة بالحمل للحماية الاجتماعية، الموج</w:t>
      </w:r>
      <w:r w:rsidR="00145307">
        <w:rPr>
          <w:w w:val="100"/>
          <w:kern w:val="0"/>
          <w:rtl/>
          <w:lang w:val="fr-FR"/>
        </w:rPr>
        <w:t>هة إلى النساء العاطلات عن العمل</w:t>
      </w:r>
      <w:r w:rsidRPr="00307AAE">
        <w:rPr>
          <w:w w:val="100"/>
          <w:kern w:val="0"/>
          <w:rtl/>
          <w:lang w:val="fr-FR"/>
        </w:rPr>
        <w:t xml:space="preserve"> أو العاملات في المنازل أو في قطاع الاقتصاد غير الرسمي، اعتبار</w:t>
      </w:r>
      <w:r w:rsidR="00955E01">
        <w:rPr>
          <w:w w:val="100"/>
          <w:kern w:val="0"/>
          <w:rtl/>
          <w:lang w:val="fr-FR"/>
        </w:rPr>
        <w:t xml:space="preserve">اً </w:t>
      </w:r>
      <w:r w:rsidRPr="00307AAE">
        <w:rPr>
          <w:w w:val="100"/>
          <w:kern w:val="0"/>
          <w:rtl/>
          <w:lang w:val="fr-FR"/>
        </w:rPr>
        <w:t>من الشهر الثالث من الحمل.</w:t>
      </w:r>
    </w:p>
    <w:p w:rsidR="00CC0F13" w:rsidRPr="00307AAE" w:rsidRDefault="00CC0F13" w:rsidP="00CC0F13">
      <w:pPr>
        <w:pStyle w:val="SingleTxt"/>
        <w:rPr>
          <w:w w:val="100"/>
          <w:kern w:val="0"/>
          <w:rtl/>
          <w:lang w:val="fr-FR"/>
        </w:rPr>
      </w:pPr>
      <w:r w:rsidRPr="00307AAE">
        <w:rPr>
          <w:w w:val="100"/>
          <w:kern w:val="0"/>
          <w:rtl/>
          <w:lang w:val="fr-FR"/>
        </w:rPr>
        <w:t>179-</w:t>
      </w:r>
      <w:r w:rsidRPr="00307AAE">
        <w:rPr>
          <w:w w:val="100"/>
          <w:kern w:val="0"/>
          <w:rtl/>
          <w:lang w:val="fr-FR"/>
        </w:rPr>
        <w:tab/>
        <w:t>وساهمت التدابير المذكورة أعلاه في توسيع أسس نظام الحماية الاجتماعية الأرجنتيني، بما يتيح التنسيق الفعال للسياسات في هذا المجال.</w:t>
      </w:r>
    </w:p>
    <w:p w:rsidR="00CC0F13" w:rsidRPr="00A71B00" w:rsidRDefault="00CC0F13" w:rsidP="00CC0F13">
      <w:pPr>
        <w:pStyle w:val="SingleTxt"/>
        <w:rPr>
          <w:spacing w:val="-2"/>
          <w:w w:val="100"/>
          <w:kern w:val="0"/>
          <w:rtl/>
          <w:lang w:val="fr-FR"/>
        </w:rPr>
      </w:pPr>
      <w:r w:rsidRPr="00A71B00">
        <w:rPr>
          <w:spacing w:val="-2"/>
          <w:w w:val="100"/>
          <w:kern w:val="0"/>
          <w:rtl/>
          <w:lang w:val="fr-FR"/>
        </w:rPr>
        <w:t>180-</w:t>
      </w:r>
      <w:r w:rsidRPr="00A71B00">
        <w:rPr>
          <w:spacing w:val="-2"/>
          <w:w w:val="100"/>
          <w:kern w:val="0"/>
          <w:rtl/>
          <w:lang w:val="fr-FR"/>
        </w:rPr>
        <w:tab/>
        <w:t>ويشكل سن قانون الصحة العقلية رقم 26657 تحول</w:t>
      </w:r>
      <w:r w:rsidR="00955E01">
        <w:rPr>
          <w:spacing w:val="-2"/>
          <w:w w:val="100"/>
          <w:kern w:val="0"/>
          <w:rtl/>
          <w:lang w:val="fr-FR"/>
        </w:rPr>
        <w:t xml:space="preserve">اً </w:t>
      </w:r>
      <w:r w:rsidRPr="00A71B00">
        <w:rPr>
          <w:spacing w:val="-2"/>
          <w:w w:val="100"/>
          <w:kern w:val="0"/>
          <w:rtl/>
          <w:lang w:val="fr-FR"/>
        </w:rPr>
        <w:t>نوعي</w:t>
      </w:r>
      <w:r w:rsidR="00955E01">
        <w:rPr>
          <w:spacing w:val="-2"/>
          <w:w w:val="100"/>
          <w:kern w:val="0"/>
          <w:rtl/>
          <w:lang w:val="fr-FR"/>
        </w:rPr>
        <w:t xml:space="preserve">اً </w:t>
      </w:r>
      <w:r w:rsidRPr="00A71B00">
        <w:rPr>
          <w:spacing w:val="-2"/>
          <w:w w:val="100"/>
          <w:kern w:val="0"/>
          <w:rtl/>
          <w:lang w:val="fr-FR"/>
        </w:rPr>
        <w:t>يضع حد</w:t>
      </w:r>
      <w:r w:rsidR="00955E01">
        <w:rPr>
          <w:spacing w:val="-2"/>
          <w:w w:val="100"/>
          <w:kern w:val="0"/>
          <w:rtl/>
          <w:lang w:val="fr-FR"/>
        </w:rPr>
        <w:t xml:space="preserve">اً </w:t>
      </w:r>
      <w:r w:rsidRPr="00A71B00">
        <w:rPr>
          <w:spacing w:val="-2"/>
          <w:w w:val="100"/>
          <w:kern w:val="0"/>
          <w:rtl/>
          <w:lang w:val="fr-FR"/>
        </w:rPr>
        <w:t>لاعتبار الأشخاص ذوي الإعاقة العقلية هدف</w:t>
      </w:r>
      <w:r w:rsidR="00955E01">
        <w:rPr>
          <w:spacing w:val="-2"/>
          <w:w w:val="100"/>
          <w:kern w:val="0"/>
          <w:rtl/>
          <w:lang w:val="fr-FR"/>
        </w:rPr>
        <w:t xml:space="preserve">اً </w:t>
      </w:r>
      <w:r w:rsidRPr="00A71B00">
        <w:rPr>
          <w:spacing w:val="-2"/>
          <w:w w:val="100"/>
          <w:kern w:val="0"/>
          <w:rtl/>
          <w:lang w:val="fr-FR"/>
        </w:rPr>
        <w:t>لبرامج المساعدة ليعتبرهم أصحاب حق. ومحوره الرئيسي إنهاء استخدام مؤسسات الرعاية، وإعادة تأهيل المرضى وإدماجهم في المجتمع. وتبلغ نسبة الموارد المخصصة لهذا الغرض 10 في المائة من الميزانية الإجمالية المخصصة لقطاع الصحة.</w:t>
      </w:r>
    </w:p>
    <w:p w:rsidR="00CC0F13" w:rsidRPr="00307AAE" w:rsidRDefault="00CC0F13" w:rsidP="006C50DC">
      <w:pPr>
        <w:pStyle w:val="SingleTxt"/>
        <w:rPr>
          <w:w w:val="100"/>
          <w:kern w:val="0"/>
          <w:rtl/>
          <w:lang w:val="fr-FR"/>
        </w:rPr>
      </w:pPr>
      <w:r w:rsidRPr="00307AAE">
        <w:rPr>
          <w:w w:val="100"/>
          <w:kern w:val="0"/>
          <w:rtl/>
          <w:lang w:val="fr-FR"/>
        </w:rPr>
        <w:t>181-</w:t>
      </w:r>
      <w:r w:rsidRPr="00307AAE">
        <w:rPr>
          <w:w w:val="100"/>
          <w:kern w:val="0"/>
          <w:rtl/>
          <w:lang w:val="fr-FR"/>
        </w:rPr>
        <w:tab/>
        <w:t>وفي تشرين الثاني/نوفمبر 2012، اعتُمد القانون رقم 26827 الذي ينشئ الآلية الوقا</w:t>
      </w:r>
      <w:r w:rsidR="006C50DC">
        <w:rPr>
          <w:w w:val="100"/>
          <w:kern w:val="0"/>
          <w:rtl/>
          <w:lang w:val="fr-FR"/>
        </w:rPr>
        <w:t>ئية الوطنية</w:t>
      </w:r>
      <w:r w:rsidRPr="00307AAE">
        <w:rPr>
          <w:w w:val="100"/>
          <w:kern w:val="0"/>
          <w:rtl/>
          <w:lang w:val="fr-FR"/>
        </w:rPr>
        <w:t>، عمل</w:t>
      </w:r>
      <w:r w:rsidR="00955E01">
        <w:rPr>
          <w:w w:val="100"/>
          <w:kern w:val="0"/>
          <w:rtl/>
          <w:lang w:val="fr-FR"/>
        </w:rPr>
        <w:t xml:space="preserve">اً </w:t>
      </w:r>
      <w:r w:rsidRPr="00307AAE">
        <w:rPr>
          <w:w w:val="100"/>
          <w:kern w:val="0"/>
          <w:rtl/>
          <w:lang w:val="fr-FR"/>
        </w:rPr>
        <w:t>بالمعايير المحددة في البروتوكول الاختياري لاتفاقية مناهضة التعذيب وغيره من ضروب المعاملة أو العقوبة القاسية أو اللاإنسانية أو المهينة.</w:t>
      </w:r>
      <w:r w:rsidR="00A71B00">
        <w:rPr>
          <w:w w:val="100"/>
          <w:kern w:val="0"/>
          <w:rtl/>
          <w:lang w:val="fr-FR"/>
        </w:rPr>
        <w:t xml:space="preserve"> </w:t>
      </w:r>
    </w:p>
    <w:p w:rsidR="00A71B00" w:rsidRPr="00A71B00" w:rsidRDefault="00A71B00"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CC0F13"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t>2-</w:t>
      </w:r>
      <w:r w:rsidRPr="00307AAE">
        <w:rPr>
          <w:w w:val="100"/>
          <w:rtl/>
          <w:lang w:val="fr-FR"/>
        </w:rPr>
        <w:tab/>
        <w:t>المساواة</w:t>
      </w:r>
    </w:p>
    <w:p w:rsidR="00CC0F13" w:rsidRPr="00307AAE" w:rsidRDefault="00CC0F13" w:rsidP="00CC0F13">
      <w:pPr>
        <w:pStyle w:val="SingleTxt"/>
        <w:rPr>
          <w:w w:val="100"/>
          <w:kern w:val="0"/>
          <w:rtl/>
          <w:lang w:val="fr-FR"/>
        </w:rPr>
      </w:pPr>
      <w:r w:rsidRPr="00307AAE">
        <w:rPr>
          <w:w w:val="100"/>
          <w:kern w:val="0"/>
          <w:rtl/>
          <w:lang w:val="fr-FR"/>
        </w:rPr>
        <w:t>182-</w:t>
      </w:r>
      <w:r w:rsidRPr="00307AAE">
        <w:rPr>
          <w:w w:val="100"/>
          <w:kern w:val="0"/>
          <w:rtl/>
          <w:lang w:val="fr-FR"/>
        </w:rPr>
        <w:tab/>
        <w:t>تقدمت الأرجنتين خطوة إضافية نحو تحقيق المساواة في الحقوق والتصدي للتمييز، إذ وافق الكونغرس الوطني، في 9 أيار/مايو 2012، على قانون الهوية الجنسانية، وبمقتضاه "يحق لكل شخص أن يُعترف بهويته الجنسانية وبحريته في تنمية شخصيته وفق</w:t>
      </w:r>
      <w:r w:rsidR="00955E01">
        <w:rPr>
          <w:w w:val="100"/>
          <w:kern w:val="0"/>
          <w:rtl/>
          <w:lang w:val="fr-FR"/>
        </w:rPr>
        <w:t xml:space="preserve">اً </w:t>
      </w:r>
      <w:r w:rsidRPr="00307AAE">
        <w:rPr>
          <w:w w:val="100"/>
          <w:kern w:val="0"/>
          <w:rtl/>
          <w:lang w:val="fr-FR"/>
        </w:rPr>
        <w:t>لهويته الجنسانية".</w:t>
      </w:r>
    </w:p>
    <w:p w:rsidR="00CC0F13" w:rsidRPr="00307AAE" w:rsidRDefault="00CC0F13" w:rsidP="006C50DC">
      <w:pPr>
        <w:pStyle w:val="SingleTxt"/>
        <w:rPr>
          <w:w w:val="100"/>
          <w:kern w:val="0"/>
          <w:rtl/>
          <w:lang w:val="fr-FR"/>
        </w:rPr>
      </w:pPr>
      <w:r w:rsidRPr="00307AAE">
        <w:rPr>
          <w:w w:val="100"/>
          <w:kern w:val="0"/>
          <w:rtl/>
          <w:lang w:val="fr-FR"/>
        </w:rPr>
        <w:t>183-</w:t>
      </w:r>
      <w:r w:rsidRPr="00307AAE">
        <w:rPr>
          <w:w w:val="100"/>
          <w:kern w:val="0"/>
          <w:rtl/>
          <w:lang w:val="fr-FR"/>
        </w:rPr>
        <w:tab/>
        <w:t>وعلى الصعيدين الإقليمي والدولي، عززت الأرجنتين عملية التفاوض بشأن صكوك حماية حقوق الإنسان وشاركت فيها بنشاط. وفي عام 2011، وبالتصديق على البروتوكول الاختياري الملحق بالعهد الدولي الخاص بالحقوق الاقتصادية والاجتماعية والثقافية، اكتملت عملية التصديق على أهم صكوك حقوق الإنسان ف</w:t>
      </w:r>
      <w:r w:rsidR="00A71B00">
        <w:rPr>
          <w:w w:val="100"/>
          <w:kern w:val="0"/>
          <w:rtl/>
          <w:lang w:val="fr-FR"/>
        </w:rPr>
        <w:t>ي المنظومة العالمية والإقليمية.</w:t>
      </w:r>
    </w:p>
    <w:p w:rsidR="009C2AAE" w:rsidRPr="009C2AAE" w:rsidRDefault="009C2AAE" w:rsidP="009C2AA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CC0F13"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t>3-</w:t>
      </w:r>
      <w:r w:rsidRPr="00307AAE">
        <w:rPr>
          <w:w w:val="100"/>
          <w:rtl/>
          <w:lang w:val="fr-FR"/>
        </w:rPr>
        <w:tab/>
        <w:t>السياسة الخارجية</w:t>
      </w:r>
    </w:p>
    <w:p w:rsidR="00CC0F13" w:rsidRPr="00307AAE" w:rsidRDefault="00CC0F13" w:rsidP="00CC0F13">
      <w:pPr>
        <w:pStyle w:val="SingleTxt"/>
        <w:rPr>
          <w:w w:val="100"/>
          <w:kern w:val="0"/>
          <w:rtl/>
          <w:lang w:val="fr-FR"/>
        </w:rPr>
      </w:pPr>
      <w:r w:rsidRPr="00307AAE">
        <w:rPr>
          <w:w w:val="100"/>
          <w:kern w:val="0"/>
          <w:rtl/>
          <w:lang w:val="fr-FR"/>
        </w:rPr>
        <w:t>184-</w:t>
      </w:r>
      <w:r w:rsidRPr="00307AAE">
        <w:rPr>
          <w:w w:val="100"/>
          <w:kern w:val="0"/>
          <w:rtl/>
          <w:lang w:val="fr-FR"/>
        </w:rPr>
        <w:tab/>
        <w:t>تهدف السياسة الخارجية للأرجنتين إلى تعزيز القانون الدولي والتعاون، وترويج القيم الكونية والاحترام التام لحقوق الإنسان.</w:t>
      </w:r>
    </w:p>
    <w:p w:rsidR="00CC0F13" w:rsidRPr="00A71B00" w:rsidRDefault="00CC0F13" w:rsidP="009C2AAE">
      <w:pPr>
        <w:pStyle w:val="SingleTxt"/>
        <w:rPr>
          <w:spacing w:val="-2"/>
          <w:w w:val="100"/>
          <w:kern w:val="0"/>
          <w:rtl/>
          <w:lang w:val="fr-FR"/>
        </w:rPr>
      </w:pPr>
      <w:r w:rsidRPr="00A71B00">
        <w:rPr>
          <w:spacing w:val="-2"/>
          <w:w w:val="100"/>
          <w:kern w:val="0"/>
          <w:rtl/>
          <w:lang w:val="fr-FR"/>
        </w:rPr>
        <w:t>185-</w:t>
      </w:r>
      <w:r w:rsidRPr="00A71B00">
        <w:rPr>
          <w:spacing w:val="-2"/>
          <w:w w:val="100"/>
          <w:kern w:val="0"/>
          <w:rtl/>
          <w:lang w:val="fr-FR"/>
        </w:rPr>
        <w:tab/>
        <w:t>وتتابع الأرجنتين التوصيات المقدمة في إطار الاستعراض الدوري الشامل، حيث صدقت في عام 2008 على البروتوكول الاختياري الثاني الملحق بالعهد الدولي الخاص بالحقوق المدنية والسياسية، وعلى اتفاقية حقوق الأشخاص ذوي الإعاقة وبروتوكولها الاختياري. وقد</w:t>
      </w:r>
      <w:r w:rsidR="009C2AAE">
        <w:rPr>
          <w:rFonts w:hint="cs"/>
          <w:spacing w:val="-2"/>
          <w:w w:val="100"/>
          <w:kern w:val="0"/>
          <w:rtl/>
          <w:lang w:val="fr-FR"/>
        </w:rPr>
        <w:t> </w:t>
      </w:r>
      <w:r w:rsidRPr="00A71B00">
        <w:rPr>
          <w:spacing w:val="-2"/>
          <w:w w:val="100"/>
          <w:kern w:val="0"/>
          <w:rtl/>
          <w:lang w:val="fr-FR"/>
        </w:rPr>
        <w:t>اتُخذت، بخصوص هذه الاتفاقية، خطوات حاسمة لتحقيق تنفيذها الكامل والفعال من خلال اللجنة الاستشارية الوطنية المعنية بإدماج الأشخاص ذوي الإعاقة بمشاركة نشطة من المجتمع المدني المنظَّم.</w:t>
      </w:r>
    </w:p>
    <w:p w:rsidR="00CC0F13" w:rsidRPr="00A71B00" w:rsidRDefault="00CC0F13" w:rsidP="004C4B32">
      <w:pPr>
        <w:pStyle w:val="SingleTxt"/>
        <w:rPr>
          <w:spacing w:val="-2"/>
          <w:w w:val="100"/>
          <w:kern w:val="0"/>
          <w:rtl/>
          <w:lang w:val="fr-FR"/>
        </w:rPr>
      </w:pPr>
      <w:r w:rsidRPr="00A71B00">
        <w:rPr>
          <w:spacing w:val="-2"/>
          <w:w w:val="100"/>
          <w:kern w:val="0"/>
          <w:rtl/>
          <w:lang w:val="fr-FR"/>
        </w:rPr>
        <w:t>186-</w:t>
      </w:r>
      <w:r w:rsidRPr="00A71B00">
        <w:rPr>
          <w:spacing w:val="-2"/>
          <w:w w:val="100"/>
          <w:kern w:val="0"/>
          <w:rtl/>
          <w:lang w:val="fr-FR"/>
        </w:rPr>
        <w:tab/>
        <w:t>وفيما يتعلق بآليات رصد تنفيذ معاهدات حقوق الإنسان، أوفت الأرجنتين بما قطعته على نفسها من التزامات بخصوص تقديم تقارير دورية إلى هيئات المراقبة وكذلك ما يرتبط منها بنظام الطلبات الفردية. وجدير بالذكر أن بلدنا يعترف باختصاص اللجان بالنظر في الطلبات المقدمة من أشخاص يدّعون وقوعهم ضحايا انتهاكات للحقوق المعترف بها في تلك المعاهدات (اللجنة المعنية بحقوق الإنسان، ولجنة حقوق الطفل، ولجنة القضاء على التمييز العنصري، واللجنة المعنية بالقضاء على التمييز ضد المرأة، ولجنة مناهضة التعذيب، واللجنة المعنية بالاختفاء القسري).</w:t>
      </w:r>
    </w:p>
    <w:p w:rsidR="00A71B00" w:rsidRPr="00A71B00" w:rsidRDefault="00A71B00"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CC0F13"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t>4-</w:t>
      </w:r>
      <w:r w:rsidRPr="00307AAE">
        <w:rPr>
          <w:w w:val="100"/>
          <w:rtl/>
          <w:lang w:val="fr-FR"/>
        </w:rPr>
        <w:tab/>
        <w:t>الذاكرة والحقيقة والعدالة</w:t>
      </w:r>
    </w:p>
    <w:p w:rsidR="00CC0F13" w:rsidRPr="00A71B00" w:rsidRDefault="00CC0F13" w:rsidP="00A71B00">
      <w:pPr>
        <w:pStyle w:val="SingleTxt"/>
        <w:rPr>
          <w:spacing w:val="-4"/>
          <w:w w:val="100"/>
          <w:kern w:val="0"/>
          <w:rtl/>
          <w:lang w:val="fr-FR"/>
        </w:rPr>
      </w:pPr>
      <w:r w:rsidRPr="00A71B00">
        <w:rPr>
          <w:spacing w:val="-4"/>
          <w:w w:val="100"/>
          <w:kern w:val="0"/>
          <w:rtl/>
          <w:lang w:val="fr-FR"/>
        </w:rPr>
        <w:t>187-</w:t>
      </w:r>
      <w:r w:rsidR="00A71B00" w:rsidRPr="00A71B00">
        <w:rPr>
          <w:rFonts w:hint="cs"/>
          <w:spacing w:val="-4"/>
          <w:w w:val="100"/>
          <w:kern w:val="0"/>
          <w:rtl/>
          <w:lang w:val="fr-FR"/>
        </w:rPr>
        <w:tab/>
      </w:r>
      <w:r w:rsidRPr="00A71B00">
        <w:rPr>
          <w:spacing w:val="-4"/>
          <w:w w:val="100"/>
          <w:kern w:val="0"/>
          <w:rtl/>
          <w:lang w:val="fr-FR"/>
        </w:rPr>
        <w:t>إن المسار الذي تسلكه دولة الأرجنتين منذ عام 1983، وبخاصة الزخم الحاسم الذي أعطته منذ عام 2003 للكفاح من أجل إعمال حقوق الإنسان وحمايتها، جعل بلدنا يتبوأ مكانة رائدة على</w:t>
      </w:r>
      <w:r w:rsidR="00A71B00">
        <w:rPr>
          <w:rFonts w:hint="cs"/>
          <w:spacing w:val="-4"/>
          <w:w w:val="100"/>
          <w:kern w:val="0"/>
          <w:rtl/>
          <w:lang w:val="fr-FR"/>
        </w:rPr>
        <w:t> </w:t>
      </w:r>
      <w:r w:rsidRPr="00A71B00">
        <w:rPr>
          <w:spacing w:val="-4"/>
          <w:w w:val="100"/>
          <w:kern w:val="0"/>
          <w:rtl/>
          <w:lang w:val="fr-FR"/>
        </w:rPr>
        <w:t>الصعيد العالمي. وهذا المسار هو ثمرة العمل الدؤوب للهيئات المحلية المعنية بحقوق الإنسان، التي ما</w:t>
      </w:r>
      <w:r w:rsidR="00A71B00">
        <w:rPr>
          <w:rFonts w:hint="cs"/>
          <w:spacing w:val="-4"/>
          <w:w w:val="100"/>
          <w:kern w:val="0"/>
          <w:rtl/>
          <w:lang w:val="fr-FR"/>
        </w:rPr>
        <w:t> </w:t>
      </w:r>
      <w:r w:rsidRPr="00A71B00">
        <w:rPr>
          <w:spacing w:val="-4"/>
          <w:w w:val="100"/>
          <w:kern w:val="0"/>
          <w:rtl/>
          <w:lang w:val="fr-FR"/>
        </w:rPr>
        <w:t>انفكت تطالب الدولة، تحت شعار "الذاكرة والحقيقة والعدالة"، بأن تكفل حسن أداء المؤسسات الديمقراطية، والتي حفزت، انطلاق</w:t>
      </w:r>
      <w:r w:rsidR="00955E01">
        <w:rPr>
          <w:spacing w:val="-4"/>
          <w:w w:val="100"/>
          <w:kern w:val="0"/>
          <w:rtl/>
          <w:lang w:val="fr-FR"/>
        </w:rPr>
        <w:t xml:space="preserve">اً </w:t>
      </w:r>
      <w:r w:rsidRPr="00A71B00">
        <w:rPr>
          <w:spacing w:val="-4"/>
          <w:w w:val="100"/>
          <w:kern w:val="0"/>
          <w:rtl/>
          <w:lang w:val="fr-FR"/>
        </w:rPr>
        <w:t>من دورها في المجتمع المدني، مقترحات سياسات عامة تراعي المعايير الدولية لحماية حقوق الإنسان.</w:t>
      </w:r>
    </w:p>
    <w:p w:rsidR="00CC0F13" w:rsidRPr="00A71B00" w:rsidRDefault="00CC0F13" w:rsidP="009C2AAE">
      <w:pPr>
        <w:pStyle w:val="SingleTxt"/>
        <w:rPr>
          <w:spacing w:val="-4"/>
          <w:w w:val="100"/>
          <w:kern w:val="0"/>
          <w:rtl/>
          <w:lang w:val="fr-FR"/>
        </w:rPr>
      </w:pPr>
      <w:r w:rsidRPr="00A71B00">
        <w:rPr>
          <w:spacing w:val="-4"/>
          <w:w w:val="100"/>
          <w:kern w:val="0"/>
          <w:rtl/>
          <w:lang w:val="fr-FR"/>
        </w:rPr>
        <w:t>188-</w:t>
      </w:r>
      <w:r w:rsidRPr="00A71B00">
        <w:rPr>
          <w:spacing w:val="-4"/>
          <w:w w:val="100"/>
          <w:kern w:val="0"/>
          <w:rtl/>
          <w:lang w:val="fr-FR"/>
        </w:rPr>
        <w:tab/>
        <w:t>وليس النهوض بالحق في معرفة الحقيقة، والمبادرات الرامية إلى منع الانتهاكات الواسعة النطاق التي تتعرض لها حقوق الإنسان، والمقترحات المتعلقة بالاتفاقية الدولية لحماية جميع الأشخاص من الاختفاء القسري، سوى أمثلة مقتضبة عن المجالات التي تمارس فيها الأرجنتين دور</w:t>
      </w:r>
      <w:r w:rsidR="00955E01">
        <w:rPr>
          <w:spacing w:val="-4"/>
          <w:w w:val="100"/>
          <w:kern w:val="0"/>
          <w:rtl/>
          <w:lang w:val="fr-FR"/>
        </w:rPr>
        <w:t>اً</w:t>
      </w:r>
      <w:r w:rsidR="009C2AAE">
        <w:rPr>
          <w:rFonts w:hint="cs"/>
          <w:spacing w:val="-4"/>
          <w:w w:val="100"/>
          <w:kern w:val="0"/>
          <w:rtl/>
          <w:lang w:val="fr-FR"/>
        </w:rPr>
        <w:t> </w:t>
      </w:r>
      <w:r w:rsidRPr="00A71B00">
        <w:rPr>
          <w:spacing w:val="-4"/>
          <w:w w:val="100"/>
          <w:kern w:val="0"/>
          <w:rtl/>
          <w:lang w:val="fr-FR"/>
        </w:rPr>
        <w:t>ريادي</w:t>
      </w:r>
      <w:r w:rsidR="00955E01">
        <w:rPr>
          <w:spacing w:val="-4"/>
          <w:w w:val="100"/>
          <w:kern w:val="0"/>
          <w:rtl/>
          <w:lang w:val="fr-FR"/>
        </w:rPr>
        <w:t>اً.</w:t>
      </w:r>
    </w:p>
    <w:p w:rsidR="00CC0F13" w:rsidRPr="00307AAE" w:rsidRDefault="00CC0F13" w:rsidP="00CC0F13">
      <w:pPr>
        <w:pStyle w:val="SingleTxt"/>
        <w:rPr>
          <w:w w:val="100"/>
          <w:kern w:val="0"/>
          <w:rtl/>
          <w:lang w:val="fr-FR"/>
        </w:rPr>
      </w:pPr>
      <w:r w:rsidRPr="00307AAE">
        <w:rPr>
          <w:w w:val="100"/>
          <w:kern w:val="0"/>
          <w:rtl/>
          <w:lang w:val="fr-FR"/>
        </w:rPr>
        <w:t>189-</w:t>
      </w:r>
      <w:r w:rsidRPr="00307AAE">
        <w:rPr>
          <w:w w:val="100"/>
          <w:kern w:val="0"/>
          <w:rtl/>
          <w:lang w:val="fr-FR"/>
        </w:rPr>
        <w:tab/>
        <w:t xml:space="preserve">وتمثل مكافحة الإفلات من العقاب والاستجابة للمطالب الداعية إلى إجلاء الحقيقة وإحقاق العدالة وجبر ضرر ضحايا الانتهاكات الجسيمة التي تعرضت لها حقوق الإنسان </w:t>
      </w:r>
      <w:r w:rsidRPr="009C2AAE">
        <w:rPr>
          <w:spacing w:val="-2"/>
          <w:w w:val="100"/>
          <w:kern w:val="0"/>
          <w:rtl/>
          <w:lang w:val="fr-FR"/>
        </w:rPr>
        <w:t>خلال الحكم الديكتاتوري العسكري الأخير ركائز أساسية في السياسة الشاملة لدولة الأرجنتين</w:t>
      </w:r>
      <w:r w:rsidRPr="00307AAE">
        <w:rPr>
          <w:w w:val="100"/>
          <w:kern w:val="0"/>
          <w:rtl/>
          <w:lang w:val="fr-FR"/>
        </w:rPr>
        <w:t xml:space="preserve"> في مجال حقوق الإنسان.</w:t>
      </w:r>
    </w:p>
    <w:p w:rsidR="00CC0F13" w:rsidRPr="00307AAE" w:rsidRDefault="00CC0F13" w:rsidP="00CC0F13">
      <w:pPr>
        <w:pStyle w:val="SingleTxt"/>
        <w:rPr>
          <w:w w:val="100"/>
          <w:kern w:val="0"/>
          <w:rtl/>
          <w:lang w:val="fr-FR"/>
        </w:rPr>
      </w:pPr>
      <w:r w:rsidRPr="00307AAE">
        <w:rPr>
          <w:w w:val="100"/>
          <w:kern w:val="0"/>
          <w:rtl/>
          <w:lang w:val="fr-FR"/>
        </w:rPr>
        <w:t>190-</w:t>
      </w:r>
      <w:r w:rsidRPr="00307AAE">
        <w:rPr>
          <w:w w:val="100"/>
          <w:kern w:val="0"/>
          <w:rtl/>
          <w:lang w:val="fr-FR"/>
        </w:rPr>
        <w:tab/>
        <w:t>ونظر</w:t>
      </w:r>
      <w:r w:rsidR="00955E01">
        <w:rPr>
          <w:w w:val="100"/>
          <w:kern w:val="0"/>
          <w:rtl/>
          <w:lang w:val="fr-FR"/>
        </w:rPr>
        <w:t xml:space="preserve">اً </w:t>
      </w:r>
      <w:r w:rsidRPr="00307AAE">
        <w:rPr>
          <w:w w:val="100"/>
          <w:kern w:val="0"/>
          <w:rtl/>
          <w:lang w:val="fr-FR"/>
        </w:rPr>
        <w:t>لتاريخ الأرجنتين والالتزامات التي قطعتها على نفسها، تكتسي المعاقبة على الجرائم ضد الإنسانية ومنع الإبادة الجماعية أهمية خاصة. وفي هذا السياق، شاركت الأرجنتين مشاركة نشطة في عملية إنشاء المحكمة الجنائية الدولية.</w:t>
      </w:r>
    </w:p>
    <w:p w:rsidR="00CC0F13" w:rsidRPr="00307AAE" w:rsidRDefault="00CC0F13"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t>5-</w:t>
      </w:r>
      <w:r w:rsidRPr="00307AAE">
        <w:rPr>
          <w:w w:val="100"/>
          <w:rtl/>
          <w:lang w:val="fr-FR"/>
        </w:rPr>
        <w:tab/>
        <w:t>المشاركة على الصعيد الدولي</w:t>
      </w:r>
    </w:p>
    <w:p w:rsidR="00CC0F13" w:rsidRPr="00307AAE" w:rsidRDefault="00CC0F13" w:rsidP="00542530">
      <w:pPr>
        <w:pStyle w:val="SingleTxt"/>
        <w:spacing w:line="390" w:lineRule="exact"/>
        <w:rPr>
          <w:w w:val="100"/>
          <w:kern w:val="0"/>
          <w:rtl/>
          <w:lang w:val="fr-FR"/>
        </w:rPr>
      </w:pPr>
      <w:r w:rsidRPr="00307AAE">
        <w:rPr>
          <w:w w:val="100"/>
          <w:kern w:val="0"/>
          <w:rtl/>
          <w:lang w:val="fr-FR"/>
        </w:rPr>
        <w:t>191-</w:t>
      </w:r>
      <w:r w:rsidRPr="00307AAE">
        <w:rPr>
          <w:w w:val="100"/>
          <w:kern w:val="0"/>
          <w:rtl/>
          <w:lang w:val="fr-FR"/>
        </w:rPr>
        <w:tab/>
        <w:t>في إطار الأمم المتحدة، كانت الأرجنتين عضو</w:t>
      </w:r>
      <w:r w:rsidR="00955E01">
        <w:rPr>
          <w:w w:val="100"/>
          <w:kern w:val="0"/>
          <w:rtl/>
          <w:lang w:val="fr-FR"/>
        </w:rPr>
        <w:t xml:space="preserve">اً </w:t>
      </w:r>
      <w:r w:rsidRPr="00307AAE">
        <w:rPr>
          <w:w w:val="100"/>
          <w:kern w:val="0"/>
          <w:rtl/>
          <w:lang w:val="fr-FR"/>
        </w:rPr>
        <w:t>في لجنة حقوق الإنسان في الفترات</w:t>
      </w:r>
      <w:r w:rsidR="009C2AAE">
        <w:rPr>
          <w:rFonts w:hint="cs"/>
          <w:w w:val="100"/>
          <w:kern w:val="0"/>
          <w:rtl/>
          <w:lang w:val="fr-FR"/>
        </w:rPr>
        <w:t> </w:t>
      </w:r>
      <w:r w:rsidRPr="00307AAE">
        <w:rPr>
          <w:w w:val="100"/>
          <w:kern w:val="0"/>
          <w:rtl/>
          <w:lang w:val="fr-FR"/>
        </w:rPr>
        <w:t>التالية</w:t>
      </w:r>
      <w:r w:rsidRPr="004C4B32">
        <w:rPr>
          <w:spacing w:val="-4"/>
          <w:w w:val="100"/>
          <w:kern w:val="0"/>
          <w:rtl/>
          <w:lang w:val="fr-FR"/>
        </w:rPr>
        <w:t>: 1957-1962</w:t>
      </w:r>
      <w:r w:rsidR="00307AAE" w:rsidRPr="004C4B32">
        <w:rPr>
          <w:spacing w:val="-4"/>
          <w:w w:val="100"/>
          <w:kern w:val="0"/>
          <w:rtl/>
          <w:lang w:val="fr-FR"/>
        </w:rPr>
        <w:t xml:space="preserve"> و</w:t>
      </w:r>
      <w:r w:rsidRPr="004C4B32">
        <w:rPr>
          <w:spacing w:val="-4"/>
          <w:w w:val="100"/>
          <w:kern w:val="0"/>
          <w:rtl/>
          <w:lang w:val="fr-FR"/>
        </w:rPr>
        <w:t>1966-1968</w:t>
      </w:r>
      <w:r w:rsidR="00307AAE" w:rsidRPr="004C4B32">
        <w:rPr>
          <w:spacing w:val="-4"/>
          <w:w w:val="100"/>
          <w:kern w:val="0"/>
          <w:rtl/>
          <w:lang w:val="fr-FR"/>
        </w:rPr>
        <w:t xml:space="preserve"> و</w:t>
      </w:r>
      <w:r w:rsidRPr="004C4B32">
        <w:rPr>
          <w:spacing w:val="-4"/>
          <w:w w:val="100"/>
          <w:kern w:val="0"/>
          <w:rtl/>
          <w:lang w:val="fr-FR"/>
        </w:rPr>
        <w:t>1980-1993. وظلت عضو</w:t>
      </w:r>
      <w:r w:rsidR="00955E01">
        <w:rPr>
          <w:spacing w:val="-4"/>
          <w:w w:val="100"/>
          <w:kern w:val="0"/>
          <w:rtl/>
          <w:lang w:val="fr-FR"/>
        </w:rPr>
        <w:t xml:space="preserve">اً </w:t>
      </w:r>
      <w:r w:rsidRPr="004C4B32">
        <w:rPr>
          <w:spacing w:val="-4"/>
          <w:w w:val="100"/>
          <w:kern w:val="0"/>
          <w:rtl/>
          <w:lang w:val="fr-FR"/>
        </w:rPr>
        <w:t>فيها منذ عام</w:t>
      </w:r>
      <w:r w:rsidR="009C2AAE">
        <w:rPr>
          <w:rFonts w:hint="cs"/>
          <w:spacing w:val="-4"/>
          <w:w w:val="100"/>
          <w:kern w:val="0"/>
          <w:rtl/>
          <w:lang w:val="fr-FR"/>
        </w:rPr>
        <w:t> </w:t>
      </w:r>
      <w:r w:rsidRPr="004C4B32">
        <w:rPr>
          <w:spacing w:val="-4"/>
          <w:w w:val="100"/>
          <w:kern w:val="0"/>
          <w:rtl/>
          <w:lang w:val="fr-FR"/>
        </w:rPr>
        <w:t>1997،</w:t>
      </w:r>
      <w:r w:rsidRPr="00307AAE">
        <w:rPr>
          <w:w w:val="100"/>
          <w:kern w:val="0"/>
          <w:rtl/>
          <w:lang w:val="fr-FR"/>
        </w:rPr>
        <w:t xml:space="preserve"> إذ أُعيد انتخابها في أيار/مايو 2005 إلى أن أُنشئ مجلس حقوق الإنسان، الذي كانت عضو</w:t>
      </w:r>
      <w:r w:rsidR="00955E01">
        <w:rPr>
          <w:w w:val="100"/>
          <w:kern w:val="0"/>
          <w:rtl/>
          <w:lang w:val="fr-FR"/>
        </w:rPr>
        <w:t xml:space="preserve">اً </w:t>
      </w:r>
      <w:r w:rsidRPr="00307AAE">
        <w:rPr>
          <w:w w:val="100"/>
          <w:kern w:val="0"/>
          <w:rtl/>
          <w:lang w:val="fr-FR"/>
        </w:rPr>
        <w:t>فيه</w:t>
      </w:r>
      <w:r w:rsidR="00A71B00">
        <w:rPr>
          <w:rFonts w:hint="cs"/>
          <w:w w:val="100"/>
          <w:kern w:val="0"/>
          <w:rtl/>
          <w:lang w:val="fr-FR"/>
        </w:rPr>
        <w:t> </w:t>
      </w:r>
      <w:r w:rsidRPr="00307AAE">
        <w:rPr>
          <w:w w:val="100"/>
          <w:kern w:val="0"/>
          <w:rtl/>
          <w:lang w:val="fr-FR"/>
        </w:rPr>
        <w:t>مدة سنة.</w:t>
      </w:r>
    </w:p>
    <w:p w:rsidR="00CC0F13" w:rsidRPr="00307AAE" w:rsidRDefault="00CC0F13" w:rsidP="00542530">
      <w:pPr>
        <w:pStyle w:val="SingleTxt"/>
        <w:spacing w:line="390" w:lineRule="exact"/>
        <w:rPr>
          <w:w w:val="100"/>
          <w:kern w:val="0"/>
          <w:rtl/>
          <w:lang w:val="fr-FR"/>
        </w:rPr>
      </w:pPr>
      <w:r w:rsidRPr="00307AAE">
        <w:rPr>
          <w:w w:val="100"/>
          <w:kern w:val="0"/>
          <w:rtl/>
          <w:lang w:val="fr-FR"/>
        </w:rPr>
        <w:t>192-</w:t>
      </w:r>
      <w:r w:rsidRPr="00307AAE">
        <w:rPr>
          <w:w w:val="100"/>
          <w:kern w:val="0"/>
          <w:rtl/>
          <w:lang w:val="fr-FR"/>
        </w:rPr>
        <w:tab/>
        <w:t>وتعاون بلدنا مع جميع الإجراءات الخاصة التابعة لمجلس حقوق الإنسان. واستقبل مقررين وأفرقة عاملة معنية بتعزيز حقوق الإنسان وحمايتها ودعم المبادرات الرامية إلى تجديد الولايات القائمة وإلى إنشاء أخرى جديدة على حد سواء. وفي إطار مجلس حقوق الإنسان أيض</w:t>
      </w:r>
      <w:r w:rsidR="00955E01">
        <w:rPr>
          <w:w w:val="100"/>
          <w:kern w:val="0"/>
          <w:rtl/>
          <w:lang w:val="fr-FR"/>
        </w:rPr>
        <w:t>اً،</w:t>
      </w:r>
      <w:r w:rsidRPr="00307AAE">
        <w:rPr>
          <w:w w:val="100"/>
          <w:kern w:val="0"/>
          <w:rtl/>
          <w:lang w:val="fr-FR"/>
        </w:rPr>
        <w:t xml:space="preserve"> قدمت الأرجنتين عدة مشاريع ابتكارية، يبرز من بينها إدراج موضوع الحق في معرفة الحقيقة في جدول الأعمال الدولي. ويقوم النهوض بهذا الحق على منع الانتهاكات الواسعة النطاق لحقوق الإنسان في العالم. وفضل</w:t>
      </w:r>
      <w:r w:rsidR="00955E01">
        <w:rPr>
          <w:w w:val="100"/>
          <w:kern w:val="0"/>
          <w:rtl/>
          <w:lang w:val="fr-FR"/>
        </w:rPr>
        <w:t xml:space="preserve">اً </w:t>
      </w:r>
      <w:r w:rsidRPr="00307AAE">
        <w:rPr>
          <w:w w:val="100"/>
          <w:kern w:val="0"/>
          <w:rtl/>
          <w:lang w:val="fr-FR"/>
        </w:rPr>
        <w:t>عن ذلك، قدمت منذ عام 2009 مبادرات بشأن علم الطب الشرعي الوراثي وحقوق الإنسان.</w:t>
      </w:r>
    </w:p>
    <w:p w:rsidR="00CC0F13" w:rsidRPr="00307AAE" w:rsidRDefault="00CC0F13" w:rsidP="00542530">
      <w:pPr>
        <w:pStyle w:val="SingleTxt"/>
        <w:spacing w:line="390" w:lineRule="exact"/>
        <w:rPr>
          <w:w w:val="100"/>
          <w:kern w:val="0"/>
          <w:rtl/>
          <w:lang w:val="fr-FR"/>
        </w:rPr>
      </w:pPr>
      <w:r w:rsidRPr="00307AAE">
        <w:rPr>
          <w:w w:val="100"/>
          <w:kern w:val="0"/>
          <w:rtl/>
          <w:lang w:val="fr-FR"/>
        </w:rPr>
        <w:t>193-</w:t>
      </w:r>
      <w:r w:rsidRPr="00307AAE">
        <w:rPr>
          <w:w w:val="100"/>
          <w:kern w:val="0"/>
          <w:rtl/>
          <w:lang w:val="fr-FR"/>
        </w:rPr>
        <w:tab/>
        <w:t>وتجدر الإشارة إلى إنشاء ولاية مواضيعية جديدة مؤخر</w:t>
      </w:r>
      <w:r w:rsidR="00955E01">
        <w:rPr>
          <w:w w:val="100"/>
          <w:kern w:val="0"/>
          <w:rtl/>
          <w:lang w:val="fr-FR"/>
        </w:rPr>
        <w:t xml:space="preserve">اً </w:t>
      </w:r>
      <w:r w:rsidRPr="00307AAE">
        <w:rPr>
          <w:w w:val="100"/>
          <w:kern w:val="0"/>
          <w:rtl/>
          <w:lang w:val="fr-FR"/>
        </w:rPr>
        <w:t>للمقرر الخاص المعني بتعزيز الحقيقة والعدالة وجبر الضرر وضمانات عدم التكرار. وقُدمت هذه المبادرة بالاشتراك مع سويسرا ومن بين المشاركين الرئيسيين في تقديمها المغرب وكوت ديفوار وفرنسا.</w:t>
      </w:r>
    </w:p>
    <w:p w:rsidR="00CC0F13" w:rsidRPr="00307AAE" w:rsidRDefault="00CC0F13" w:rsidP="00542530">
      <w:pPr>
        <w:pStyle w:val="SingleTxt"/>
        <w:spacing w:line="390" w:lineRule="exact"/>
        <w:rPr>
          <w:w w:val="100"/>
          <w:kern w:val="0"/>
          <w:rtl/>
          <w:lang w:val="fr-FR"/>
        </w:rPr>
      </w:pPr>
      <w:r w:rsidRPr="00307AAE">
        <w:rPr>
          <w:w w:val="100"/>
          <w:kern w:val="0"/>
          <w:rtl/>
          <w:lang w:val="fr-FR"/>
        </w:rPr>
        <w:t>194-</w:t>
      </w:r>
      <w:r w:rsidRPr="00307AAE">
        <w:rPr>
          <w:w w:val="100"/>
          <w:kern w:val="0"/>
          <w:rtl/>
          <w:lang w:val="fr-FR"/>
        </w:rPr>
        <w:tab/>
        <w:t>وتمثل الأنشطة المتصلة بتعميم الانضمام إلى الاتفاقية الدولية لحماية جميع الأشخاص من الاختفاء القسري، التي دخلت حيز النفاذ في 23 كانون الأول/ديسمبر 2010 والتي قبلت الأرجنتين بموجبها اختصاص اللجنة المعنية بالاختفاء القسري، محور</w:t>
      </w:r>
      <w:r w:rsidR="00955E01">
        <w:rPr>
          <w:w w:val="100"/>
          <w:kern w:val="0"/>
          <w:rtl/>
          <w:lang w:val="fr-FR"/>
        </w:rPr>
        <w:t xml:space="preserve">اً </w:t>
      </w:r>
      <w:r w:rsidRPr="00307AAE">
        <w:rPr>
          <w:w w:val="100"/>
          <w:kern w:val="0"/>
          <w:rtl/>
          <w:lang w:val="fr-FR"/>
        </w:rPr>
        <w:t>رئيسي</w:t>
      </w:r>
      <w:r w:rsidR="00955E01">
        <w:rPr>
          <w:w w:val="100"/>
          <w:kern w:val="0"/>
          <w:rtl/>
          <w:lang w:val="fr-FR"/>
        </w:rPr>
        <w:t xml:space="preserve">اً </w:t>
      </w:r>
      <w:r w:rsidRPr="00307AAE">
        <w:rPr>
          <w:w w:val="100"/>
          <w:kern w:val="0"/>
          <w:rtl/>
          <w:lang w:val="fr-FR"/>
        </w:rPr>
        <w:t>للسياسة الخارجية لبلدنا، إلى جانب الجهود التي تبذلها داخل منظمة الدول الأمريكية والجمعية العامة للأمم المتحدة من أجل صياغة اتفاقية بشأن حماية حقوق الأشخاص المسنين.</w:t>
      </w:r>
    </w:p>
    <w:p w:rsidR="00CC0F13" w:rsidRPr="00955E01" w:rsidRDefault="00CC0F13" w:rsidP="00542530">
      <w:pPr>
        <w:pStyle w:val="SingleTxt"/>
        <w:spacing w:line="390" w:lineRule="exact"/>
        <w:rPr>
          <w:spacing w:val="-2"/>
          <w:w w:val="100"/>
          <w:kern w:val="0"/>
          <w:rtl/>
          <w:lang w:val="fr-FR"/>
        </w:rPr>
      </w:pPr>
      <w:r w:rsidRPr="00955E01">
        <w:rPr>
          <w:spacing w:val="-2"/>
          <w:w w:val="100"/>
          <w:kern w:val="0"/>
          <w:rtl/>
          <w:lang w:val="fr-FR"/>
        </w:rPr>
        <w:t>195-</w:t>
      </w:r>
      <w:r w:rsidRPr="00955E01">
        <w:rPr>
          <w:spacing w:val="-2"/>
          <w:w w:val="100"/>
          <w:kern w:val="0"/>
          <w:rtl/>
          <w:lang w:val="fr-FR"/>
        </w:rPr>
        <w:tab/>
        <w:t>ولإعطاء مثال على التزام الأرجنتين بمتابعة التوصيات التي قدمتها الدول في إطار الاستعراض الدوري الشامل، أثناء الدورة الخامسة عشرة للمجلس (أيلول/سبتمبر 2010)، قدمت طوعي</w:t>
      </w:r>
      <w:r w:rsidR="00955E01">
        <w:rPr>
          <w:spacing w:val="-2"/>
          <w:w w:val="100"/>
          <w:kern w:val="0"/>
          <w:rtl/>
          <w:lang w:val="fr-FR"/>
        </w:rPr>
        <w:t xml:space="preserve">اً </w:t>
      </w:r>
      <w:r w:rsidRPr="00955E01">
        <w:rPr>
          <w:spacing w:val="-2"/>
          <w:w w:val="100"/>
          <w:kern w:val="0"/>
          <w:rtl/>
          <w:lang w:val="fr-FR"/>
        </w:rPr>
        <w:t>تقرير</w:t>
      </w:r>
      <w:r w:rsidR="00955E01">
        <w:rPr>
          <w:spacing w:val="-2"/>
          <w:w w:val="100"/>
          <w:kern w:val="0"/>
          <w:rtl/>
          <w:lang w:val="fr-FR"/>
        </w:rPr>
        <w:t xml:space="preserve">اً </w:t>
      </w:r>
      <w:r w:rsidRPr="00955E01">
        <w:rPr>
          <w:spacing w:val="-2"/>
          <w:w w:val="100"/>
          <w:kern w:val="0"/>
          <w:rtl/>
          <w:lang w:val="fr-FR"/>
        </w:rPr>
        <w:t>بشأن التقدم المحرز في تنفيذ هذه التوصيات، يقدم بشكل مقتضب الإجراءات المتخذة حتى الآن.</w:t>
      </w:r>
    </w:p>
    <w:p w:rsidR="009C2AAE" w:rsidRPr="009C2AAE" w:rsidRDefault="009C2AAE" w:rsidP="009C2AA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w w:val="100"/>
          <w:sz w:val="10"/>
          <w:rtl/>
          <w:lang w:val="fr-FR"/>
        </w:rPr>
      </w:pPr>
    </w:p>
    <w:p w:rsidR="00CC0F13" w:rsidRPr="00307AAE" w:rsidRDefault="00CC0F13" w:rsidP="00A71B0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w w:val="100"/>
          <w:rtl/>
          <w:lang w:val="fr-FR"/>
        </w:rPr>
      </w:pPr>
      <w:r w:rsidRPr="00307AAE">
        <w:rPr>
          <w:w w:val="100"/>
          <w:rtl/>
          <w:lang w:val="fr-FR"/>
        </w:rPr>
        <w:tab/>
        <w:t>6-</w:t>
      </w:r>
      <w:r w:rsidRPr="00307AAE">
        <w:rPr>
          <w:w w:val="100"/>
          <w:rtl/>
          <w:lang w:val="fr-FR"/>
        </w:rPr>
        <w:tab/>
        <w:t>المشاركة على الصعيد الإقليمي</w:t>
      </w:r>
    </w:p>
    <w:p w:rsidR="00CC0F13" w:rsidRPr="00307AAE" w:rsidRDefault="00CC0F13" w:rsidP="00542530">
      <w:pPr>
        <w:pStyle w:val="SingleTxt"/>
        <w:spacing w:line="390" w:lineRule="exact"/>
        <w:rPr>
          <w:w w:val="100"/>
          <w:kern w:val="0"/>
          <w:rtl/>
          <w:lang w:val="fr-FR"/>
        </w:rPr>
      </w:pPr>
      <w:r w:rsidRPr="00307AAE">
        <w:rPr>
          <w:w w:val="100"/>
          <w:kern w:val="0"/>
          <w:rtl/>
          <w:lang w:val="fr-FR"/>
        </w:rPr>
        <w:t>196-</w:t>
      </w:r>
      <w:r w:rsidRPr="00307AAE">
        <w:rPr>
          <w:w w:val="100"/>
          <w:kern w:val="0"/>
          <w:rtl/>
          <w:lang w:val="fr-FR"/>
        </w:rPr>
        <w:tab/>
        <w:t>تشارك الأرجنتين بنشاط في جميع المفاوضات التي تجرى بشأن حقوق الإنسان في إطار منظمة الدول الأمريكية، وتتحاور باستمرار مع دول المنطقة.</w:t>
      </w:r>
    </w:p>
    <w:p w:rsidR="00CC0F13" w:rsidRPr="00307AAE" w:rsidRDefault="00CC0F13" w:rsidP="00542530">
      <w:pPr>
        <w:pStyle w:val="SingleTxt"/>
        <w:spacing w:line="390" w:lineRule="exact"/>
        <w:rPr>
          <w:w w:val="100"/>
          <w:kern w:val="0"/>
          <w:rtl/>
          <w:lang w:val="fr-FR"/>
        </w:rPr>
      </w:pPr>
      <w:r w:rsidRPr="00307AAE">
        <w:rPr>
          <w:w w:val="100"/>
          <w:kern w:val="0"/>
          <w:rtl/>
          <w:lang w:val="fr-FR"/>
        </w:rPr>
        <w:t>197-</w:t>
      </w:r>
      <w:r w:rsidRPr="00307AAE">
        <w:rPr>
          <w:w w:val="100"/>
          <w:kern w:val="0"/>
          <w:rtl/>
          <w:lang w:val="fr-FR"/>
        </w:rPr>
        <w:tab/>
        <w:t>وتوجه الأرجنتين، على غرار الدعوة التي توجهها إلى آليات الأمم المتحدة، دعوة مفتوحة ودائمة إلى هيئات منظومة البلدان الأمريكية لحقوق الإنسان لزيارة بلدنا. وفي السياق ذاته، تعترف باختصاص لجنة البلدان الأمريكية لحقوق الإنسان ومحكمة البلدان الأمريكية لحقوق الإنسان بتلقي الشكاوى ضد دولة الأرجنتين فيما يتصل بانتهاكات حقوق الإنسان.</w:t>
      </w:r>
    </w:p>
    <w:p w:rsidR="00CC0F13" w:rsidRPr="00307AAE" w:rsidRDefault="00CC0F13" w:rsidP="00A71B00">
      <w:pPr>
        <w:pStyle w:val="SingleTxt"/>
        <w:rPr>
          <w:w w:val="100"/>
          <w:rtl/>
          <w:lang w:val="fr-FR"/>
        </w:rPr>
      </w:pPr>
      <w:r w:rsidRPr="00307AAE">
        <w:rPr>
          <w:w w:val="100"/>
          <w:rtl/>
          <w:lang w:val="fr-FR"/>
        </w:rPr>
        <w:t>198-</w:t>
      </w:r>
      <w:r w:rsidRPr="00307AAE">
        <w:rPr>
          <w:w w:val="100"/>
          <w:rtl/>
          <w:lang w:val="fr-FR"/>
        </w:rPr>
        <w:tab/>
        <w:t>وفي عام 2009، عُقدت في بوينس آيرس دورة استثنائية للجنة البلدان الأمريكية لحقوق الإنسان احتفاء بالذكرى السنوية لإنشاء لجنة البلدان الأمريكية لحقوق الإنسان (1959)، والذكرى السنوية للإنشاء الفعلي لمحكمة البلدان الأمريكية لحقوق الإنسان (1979) والذكرى السنوية للزيارة التاريخية التي قامت بها اللجنة لبلدنا في عام 1979</w:t>
      </w:r>
      <w:r w:rsidR="00A71B00">
        <w:rPr>
          <w:rFonts w:hint="cs"/>
          <w:w w:val="100"/>
          <w:rtl/>
          <w:lang w:val="fr-FR"/>
        </w:rPr>
        <w:t>.</w:t>
      </w:r>
    </w:p>
    <w:p w:rsidR="00E1404F" w:rsidRPr="00A71B00" w:rsidRDefault="00CC0F13" w:rsidP="00307AAE">
      <w:pPr>
        <w:pStyle w:val="SingleTxt"/>
        <w:rPr>
          <w:spacing w:val="-2"/>
          <w:w w:val="100"/>
          <w:kern w:val="0"/>
          <w:rtl/>
          <w:lang w:val="fr-FR"/>
        </w:rPr>
      </w:pPr>
      <w:r w:rsidRPr="00A71B00">
        <w:rPr>
          <w:spacing w:val="-2"/>
          <w:w w:val="100"/>
          <w:kern w:val="0"/>
          <w:rtl/>
          <w:lang w:val="fr-FR"/>
        </w:rPr>
        <w:t>199-</w:t>
      </w:r>
      <w:r w:rsidRPr="00A71B00">
        <w:rPr>
          <w:spacing w:val="-2"/>
          <w:w w:val="100"/>
          <w:kern w:val="0"/>
          <w:rtl/>
          <w:lang w:val="fr-FR"/>
        </w:rPr>
        <w:tab/>
        <w:t>ومن جهة أخرى، تشكل القرارات المعتمدة مؤخر</w:t>
      </w:r>
      <w:r w:rsidR="00955E01">
        <w:rPr>
          <w:spacing w:val="-2"/>
          <w:w w:val="100"/>
          <w:kern w:val="0"/>
          <w:rtl/>
          <w:lang w:val="fr-FR"/>
        </w:rPr>
        <w:t xml:space="preserve">اً </w:t>
      </w:r>
      <w:r w:rsidRPr="00A71B00">
        <w:rPr>
          <w:spacing w:val="-2"/>
          <w:w w:val="100"/>
          <w:kern w:val="0"/>
          <w:rtl/>
          <w:lang w:val="fr-FR"/>
        </w:rPr>
        <w:t>في الدورة الحادية والأربعين للجمعية العامة لمنظمة الدول الأمريكية بشأن "الحق في معرفة الحقيقة"، و"الأشخاص المسنين وحقوق الإنسان"، و"حماية طالبي اللجوء في الأمريكتين"، و"الاحتكام إلى القضاء"، و"دور محاميي المساعدة القضائية"، مبادرات أرجنتينية.</w:t>
      </w:r>
    </w:p>
    <w:p w:rsidR="00E1404F" w:rsidRPr="00D73A07" w:rsidRDefault="00A71B00" w:rsidP="00A71B00">
      <w:pPr>
        <w:pStyle w:val="SingleTxt"/>
        <w:spacing w:after="0" w:line="240" w:lineRule="auto"/>
        <w:rPr>
          <w:w w:val="100"/>
          <w:kern w:val="0"/>
        </w:rPr>
      </w:pPr>
      <w:r>
        <w:rPr>
          <w:noProof/>
          <w:w w:val="100"/>
          <w:kern w:val="0"/>
        </w:rPr>
        <mc:AlternateContent>
          <mc:Choice Requires="wps">
            <w:drawing>
              <wp:anchor distT="0" distB="0" distL="114300" distR="114300" simplePos="0" relativeHeight="251660288"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E1404F" w:rsidRPr="00D73A07" w:rsidSect="009C0DEA">
      <w:headerReference w:type="even" r:id="rId29"/>
      <w:headerReference w:type="default" r:id="rId30"/>
      <w:footerReference w:type="even" r:id="rId31"/>
      <w:footerReference w:type="default" r:id="rId32"/>
      <w:endnotePr>
        <w:numFmt w:val="decimal"/>
      </w:endnotePr>
      <w:pgSz w:w="11907" w:h="16839" w:code="9"/>
      <w:pgMar w:top="1741" w:right="1196" w:bottom="1899" w:left="1196" w:header="578" w:footer="1038"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20T11:17:00Z" w:initials="Start">
    <w:p w:rsidR="00706E77" w:rsidRDefault="00706E77">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NO&gt;&gt;N1515109A&lt;&lt;ODS JOB NO&gt;&gt;</w:t>
      </w:r>
    </w:p>
    <w:p w:rsidR="00706E77" w:rsidRDefault="00706E77">
      <w:pPr>
        <w:pStyle w:val="CommentText"/>
      </w:pPr>
      <w:r>
        <w:t>&lt;&lt;ODS DOC SYMBOL1&gt;&gt;HRI/CORE/ARG/2014&lt;&lt;ODS DOC SYMBOL1&gt;&gt;</w:t>
      </w:r>
    </w:p>
    <w:p w:rsidR="00706E77" w:rsidRDefault="00706E7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77" w:rsidRDefault="00706E77" w:rsidP="00693CF9">
      <w:pPr>
        <w:spacing w:line="240" w:lineRule="auto"/>
      </w:pPr>
      <w:r>
        <w:separator/>
      </w:r>
    </w:p>
  </w:endnote>
  <w:endnote w:type="continuationSeparator" w:id="0">
    <w:p w:rsidR="00706E77" w:rsidRDefault="00706E77"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06E77" w:rsidTr="00983EC8">
      <w:trPr>
        <w:jc w:val="center"/>
      </w:trPr>
      <w:tc>
        <w:tcPr>
          <w:tcW w:w="5126" w:type="dxa"/>
          <w:shd w:val="clear" w:color="auto" w:fill="auto"/>
        </w:tcPr>
        <w:p w:rsidR="00706E77" w:rsidRPr="00983EC8" w:rsidRDefault="00706E77" w:rsidP="00983EC8">
          <w:pPr>
            <w:pStyle w:val="Footer"/>
            <w:rPr>
              <w:w w:val="103"/>
            </w:rPr>
          </w:pPr>
          <w:r>
            <w:rPr>
              <w:w w:val="103"/>
            </w:rPr>
            <w:fldChar w:fldCharType="begin"/>
          </w:r>
          <w:r>
            <w:rPr>
              <w:w w:val="103"/>
            </w:rPr>
            <w:instrText xml:space="preserve"> PAGE  \* Arabic  \* MERGEFORMAT </w:instrText>
          </w:r>
          <w:r>
            <w:rPr>
              <w:w w:val="103"/>
            </w:rPr>
            <w:fldChar w:fldCharType="separate"/>
          </w:r>
          <w:r w:rsidR="002A4DE9">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4DE9">
            <w:rPr>
              <w:noProof/>
              <w:w w:val="103"/>
            </w:rPr>
            <w:t>46</w:t>
          </w:r>
          <w:r>
            <w:rPr>
              <w:w w:val="103"/>
            </w:rPr>
            <w:fldChar w:fldCharType="end"/>
          </w:r>
        </w:p>
      </w:tc>
      <w:tc>
        <w:tcPr>
          <w:tcW w:w="5127" w:type="dxa"/>
          <w:shd w:val="clear" w:color="auto" w:fill="auto"/>
        </w:tcPr>
        <w:p w:rsidR="00706E77" w:rsidRPr="00983EC8" w:rsidRDefault="00706E77" w:rsidP="00983EC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A4DE9">
            <w:rPr>
              <w:b w:val="0"/>
              <w:w w:val="103"/>
            </w:rPr>
            <w:t>GE.15-11341</w:t>
          </w:r>
          <w:r>
            <w:rPr>
              <w:b w:val="0"/>
              <w:w w:val="103"/>
            </w:rPr>
            <w:fldChar w:fldCharType="end"/>
          </w:r>
        </w:p>
      </w:tc>
    </w:tr>
  </w:tbl>
  <w:p w:rsidR="00706E77" w:rsidRPr="00983EC8" w:rsidRDefault="00706E77" w:rsidP="00983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06E77" w:rsidTr="00983EC8">
      <w:trPr>
        <w:jc w:val="center"/>
      </w:trPr>
      <w:tc>
        <w:tcPr>
          <w:tcW w:w="5126" w:type="dxa"/>
          <w:shd w:val="clear" w:color="auto" w:fill="auto"/>
        </w:tcPr>
        <w:p w:rsidR="00706E77" w:rsidRPr="00983EC8" w:rsidRDefault="00706E77" w:rsidP="00983EC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A4DE9">
            <w:rPr>
              <w:b w:val="0"/>
              <w:w w:val="103"/>
            </w:rPr>
            <w:t>GE.15-11341</w:t>
          </w:r>
          <w:r>
            <w:rPr>
              <w:b w:val="0"/>
              <w:w w:val="103"/>
            </w:rPr>
            <w:fldChar w:fldCharType="end"/>
          </w:r>
        </w:p>
      </w:tc>
      <w:tc>
        <w:tcPr>
          <w:tcW w:w="5127" w:type="dxa"/>
          <w:shd w:val="clear" w:color="auto" w:fill="auto"/>
        </w:tcPr>
        <w:p w:rsidR="00706E77" w:rsidRPr="00983EC8" w:rsidRDefault="00706E77" w:rsidP="00983EC8">
          <w:pPr>
            <w:pStyle w:val="Footer"/>
            <w:jc w:val="left"/>
            <w:rPr>
              <w:w w:val="103"/>
            </w:rPr>
          </w:pPr>
          <w:r>
            <w:rPr>
              <w:w w:val="103"/>
            </w:rPr>
            <w:fldChar w:fldCharType="begin"/>
          </w:r>
          <w:r>
            <w:rPr>
              <w:w w:val="103"/>
            </w:rPr>
            <w:instrText xml:space="preserve"> PAGE  \* Arabic  \* MERGEFORMAT </w:instrText>
          </w:r>
          <w:r>
            <w:rPr>
              <w:w w:val="103"/>
            </w:rPr>
            <w:fldChar w:fldCharType="separate"/>
          </w:r>
          <w:r w:rsidR="002A4DE9">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4DE9">
            <w:rPr>
              <w:noProof/>
              <w:w w:val="103"/>
            </w:rPr>
            <w:t>46</w:t>
          </w:r>
          <w:r>
            <w:rPr>
              <w:w w:val="103"/>
            </w:rPr>
            <w:fldChar w:fldCharType="end"/>
          </w:r>
        </w:p>
      </w:tc>
    </w:tr>
  </w:tbl>
  <w:p w:rsidR="00706E77" w:rsidRPr="00983EC8" w:rsidRDefault="00706E77" w:rsidP="00983E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706E77" w:rsidTr="00983EC8">
      <w:trPr>
        <w:jc w:val="right"/>
      </w:trPr>
      <w:tc>
        <w:tcPr>
          <w:tcW w:w="4046" w:type="dxa"/>
        </w:tcPr>
        <w:p w:rsidR="00706E77" w:rsidRDefault="00706E77" w:rsidP="00983EC8">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790B9151" wp14:editId="4BD2C7F0">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HRI/CORE/ARG/201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HRI/CORE/ARG/201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704D113C" wp14:editId="579B1CD6">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706E77" w:rsidRDefault="00706E77" w:rsidP="00E1404F">
          <w:pPr>
            <w:pStyle w:val="ReleaseDate"/>
          </w:pPr>
          <w:r>
            <w:t xml:space="preserve">270815    210915    </w:t>
          </w:r>
          <w:fldSimple w:instr=" DOCVARIABLE &quot;jobn&quot; \* MERGEFORMAT ">
            <w:r w:rsidR="002A4DE9">
              <w:t>GE.15-11341 (A)</w:t>
            </w:r>
          </w:fldSimple>
        </w:p>
        <w:p w:rsidR="00706E77" w:rsidRPr="00983EC8" w:rsidRDefault="00706E77" w:rsidP="00983EC8">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A4DE9">
            <w:rPr>
              <w:rFonts w:ascii="Barcode 3 of 9 by request" w:hAnsi="Barcode 3 of 9 by request"/>
              <w:sz w:val="24"/>
            </w:rPr>
            <w:t>*1511341*</w:t>
          </w:r>
          <w:r>
            <w:rPr>
              <w:rFonts w:ascii="Barcode 3 of 9 by request" w:hAnsi="Barcode 3 of 9 by request"/>
              <w:sz w:val="24"/>
            </w:rPr>
            <w:fldChar w:fldCharType="end"/>
          </w:r>
        </w:p>
      </w:tc>
    </w:tr>
  </w:tbl>
  <w:p w:rsidR="00706E77" w:rsidRPr="00983EC8" w:rsidRDefault="00706E77" w:rsidP="00983EC8">
    <w:pPr>
      <w:pStyle w:val="Footer"/>
      <w:spacing w:line="14" w:lineRule="exact"/>
      <w:rPr>
        <w:rFonts w:cs="Times New Roman"/>
        <w:b w:val="0"/>
        <w:w w:val="103"/>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706E77" w:rsidRPr="00E1404F" w:rsidTr="00E1404F">
      <w:trPr>
        <w:cantSplit/>
        <w:trHeight w:val="4781"/>
      </w:trPr>
      <w:tc>
        <w:tcPr>
          <w:tcW w:w="13407" w:type="dxa"/>
          <w:shd w:val="clear" w:color="auto" w:fill="auto"/>
          <w:textDirection w:val="tbRl"/>
        </w:tcPr>
        <w:p w:rsidR="00706E77" w:rsidRPr="00E1404F" w:rsidRDefault="00706E77" w:rsidP="00E1404F">
          <w:pPr>
            <w:pStyle w:val="Footer"/>
            <w:bidi w:val="0"/>
            <w:spacing w:line="240" w:lineRule="auto"/>
            <w:jc w:val="left"/>
            <w:rPr>
              <w:b w:val="0"/>
              <w:w w:val="103"/>
              <w:szCs w:val="26"/>
            </w:rPr>
          </w:pPr>
          <w:r>
            <w:rPr>
              <w:b w:val="0"/>
              <w:w w:val="103"/>
              <w:szCs w:val="26"/>
            </w:rPr>
            <w:fldChar w:fldCharType="begin"/>
          </w:r>
          <w:r>
            <w:rPr>
              <w:b w:val="0"/>
              <w:w w:val="103"/>
              <w:szCs w:val="26"/>
            </w:rPr>
            <w:instrText xml:space="preserve"> </w:instrText>
          </w:r>
          <w:r>
            <w:rPr>
              <w:rFonts w:hint="cs"/>
              <w:b w:val="0"/>
              <w:w w:val="103"/>
              <w:szCs w:val="26"/>
            </w:rPr>
            <w:instrText>DOCVARIABLE "FooterJN" \* MERGEFORMAT</w:instrText>
          </w:r>
          <w:r>
            <w:rPr>
              <w:b w:val="0"/>
              <w:w w:val="103"/>
              <w:szCs w:val="26"/>
            </w:rPr>
            <w:instrText xml:space="preserve"> </w:instrText>
          </w:r>
          <w:r>
            <w:rPr>
              <w:b w:val="0"/>
              <w:w w:val="103"/>
              <w:szCs w:val="26"/>
            </w:rPr>
            <w:fldChar w:fldCharType="separate"/>
          </w:r>
          <w:r w:rsidR="002A4DE9">
            <w:rPr>
              <w:b w:val="0"/>
              <w:w w:val="103"/>
              <w:szCs w:val="26"/>
            </w:rPr>
            <w:t>GE.15-11341</w:t>
          </w:r>
          <w:r>
            <w:rPr>
              <w:b w:val="0"/>
              <w:w w:val="103"/>
              <w:szCs w:val="26"/>
            </w:rPr>
            <w:fldChar w:fldCharType="end"/>
          </w:r>
        </w:p>
      </w:tc>
    </w:tr>
    <w:tr w:rsidR="00706E77" w:rsidRPr="00E1404F" w:rsidTr="00E1404F">
      <w:trPr>
        <w:cantSplit/>
        <w:trHeight w:val="4781"/>
      </w:trPr>
      <w:tc>
        <w:tcPr>
          <w:tcW w:w="13407" w:type="dxa"/>
          <w:shd w:val="clear" w:color="auto" w:fill="auto"/>
          <w:textDirection w:val="tbRl"/>
        </w:tcPr>
        <w:p w:rsidR="00706E77" w:rsidRPr="00E1404F" w:rsidRDefault="00706E77" w:rsidP="00E1404F">
          <w:pPr>
            <w:pStyle w:val="Footer"/>
            <w:bidi w:val="0"/>
            <w:spacing w:line="240" w:lineRule="auto"/>
            <w:rPr>
              <w:w w:val="103"/>
              <w:szCs w:val="26"/>
            </w:rPr>
          </w:pPr>
          <w:r>
            <w:rPr>
              <w:w w:val="103"/>
              <w:szCs w:val="26"/>
            </w:rPr>
            <w:fldChar w:fldCharType="begin"/>
          </w:r>
          <w:r>
            <w:rPr>
              <w:w w:val="103"/>
              <w:szCs w:val="26"/>
            </w:rPr>
            <w:instrText xml:space="preserve"> PAGE  \* Arabic  \* MERGEFORMAT </w:instrText>
          </w:r>
          <w:r>
            <w:rPr>
              <w:w w:val="103"/>
              <w:szCs w:val="26"/>
            </w:rPr>
            <w:fldChar w:fldCharType="separate"/>
          </w:r>
          <w:r w:rsidR="002A4DE9">
            <w:rPr>
              <w:noProof/>
              <w:w w:val="103"/>
              <w:szCs w:val="26"/>
            </w:rPr>
            <w:t>46</w:t>
          </w:r>
          <w:r>
            <w:rPr>
              <w:w w:val="103"/>
              <w:szCs w:val="26"/>
            </w:rPr>
            <w:fldChar w:fldCharType="end"/>
          </w:r>
          <w:r>
            <w:rPr>
              <w:w w:val="103"/>
              <w:szCs w:val="26"/>
            </w:rPr>
            <w:t>/</w:t>
          </w:r>
          <w:r>
            <w:rPr>
              <w:w w:val="103"/>
              <w:szCs w:val="26"/>
            </w:rPr>
            <w:fldChar w:fldCharType="begin"/>
          </w:r>
          <w:r>
            <w:rPr>
              <w:w w:val="103"/>
              <w:szCs w:val="26"/>
            </w:rPr>
            <w:instrText xml:space="preserve"> NUMPAGES  \* Arabic  \* MERGEFORMAT </w:instrText>
          </w:r>
          <w:r>
            <w:rPr>
              <w:w w:val="103"/>
              <w:szCs w:val="26"/>
            </w:rPr>
            <w:fldChar w:fldCharType="separate"/>
          </w:r>
          <w:r w:rsidR="002A4DE9">
            <w:rPr>
              <w:noProof/>
              <w:w w:val="103"/>
              <w:szCs w:val="26"/>
            </w:rPr>
            <w:t>46</w:t>
          </w:r>
          <w:r>
            <w:rPr>
              <w:w w:val="103"/>
              <w:szCs w:val="26"/>
            </w:rPr>
            <w:fldChar w:fldCharType="end"/>
          </w:r>
        </w:p>
      </w:tc>
    </w:tr>
  </w:tbl>
  <w:p w:rsidR="00706E77" w:rsidRPr="00E1404F" w:rsidRDefault="00706E77" w:rsidP="00E140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706E77" w:rsidRPr="00E1404F" w:rsidTr="00E1404F">
      <w:trPr>
        <w:cantSplit/>
        <w:trHeight w:val="4781"/>
      </w:trPr>
      <w:tc>
        <w:tcPr>
          <w:tcW w:w="13407" w:type="dxa"/>
          <w:shd w:val="clear" w:color="auto" w:fill="auto"/>
          <w:textDirection w:val="tbRl"/>
        </w:tcPr>
        <w:p w:rsidR="00706E77" w:rsidRPr="00E1404F" w:rsidRDefault="00706E77" w:rsidP="00E1404F">
          <w:pPr>
            <w:pStyle w:val="Footer"/>
            <w:bidi w:val="0"/>
            <w:spacing w:line="240" w:lineRule="auto"/>
            <w:jc w:val="left"/>
            <w:rPr>
              <w:w w:val="103"/>
              <w:szCs w:val="26"/>
            </w:rPr>
          </w:pPr>
          <w:r>
            <w:rPr>
              <w:w w:val="103"/>
              <w:szCs w:val="26"/>
            </w:rPr>
            <w:fldChar w:fldCharType="begin"/>
          </w:r>
          <w:r>
            <w:rPr>
              <w:w w:val="103"/>
              <w:szCs w:val="26"/>
            </w:rPr>
            <w:instrText xml:space="preserve"> </w:instrText>
          </w:r>
          <w:r>
            <w:rPr>
              <w:rFonts w:hint="cs"/>
              <w:w w:val="103"/>
              <w:szCs w:val="26"/>
            </w:rPr>
            <w:instrText>PAGE  \* Arabic  \* MERGEFORMAT</w:instrText>
          </w:r>
          <w:r>
            <w:rPr>
              <w:w w:val="103"/>
              <w:szCs w:val="26"/>
            </w:rPr>
            <w:instrText xml:space="preserve"> </w:instrText>
          </w:r>
          <w:r>
            <w:rPr>
              <w:w w:val="103"/>
              <w:szCs w:val="26"/>
            </w:rPr>
            <w:fldChar w:fldCharType="separate"/>
          </w:r>
          <w:r w:rsidR="002A4DE9">
            <w:rPr>
              <w:noProof/>
              <w:w w:val="103"/>
              <w:szCs w:val="26"/>
            </w:rPr>
            <w:t>21</w:t>
          </w:r>
          <w:r>
            <w:rPr>
              <w:w w:val="103"/>
              <w:szCs w:val="26"/>
            </w:rPr>
            <w:fldChar w:fldCharType="end"/>
          </w:r>
          <w:r>
            <w:rPr>
              <w:w w:val="103"/>
              <w:szCs w:val="26"/>
            </w:rPr>
            <w:t>/</w:t>
          </w:r>
          <w:r>
            <w:rPr>
              <w:w w:val="103"/>
              <w:szCs w:val="26"/>
            </w:rPr>
            <w:fldChar w:fldCharType="begin"/>
          </w:r>
          <w:r>
            <w:rPr>
              <w:w w:val="103"/>
              <w:szCs w:val="26"/>
            </w:rPr>
            <w:instrText xml:space="preserve"> NUMPAGES  \* Arabic  \* MERGEFORMAT </w:instrText>
          </w:r>
          <w:r>
            <w:rPr>
              <w:w w:val="103"/>
              <w:szCs w:val="26"/>
            </w:rPr>
            <w:fldChar w:fldCharType="separate"/>
          </w:r>
          <w:r w:rsidR="002A4DE9">
            <w:rPr>
              <w:noProof/>
              <w:w w:val="103"/>
              <w:szCs w:val="26"/>
            </w:rPr>
            <w:t>46</w:t>
          </w:r>
          <w:r>
            <w:rPr>
              <w:w w:val="103"/>
              <w:szCs w:val="26"/>
            </w:rPr>
            <w:fldChar w:fldCharType="end"/>
          </w:r>
        </w:p>
      </w:tc>
    </w:tr>
    <w:tr w:rsidR="00706E77" w:rsidRPr="00E1404F" w:rsidTr="00E1404F">
      <w:trPr>
        <w:cantSplit/>
        <w:trHeight w:val="4781"/>
      </w:trPr>
      <w:tc>
        <w:tcPr>
          <w:tcW w:w="13407" w:type="dxa"/>
          <w:shd w:val="clear" w:color="auto" w:fill="auto"/>
          <w:textDirection w:val="tbRl"/>
        </w:tcPr>
        <w:p w:rsidR="00706E77" w:rsidRPr="00E1404F" w:rsidRDefault="00706E77" w:rsidP="00E1404F">
          <w:pPr>
            <w:pStyle w:val="Footer"/>
            <w:bidi w:val="0"/>
            <w:spacing w:line="240" w:lineRule="auto"/>
            <w:rPr>
              <w:b w:val="0"/>
              <w:w w:val="103"/>
              <w:szCs w:val="26"/>
            </w:rPr>
          </w:pPr>
          <w:r>
            <w:rPr>
              <w:b w:val="0"/>
              <w:w w:val="103"/>
              <w:szCs w:val="26"/>
            </w:rPr>
            <w:fldChar w:fldCharType="begin"/>
          </w:r>
          <w:r>
            <w:rPr>
              <w:b w:val="0"/>
              <w:w w:val="103"/>
              <w:szCs w:val="26"/>
            </w:rPr>
            <w:instrText xml:space="preserve"> DOCVARIABLE "FooterJN" \* MERGEFORMAT </w:instrText>
          </w:r>
          <w:r>
            <w:rPr>
              <w:b w:val="0"/>
              <w:w w:val="103"/>
              <w:szCs w:val="26"/>
            </w:rPr>
            <w:fldChar w:fldCharType="separate"/>
          </w:r>
          <w:r w:rsidR="002A4DE9">
            <w:rPr>
              <w:b w:val="0"/>
              <w:w w:val="103"/>
              <w:szCs w:val="26"/>
            </w:rPr>
            <w:t>GE.15-11341</w:t>
          </w:r>
          <w:r>
            <w:rPr>
              <w:b w:val="0"/>
              <w:w w:val="103"/>
              <w:szCs w:val="26"/>
            </w:rPr>
            <w:fldChar w:fldCharType="end"/>
          </w:r>
        </w:p>
      </w:tc>
    </w:tr>
  </w:tbl>
  <w:p w:rsidR="00706E77" w:rsidRPr="00E1404F" w:rsidRDefault="00706E77" w:rsidP="00E1404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735" w:type="dxa"/>
      <w:jc w:val="center"/>
      <w:tblLayout w:type="fixed"/>
      <w:tblLook w:val="0000" w:firstRow="0" w:lastRow="0" w:firstColumn="0" w:lastColumn="0" w:noHBand="0" w:noVBand="0"/>
    </w:tblPr>
    <w:tblGrid>
      <w:gridCol w:w="5126"/>
      <w:gridCol w:w="4609"/>
    </w:tblGrid>
    <w:tr w:rsidR="00706E77" w:rsidTr="009C0DEA">
      <w:trPr>
        <w:jc w:val="center"/>
      </w:trPr>
      <w:tc>
        <w:tcPr>
          <w:tcW w:w="5126" w:type="dxa"/>
          <w:shd w:val="clear" w:color="auto" w:fill="auto"/>
        </w:tcPr>
        <w:p w:rsidR="00706E77" w:rsidRPr="00983EC8" w:rsidRDefault="00706E77" w:rsidP="004C4B32">
          <w:pPr>
            <w:pStyle w:val="Footer"/>
            <w:rPr>
              <w:w w:val="103"/>
            </w:rPr>
          </w:pPr>
          <w:r>
            <w:rPr>
              <w:w w:val="103"/>
            </w:rPr>
            <w:fldChar w:fldCharType="begin"/>
          </w:r>
          <w:r>
            <w:rPr>
              <w:w w:val="103"/>
            </w:rPr>
            <w:instrText xml:space="preserve"> PAGE  \* Arabic  \* MERGEFORMAT </w:instrText>
          </w:r>
          <w:r>
            <w:rPr>
              <w:w w:val="103"/>
            </w:rPr>
            <w:fldChar w:fldCharType="separate"/>
          </w:r>
          <w:r w:rsidR="002A4DE9">
            <w:rPr>
              <w:noProof/>
              <w:w w:val="103"/>
            </w:rPr>
            <w:t>46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4DE9">
            <w:rPr>
              <w:noProof/>
              <w:w w:val="103"/>
            </w:rPr>
            <w:t>46</w:t>
          </w:r>
          <w:r>
            <w:rPr>
              <w:w w:val="103"/>
            </w:rPr>
            <w:fldChar w:fldCharType="end"/>
          </w:r>
        </w:p>
      </w:tc>
      <w:tc>
        <w:tcPr>
          <w:tcW w:w="4609" w:type="dxa"/>
          <w:shd w:val="clear" w:color="auto" w:fill="auto"/>
        </w:tcPr>
        <w:p w:rsidR="00706E77" w:rsidRPr="00983EC8" w:rsidRDefault="00706E77" w:rsidP="004C4B32">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A4DE9">
            <w:rPr>
              <w:b w:val="0"/>
              <w:w w:val="103"/>
            </w:rPr>
            <w:t>GE.15-11341</w:t>
          </w:r>
          <w:r>
            <w:rPr>
              <w:b w:val="0"/>
              <w:w w:val="103"/>
            </w:rPr>
            <w:fldChar w:fldCharType="end"/>
          </w:r>
        </w:p>
      </w:tc>
    </w:tr>
  </w:tbl>
  <w:p w:rsidR="00706E77" w:rsidRPr="00983EC8" w:rsidRDefault="00706E77" w:rsidP="00983EC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4825"/>
    </w:tblGrid>
    <w:tr w:rsidR="00706E77" w:rsidTr="00BF665F">
      <w:trPr>
        <w:jc w:val="center"/>
      </w:trPr>
      <w:tc>
        <w:tcPr>
          <w:tcW w:w="5126" w:type="dxa"/>
          <w:shd w:val="clear" w:color="auto" w:fill="auto"/>
        </w:tcPr>
        <w:p w:rsidR="00706E77" w:rsidRPr="00983EC8" w:rsidRDefault="00706E77" w:rsidP="004C4B3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A4DE9">
            <w:rPr>
              <w:b w:val="0"/>
              <w:w w:val="103"/>
            </w:rPr>
            <w:t>GE.15-11341</w:t>
          </w:r>
          <w:r>
            <w:rPr>
              <w:b w:val="0"/>
              <w:w w:val="103"/>
            </w:rPr>
            <w:fldChar w:fldCharType="end"/>
          </w:r>
        </w:p>
      </w:tc>
      <w:tc>
        <w:tcPr>
          <w:tcW w:w="4825" w:type="dxa"/>
          <w:shd w:val="clear" w:color="auto" w:fill="auto"/>
        </w:tcPr>
        <w:p w:rsidR="00706E77" w:rsidRPr="00983EC8" w:rsidRDefault="00706E77" w:rsidP="004C4B32">
          <w:pPr>
            <w:pStyle w:val="Footer"/>
            <w:jc w:val="left"/>
            <w:rPr>
              <w:w w:val="103"/>
            </w:rPr>
          </w:pPr>
          <w:r>
            <w:rPr>
              <w:w w:val="103"/>
            </w:rPr>
            <w:fldChar w:fldCharType="begin"/>
          </w:r>
          <w:r>
            <w:rPr>
              <w:w w:val="103"/>
            </w:rPr>
            <w:instrText xml:space="preserve"> PAGE  \* Arabic  \* MERGEFORMAT </w:instrText>
          </w:r>
          <w:r>
            <w:rPr>
              <w:w w:val="103"/>
            </w:rPr>
            <w:fldChar w:fldCharType="separate"/>
          </w:r>
          <w:r w:rsidR="002A4DE9">
            <w:rPr>
              <w:noProof/>
              <w:w w:val="103"/>
            </w:rPr>
            <w:t>45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4DE9">
            <w:rPr>
              <w:noProof/>
              <w:w w:val="103"/>
            </w:rPr>
            <w:t>46</w:t>
          </w:r>
          <w:r>
            <w:rPr>
              <w:w w:val="103"/>
            </w:rPr>
            <w:fldChar w:fldCharType="end"/>
          </w:r>
        </w:p>
      </w:tc>
    </w:tr>
  </w:tbl>
  <w:p w:rsidR="00706E77" w:rsidRPr="00983EC8" w:rsidRDefault="00706E77" w:rsidP="00983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77" w:rsidRPr="00307AAE" w:rsidRDefault="00706E77" w:rsidP="00307AAE">
      <w:pPr>
        <w:pStyle w:val="Footer"/>
        <w:bidi/>
        <w:spacing w:after="80"/>
        <w:ind w:left="792"/>
        <w:jc w:val="left"/>
        <w:rPr>
          <w:sz w:val="16"/>
        </w:rPr>
      </w:pPr>
      <w:r w:rsidRPr="00307AAE">
        <w:rPr>
          <w:sz w:val="16"/>
          <w:rtl/>
        </w:rPr>
        <w:t>__________</w:t>
      </w:r>
    </w:p>
  </w:footnote>
  <w:footnote w:type="continuationSeparator" w:id="0">
    <w:p w:rsidR="00706E77" w:rsidRPr="00307AAE" w:rsidRDefault="00706E77" w:rsidP="00307AAE">
      <w:pPr>
        <w:pStyle w:val="Footer"/>
        <w:bidi/>
        <w:spacing w:after="80"/>
        <w:ind w:left="792"/>
        <w:jc w:val="left"/>
        <w:rPr>
          <w:sz w:val="16"/>
        </w:rPr>
      </w:pPr>
      <w:r w:rsidRPr="00307AAE">
        <w:rPr>
          <w:sz w:val="16"/>
          <w:rtl/>
        </w:rPr>
        <w:t>__________</w:t>
      </w:r>
    </w:p>
  </w:footnote>
  <w:footnote w:id="1">
    <w:p w:rsidR="00706E77" w:rsidRDefault="00706E77" w:rsidP="00122E26">
      <w:pPr>
        <w:pStyle w:val="FootnoteText"/>
        <w:tabs>
          <w:tab w:val="clear" w:pos="418"/>
          <w:tab w:val="right" w:pos="1195"/>
          <w:tab w:val="left" w:pos="1267"/>
          <w:tab w:val="left" w:pos="1656"/>
          <w:tab w:val="left" w:pos="2088"/>
        </w:tabs>
        <w:ind w:left="1264" w:right="1264" w:hanging="544"/>
        <w:rPr>
          <w:w w:val="103"/>
          <w:rtl/>
        </w:rPr>
      </w:pPr>
      <w:r>
        <w:rPr>
          <w:rtl/>
        </w:rPr>
        <w:tab/>
      </w:r>
      <w:r w:rsidRPr="00307AAE">
        <w:rPr>
          <w:w w:val="103"/>
          <w:rtl/>
        </w:rPr>
        <w:t>(</w:t>
      </w:r>
      <w:r w:rsidRPr="00307AAE">
        <w:rPr>
          <w:rStyle w:val="FootnoteReference"/>
          <w:color w:val="000000" w:themeColor="text1"/>
          <w:spacing w:val="0"/>
          <w:vertAlign w:val="baseline"/>
          <w:rtl/>
        </w:rPr>
        <w:footnoteRef/>
      </w:r>
      <w:r w:rsidRPr="00307AAE">
        <w:rPr>
          <w:w w:val="103"/>
          <w:rtl/>
        </w:rPr>
        <w:t>)</w:t>
      </w:r>
      <w:r w:rsidRPr="00307AAE">
        <w:rPr>
          <w:w w:val="103"/>
          <w:rtl/>
        </w:rPr>
        <w:tab/>
      </w:r>
      <w:r>
        <w:rPr>
          <w:rFonts w:hint="cs"/>
          <w:rtl/>
        </w:rPr>
        <w:t>تشكل جزر مالفيناس وخورخياس الجنوبية وساندويتش الجنوبية والمجالات البحرية المجاورة لها جزءا لا يتجزأ من الإقليم الوطني الأرجنتيني. ولأن هذه الأقاليم محتلة بصورة غير مشروعة من قبل المملكة المتحدة لبريطانيا العظمى وأيرلندا الشمالية، فقد مُنعت جمهورية الأرجنتين من إجراء تعداد السكان لعام 2010 في هذه المنطقة.</w:t>
      </w:r>
    </w:p>
    <w:p w:rsidR="00706E77" w:rsidRPr="00122E26" w:rsidRDefault="00706E77" w:rsidP="00307AAE">
      <w:pPr>
        <w:pStyle w:val="FootnoteText"/>
        <w:tabs>
          <w:tab w:val="clear" w:pos="418"/>
          <w:tab w:val="right" w:pos="1195"/>
          <w:tab w:val="left" w:pos="1267"/>
          <w:tab w:val="left" w:pos="1656"/>
          <w:tab w:val="left" w:pos="2088"/>
        </w:tabs>
        <w:spacing w:after="80"/>
        <w:ind w:left="1264" w:right="1264" w:firstLine="0"/>
        <w:rPr>
          <w:spacing w:val="-2"/>
          <w:w w:val="103"/>
          <w:rtl/>
        </w:rPr>
      </w:pPr>
      <w:r w:rsidRPr="00122E26">
        <w:rPr>
          <w:rFonts w:hint="cs"/>
          <w:spacing w:val="-2"/>
          <w:rtl/>
        </w:rPr>
        <w:t>المصدر: المعهد الوطني للإحصاءات وتعداد السكان. التعداد الوطني للسكان والأسر المعيشية والمساكن لعام 2010. ويشمل مجموع السكان الأشخاص الذين يعيشون في الشوارع.</w:t>
      </w:r>
    </w:p>
  </w:footnote>
  <w:footnote w:id="2">
    <w:p w:rsidR="00706E77" w:rsidRPr="00307AAE" w:rsidRDefault="00706E77" w:rsidP="00307AAE">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307AAE">
        <w:rPr>
          <w:w w:val="103"/>
          <w:rtl/>
        </w:rPr>
        <w:t>(</w:t>
      </w:r>
      <w:r w:rsidRPr="00307AAE">
        <w:rPr>
          <w:rStyle w:val="FootnoteReference"/>
          <w:color w:val="000000" w:themeColor="text1"/>
          <w:spacing w:val="0"/>
          <w:vertAlign w:val="baseline"/>
          <w:rtl/>
        </w:rPr>
        <w:footnoteRef/>
      </w:r>
      <w:r w:rsidRPr="00307AAE">
        <w:rPr>
          <w:w w:val="103"/>
          <w:rtl/>
        </w:rPr>
        <w:t>)</w:t>
      </w:r>
      <w:r w:rsidRPr="00307AAE">
        <w:rPr>
          <w:w w:val="103"/>
          <w:rtl/>
        </w:rPr>
        <w:tab/>
      </w:r>
      <w:r>
        <w:rPr>
          <w:rFonts w:hint="cs"/>
          <w:rtl/>
        </w:rPr>
        <w:t>تشكل جزر مالفيناس وخورخياس الجنوبية وساندويتش الجنوبية والمجالات البحرية المجاورة لها جزءا لا يتجزأ من الإقليم الوطني الأرجنتيني. ولأن هذه الأقاليم محتلة بصورة غير مشروعة من قبل المملكة المتحدة لبريطانيا العظمى وأيرلندا الشمالية، فقد مُنعت جمهورية الأرجنتين من إجراء تعداد السكان لعام 2010 في هذه المنطقة.</w:t>
      </w:r>
    </w:p>
  </w:footnote>
  <w:footnote w:id="3">
    <w:p w:rsidR="00706E77" w:rsidRPr="00307AAE" w:rsidRDefault="00706E77" w:rsidP="00307AAE">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307AAE">
        <w:rPr>
          <w:w w:val="103"/>
          <w:rtl/>
        </w:rPr>
        <w:t>(</w:t>
      </w:r>
      <w:r w:rsidRPr="00307AAE">
        <w:rPr>
          <w:rStyle w:val="FootnoteReference"/>
          <w:color w:val="000000" w:themeColor="text1"/>
          <w:spacing w:val="0"/>
          <w:vertAlign w:val="baseline"/>
          <w:rtl/>
        </w:rPr>
        <w:footnoteRef/>
      </w:r>
      <w:r w:rsidRPr="00307AAE">
        <w:rPr>
          <w:w w:val="103"/>
          <w:rtl/>
        </w:rPr>
        <w:t>)</w:t>
      </w:r>
      <w:r w:rsidRPr="00307AAE">
        <w:rPr>
          <w:w w:val="103"/>
          <w:rtl/>
        </w:rPr>
        <w:tab/>
      </w:r>
      <w:r>
        <w:rPr>
          <w:rFonts w:hint="cs"/>
          <w:rtl/>
        </w:rPr>
        <w:t>جزر مالفيناس وخورخياس الجنوبية وساندويتش الجنوبية والمجالات البحرية المجاورة لها جزء لا يتجزأ من الإقليم الأرجنتيني. ولأن هذه الأقاليم محتلة في الوقت الراهن بصورة غير مشروعة من قبل المملكة المتحدة لبريطانيا العظمى وأيرلندا الشمالية، فهي تشكل موضوع نزاع على السيادة بين البلدين وتعترف الأمم المتحدة بهذا النزاع.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706E77" w:rsidTr="00983EC8">
      <w:trPr>
        <w:trHeight w:hRule="exact" w:val="864"/>
        <w:jc w:val="center"/>
      </w:trPr>
      <w:tc>
        <w:tcPr>
          <w:tcW w:w="4882" w:type="dxa"/>
          <w:shd w:val="clear" w:color="auto" w:fill="auto"/>
          <w:vAlign w:val="bottom"/>
        </w:tcPr>
        <w:p w:rsidR="00706E77" w:rsidRDefault="00706E77" w:rsidP="00983EC8">
          <w:pPr>
            <w:pStyle w:val="Header"/>
            <w:bidi/>
          </w:pPr>
        </w:p>
      </w:tc>
      <w:tc>
        <w:tcPr>
          <w:tcW w:w="5127" w:type="dxa"/>
          <w:shd w:val="clear" w:color="auto" w:fill="auto"/>
          <w:vAlign w:val="bottom"/>
        </w:tcPr>
        <w:p w:rsidR="00706E77" w:rsidRPr="00983EC8" w:rsidRDefault="00706E77" w:rsidP="00983EC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2A4DE9">
            <w:rPr>
              <w:w w:val="103"/>
            </w:rPr>
            <w:t>HRI/CORE/ARG/2014</w:t>
          </w:r>
          <w:r>
            <w:rPr>
              <w:w w:val="103"/>
            </w:rPr>
            <w:fldChar w:fldCharType="end"/>
          </w:r>
        </w:p>
      </w:tc>
    </w:tr>
  </w:tbl>
  <w:p w:rsidR="00706E77" w:rsidRPr="00983EC8" w:rsidRDefault="00706E77" w:rsidP="00983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706E77" w:rsidTr="00983EC8">
      <w:trPr>
        <w:trHeight w:hRule="exact" w:val="864"/>
        <w:jc w:val="center"/>
      </w:trPr>
      <w:tc>
        <w:tcPr>
          <w:tcW w:w="4882" w:type="dxa"/>
          <w:shd w:val="clear" w:color="auto" w:fill="auto"/>
          <w:vAlign w:val="bottom"/>
        </w:tcPr>
        <w:p w:rsidR="00706E77" w:rsidRPr="00983EC8" w:rsidRDefault="00706E77" w:rsidP="00983EC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2A4DE9">
            <w:rPr>
              <w:w w:val="103"/>
            </w:rPr>
            <w:t>HRI/CORE/ARG/2014</w:t>
          </w:r>
          <w:r>
            <w:rPr>
              <w:w w:val="103"/>
            </w:rPr>
            <w:fldChar w:fldCharType="end"/>
          </w:r>
        </w:p>
      </w:tc>
      <w:tc>
        <w:tcPr>
          <w:tcW w:w="5127" w:type="dxa"/>
          <w:shd w:val="clear" w:color="auto" w:fill="auto"/>
          <w:vAlign w:val="bottom"/>
        </w:tcPr>
        <w:p w:rsidR="00706E77" w:rsidRDefault="00706E77" w:rsidP="00983EC8">
          <w:pPr>
            <w:pStyle w:val="Header"/>
          </w:pPr>
        </w:p>
      </w:tc>
    </w:tr>
  </w:tbl>
  <w:p w:rsidR="00706E77" w:rsidRPr="00983EC8" w:rsidRDefault="00706E77" w:rsidP="00983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706E77" w:rsidTr="00983EC8">
      <w:trPr>
        <w:gridAfter w:val="1"/>
        <w:wAfter w:w="25" w:type="dxa"/>
        <w:trHeight w:hRule="exact" w:val="864"/>
      </w:trPr>
      <w:tc>
        <w:tcPr>
          <w:tcW w:w="1282" w:type="dxa"/>
          <w:tcBorders>
            <w:bottom w:val="single" w:sz="4" w:space="0" w:color="auto"/>
          </w:tcBorders>
          <w:shd w:val="clear" w:color="auto" w:fill="auto"/>
          <w:vAlign w:val="bottom"/>
        </w:tcPr>
        <w:p w:rsidR="00706E77" w:rsidRDefault="00706E77" w:rsidP="00983EC8">
          <w:pPr>
            <w:pStyle w:val="Header"/>
            <w:spacing w:after="120"/>
          </w:pPr>
        </w:p>
      </w:tc>
      <w:tc>
        <w:tcPr>
          <w:tcW w:w="1786" w:type="dxa"/>
          <w:tcBorders>
            <w:bottom w:val="single" w:sz="4" w:space="0" w:color="auto"/>
          </w:tcBorders>
          <w:shd w:val="clear" w:color="auto" w:fill="auto"/>
          <w:vAlign w:val="bottom"/>
        </w:tcPr>
        <w:p w:rsidR="00706E77" w:rsidRPr="00983EC8" w:rsidRDefault="00706E77" w:rsidP="00983EC8">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06E77" w:rsidRDefault="00706E77" w:rsidP="00983EC8">
          <w:pPr>
            <w:pStyle w:val="Header"/>
            <w:spacing w:after="120"/>
          </w:pPr>
        </w:p>
      </w:tc>
      <w:tc>
        <w:tcPr>
          <w:tcW w:w="6696" w:type="dxa"/>
          <w:gridSpan w:val="3"/>
          <w:tcBorders>
            <w:bottom w:val="single" w:sz="4" w:space="0" w:color="auto"/>
          </w:tcBorders>
          <w:shd w:val="clear" w:color="auto" w:fill="auto"/>
          <w:vAlign w:val="bottom"/>
        </w:tcPr>
        <w:p w:rsidR="00706E77" w:rsidRPr="00983EC8" w:rsidRDefault="00706E77" w:rsidP="00983EC8">
          <w:pPr>
            <w:spacing w:line="380" w:lineRule="exact"/>
            <w:jc w:val="right"/>
          </w:pPr>
          <w:r>
            <w:rPr>
              <w:sz w:val="40"/>
            </w:rPr>
            <w:t>HRI</w:t>
          </w:r>
          <w:r>
            <w:t>/CORE/ARG/2014</w:t>
          </w:r>
        </w:p>
      </w:tc>
    </w:tr>
    <w:tr w:rsidR="00706E77" w:rsidRPr="00983EC8" w:rsidTr="00983EC8">
      <w:trPr>
        <w:trHeight w:hRule="exact" w:val="2880"/>
      </w:trPr>
      <w:tc>
        <w:tcPr>
          <w:tcW w:w="1282" w:type="dxa"/>
          <w:tcBorders>
            <w:top w:val="single" w:sz="4" w:space="0" w:color="auto"/>
            <w:bottom w:val="single" w:sz="12" w:space="0" w:color="auto"/>
          </w:tcBorders>
          <w:shd w:val="clear" w:color="auto" w:fill="auto"/>
        </w:tcPr>
        <w:p w:rsidR="00706E77" w:rsidRDefault="00706E77" w:rsidP="00983EC8">
          <w:pPr>
            <w:pStyle w:val="Header"/>
            <w:spacing w:before="120"/>
            <w:jc w:val="center"/>
          </w:pPr>
          <w:r>
            <w:t xml:space="preserve"> </w:t>
          </w:r>
          <w:r>
            <w:rPr>
              <w:noProof/>
            </w:rPr>
            <w:drawing>
              <wp:inline distT="0" distB="0" distL="0" distR="0" wp14:anchorId="25D8BEE5" wp14:editId="0720312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706E77" w:rsidRPr="00983EC8" w:rsidRDefault="00706E77" w:rsidP="00983EC8">
          <w:pPr>
            <w:pStyle w:val="Header"/>
            <w:spacing w:before="120"/>
            <w:jc w:val="center"/>
          </w:pPr>
        </w:p>
      </w:tc>
      <w:tc>
        <w:tcPr>
          <w:tcW w:w="5227" w:type="dxa"/>
          <w:gridSpan w:val="3"/>
          <w:tcBorders>
            <w:top w:val="single" w:sz="4" w:space="0" w:color="auto"/>
            <w:bottom w:val="single" w:sz="12" w:space="0" w:color="auto"/>
          </w:tcBorders>
          <w:shd w:val="clear" w:color="auto" w:fill="auto"/>
        </w:tcPr>
        <w:p w:rsidR="00706E77" w:rsidRPr="00983EC8" w:rsidRDefault="00706E77" w:rsidP="00983EC8">
          <w:pPr>
            <w:pStyle w:val="XLarge"/>
            <w:spacing w:before="109" w:line="520" w:lineRule="exact"/>
            <w:ind w:left="14" w:right="14"/>
            <w:jc w:val="left"/>
            <w:rPr>
              <w:szCs w:val="52"/>
            </w:rPr>
          </w:pPr>
          <w:r>
            <w:rPr>
              <w:szCs w:val="52"/>
              <w:rtl/>
            </w:rPr>
            <w:t>الصكوك الدولية لحقوق الإنسان</w:t>
          </w:r>
        </w:p>
      </w:tc>
      <w:tc>
        <w:tcPr>
          <w:tcW w:w="245" w:type="dxa"/>
          <w:tcBorders>
            <w:top w:val="single" w:sz="4" w:space="0" w:color="auto"/>
            <w:bottom w:val="single" w:sz="12" w:space="0" w:color="auto"/>
          </w:tcBorders>
          <w:shd w:val="clear" w:color="auto" w:fill="auto"/>
        </w:tcPr>
        <w:p w:rsidR="00706E77" w:rsidRPr="00983EC8" w:rsidRDefault="00706E77" w:rsidP="00983EC8">
          <w:pPr>
            <w:pStyle w:val="Header"/>
            <w:spacing w:before="109"/>
          </w:pPr>
        </w:p>
      </w:tc>
      <w:tc>
        <w:tcPr>
          <w:tcW w:w="3280" w:type="dxa"/>
          <w:gridSpan w:val="2"/>
          <w:tcBorders>
            <w:top w:val="single" w:sz="4" w:space="0" w:color="auto"/>
            <w:bottom w:val="single" w:sz="12" w:space="0" w:color="auto"/>
          </w:tcBorders>
          <w:shd w:val="clear" w:color="auto" w:fill="auto"/>
        </w:tcPr>
        <w:p w:rsidR="00706E77" w:rsidRDefault="00706E77" w:rsidP="00983EC8">
          <w:pPr>
            <w:pStyle w:val="Distribution"/>
            <w:bidi w:val="0"/>
            <w:spacing w:before="240"/>
          </w:pPr>
          <w:r>
            <w:t>Distr.: General</w:t>
          </w:r>
        </w:p>
        <w:p w:rsidR="00706E77" w:rsidRDefault="00706E77" w:rsidP="00983EC8">
          <w:pPr>
            <w:pStyle w:val="Publication"/>
            <w:bidi w:val="0"/>
          </w:pPr>
          <w:r>
            <w:t>8 July 2015</w:t>
          </w:r>
        </w:p>
        <w:p w:rsidR="00706E77" w:rsidRDefault="00706E77" w:rsidP="00983EC8">
          <w:pPr>
            <w:bidi w:val="0"/>
            <w:spacing w:line="240" w:lineRule="exact"/>
            <w:jc w:val="left"/>
          </w:pPr>
          <w:r>
            <w:t>Arabic</w:t>
          </w:r>
        </w:p>
        <w:p w:rsidR="00706E77" w:rsidRDefault="00706E77" w:rsidP="00983EC8">
          <w:pPr>
            <w:pStyle w:val="Original"/>
            <w:bidi w:val="0"/>
          </w:pPr>
          <w:r>
            <w:t>Original: Spanish</w:t>
          </w:r>
        </w:p>
        <w:p w:rsidR="00706E77" w:rsidRPr="00983EC8" w:rsidRDefault="00706E77" w:rsidP="00983EC8">
          <w:pPr>
            <w:bidi w:val="0"/>
            <w:spacing w:line="240" w:lineRule="exact"/>
            <w:jc w:val="left"/>
          </w:pPr>
        </w:p>
      </w:tc>
    </w:tr>
  </w:tbl>
  <w:p w:rsidR="00706E77" w:rsidRPr="00983EC8" w:rsidRDefault="00706E77" w:rsidP="00983EC8">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5437"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864"/>
    </w:tblGrid>
    <w:tr w:rsidR="00706E77" w:rsidRPr="00E1404F" w:rsidTr="00E1404F">
      <w:trPr>
        <w:cantSplit/>
        <w:trHeight w:val="4781"/>
      </w:trPr>
      <w:tc>
        <w:tcPr>
          <w:tcW w:w="13407" w:type="dxa"/>
          <w:shd w:val="clear" w:color="auto" w:fill="auto"/>
          <w:textDirection w:val="tbRl"/>
          <w:vAlign w:val="bottom"/>
        </w:tcPr>
        <w:p w:rsidR="00706E77" w:rsidRPr="00E1404F" w:rsidRDefault="00706E77" w:rsidP="00E1404F">
          <w:pPr>
            <w:pStyle w:val="Header"/>
            <w:bidi w:val="0"/>
            <w:spacing w:after="80"/>
            <w:rPr>
              <w:w w:val="103"/>
            </w:rPr>
          </w:pPr>
        </w:p>
      </w:tc>
    </w:tr>
    <w:tr w:rsidR="00706E77" w:rsidRPr="00E1404F" w:rsidTr="00E1404F">
      <w:trPr>
        <w:cantSplit/>
        <w:trHeight w:val="4781"/>
      </w:trPr>
      <w:tc>
        <w:tcPr>
          <w:tcW w:w="13407" w:type="dxa"/>
          <w:shd w:val="clear" w:color="auto" w:fill="auto"/>
          <w:textDirection w:val="tbRl"/>
          <w:vAlign w:val="bottom"/>
        </w:tcPr>
        <w:p w:rsidR="00706E77" w:rsidRPr="00E1404F" w:rsidRDefault="00706E77" w:rsidP="00E1404F">
          <w:pPr>
            <w:pStyle w:val="Header"/>
            <w:bidi w:val="0"/>
            <w:spacing w:after="80"/>
            <w:rPr>
              <w:w w:val="103"/>
            </w:rPr>
          </w:pPr>
          <w:r>
            <w:rPr>
              <w:w w:val="103"/>
            </w:rPr>
            <w:fldChar w:fldCharType="begin"/>
          </w:r>
          <w:r>
            <w:rPr>
              <w:w w:val="103"/>
            </w:rPr>
            <w:instrText xml:space="preserve"> DOCVARIABLE "sss1" \* MERGEFORMAT </w:instrText>
          </w:r>
          <w:r>
            <w:rPr>
              <w:w w:val="103"/>
            </w:rPr>
            <w:fldChar w:fldCharType="separate"/>
          </w:r>
          <w:r w:rsidR="002A4DE9">
            <w:rPr>
              <w:w w:val="103"/>
            </w:rPr>
            <w:t>HRI/CORE/ARG/2014</w:t>
          </w:r>
          <w:r>
            <w:rPr>
              <w:w w:val="103"/>
            </w:rPr>
            <w:fldChar w:fldCharType="end"/>
          </w:r>
        </w:p>
      </w:tc>
    </w:tr>
  </w:tbl>
  <w:p w:rsidR="00706E77" w:rsidRPr="00E1404F" w:rsidRDefault="00706E77" w:rsidP="00E140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5437"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864"/>
    </w:tblGrid>
    <w:tr w:rsidR="00706E77" w:rsidRPr="00E1404F" w:rsidTr="00E1404F">
      <w:trPr>
        <w:cantSplit/>
        <w:trHeight w:val="4781"/>
      </w:trPr>
      <w:tc>
        <w:tcPr>
          <w:tcW w:w="13407" w:type="dxa"/>
          <w:shd w:val="clear" w:color="auto" w:fill="auto"/>
          <w:textDirection w:val="tbRl"/>
          <w:vAlign w:val="bottom"/>
        </w:tcPr>
        <w:p w:rsidR="00706E77" w:rsidRPr="00E1404F" w:rsidRDefault="00706E77" w:rsidP="00E1404F">
          <w:pPr>
            <w:pStyle w:val="Header"/>
            <w:bidi w:val="0"/>
            <w:spacing w:after="80"/>
            <w:jc w:val="left"/>
            <w:rPr>
              <w:w w:val="103"/>
            </w:rPr>
          </w:pPr>
          <w:r>
            <w:rPr>
              <w:w w:val="103"/>
            </w:rPr>
            <w:fldChar w:fldCharType="begin"/>
          </w:r>
          <w:r>
            <w:rPr>
              <w:w w:val="103"/>
            </w:rPr>
            <w:instrText xml:space="preserve"> DOCVARIABLE "sss1" \* MERGEFORMAT </w:instrText>
          </w:r>
          <w:r>
            <w:rPr>
              <w:w w:val="103"/>
            </w:rPr>
            <w:fldChar w:fldCharType="separate"/>
          </w:r>
          <w:r w:rsidR="002A4DE9">
            <w:rPr>
              <w:w w:val="103"/>
            </w:rPr>
            <w:t>HRI/CORE/ARG/2014</w:t>
          </w:r>
          <w:r>
            <w:rPr>
              <w:w w:val="103"/>
            </w:rPr>
            <w:fldChar w:fldCharType="end"/>
          </w:r>
        </w:p>
      </w:tc>
    </w:tr>
    <w:tr w:rsidR="00706E77" w:rsidRPr="00E1404F" w:rsidTr="00E1404F">
      <w:trPr>
        <w:cantSplit/>
        <w:trHeight w:val="4781"/>
      </w:trPr>
      <w:tc>
        <w:tcPr>
          <w:tcW w:w="13407" w:type="dxa"/>
          <w:shd w:val="clear" w:color="auto" w:fill="auto"/>
          <w:textDirection w:val="tbRl"/>
          <w:vAlign w:val="bottom"/>
        </w:tcPr>
        <w:p w:rsidR="00706E77" w:rsidRPr="00E1404F" w:rsidRDefault="00706E77" w:rsidP="00E1404F">
          <w:pPr>
            <w:pStyle w:val="Header"/>
            <w:bidi w:val="0"/>
            <w:spacing w:after="80"/>
            <w:rPr>
              <w:w w:val="103"/>
            </w:rPr>
          </w:pPr>
        </w:p>
      </w:tc>
    </w:tr>
  </w:tbl>
  <w:p w:rsidR="00706E77" w:rsidRPr="00E1404F" w:rsidRDefault="00706E77" w:rsidP="00E140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52" w:type="dxa"/>
      <w:tblBorders>
        <w:bottom w:val="single" w:sz="2" w:space="0" w:color="000000"/>
      </w:tblBorders>
      <w:tblCellMar>
        <w:left w:w="0" w:type="dxa"/>
        <w:right w:w="0" w:type="dxa"/>
      </w:tblCellMar>
      <w:tblLook w:val="0000" w:firstRow="0" w:lastRow="0" w:firstColumn="0" w:lastColumn="0" w:noHBand="0" w:noVBand="0"/>
    </w:tblPr>
    <w:tblGrid>
      <w:gridCol w:w="3759"/>
      <w:gridCol w:w="5808"/>
    </w:tblGrid>
    <w:tr w:rsidR="00706E77" w:rsidTr="009C0DEA">
      <w:trPr>
        <w:trHeight w:hRule="exact" w:val="864"/>
        <w:jc w:val="center"/>
      </w:trPr>
      <w:tc>
        <w:tcPr>
          <w:tcW w:w="3759" w:type="dxa"/>
          <w:shd w:val="clear" w:color="auto" w:fill="auto"/>
          <w:vAlign w:val="bottom"/>
        </w:tcPr>
        <w:p w:rsidR="00706E77" w:rsidRDefault="00706E77" w:rsidP="00983EC8">
          <w:pPr>
            <w:pStyle w:val="Header"/>
            <w:bidi/>
          </w:pPr>
        </w:p>
      </w:tc>
      <w:tc>
        <w:tcPr>
          <w:tcW w:w="5808" w:type="dxa"/>
          <w:shd w:val="clear" w:color="auto" w:fill="auto"/>
          <w:vAlign w:val="bottom"/>
        </w:tcPr>
        <w:p w:rsidR="00706E77" w:rsidRPr="00983EC8" w:rsidRDefault="00706E77" w:rsidP="00983EC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2A4DE9">
            <w:rPr>
              <w:w w:val="103"/>
            </w:rPr>
            <w:t>HRI/CORE/ARG/2014</w:t>
          </w:r>
          <w:r>
            <w:rPr>
              <w:w w:val="103"/>
            </w:rPr>
            <w:fldChar w:fldCharType="end"/>
          </w:r>
        </w:p>
      </w:tc>
    </w:tr>
  </w:tbl>
  <w:p w:rsidR="00706E77" w:rsidRPr="00983EC8" w:rsidRDefault="00706E77" w:rsidP="00E1404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86" w:type="dxa"/>
      <w:tblBorders>
        <w:bottom w:val="single" w:sz="2" w:space="0" w:color="000000"/>
      </w:tblBorders>
      <w:tblCellMar>
        <w:left w:w="0" w:type="dxa"/>
        <w:right w:w="0" w:type="dxa"/>
      </w:tblCellMar>
      <w:tblLook w:val="0000" w:firstRow="0" w:lastRow="0" w:firstColumn="0" w:lastColumn="0" w:noHBand="0" w:noVBand="0"/>
    </w:tblPr>
    <w:tblGrid>
      <w:gridCol w:w="4385"/>
      <w:gridCol w:w="5134"/>
    </w:tblGrid>
    <w:tr w:rsidR="00706E77" w:rsidTr="009C0DEA">
      <w:trPr>
        <w:trHeight w:hRule="exact" w:val="864"/>
        <w:jc w:val="center"/>
      </w:trPr>
      <w:tc>
        <w:tcPr>
          <w:tcW w:w="4385" w:type="dxa"/>
          <w:shd w:val="clear" w:color="auto" w:fill="auto"/>
          <w:vAlign w:val="bottom"/>
        </w:tcPr>
        <w:p w:rsidR="00706E77" w:rsidRPr="00983EC8" w:rsidRDefault="00706E77" w:rsidP="00983EC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2A4DE9">
            <w:rPr>
              <w:w w:val="103"/>
            </w:rPr>
            <w:t>HRI/CORE/ARG/2014</w:t>
          </w:r>
          <w:r>
            <w:rPr>
              <w:w w:val="103"/>
            </w:rPr>
            <w:fldChar w:fldCharType="end"/>
          </w:r>
        </w:p>
      </w:tc>
      <w:tc>
        <w:tcPr>
          <w:tcW w:w="5134" w:type="dxa"/>
          <w:shd w:val="clear" w:color="auto" w:fill="auto"/>
          <w:vAlign w:val="bottom"/>
        </w:tcPr>
        <w:p w:rsidR="00706E77" w:rsidRDefault="00706E77" w:rsidP="00983EC8">
          <w:pPr>
            <w:pStyle w:val="Header"/>
          </w:pPr>
        </w:p>
      </w:tc>
    </w:tr>
  </w:tbl>
  <w:p w:rsidR="00706E77" w:rsidRPr="00983EC8" w:rsidRDefault="00706E77" w:rsidP="00983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7CD"/>
    <w:multiLevelType w:val="hybridMultilevel"/>
    <w:tmpl w:val="FAE85DC4"/>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1">
    <w:nsid w:val="05862703"/>
    <w:multiLevelType w:val="hybridMultilevel"/>
    <w:tmpl w:val="BA749296"/>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2">
    <w:nsid w:val="062C040E"/>
    <w:multiLevelType w:val="hybridMultilevel"/>
    <w:tmpl w:val="9C90D448"/>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3">
    <w:nsid w:val="06B91296"/>
    <w:multiLevelType w:val="hybridMultilevel"/>
    <w:tmpl w:val="83B66284"/>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4">
    <w:nsid w:val="09B21438"/>
    <w:multiLevelType w:val="hybridMultilevel"/>
    <w:tmpl w:val="C27A3F8C"/>
    <w:lvl w:ilvl="0" w:tplc="5156D58E">
      <w:start w:val="1"/>
      <w:numFmt w:val="bullet"/>
      <w:lvlText w:val=""/>
      <w:lvlJc w:val="left"/>
      <w:pPr>
        <w:ind w:left="1967" w:hanging="360"/>
      </w:pPr>
      <w:rPr>
        <w:rFonts w:ascii="Symbol" w:hAnsi="Symbol" w:hint="default"/>
        <w:lang w:bidi="ar-SA"/>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5">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AD27BD"/>
    <w:multiLevelType w:val="hybridMultilevel"/>
    <w:tmpl w:val="643A8E3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8">
    <w:nsid w:val="1BD500B0"/>
    <w:multiLevelType w:val="hybridMultilevel"/>
    <w:tmpl w:val="03C61976"/>
    <w:lvl w:ilvl="0" w:tplc="D6040CA2">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F693535"/>
    <w:multiLevelType w:val="hybridMultilevel"/>
    <w:tmpl w:val="29948F48"/>
    <w:lvl w:ilvl="0" w:tplc="66FC7044">
      <w:start w:val="1"/>
      <w:numFmt w:val="bullet"/>
      <w:lvlText w:val=""/>
      <w:lvlJc w:val="left"/>
      <w:pPr>
        <w:ind w:left="1967" w:hanging="360"/>
      </w:pPr>
      <w:rPr>
        <w:rFonts w:ascii="Symbol" w:hAnsi="Symbol" w:hint="default"/>
        <w:lang w:bidi="ar-SA"/>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10">
    <w:nsid w:val="22251020"/>
    <w:multiLevelType w:val="hybridMultilevel"/>
    <w:tmpl w:val="8182FF90"/>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11">
    <w:nsid w:val="25F272F0"/>
    <w:multiLevelType w:val="hybridMultilevel"/>
    <w:tmpl w:val="F88E26C4"/>
    <w:lvl w:ilvl="0" w:tplc="FFFFFFFF">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FFFFFFFF" w:tentative="1">
      <w:start w:val="1"/>
      <w:numFmt w:val="bullet"/>
      <w:lvlText w:val="o"/>
      <w:lvlJc w:val="left"/>
      <w:pPr>
        <w:tabs>
          <w:tab w:val="num" w:pos="3028"/>
        </w:tabs>
        <w:ind w:left="3028" w:hanging="360"/>
      </w:pPr>
      <w:rPr>
        <w:rFonts w:ascii="Courier New" w:hAnsi="Courier New" w:cs="Courier New" w:hint="default"/>
      </w:rPr>
    </w:lvl>
    <w:lvl w:ilvl="2" w:tplc="FFFFFFFF" w:tentative="1">
      <w:start w:val="1"/>
      <w:numFmt w:val="bullet"/>
      <w:lvlText w:val=""/>
      <w:lvlJc w:val="left"/>
      <w:pPr>
        <w:tabs>
          <w:tab w:val="num" w:pos="3748"/>
        </w:tabs>
        <w:ind w:left="3748" w:hanging="360"/>
      </w:pPr>
      <w:rPr>
        <w:rFonts w:ascii="Wingdings" w:hAnsi="Wingdings" w:hint="default"/>
      </w:rPr>
    </w:lvl>
    <w:lvl w:ilvl="3" w:tplc="FFFFFFFF" w:tentative="1">
      <w:start w:val="1"/>
      <w:numFmt w:val="bullet"/>
      <w:lvlText w:val=""/>
      <w:lvlJc w:val="left"/>
      <w:pPr>
        <w:tabs>
          <w:tab w:val="num" w:pos="4468"/>
        </w:tabs>
        <w:ind w:left="4468" w:hanging="360"/>
      </w:pPr>
      <w:rPr>
        <w:rFonts w:ascii="Symbol" w:hAnsi="Symbol" w:hint="default"/>
      </w:rPr>
    </w:lvl>
    <w:lvl w:ilvl="4" w:tplc="FFFFFFFF" w:tentative="1">
      <w:start w:val="1"/>
      <w:numFmt w:val="bullet"/>
      <w:lvlText w:val="o"/>
      <w:lvlJc w:val="left"/>
      <w:pPr>
        <w:tabs>
          <w:tab w:val="num" w:pos="5188"/>
        </w:tabs>
        <w:ind w:left="5188" w:hanging="360"/>
      </w:pPr>
      <w:rPr>
        <w:rFonts w:ascii="Courier New" w:hAnsi="Courier New" w:cs="Courier New" w:hint="default"/>
      </w:rPr>
    </w:lvl>
    <w:lvl w:ilvl="5" w:tplc="FFFFFFFF" w:tentative="1">
      <w:start w:val="1"/>
      <w:numFmt w:val="bullet"/>
      <w:lvlText w:val=""/>
      <w:lvlJc w:val="left"/>
      <w:pPr>
        <w:tabs>
          <w:tab w:val="num" w:pos="5908"/>
        </w:tabs>
        <w:ind w:left="5908" w:hanging="360"/>
      </w:pPr>
      <w:rPr>
        <w:rFonts w:ascii="Wingdings" w:hAnsi="Wingdings" w:hint="default"/>
      </w:rPr>
    </w:lvl>
    <w:lvl w:ilvl="6" w:tplc="FFFFFFFF" w:tentative="1">
      <w:start w:val="1"/>
      <w:numFmt w:val="bullet"/>
      <w:lvlText w:val=""/>
      <w:lvlJc w:val="left"/>
      <w:pPr>
        <w:tabs>
          <w:tab w:val="num" w:pos="6628"/>
        </w:tabs>
        <w:ind w:left="6628" w:hanging="360"/>
      </w:pPr>
      <w:rPr>
        <w:rFonts w:ascii="Symbol" w:hAnsi="Symbol" w:hint="default"/>
      </w:rPr>
    </w:lvl>
    <w:lvl w:ilvl="7" w:tplc="FFFFFFFF" w:tentative="1">
      <w:start w:val="1"/>
      <w:numFmt w:val="bullet"/>
      <w:lvlText w:val="o"/>
      <w:lvlJc w:val="left"/>
      <w:pPr>
        <w:tabs>
          <w:tab w:val="num" w:pos="7348"/>
        </w:tabs>
        <w:ind w:left="7348" w:hanging="360"/>
      </w:pPr>
      <w:rPr>
        <w:rFonts w:ascii="Courier New" w:hAnsi="Courier New" w:cs="Courier New" w:hint="default"/>
      </w:rPr>
    </w:lvl>
    <w:lvl w:ilvl="8" w:tplc="FFFFFFFF" w:tentative="1">
      <w:start w:val="1"/>
      <w:numFmt w:val="bullet"/>
      <w:lvlText w:val=""/>
      <w:lvlJc w:val="left"/>
      <w:pPr>
        <w:tabs>
          <w:tab w:val="num" w:pos="8068"/>
        </w:tabs>
        <w:ind w:left="8068" w:hanging="360"/>
      </w:pPr>
      <w:rPr>
        <w:rFonts w:ascii="Wingdings" w:hAnsi="Wingdings" w:hint="default"/>
      </w:rPr>
    </w:lvl>
  </w:abstractNum>
  <w:abstractNum w:abstractNumId="12">
    <w:nsid w:val="292A7007"/>
    <w:multiLevelType w:val="hybridMultilevel"/>
    <w:tmpl w:val="43CEC720"/>
    <w:lvl w:ilvl="0" w:tplc="7C9CE2A4">
      <w:start w:val="1"/>
      <w:numFmt w:val="arabicAlpha"/>
      <w:lvlText w:val="(%1)"/>
      <w:lvlJc w:val="left"/>
      <w:pPr>
        <w:ind w:left="1967" w:hanging="720"/>
      </w:pPr>
      <w:rPr>
        <w:rFonts w:hint="default"/>
      </w:rPr>
    </w:lvl>
    <w:lvl w:ilvl="1" w:tplc="100C0019" w:tentative="1">
      <w:start w:val="1"/>
      <w:numFmt w:val="lowerLetter"/>
      <w:lvlText w:val="%2."/>
      <w:lvlJc w:val="left"/>
      <w:pPr>
        <w:ind w:left="2327" w:hanging="360"/>
      </w:pPr>
    </w:lvl>
    <w:lvl w:ilvl="2" w:tplc="100C001B" w:tentative="1">
      <w:start w:val="1"/>
      <w:numFmt w:val="lowerRoman"/>
      <w:lvlText w:val="%3."/>
      <w:lvlJc w:val="right"/>
      <w:pPr>
        <w:ind w:left="3047" w:hanging="180"/>
      </w:pPr>
    </w:lvl>
    <w:lvl w:ilvl="3" w:tplc="100C000F" w:tentative="1">
      <w:start w:val="1"/>
      <w:numFmt w:val="decimal"/>
      <w:lvlText w:val="%4."/>
      <w:lvlJc w:val="left"/>
      <w:pPr>
        <w:ind w:left="3767" w:hanging="360"/>
      </w:pPr>
    </w:lvl>
    <w:lvl w:ilvl="4" w:tplc="100C0019" w:tentative="1">
      <w:start w:val="1"/>
      <w:numFmt w:val="lowerLetter"/>
      <w:lvlText w:val="%5."/>
      <w:lvlJc w:val="left"/>
      <w:pPr>
        <w:ind w:left="4487" w:hanging="360"/>
      </w:pPr>
    </w:lvl>
    <w:lvl w:ilvl="5" w:tplc="100C001B" w:tentative="1">
      <w:start w:val="1"/>
      <w:numFmt w:val="lowerRoman"/>
      <w:lvlText w:val="%6."/>
      <w:lvlJc w:val="right"/>
      <w:pPr>
        <w:ind w:left="5207" w:hanging="180"/>
      </w:pPr>
    </w:lvl>
    <w:lvl w:ilvl="6" w:tplc="100C000F" w:tentative="1">
      <w:start w:val="1"/>
      <w:numFmt w:val="decimal"/>
      <w:lvlText w:val="%7."/>
      <w:lvlJc w:val="left"/>
      <w:pPr>
        <w:ind w:left="5927" w:hanging="360"/>
      </w:pPr>
    </w:lvl>
    <w:lvl w:ilvl="7" w:tplc="100C0019" w:tentative="1">
      <w:start w:val="1"/>
      <w:numFmt w:val="lowerLetter"/>
      <w:lvlText w:val="%8."/>
      <w:lvlJc w:val="left"/>
      <w:pPr>
        <w:ind w:left="6647" w:hanging="360"/>
      </w:pPr>
    </w:lvl>
    <w:lvl w:ilvl="8" w:tplc="100C001B" w:tentative="1">
      <w:start w:val="1"/>
      <w:numFmt w:val="lowerRoman"/>
      <w:lvlText w:val="%9."/>
      <w:lvlJc w:val="right"/>
      <w:pPr>
        <w:ind w:left="7367" w:hanging="180"/>
      </w:pPr>
    </w:lvl>
  </w:abstractNum>
  <w:abstractNum w:abstractNumId="1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CBE21A5"/>
    <w:multiLevelType w:val="hybridMultilevel"/>
    <w:tmpl w:val="9B58E4F2"/>
    <w:lvl w:ilvl="0" w:tplc="EB9093F4">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0265843"/>
    <w:multiLevelType w:val="hybridMultilevel"/>
    <w:tmpl w:val="7C0C5FE4"/>
    <w:lvl w:ilvl="0" w:tplc="D552648A">
      <w:start w:val="1"/>
      <w:numFmt w:val="decimal"/>
      <w:lvlRestart w:val="0"/>
      <w:lvlText w:val="(%1)"/>
      <w:lvlJc w:val="right"/>
      <w:pPr>
        <w:tabs>
          <w:tab w:val="num" w:pos="1247"/>
        </w:tabs>
        <w:ind w:left="124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974420"/>
    <w:multiLevelType w:val="hybridMultilevel"/>
    <w:tmpl w:val="64242A0A"/>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17">
    <w:nsid w:val="323978DF"/>
    <w:multiLevelType w:val="hybridMultilevel"/>
    <w:tmpl w:val="B30E8F1A"/>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18">
    <w:nsid w:val="32A75D52"/>
    <w:multiLevelType w:val="hybridMultilevel"/>
    <w:tmpl w:val="AF6C6348"/>
    <w:lvl w:ilvl="0" w:tplc="FFFFFFFF">
      <w:start w:val="1"/>
      <w:numFmt w:val="decimal"/>
      <w:pStyle w:val="ParaNoGA"/>
      <w:lvlText w:val="%1-"/>
      <w:lvlJc w:val="left"/>
      <w:pPr>
        <w:tabs>
          <w:tab w:val="num" w:pos="1361"/>
        </w:tabs>
        <w:ind w:left="1247"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01354F9"/>
    <w:multiLevelType w:val="hybridMultilevel"/>
    <w:tmpl w:val="3A24D194"/>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20">
    <w:nsid w:val="402164B6"/>
    <w:multiLevelType w:val="hybridMultilevel"/>
    <w:tmpl w:val="8BC8D868"/>
    <w:lvl w:ilvl="0" w:tplc="22382ADC">
      <w:start w:val="18"/>
      <w:numFmt w:val="bullet"/>
      <w:lvlText w:val="-"/>
      <w:lvlJc w:val="left"/>
      <w:pPr>
        <w:ind w:left="1607" w:hanging="360"/>
      </w:pPr>
      <w:rPr>
        <w:rFonts w:ascii="Traditional Arabic" w:eastAsia="Times New Roman" w:hAnsi="Traditional Arabic" w:cs="Traditional Arabic" w:hint="default"/>
      </w:rPr>
    </w:lvl>
    <w:lvl w:ilvl="1" w:tplc="100C0003" w:tentative="1">
      <w:start w:val="1"/>
      <w:numFmt w:val="bullet"/>
      <w:lvlText w:val="o"/>
      <w:lvlJc w:val="left"/>
      <w:pPr>
        <w:ind w:left="2327" w:hanging="360"/>
      </w:pPr>
      <w:rPr>
        <w:rFonts w:ascii="Courier New" w:hAnsi="Courier New" w:cs="Courier New" w:hint="default"/>
      </w:rPr>
    </w:lvl>
    <w:lvl w:ilvl="2" w:tplc="100C0005" w:tentative="1">
      <w:start w:val="1"/>
      <w:numFmt w:val="bullet"/>
      <w:lvlText w:val=""/>
      <w:lvlJc w:val="left"/>
      <w:pPr>
        <w:ind w:left="3047" w:hanging="360"/>
      </w:pPr>
      <w:rPr>
        <w:rFonts w:ascii="Wingdings" w:hAnsi="Wingdings" w:hint="default"/>
      </w:rPr>
    </w:lvl>
    <w:lvl w:ilvl="3" w:tplc="100C0001" w:tentative="1">
      <w:start w:val="1"/>
      <w:numFmt w:val="bullet"/>
      <w:lvlText w:val=""/>
      <w:lvlJc w:val="left"/>
      <w:pPr>
        <w:ind w:left="3767" w:hanging="360"/>
      </w:pPr>
      <w:rPr>
        <w:rFonts w:ascii="Symbol" w:hAnsi="Symbol" w:hint="default"/>
      </w:rPr>
    </w:lvl>
    <w:lvl w:ilvl="4" w:tplc="100C0003" w:tentative="1">
      <w:start w:val="1"/>
      <w:numFmt w:val="bullet"/>
      <w:lvlText w:val="o"/>
      <w:lvlJc w:val="left"/>
      <w:pPr>
        <w:ind w:left="4487" w:hanging="360"/>
      </w:pPr>
      <w:rPr>
        <w:rFonts w:ascii="Courier New" w:hAnsi="Courier New" w:cs="Courier New" w:hint="default"/>
      </w:rPr>
    </w:lvl>
    <w:lvl w:ilvl="5" w:tplc="100C0005" w:tentative="1">
      <w:start w:val="1"/>
      <w:numFmt w:val="bullet"/>
      <w:lvlText w:val=""/>
      <w:lvlJc w:val="left"/>
      <w:pPr>
        <w:ind w:left="5207" w:hanging="360"/>
      </w:pPr>
      <w:rPr>
        <w:rFonts w:ascii="Wingdings" w:hAnsi="Wingdings" w:hint="default"/>
      </w:rPr>
    </w:lvl>
    <w:lvl w:ilvl="6" w:tplc="100C0001" w:tentative="1">
      <w:start w:val="1"/>
      <w:numFmt w:val="bullet"/>
      <w:lvlText w:val=""/>
      <w:lvlJc w:val="left"/>
      <w:pPr>
        <w:ind w:left="5927" w:hanging="360"/>
      </w:pPr>
      <w:rPr>
        <w:rFonts w:ascii="Symbol" w:hAnsi="Symbol" w:hint="default"/>
      </w:rPr>
    </w:lvl>
    <w:lvl w:ilvl="7" w:tplc="100C0003" w:tentative="1">
      <w:start w:val="1"/>
      <w:numFmt w:val="bullet"/>
      <w:lvlText w:val="o"/>
      <w:lvlJc w:val="left"/>
      <w:pPr>
        <w:ind w:left="6647" w:hanging="360"/>
      </w:pPr>
      <w:rPr>
        <w:rFonts w:ascii="Courier New" w:hAnsi="Courier New" w:cs="Courier New" w:hint="default"/>
      </w:rPr>
    </w:lvl>
    <w:lvl w:ilvl="8" w:tplc="100C0005" w:tentative="1">
      <w:start w:val="1"/>
      <w:numFmt w:val="bullet"/>
      <w:lvlText w:val=""/>
      <w:lvlJc w:val="left"/>
      <w:pPr>
        <w:ind w:left="7367" w:hanging="360"/>
      </w:pPr>
      <w:rPr>
        <w:rFonts w:ascii="Wingdings" w:hAnsi="Wingdings" w:hint="default"/>
      </w:rPr>
    </w:lvl>
  </w:abstractNum>
  <w:abstractNum w:abstractNumId="21">
    <w:nsid w:val="437F251E"/>
    <w:multiLevelType w:val="hybridMultilevel"/>
    <w:tmpl w:val="5FA8472E"/>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22">
    <w:nsid w:val="454B2370"/>
    <w:multiLevelType w:val="hybridMultilevel"/>
    <w:tmpl w:val="278EE6AE"/>
    <w:lvl w:ilvl="0" w:tplc="FFFFFFFF">
      <w:start w:val="1"/>
      <w:numFmt w:val="bullet"/>
      <w:pStyle w:val="Bullet2GA"/>
      <w:lvlText w:val=""/>
      <w:lvlJc w:val="left"/>
      <w:pPr>
        <w:tabs>
          <w:tab w:val="num" w:pos="1644"/>
        </w:tabs>
        <w:ind w:left="2041" w:firstLine="0"/>
      </w:pPr>
      <w:rPr>
        <w:rFonts w:ascii="Symbol" w:hAnsi="Symbol" w:hint="default"/>
      </w:rPr>
    </w:lvl>
    <w:lvl w:ilvl="1" w:tplc="FFFFFFFF" w:tentative="1">
      <w:start w:val="1"/>
      <w:numFmt w:val="bullet"/>
      <w:lvlText w:val="o"/>
      <w:lvlJc w:val="left"/>
      <w:pPr>
        <w:tabs>
          <w:tab w:val="num" w:pos="3935"/>
        </w:tabs>
        <w:ind w:left="3935" w:hanging="360"/>
      </w:pPr>
      <w:rPr>
        <w:rFonts w:ascii="Courier New" w:hAnsi="Courier New" w:cs="Courier New" w:hint="default"/>
      </w:rPr>
    </w:lvl>
    <w:lvl w:ilvl="2" w:tplc="FFFFFFFF" w:tentative="1">
      <w:start w:val="1"/>
      <w:numFmt w:val="bullet"/>
      <w:lvlText w:val=""/>
      <w:lvlJc w:val="left"/>
      <w:pPr>
        <w:tabs>
          <w:tab w:val="num" w:pos="4655"/>
        </w:tabs>
        <w:ind w:left="4655" w:hanging="360"/>
      </w:pPr>
      <w:rPr>
        <w:rFonts w:ascii="Wingdings" w:hAnsi="Wingdings" w:hint="default"/>
      </w:rPr>
    </w:lvl>
    <w:lvl w:ilvl="3" w:tplc="FFFFFFFF" w:tentative="1">
      <w:start w:val="1"/>
      <w:numFmt w:val="bullet"/>
      <w:lvlText w:val=""/>
      <w:lvlJc w:val="left"/>
      <w:pPr>
        <w:tabs>
          <w:tab w:val="num" w:pos="5375"/>
        </w:tabs>
        <w:ind w:left="5375" w:hanging="360"/>
      </w:pPr>
      <w:rPr>
        <w:rFonts w:ascii="Symbol" w:hAnsi="Symbol" w:hint="default"/>
      </w:rPr>
    </w:lvl>
    <w:lvl w:ilvl="4" w:tplc="FFFFFFFF" w:tentative="1">
      <w:start w:val="1"/>
      <w:numFmt w:val="bullet"/>
      <w:lvlText w:val="o"/>
      <w:lvlJc w:val="left"/>
      <w:pPr>
        <w:tabs>
          <w:tab w:val="num" w:pos="6095"/>
        </w:tabs>
        <w:ind w:left="6095" w:hanging="360"/>
      </w:pPr>
      <w:rPr>
        <w:rFonts w:ascii="Courier New" w:hAnsi="Courier New" w:cs="Courier New" w:hint="default"/>
      </w:rPr>
    </w:lvl>
    <w:lvl w:ilvl="5" w:tplc="FFFFFFFF" w:tentative="1">
      <w:start w:val="1"/>
      <w:numFmt w:val="bullet"/>
      <w:lvlText w:val=""/>
      <w:lvlJc w:val="left"/>
      <w:pPr>
        <w:tabs>
          <w:tab w:val="num" w:pos="6815"/>
        </w:tabs>
        <w:ind w:left="6815" w:hanging="360"/>
      </w:pPr>
      <w:rPr>
        <w:rFonts w:ascii="Wingdings" w:hAnsi="Wingdings" w:hint="default"/>
      </w:rPr>
    </w:lvl>
    <w:lvl w:ilvl="6" w:tplc="FFFFFFFF" w:tentative="1">
      <w:start w:val="1"/>
      <w:numFmt w:val="bullet"/>
      <w:lvlText w:val=""/>
      <w:lvlJc w:val="left"/>
      <w:pPr>
        <w:tabs>
          <w:tab w:val="num" w:pos="7535"/>
        </w:tabs>
        <w:ind w:left="7535" w:hanging="360"/>
      </w:pPr>
      <w:rPr>
        <w:rFonts w:ascii="Symbol" w:hAnsi="Symbol" w:hint="default"/>
      </w:rPr>
    </w:lvl>
    <w:lvl w:ilvl="7" w:tplc="FFFFFFFF" w:tentative="1">
      <w:start w:val="1"/>
      <w:numFmt w:val="bullet"/>
      <w:lvlText w:val="o"/>
      <w:lvlJc w:val="left"/>
      <w:pPr>
        <w:tabs>
          <w:tab w:val="num" w:pos="8255"/>
        </w:tabs>
        <w:ind w:left="8255" w:hanging="360"/>
      </w:pPr>
      <w:rPr>
        <w:rFonts w:ascii="Courier New" w:hAnsi="Courier New" w:cs="Courier New" w:hint="default"/>
      </w:rPr>
    </w:lvl>
    <w:lvl w:ilvl="8" w:tplc="FFFFFFFF" w:tentative="1">
      <w:start w:val="1"/>
      <w:numFmt w:val="bullet"/>
      <w:lvlText w:val=""/>
      <w:lvlJc w:val="left"/>
      <w:pPr>
        <w:tabs>
          <w:tab w:val="num" w:pos="8975"/>
        </w:tabs>
        <w:ind w:left="8975" w:hanging="360"/>
      </w:pPr>
      <w:rPr>
        <w:rFonts w:ascii="Wingdings" w:hAnsi="Wingdings" w:hint="default"/>
      </w:rPr>
    </w:lvl>
  </w:abstractNum>
  <w:abstractNum w:abstractNumId="23">
    <w:nsid w:val="4A630E58"/>
    <w:multiLevelType w:val="hybridMultilevel"/>
    <w:tmpl w:val="F0F46B02"/>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24">
    <w:nsid w:val="52303A4F"/>
    <w:multiLevelType w:val="hybridMultilevel"/>
    <w:tmpl w:val="882449A2"/>
    <w:lvl w:ilvl="0" w:tplc="6E92478E">
      <w:start w:val="1"/>
      <w:numFmt w:val="decimal"/>
      <w:lvlText w:val="%1-"/>
      <w:lvlJc w:val="left"/>
      <w:pPr>
        <w:ind w:left="1607" w:hanging="360"/>
      </w:pPr>
      <w:rPr>
        <w:rFonts w:hint="default"/>
      </w:rPr>
    </w:lvl>
    <w:lvl w:ilvl="1" w:tplc="100C0019" w:tentative="1">
      <w:start w:val="1"/>
      <w:numFmt w:val="lowerLetter"/>
      <w:lvlText w:val="%2."/>
      <w:lvlJc w:val="left"/>
      <w:pPr>
        <w:ind w:left="2327" w:hanging="360"/>
      </w:pPr>
    </w:lvl>
    <w:lvl w:ilvl="2" w:tplc="100C001B" w:tentative="1">
      <w:start w:val="1"/>
      <w:numFmt w:val="lowerRoman"/>
      <w:lvlText w:val="%3."/>
      <w:lvlJc w:val="right"/>
      <w:pPr>
        <w:ind w:left="3047" w:hanging="180"/>
      </w:pPr>
    </w:lvl>
    <w:lvl w:ilvl="3" w:tplc="100C000F" w:tentative="1">
      <w:start w:val="1"/>
      <w:numFmt w:val="decimal"/>
      <w:lvlText w:val="%4."/>
      <w:lvlJc w:val="left"/>
      <w:pPr>
        <w:ind w:left="3767" w:hanging="360"/>
      </w:pPr>
    </w:lvl>
    <w:lvl w:ilvl="4" w:tplc="100C0019" w:tentative="1">
      <w:start w:val="1"/>
      <w:numFmt w:val="lowerLetter"/>
      <w:lvlText w:val="%5."/>
      <w:lvlJc w:val="left"/>
      <w:pPr>
        <w:ind w:left="4487" w:hanging="360"/>
      </w:pPr>
    </w:lvl>
    <w:lvl w:ilvl="5" w:tplc="100C001B" w:tentative="1">
      <w:start w:val="1"/>
      <w:numFmt w:val="lowerRoman"/>
      <w:lvlText w:val="%6."/>
      <w:lvlJc w:val="right"/>
      <w:pPr>
        <w:ind w:left="5207" w:hanging="180"/>
      </w:pPr>
    </w:lvl>
    <w:lvl w:ilvl="6" w:tplc="100C000F" w:tentative="1">
      <w:start w:val="1"/>
      <w:numFmt w:val="decimal"/>
      <w:lvlText w:val="%7."/>
      <w:lvlJc w:val="left"/>
      <w:pPr>
        <w:ind w:left="5927" w:hanging="360"/>
      </w:pPr>
    </w:lvl>
    <w:lvl w:ilvl="7" w:tplc="100C0019" w:tentative="1">
      <w:start w:val="1"/>
      <w:numFmt w:val="lowerLetter"/>
      <w:lvlText w:val="%8."/>
      <w:lvlJc w:val="left"/>
      <w:pPr>
        <w:ind w:left="6647" w:hanging="360"/>
      </w:pPr>
    </w:lvl>
    <w:lvl w:ilvl="8" w:tplc="100C001B" w:tentative="1">
      <w:start w:val="1"/>
      <w:numFmt w:val="lowerRoman"/>
      <w:lvlText w:val="%9."/>
      <w:lvlJc w:val="right"/>
      <w:pPr>
        <w:ind w:left="7367" w:hanging="180"/>
      </w:pPr>
    </w:lvl>
  </w:abstractNum>
  <w:abstractNum w:abstractNumId="25">
    <w:nsid w:val="5AE13E71"/>
    <w:multiLevelType w:val="hybridMultilevel"/>
    <w:tmpl w:val="88440CB8"/>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26">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7">
    <w:nsid w:val="65C0348A"/>
    <w:multiLevelType w:val="hybridMultilevel"/>
    <w:tmpl w:val="069E4826"/>
    <w:lvl w:ilvl="0" w:tplc="2B026422">
      <w:start w:val="1"/>
      <w:numFmt w:val="decimal"/>
      <w:lvlText w:val="%1-"/>
      <w:lvlJc w:val="left"/>
      <w:pPr>
        <w:ind w:left="1607" w:hanging="360"/>
      </w:pPr>
      <w:rPr>
        <w:rFonts w:hint="default"/>
      </w:rPr>
    </w:lvl>
    <w:lvl w:ilvl="1" w:tplc="100C0019" w:tentative="1">
      <w:start w:val="1"/>
      <w:numFmt w:val="lowerLetter"/>
      <w:lvlText w:val="%2."/>
      <w:lvlJc w:val="left"/>
      <w:pPr>
        <w:ind w:left="2327" w:hanging="360"/>
      </w:pPr>
    </w:lvl>
    <w:lvl w:ilvl="2" w:tplc="100C001B" w:tentative="1">
      <w:start w:val="1"/>
      <w:numFmt w:val="lowerRoman"/>
      <w:lvlText w:val="%3."/>
      <w:lvlJc w:val="right"/>
      <w:pPr>
        <w:ind w:left="3047" w:hanging="180"/>
      </w:pPr>
    </w:lvl>
    <w:lvl w:ilvl="3" w:tplc="100C000F" w:tentative="1">
      <w:start w:val="1"/>
      <w:numFmt w:val="decimal"/>
      <w:lvlText w:val="%4."/>
      <w:lvlJc w:val="left"/>
      <w:pPr>
        <w:ind w:left="3767" w:hanging="360"/>
      </w:pPr>
    </w:lvl>
    <w:lvl w:ilvl="4" w:tplc="100C0019" w:tentative="1">
      <w:start w:val="1"/>
      <w:numFmt w:val="lowerLetter"/>
      <w:lvlText w:val="%5."/>
      <w:lvlJc w:val="left"/>
      <w:pPr>
        <w:ind w:left="4487" w:hanging="360"/>
      </w:pPr>
    </w:lvl>
    <w:lvl w:ilvl="5" w:tplc="100C001B" w:tentative="1">
      <w:start w:val="1"/>
      <w:numFmt w:val="lowerRoman"/>
      <w:lvlText w:val="%6."/>
      <w:lvlJc w:val="right"/>
      <w:pPr>
        <w:ind w:left="5207" w:hanging="180"/>
      </w:pPr>
    </w:lvl>
    <w:lvl w:ilvl="6" w:tplc="100C000F" w:tentative="1">
      <w:start w:val="1"/>
      <w:numFmt w:val="decimal"/>
      <w:lvlText w:val="%7."/>
      <w:lvlJc w:val="left"/>
      <w:pPr>
        <w:ind w:left="5927" w:hanging="360"/>
      </w:pPr>
    </w:lvl>
    <w:lvl w:ilvl="7" w:tplc="100C0019" w:tentative="1">
      <w:start w:val="1"/>
      <w:numFmt w:val="lowerLetter"/>
      <w:lvlText w:val="%8."/>
      <w:lvlJc w:val="left"/>
      <w:pPr>
        <w:ind w:left="6647" w:hanging="360"/>
      </w:pPr>
    </w:lvl>
    <w:lvl w:ilvl="8" w:tplc="100C001B" w:tentative="1">
      <w:start w:val="1"/>
      <w:numFmt w:val="lowerRoman"/>
      <w:lvlText w:val="%9."/>
      <w:lvlJc w:val="right"/>
      <w:pPr>
        <w:ind w:left="7367" w:hanging="180"/>
      </w:pPr>
    </w:lvl>
  </w:abstractNum>
  <w:abstractNum w:abstractNumId="28">
    <w:nsid w:val="669D5528"/>
    <w:multiLevelType w:val="hybridMultilevel"/>
    <w:tmpl w:val="50DC6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78B05B7"/>
    <w:multiLevelType w:val="hybridMultilevel"/>
    <w:tmpl w:val="EE8E8632"/>
    <w:lvl w:ilvl="0" w:tplc="998636CE">
      <w:start w:val="1"/>
      <w:numFmt w:val="decimal"/>
      <w:lvlText w:val="%1-"/>
      <w:lvlJc w:val="left"/>
      <w:pPr>
        <w:ind w:left="1607" w:hanging="360"/>
      </w:pPr>
      <w:rPr>
        <w:rFonts w:hint="default"/>
      </w:rPr>
    </w:lvl>
    <w:lvl w:ilvl="1" w:tplc="100C0019" w:tentative="1">
      <w:start w:val="1"/>
      <w:numFmt w:val="lowerLetter"/>
      <w:lvlText w:val="%2."/>
      <w:lvlJc w:val="left"/>
      <w:pPr>
        <w:ind w:left="2327" w:hanging="360"/>
      </w:pPr>
    </w:lvl>
    <w:lvl w:ilvl="2" w:tplc="100C001B" w:tentative="1">
      <w:start w:val="1"/>
      <w:numFmt w:val="lowerRoman"/>
      <w:lvlText w:val="%3."/>
      <w:lvlJc w:val="right"/>
      <w:pPr>
        <w:ind w:left="3047" w:hanging="180"/>
      </w:pPr>
    </w:lvl>
    <w:lvl w:ilvl="3" w:tplc="100C000F" w:tentative="1">
      <w:start w:val="1"/>
      <w:numFmt w:val="decimal"/>
      <w:lvlText w:val="%4."/>
      <w:lvlJc w:val="left"/>
      <w:pPr>
        <w:ind w:left="3767" w:hanging="360"/>
      </w:pPr>
    </w:lvl>
    <w:lvl w:ilvl="4" w:tplc="100C0019" w:tentative="1">
      <w:start w:val="1"/>
      <w:numFmt w:val="lowerLetter"/>
      <w:lvlText w:val="%5."/>
      <w:lvlJc w:val="left"/>
      <w:pPr>
        <w:ind w:left="4487" w:hanging="360"/>
      </w:pPr>
    </w:lvl>
    <w:lvl w:ilvl="5" w:tplc="100C001B" w:tentative="1">
      <w:start w:val="1"/>
      <w:numFmt w:val="lowerRoman"/>
      <w:lvlText w:val="%6."/>
      <w:lvlJc w:val="right"/>
      <w:pPr>
        <w:ind w:left="5207" w:hanging="180"/>
      </w:pPr>
    </w:lvl>
    <w:lvl w:ilvl="6" w:tplc="100C000F" w:tentative="1">
      <w:start w:val="1"/>
      <w:numFmt w:val="decimal"/>
      <w:lvlText w:val="%7."/>
      <w:lvlJc w:val="left"/>
      <w:pPr>
        <w:ind w:left="5927" w:hanging="360"/>
      </w:pPr>
    </w:lvl>
    <w:lvl w:ilvl="7" w:tplc="100C0019" w:tentative="1">
      <w:start w:val="1"/>
      <w:numFmt w:val="lowerLetter"/>
      <w:lvlText w:val="%8."/>
      <w:lvlJc w:val="left"/>
      <w:pPr>
        <w:ind w:left="6647" w:hanging="360"/>
      </w:pPr>
    </w:lvl>
    <w:lvl w:ilvl="8" w:tplc="100C001B" w:tentative="1">
      <w:start w:val="1"/>
      <w:numFmt w:val="lowerRoman"/>
      <w:lvlText w:val="%9."/>
      <w:lvlJc w:val="right"/>
      <w:pPr>
        <w:ind w:left="7367" w:hanging="180"/>
      </w:pPr>
    </w:lvl>
  </w:abstractNum>
  <w:abstractNum w:abstractNumId="30">
    <w:nsid w:val="6CAC6332"/>
    <w:multiLevelType w:val="hybridMultilevel"/>
    <w:tmpl w:val="EAD477B2"/>
    <w:lvl w:ilvl="0" w:tplc="5AB09E6C">
      <w:start w:val="1"/>
      <w:numFmt w:val="bullet"/>
      <w:lvlText w:val=""/>
      <w:lvlJc w:val="left"/>
      <w:pPr>
        <w:ind w:left="1967" w:hanging="360"/>
      </w:pPr>
      <w:rPr>
        <w:rFonts w:ascii="Symbol" w:hAnsi="Symbol" w:hint="default"/>
        <w:lang w:bidi="ar-EG"/>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31">
    <w:nsid w:val="6FFA1044"/>
    <w:multiLevelType w:val="hybridMultilevel"/>
    <w:tmpl w:val="B7CE0CC2"/>
    <w:lvl w:ilvl="0" w:tplc="04090001">
      <w:start w:val="1"/>
      <w:numFmt w:val="bullet"/>
      <w:lvlText w:val=""/>
      <w:lvlJc w:val="left"/>
      <w:pPr>
        <w:ind w:left="1984" w:hanging="360"/>
      </w:pPr>
      <w:rPr>
        <w:rFonts w:ascii="Symbol" w:hAnsi="Symbol" w:hint="default"/>
      </w:rPr>
    </w:lvl>
    <w:lvl w:ilvl="1" w:tplc="B3D0DF06">
      <w:numFmt w:val="bullet"/>
      <w:lvlText w:val="•"/>
      <w:lvlJc w:val="left"/>
      <w:pPr>
        <w:ind w:left="3019" w:hanging="675"/>
      </w:pPr>
      <w:rPr>
        <w:rFonts w:ascii="Traditional Arabic" w:eastAsiaTheme="minorHAnsi" w:hAnsi="Traditional Arabic" w:cs="Traditional Arabic"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3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80D73"/>
    <w:multiLevelType w:val="hybridMultilevel"/>
    <w:tmpl w:val="729EA464"/>
    <w:lvl w:ilvl="0" w:tplc="100C0001">
      <w:start w:val="1"/>
      <w:numFmt w:val="bullet"/>
      <w:lvlText w:val=""/>
      <w:lvlJc w:val="left"/>
      <w:pPr>
        <w:ind w:left="1967" w:hanging="360"/>
      </w:pPr>
      <w:rPr>
        <w:rFonts w:ascii="Symbol" w:hAnsi="Symbol" w:hint="default"/>
      </w:rPr>
    </w:lvl>
    <w:lvl w:ilvl="1" w:tplc="100C0003" w:tentative="1">
      <w:start w:val="1"/>
      <w:numFmt w:val="bullet"/>
      <w:lvlText w:val="o"/>
      <w:lvlJc w:val="left"/>
      <w:pPr>
        <w:ind w:left="2687" w:hanging="360"/>
      </w:pPr>
      <w:rPr>
        <w:rFonts w:ascii="Courier New" w:hAnsi="Courier New" w:cs="Courier New" w:hint="default"/>
      </w:rPr>
    </w:lvl>
    <w:lvl w:ilvl="2" w:tplc="100C0005" w:tentative="1">
      <w:start w:val="1"/>
      <w:numFmt w:val="bullet"/>
      <w:lvlText w:val=""/>
      <w:lvlJc w:val="left"/>
      <w:pPr>
        <w:ind w:left="3407" w:hanging="360"/>
      </w:pPr>
      <w:rPr>
        <w:rFonts w:ascii="Wingdings" w:hAnsi="Wingdings" w:hint="default"/>
      </w:rPr>
    </w:lvl>
    <w:lvl w:ilvl="3" w:tplc="100C0001" w:tentative="1">
      <w:start w:val="1"/>
      <w:numFmt w:val="bullet"/>
      <w:lvlText w:val=""/>
      <w:lvlJc w:val="left"/>
      <w:pPr>
        <w:ind w:left="4127" w:hanging="360"/>
      </w:pPr>
      <w:rPr>
        <w:rFonts w:ascii="Symbol" w:hAnsi="Symbol" w:hint="default"/>
      </w:rPr>
    </w:lvl>
    <w:lvl w:ilvl="4" w:tplc="100C0003" w:tentative="1">
      <w:start w:val="1"/>
      <w:numFmt w:val="bullet"/>
      <w:lvlText w:val="o"/>
      <w:lvlJc w:val="left"/>
      <w:pPr>
        <w:ind w:left="4847" w:hanging="360"/>
      </w:pPr>
      <w:rPr>
        <w:rFonts w:ascii="Courier New" w:hAnsi="Courier New" w:cs="Courier New" w:hint="default"/>
      </w:rPr>
    </w:lvl>
    <w:lvl w:ilvl="5" w:tplc="100C0005" w:tentative="1">
      <w:start w:val="1"/>
      <w:numFmt w:val="bullet"/>
      <w:lvlText w:val=""/>
      <w:lvlJc w:val="left"/>
      <w:pPr>
        <w:ind w:left="5567" w:hanging="360"/>
      </w:pPr>
      <w:rPr>
        <w:rFonts w:ascii="Wingdings" w:hAnsi="Wingdings" w:hint="default"/>
      </w:rPr>
    </w:lvl>
    <w:lvl w:ilvl="6" w:tplc="100C0001" w:tentative="1">
      <w:start w:val="1"/>
      <w:numFmt w:val="bullet"/>
      <w:lvlText w:val=""/>
      <w:lvlJc w:val="left"/>
      <w:pPr>
        <w:ind w:left="6287" w:hanging="360"/>
      </w:pPr>
      <w:rPr>
        <w:rFonts w:ascii="Symbol" w:hAnsi="Symbol" w:hint="default"/>
      </w:rPr>
    </w:lvl>
    <w:lvl w:ilvl="7" w:tplc="100C0003" w:tentative="1">
      <w:start w:val="1"/>
      <w:numFmt w:val="bullet"/>
      <w:lvlText w:val="o"/>
      <w:lvlJc w:val="left"/>
      <w:pPr>
        <w:ind w:left="7007" w:hanging="360"/>
      </w:pPr>
      <w:rPr>
        <w:rFonts w:ascii="Courier New" w:hAnsi="Courier New" w:cs="Courier New" w:hint="default"/>
      </w:rPr>
    </w:lvl>
    <w:lvl w:ilvl="8" w:tplc="100C0005" w:tentative="1">
      <w:start w:val="1"/>
      <w:numFmt w:val="bullet"/>
      <w:lvlText w:val=""/>
      <w:lvlJc w:val="left"/>
      <w:pPr>
        <w:ind w:left="7727" w:hanging="360"/>
      </w:pPr>
      <w:rPr>
        <w:rFonts w:ascii="Wingdings" w:hAnsi="Wingdings" w:hint="default"/>
      </w:rPr>
    </w:lvl>
  </w:abstractNum>
  <w:abstractNum w:abstractNumId="34">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AE32A09"/>
    <w:multiLevelType w:val="hybridMultilevel"/>
    <w:tmpl w:val="9C5295AC"/>
    <w:lvl w:ilvl="0" w:tplc="FFFFFFFF">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FFFFFFFF" w:tentative="1">
      <w:start w:val="1"/>
      <w:numFmt w:val="bullet"/>
      <w:lvlText w:val="o"/>
      <w:lvlJc w:val="left"/>
      <w:pPr>
        <w:tabs>
          <w:tab w:val="num" w:pos="3595"/>
        </w:tabs>
        <w:ind w:left="3595" w:hanging="360"/>
      </w:pPr>
      <w:rPr>
        <w:rFonts w:ascii="Courier New" w:hAnsi="Courier New" w:cs="Courier New" w:hint="default"/>
      </w:rPr>
    </w:lvl>
    <w:lvl w:ilvl="2" w:tplc="FFFFFFFF" w:tentative="1">
      <w:start w:val="1"/>
      <w:numFmt w:val="bullet"/>
      <w:lvlText w:val=""/>
      <w:lvlJc w:val="left"/>
      <w:pPr>
        <w:tabs>
          <w:tab w:val="num" w:pos="4315"/>
        </w:tabs>
        <w:ind w:left="4315" w:hanging="360"/>
      </w:pPr>
      <w:rPr>
        <w:rFonts w:ascii="Wingdings" w:hAnsi="Wingdings" w:hint="default"/>
      </w:rPr>
    </w:lvl>
    <w:lvl w:ilvl="3" w:tplc="FFFFFFFF" w:tentative="1">
      <w:start w:val="1"/>
      <w:numFmt w:val="bullet"/>
      <w:lvlText w:val=""/>
      <w:lvlJc w:val="left"/>
      <w:pPr>
        <w:tabs>
          <w:tab w:val="num" w:pos="5035"/>
        </w:tabs>
        <w:ind w:left="5035" w:hanging="360"/>
      </w:pPr>
      <w:rPr>
        <w:rFonts w:ascii="Symbol" w:hAnsi="Symbol" w:hint="default"/>
      </w:rPr>
    </w:lvl>
    <w:lvl w:ilvl="4" w:tplc="FFFFFFFF" w:tentative="1">
      <w:start w:val="1"/>
      <w:numFmt w:val="bullet"/>
      <w:lvlText w:val="o"/>
      <w:lvlJc w:val="left"/>
      <w:pPr>
        <w:tabs>
          <w:tab w:val="num" w:pos="5755"/>
        </w:tabs>
        <w:ind w:left="5755" w:hanging="360"/>
      </w:pPr>
      <w:rPr>
        <w:rFonts w:ascii="Courier New" w:hAnsi="Courier New" w:cs="Courier New" w:hint="default"/>
      </w:rPr>
    </w:lvl>
    <w:lvl w:ilvl="5" w:tplc="FFFFFFFF" w:tentative="1">
      <w:start w:val="1"/>
      <w:numFmt w:val="bullet"/>
      <w:lvlText w:val=""/>
      <w:lvlJc w:val="left"/>
      <w:pPr>
        <w:tabs>
          <w:tab w:val="num" w:pos="6475"/>
        </w:tabs>
        <w:ind w:left="6475" w:hanging="360"/>
      </w:pPr>
      <w:rPr>
        <w:rFonts w:ascii="Wingdings" w:hAnsi="Wingdings" w:hint="default"/>
      </w:rPr>
    </w:lvl>
    <w:lvl w:ilvl="6" w:tplc="FFFFFFFF" w:tentative="1">
      <w:start w:val="1"/>
      <w:numFmt w:val="bullet"/>
      <w:lvlText w:val=""/>
      <w:lvlJc w:val="left"/>
      <w:pPr>
        <w:tabs>
          <w:tab w:val="num" w:pos="7195"/>
        </w:tabs>
        <w:ind w:left="7195" w:hanging="360"/>
      </w:pPr>
      <w:rPr>
        <w:rFonts w:ascii="Symbol" w:hAnsi="Symbol" w:hint="default"/>
      </w:rPr>
    </w:lvl>
    <w:lvl w:ilvl="7" w:tplc="FFFFFFFF" w:tentative="1">
      <w:start w:val="1"/>
      <w:numFmt w:val="bullet"/>
      <w:lvlText w:val="o"/>
      <w:lvlJc w:val="left"/>
      <w:pPr>
        <w:tabs>
          <w:tab w:val="num" w:pos="7915"/>
        </w:tabs>
        <w:ind w:left="7915" w:hanging="360"/>
      </w:pPr>
      <w:rPr>
        <w:rFonts w:ascii="Courier New" w:hAnsi="Courier New" w:cs="Courier New" w:hint="default"/>
      </w:rPr>
    </w:lvl>
    <w:lvl w:ilvl="8" w:tplc="FFFFFFFF"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32"/>
  </w:num>
  <w:num w:numId="3">
    <w:abstractNumId w:val="26"/>
  </w:num>
  <w:num w:numId="4">
    <w:abstractNumId w:val="13"/>
  </w:num>
  <w:num w:numId="5">
    <w:abstractNumId w:val="34"/>
  </w:num>
  <w:num w:numId="6">
    <w:abstractNumId w:val="18"/>
  </w:num>
  <w:num w:numId="7">
    <w:abstractNumId w:val="11"/>
  </w:num>
  <w:num w:numId="8">
    <w:abstractNumId w:val="35"/>
  </w:num>
  <w:num w:numId="9">
    <w:abstractNumId w:val="22"/>
  </w:num>
  <w:num w:numId="10">
    <w:abstractNumId w:val="5"/>
  </w:num>
  <w:num w:numId="11">
    <w:abstractNumId w:val="28"/>
  </w:num>
  <w:num w:numId="12">
    <w:abstractNumId w:val="15"/>
  </w:num>
  <w:num w:numId="13">
    <w:abstractNumId w:val="14"/>
  </w:num>
  <w:num w:numId="14">
    <w:abstractNumId w:val="20"/>
  </w:num>
  <w:num w:numId="15">
    <w:abstractNumId w:val="9"/>
  </w:num>
  <w:num w:numId="16">
    <w:abstractNumId w:val="0"/>
  </w:num>
  <w:num w:numId="17">
    <w:abstractNumId w:val="1"/>
  </w:num>
  <w:num w:numId="18">
    <w:abstractNumId w:val="24"/>
  </w:num>
  <w:num w:numId="19">
    <w:abstractNumId w:val="33"/>
  </w:num>
  <w:num w:numId="20">
    <w:abstractNumId w:val="30"/>
  </w:num>
  <w:num w:numId="21">
    <w:abstractNumId w:val="12"/>
  </w:num>
  <w:num w:numId="22">
    <w:abstractNumId w:val="21"/>
  </w:num>
  <w:num w:numId="23">
    <w:abstractNumId w:val="29"/>
  </w:num>
  <w:num w:numId="24">
    <w:abstractNumId w:val="27"/>
  </w:num>
  <w:num w:numId="25">
    <w:abstractNumId w:val="8"/>
  </w:num>
  <w:num w:numId="26">
    <w:abstractNumId w:val="16"/>
  </w:num>
  <w:num w:numId="27">
    <w:abstractNumId w:val="4"/>
  </w:num>
  <w:num w:numId="28">
    <w:abstractNumId w:val="17"/>
  </w:num>
  <w:num w:numId="29">
    <w:abstractNumId w:val="23"/>
  </w:num>
  <w:num w:numId="30">
    <w:abstractNumId w:val="19"/>
  </w:num>
  <w:num w:numId="31">
    <w:abstractNumId w:val="7"/>
  </w:num>
  <w:num w:numId="32">
    <w:abstractNumId w:val="3"/>
  </w:num>
  <w:num w:numId="33">
    <w:abstractNumId w:val="31"/>
  </w:num>
  <w:num w:numId="34">
    <w:abstractNumId w:val="10"/>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341*"/>
    <w:docVar w:name="CreationDt" w:val="9/20/2015 11:17 AM"/>
    <w:docVar w:name="DocCategory" w:val="Doc"/>
    <w:docVar w:name="DocType" w:val="Final"/>
    <w:docVar w:name="DutyStation" w:val="Geneva"/>
    <w:docVar w:name="FooterJN" w:val="GE.15-11341"/>
    <w:docVar w:name="jobn" w:val="GE.15-11341 (A)"/>
    <w:docVar w:name="jobnDT" w:val="GE.15-11341 (A)   200915"/>
    <w:docVar w:name="jobnDTDT" w:val="GE.15-11341 (A)   200915   200915"/>
    <w:docVar w:name="JobNo" w:val="GE.1511341A"/>
    <w:docVar w:name="LocalDrive" w:val="0"/>
    <w:docVar w:name="OandT" w:val="Gamal"/>
    <w:docVar w:name="PaperSize" w:val="A4"/>
    <w:docVar w:name="sss1" w:val="HRI/CORE/ARG/2014"/>
    <w:docVar w:name="sss2" w:val="-"/>
    <w:docVar w:name="Symbol1" w:val="HRI/CORE/ARG/2014"/>
    <w:docVar w:name="Symbol2" w:val="-"/>
  </w:docVars>
  <w:rsids>
    <w:rsidRoot w:val="00BD32E0"/>
    <w:rsid w:val="000020C4"/>
    <w:rsid w:val="0000693B"/>
    <w:rsid w:val="000170D3"/>
    <w:rsid w:val="0002744A"/>
    <w:rsid w:val="0003012B"/>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F3F48"/>
    <w:rsid w:val="00100A90"/>
    <w:rsid w:val="00101EE8"/>
    <w:rsid w:val="00102521"/>
    <w:rsid w:val="0010461F"/>
    <w:rsid w:val="00113349"/>
    <w:rsid w:val="00122E26"/>
    <w:rsid w:val="0012522B"/>
    <w:rsid w:val="00132672"/>
    <w:rsid w:val="00143096"/>
    <w:rsid w:val="00145307"/>
    <w:rsid w:val="001519A9"/>
    <w:rsid w:val="001568A8"/>
    <w:rsid w:val="00165F18"/>
    <w:rsid w:val="00170A5E"/>
    <w:rsid w:val="001737F8"/>
    <w:rsid w:val="001775EA"/>
    <w:rsid w:val="0018030C"/>
    <w:rsid w:val="00182D99"/>
    <w:rsid w:val="00187870"/>
    <w:rsid w:val="00194C85"/>
    <w:rsid w:val="001A0D70"/>
    <w:rsid w:val="001A0FB4"/>
    <w:rsid w:val="001A5B00"/>
    <w:rsid w:val="001B397D"/>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4DE9"/>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AAE"/>
    <w:rsid w:val="00307CFF"/>
    <w:rsid w:val="00310FA5"/>
    <w:rsid w:val="00312162"/>
    <w:rsid w:val="00312525"/>
    <w:rsid w:val="003501D5"/>
    <w:rsid w:val="00351324"/>
    <w:rsid w:val="00357674"/>
    <w:rsid w:val="0036512C"/>
    <w:rsid w:val="00366E5B"/>
    <w:rsid w:val="003676A8"/>
    <w:rsid w:val="00371AC4"/>
    <w:rsid w:val="003769FD"/>
    <w:rsid w:val="00376CFA"/>
    <w:rsid w:val="003772FC"/>
    <w:rsid w:val="00383A67"/>
    <w:rsid w:val="00383CA8"/>
    <w:rsid w:val="00383EF3"/>
    <w:rsid w:val="00385F27"/>
    <w:rsid w:val="003A0D0E"/>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2A76"/>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C4B32"/>
    <w:rsid w:val="004C6267"/>
    <w:rsid w:val="004D1B0C"/>
    <w:rsid w:val="004D3ACE"/>
    <w:rsid w:val="004D4EA9"/>
    <w:rsid w:val="004F0D2B"/>
    <w:rsid w:val="004F1402"/>
    <w:rsid w:val="004F33CC"/>
    <w:rsid w:val="004F59EC"/>
    <w:rsid w:val="004F6D35"/>
    <w:rsid w:val="004F75CD"/>
    <w:rsid w:val="0050659B"/>
    <w:rsid w:val="00520086"/>
    <w:rsid w:val="00521CAC"/>
    <w:rsid w:val="0052427E"/>
    <w:rsid w:val="005243A0"/>
    <w:rsid w:val="00524A2E"/>
    <w:rsid w:val="005279DE"/>
    <w:rsid w:val="00534772"/>
    <w:rsid w:val="00537FCD"/>
    <w:rsid w:val="00542530"/>
    <w:rsid w:val="00542632"/>
    <w:rsid w:val="00545F76"/>
    <w:rsid w:val="00551E87"/>
    <w:rsid w:val="005545BB"/>
    <w:rsid w:val="00556882"/>
    <w:rsid w:val="00560D93"/>
    <w:rsid w:val="00561E43"/>
    <w:rsid w:val="0057078E"/>
    <w:rsid w:val="00571103"/>
    <w:rsid w:val="00571C2C"/>
    <w:rsid w:val="00582B0A"/>
    <w:rsid w:val="005838F5"/>
    <w:rsid w:val="00590CD4"/>
    <w:rsid w:val="00591B45"/>
    <w:rsid w:val="005943EA"/>
    <w:rsid w:val="005956D2"/>
    <w:rsid w:val="00596606"/>
    <w:rsid w:val="005A0F27"/>
    <w:rsid w:val="005A0F73"/>
    <w:rsid w:val="005A2EA3"/>
    <w:rsid w:val="005A45EC"/>
    <w:rsid w:val="005A6DC0"/>
    <w:rsid w:val="005B2267"/>
    <w:rsid w:val="005B4725"/>
    <w:rsid w:val="005B4C28"/>
    <w:rsid w:val="005C07BD"/>
    <w:rsid w:val="005C2ECE"/>
    <w:rsid w:val="005C46A7"/>
    <w:rsid w:val="005C7ED8"/>
    <w:rsid w:val="005D5B76"/>
    <w:rsid w:val="005E46BF"/>
    <w:rsid w:val="006007BD"/>
    <w:rsid w:val="00601AE1"/>
    <w:rsid w:val="006046A6"/>
    <w:rsid w:val="00616E82"/>
    <w:rsid w:val="006218A3"/>
    <w:rsid w:val="00631D41"/>
    <w:rsid w:val="006564CE"/>
    <w:rsid w:val="00663F64"/>
    <w:rsid w:val="006732E0"/>
    <w:rsid w:val="0068436E"/>
    <w:rsid w:val="00685439"/>
    <w:rsid w:val="006905A9"/>
    <w:rsid w:val="00692B46"/>
    <w:rsid w:val="00692C45"/>
    <w:rsid w:val="00692FDB"/>
    <w:rsid w:val="00693CF9"/>
    <w:rsid w:val="00696B7A"/>
    <w:rsid w:val="006A1E4E"/>
    <w:rsid w:val="006A2A64"/>
    <w:rsid w:val="006A3A3B"/>
    <w:rsid w:val="006C1E40"/>
    <w:rsid w:val="006C38EE"/>
    <w:rsid w:val="006C50DC"/>
    <w:rsid w:val="006D1A46"/>
    <w:rsid w:val="006D3170"/>
    <w:rsid w:val="006E7E51"/>
    <w:rsid w:val="007006FC"/>
    <w:rsid w:val="00700F06"/>
    <w:rsid w:val="007020AD"/>
    <w:rsid w:val="00706E77"/>
    <w:rsid w:val="00714319"/>
    <w:rsid w:val="0071531E"/>
    <w:rsid w:val="0071645B"/>
    <w:rsid w:val="00716E9D"/>
    <w:rsid w:val="00727841"/>
    <w:rsid w:val="00740D62"/>
    <w:rsid w:val="00747B9E"/>
    <w:rsid w:val="00750F90"/>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7F277A"/>
    <w:rsid w:val="0081284F"/>
    <w:rsid w:val="00814843"/>
    <w:rsid w:val="008170DE"/>
    <w:rsid w:val="00820067"/>
    <w:rsid w:val="00820B87"/>
    <w:rsid w:val="00830E32"/>
    <w:rsid w:val="00845A14"/>
    <w:rsid w:val="0085331D"/>
    <w:rsid w:val="00853F0F"/>
    <w:rsid w:val="008569BB"/>
    <w:rsid w:val="008624AF"/>
    <w:rsid w:val="00873A11"/>
    <w:rsid w:val="00873AF9"/>
    <w:rsid w:val="00881022"/>
    <w:rsid w:val="0088317F"/>
    <w:rsid w:val="00887330"/>
    <w:rsid w:val="008913BC"/>
    <w:rsid w:val="008A3FCA"/>
    <w:rsid w:val="008B4809"/>
    <w:rsid w:val="008D1C04"/>
    <w:rsid w:val="008E739A"/>
    <w:rsid w:val="008F04A0"/>
    <w:rsid w:val="008F3D2C"/>
    <w:rsid w:val="008F419C"/>
    <w:rsid w:val="008F5850"/>
    <w:rsid w:val="008F64A7"/>
    <w:rsid w:val="0090012B"/>
    <w:rsid w:val="0090351F"/>
    <w:rsid w:val="009124C9"/>
    <w:rsid w:val="00914215"/>
    <w:rsid w:val="009532EE"/>
    <w:rsid w:val="00955E01"/>
    <w:rsid w:val="00956E02"/>
    <w:rsid w:val="00964FA8"/>
    <w:rsid w:val="00970BAD"/>
    <w:rsid w:val="009768D1"/>
    <w:rsid w:val="009807FF"/>
    <w:rsid w:val="00981E99"/>
    <w:rsid w:val="009829B7"/>
    <w:rsid w:val="00983EC8"/>
    <w:rsid w:val="009927C0"/>
    <w:rsid w:val="00996063"/>
    <w:rsid w:val="009961E6"/>
    <w:rsid w:val="009975A9"/>
    <w:rsid w:val="009B4A58"/>
    <w:rsid w:val="009B6C08"/>
    <w:rsid w:val="009B6C65"/>
    <w:rsid w:val="009B752D"/>
    <w:rsid w:val="009C0017"/>
    <w:rsid w:val="009C0DEA"/>
    <w:rsid w:val="009C15F4"/>
    <w:rsid w:val="009C2AAE"/>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1F13"/>
    <w:rsid w:val="00A56F63"/>
    <w:rsid w:val="00A6077A"/>
    <w:rsid w:val="00A66F66"/>
    <w:rsid w:val="00A71AE5"/>
    <w:rsid w:val="00A71B00"/>
    <w:rsid w:val="00A7670F"/>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272BE"/>
    <w:rsid w:val="00B3471A"/>
    <w:rsid w:val="00B36AFF"/>
    <w:rsid w:val="00B37A36"/>
    <w:rsid w:val="00B424BC"/>
    <w:rsid w:val="00B47DC0"/>
    <w:rsid w:val="00B5784C"/>
    <w:rsid w:val="00B60553"/>
    <w:rsid w:val="00B66B1A"/>
    <w:rsid w:val="00B753FD"/>
    <w:rsid w:val="00B83BCF"/>
    <w:rsid w:val="00B9542C"/>
    <w:rsid w:val="00B95560"/>
    <w:rsid w:val="00B9745D"/>
    <w:rsid w:val="00BA7FAB"/>
    <w:rsid w:val="00BB6B6E"/>
    <w:rsid w:val="00BC2F4C"/>
    <w:rsid w:val="00BC43AD"/>
    <w:rsid w:val="00BC4A05"/>
    <w:rsid w:val="00BC567D"/>
    <w:rsid w:val="00BC6BA6"/>
    <w:rsid w:val="00BD32E0"/>
    <w:rsid w:val="00BE15C1"/>
    <w:rsid w:val="00BF0B15"/>
    <w:rsid w:val="00BF665F"/>
    <w:rsid w:val="00C12CBB"/>
    <w:rsid w:val="00C16F77"/>
    <w:rsid w:val="00C17412"/>
    <w:rsid w:val="00C17CA0"/>
    <w:rsid w:val="00C25A2D"/>
    <w:rsid w:val="00C260F8"/>
    <w:rsid w:val="00C3050C"/>
    <w:rsid w:val="00C32889"/>
    <w:rsid w:val="00C34B99"/>
    <w:rsid w:val="00C40CC8"/>
    <w:rsid w:val="00C43FBE"/>
    <w:rsid w:val="00C449C6"/>
    <w:rsid w:val="00C52142"/>
    <w:rsid w:val="00C564B0"/>
    <w:rsid w:val="00C61F0B"/>
    <w:rsid w:val="00C6283F"/>
    <w:rsid w:val="00C6582C"/>
    <w:rsid w:val="00C71487"/>
    <w:rsid w:val="00C7606D"/>
    <w:rsid w:val="00C814A5"/>
    <w:rsid w:val="00C82932"/>
    <w:rsid w:val="00C84B2B"/>
    <w:rsid w:val="00C855F6"/>
    <w:rsid w:val="00C96573"/>
    <w:rsid w:val="00CA286A"/>
    <w:rsid w:val="00CA4791"/>
    <w:rsid w:val="00CA7205"/>
    <w:rsid w:val="00CC04B5"/>
    <w:rsid w:val="00CC0F13"/>
    <w:rsid w:val="00CD03C6"/>
    <w:rsid w:val="00CD0BB8"/>
    <w:rsid w:val="00CD3849"/>
    <w:rsid w:val="00CD4175"/>
    <w:rsid w:val="00CE0509"/>
    <w:rsid w:val="00CF4D77"/>
    <w:rsid w:val="00CF7384"/>
    <w:rsid w:val="00CF7EC1"/>
    <w:rsid w:val="00D00717"/>
    <w:rsid w:val="00D0526B"/>
    <w:rsid w:val="00D221F3"/>
    <w:rsid w:val="00D2343D"/>
    <w:rsid w:val="00D30EAE"/>
    <w:rsid w:val="00D318F1"/>
    <w:rsid w:val="00D40B0E"/>
    <w:rsid w:val="00D416C2"/>
    <w:rsid w:val="00D44FE0"/>
    <w:rsid w:val="00D4694F"/>
    <w:rsid w:val="00D5423E"/>
    <w:rsid w:val="00D66413"/>
    <w:rsid w:val="00D67242"/>
    <w:rsid w:val="00D73A07"/>
    <w:rsid w:val="00DA66B7"/>
    <w:rsid w:val="00DB0865"/>
    <w:rsid w:val="00DB0C91"/>
    <w:rsid w:val="00DB7206"/>
    <w:rsid w:val="00DC5C1E"/>
    <w:rsid w:val="00DE5433"/>
    <w:rsid w:val="00DE68A7"/>
    <w:rsid w:val="00DF2A65"/>
    <w:rsid w:val="00DF2AE6"/>
    <w:rsid w:val="00DF5A43"/>
    <w:rsid w:val="00DF5F38"/>
    <w:rsid w:val="00DF6AA9"/>
    <w:rsid w:val="00E04526"/>
    <w:rsid w:val="00E07BAA"/>
    <w:rsid w:val="00E1179E"/>
    <w:rsid w:val="00E1404F"/>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3F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1" w:unhideWhenUsed="1" w:qFormat="1"/>
    <w:lsdException w:name="line number"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aliases w:val="2_ GA"/>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983EC8"/>
    <w:pPr>
      <w:spacing w:line="240" w:lineRule="auto"/>
    </w:pPr>
    <w:rPr>
      <w:szCs w:val="20"/>
    </w:rPr>
  </w:style>
  <w:style w:type="character" w:customStyle="1" w:styleId="CommentTextChar">
    <w:name w:val="Comment Text Char"/>
    <w:basedOn w:val="DefaultParagraphFont"/>
    <w:link w:val="CommentText"/>
    <w:rsid w:val="00983EC8"/>
    <w:rPr>
      <w:w w:val="103"/>
      <w:kern w:val="14"/>
    </w:rPr>
  </w:style>
  <w:style w:type="paragraph" w:styleId="CommentSubject">
    <w:name w:val="annotation subject"/>
    <w:basedOn w:val="CommentText"/>
    <w:next w:val="CommentText"/>
    <w:link w:val="CommentSubjectChar"/>
    <w:rsid w:val="00983EC8"/>
    <w:rPr>
      <w:b/>
      <w:bCs/>
    </w:rPr>
  </w:style>
  <w:style w:type="character" w:customStyle="1" w:styleId="CommentSubjectChar">
    <w:name w:val="Comment Subject Char"/>
    <w:basedOn w:val="CommentTextChar"/>
    <w:link w:val="CommentSubject"/>
    <w:rsid w:val="00983EC8"/>
    <w:rPr>
      <w:b/>
      <w:bCs/>
      <w:w w:val="103"/>
      <w:kern w:val="14"/>
    </w:rPr>
  </w:style>
  <w:style w:type="table" w:styleId="TableGrid">
    <w:name w:val="Table Grid"/>
    <w:basedOn w:val="TableNormal"/>
    <w:rsid w:val="00750F90"/>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qFormat/>
    <w:rsid w:val="00750F90"/>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750F90"/>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750F90"/>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750F90"/>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rsid w:val="00750F90"/>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rsid w:val="00750F90"/>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rsid w:val="00750F90"/>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rsid w:val="00750F90"/>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rsid w:val="00750F90"/>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rsid w:val="00750F90"/>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rsid w:val="00750F90"/>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rsid w:val="00750F90"/>
    <w:pPr>
      <w:numPr>
        <w:numId w:val="10"/>
      </w:numPr>
      <w:suppressAutoHyphens/>
      <w:bidi w:val="0"/>
      <w:spacing w:after="120" w:line="380" w:lineRule="exact"/>
      <w:ind w:right="1247"/>
    </w:pPr>
    <w:rPr>
      <w:rFonts w:eastAsia="Times New Roman"/>
      <w:w w:val="100"/>
      <w:kern w:val="0"/>
    </w:rPr>
  </w:style>
  <w:style w:type="paragraph" w:customStyle="1" w:styleId="Bullet2GA">
    <w:name w:val="_Bullet 2_GA"/>
    <w:basedOn w:val="Normal"/>
    <w:rsid w:val="00750F90"/>
    <w:pPr>
      <w:numPr>
        <w:numId w:val="9"/>
      </w:numPr>
      <w:tabs>
        <w:tab w:val="clear" w:pos="1644"/>
        <w:tab w:val="left" w:pos="2438"/>
      </w:tabs>
      <w:suppressAutoHyphens/>
      <w:bidi w:val="0"/>
      <w:spacing w:after="120" w:line="380" w:lineRule="exact"/>
      <w:ind w:left="2438" w:right="1247" w:hanging="397"/>
    </w:pPr>
    <w:rPr>
      <w:rFonts w:eastAsia="Times New Roman"/>
      <w:w w:val="100"/>
      <w:kern w:val="0"/>
    </w:rPr>
  </w:style>
  <w:style w:type="paragraph" w:customStyle="1" w:styleId="ParaNoGA">
    <w:name w:val="_ParaNo._GA"/>
    <w:basedOn w:val="SingleTxtGA"/>
    <w:rsid w:val="00750F90"/>
    <w:pPr>
      <w:numPr>
        <w:numId w:val="6"/>
      </w:numPr>
      <w:suppressAutoHyphens/>
      <w:bidi w:val="0"/>
    </w:pPr>
  </w:style>
  <w:style w:type="character" w:customStyle="1" w:styleId="EndtnoteReference">
    <w:name w:val="Endtnote Reference"/>
    <w:aliases w:val="1_GA"/>
    <w:rsid w:val="00750F90"/>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750F90"/>
    <w:pPr>
      <w:tabs>
        <w:tab w:val="right" w:pos="1021"/>
      </w:tabs>
      <w:spacing w:after="60" w:line="300" w:lineRule="exact"/>
      <w:ind w:left="1247" w:right="1247" w:hanging="1247"/>
    </w:pPr>
    <w:rPr>
      <w:rFonts w:eastAsia="Times New Roman"/>
      <w:w w:val="100"/>
      <w:kern w:val="0"/>
      <w:sz w:val="18"/>
      <w:szCs w:val="26"/>
    </w:rPr>
  </w:style>
  <w:style w:type="character" w:styleId="PageNumber">
    <w:name w:val="page number"/>
    <w:aliases w:val="7_GA"/>
    <w:rsid w:val="00750F90"/>
    <w:rPr>
      <w:rFonts w:ascii="Times New Roman" w:hAnsi="Times New Roman"/>
      <w:b/>
      <w:sz w:val="18"/>
    </w:rPr>
  </w:style>
  <w:style w:type="paragraph" w:customStyle="1" w:styleId="XXLargeGA">
    <w:name w:val="XXLarge_GA"/>
    <w:basedOn w:val="XLargeGA"/>
    <w:next w:val="Normal"/>
    <w:rsid w:val="00750F90"/>
    <w:pPr>
      <w:spacing w:line="820" w:lineRule="exact"/>
    </w:pPr>
    <w:rPr>
      <w:spacing w:val="-8"/>
      <w:w w:val="96"/>
      <w:sz w:val="57"/>
      <w:szCs w:val="86"/>
    </w:rPr>
  </w:style>
  <w:style w:type="paragraph" w:customStyle="1" w:styleId="Roman1GA">
    <w:name w:val="_Roman 1_GA"/>
    <w:basedOn w:val="Normal"/>
    <w:rsid w:val="00750F90"/>
    <w:pPr>
      <w:numPr>
        <w:numId w:val="7"/>
      </w:numPr>
      <w:suppressAutoHyphens/>
      <w:bidi w:val="0"/>
      <w:spacing w:after="120" w:line="380" w:lineRule="exact"/>
      <w:ind w:right="1247"/>
    </w:pPr>
    <w:rPr>
      <w:rFonts w:eastAsia="Times New Roman"/>
      <w:w w:val="100"/>
      <w:kern w:val="0"/>
    </w:rPr>
  </w:style>
  <w:style w:type="paragraph" w:customStyle="1" w:styleId="Roman2GA">
    <w:name w:val="_Roman 2_GA"/>
    <w:basedOn w:val="Normal"/>
    <w:next w:val="Normal"/>
    <w:rsid w:val="00750F90"/>
    <w:pPr>
      <w:numPr>
        <w:numId w:val="8"/>
      </w:numPr>
      <w:spacing w:after="120" w:line="380" w:lineRule="exact"/>
      <w:ind w:right="1247"/>
    </w:pPr>
    <w:rPr>
      <w:rFonts w:eastAsia="Times New Roman"/>
      <w:w w:val="100"/>
      <w:kern w:val="0"/>
    </w:rPr>
  </w:style>
  <w:style w:type="numbering" w:styleId="111111">
    <w:name w:val="Outline List 2"/>
    <w:basedOn w:val="NoList"/>
    <w:rsid w:val="00750F90"/>
    <w:pPr>
      <w:numPr>
        <w:numId w:val="4"/>
      </w:numPr>
    </w:pPr>
  </w:style>
  <w:style w:type="numbering" w:styleId="1ai">
    <w:name w:val="Outline List 1"/>
    <w:basedOn w:val="NoList"/>
    <w:rsid w:val="00750F90"/>
    <w:pPr>
      <w:numPr>
        <w:numId w:val="5"/>
      </w:numPr>
    </w:pPr>
  </w:style>
  <w:style w:type="paragraph" w:customStyle="1" w:styleId="SingleTxtG">
    <w:name w:val="_ Single Txt_G"/>
    <w:basedOn w:val="Normal"/>
    <w:rsid w:val="00750F90"/>
    <w:pPr>
      <w:bidi w:val="0"/>
      <w:spacing w:after="120" w:line="240" w:lineRule="atLeast"/>
      <w:ind w:left="1134" w:right="1134"/>
      <w:jc w:val="both"/>
    </w:pPr>
    <w:rPr>
      <w:rFonts w:eastAsia="Times New Roman" w:cs="Times New Roman"/>
      <w:w w:val="100"/>
      <w:kern w:val="0"/>
      <w:szCs w:val="20"/>
      <w:lang w:val="es-ES" w:eastAsia="es-ES"/>
    </w:rPr>
  </w:style>
  <w:style w:type="character" w:customStyle="1" w:styleId="apple-style-span">
    <w:name w:val="apple-style-span"/>
    <w:basedOn w:val="DefaultParagraphFont"/>
    <w:rsid w:val="00750F90"/>
  </w:style>
  <w:style w:type="character" w:customStyle="1" w:styleId="apple-converted-space">
    <w:name w:val="apple-converted-space"/>
    <w:basedOn w:val="DefaultParagraphFont"/>
    <w:rsid w:val="00750F90"/>
  </w:style>
  <w:style w:type="paragraph" w:styleId="BodyText3">
    <w:name w:val="Body Text 3"/>
    <w:basedOn w:val="Normal"/>
    <w:link w:val="BodyText3Char"/>
    <w:rsid w:val="00750F90"/>
    <w:pPr>
      <w:spacing w:after="120" w:line="240" w:lineRule="atLeast"/>
    </w:pPr>
    <w:rPr>
      <w:rFonts w:eastAsia="Times New Roman"/>
      <w:w w:val="100"/>
      <w:kern w:val="0"/>
      <w:sz w:val="16"/>
      <w:szCs w:val="16"/>
    </w:rPr>
  </w:style>
  <w:style w:type="character" w:customStyle="1" w:styleId="BodyText3Char">
    <w:name w:val="Body Text 3 Char"/>
    <w:basedOn w:val="DefaultParagraphFont"/>
    <w:link w:val="BodyText3"/>
    <w:rsid w:val="00750F90"/>
    <w:rPr>
      <w:rFonts w:eastAsia="Times New Roman"/>
      <w:sz w:val="16"/>
      <w:szCs w:val="16"/>
    </w:rPr>
  </w:style>
  <w:style w:type="paragraph" w:customStyle="1" w:styleId="H23G">
    <w:name w:val="_ H_2/3_G"/>
    <w:basedOn w:val="Normal"/>
    <w:next w:val="Normal"/>
    <w:rsid w:val="00750F90"/>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rPr>
  </w:style>
  <w:style w:type="table" w:customStyle="1" w:styleId="1">
    <w:name w:val="شبكة جدول1"/>
    <w:basedOn w:val="TableNormal"/>
    <w:next w:val="TableGrid"/>
    <w:rsid w:val="00750F90"/>
    <w:pPr>
      <w:suppressAutoHyphens/>
      <w:spacing w:line="240" w:lineRule="atLeas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rsid w:val="00750F90"/>
    <w:pPr>
      <w:suppressAutoHyphens/>
      <w:spacing w:line="240" w:lineRule="atLeas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TableNormal"/>
    <w:next w:val="TableGrid"/>
    <w:rsid w:val="00750F90"/>
    <w:pPr>
      <w:suppressAutoHyphens/>
      <w:spacing w:line="240" w:lineRule="atLeas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TableNormal"/>
    <w:next w:val="TableGrid"/>
    <w:rsid w:val="00750F90"/>
    <w:pPr>
      <w:suppressAutoHyphens/>
      <w:spacing w:line="240" w:lineRule="atLeas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7674"/>
    <w:pPr>
      <w:spacing w:after="100"/>
    </w:pPr>
  </w:style>
  <w:style w:type="paragraph" w:styleId="TOC2">
    <w:name w:val="toc 2"/>
    <w:basedOn w:val="Normal"/>
    <w:next w:val="Normal"/>
    <w:autoRedefine/>
    <w:uiPriority w:val="39"/>
    <w:rsid w:val="00357674"/>
    <w:pPr>
      <w:spacing w:after="100"/>
      <w:ind w:left="200"/>
    </w:pPr>
  </w:style>
  <w:style w:type="paragraph" w:styleId="TOC3">
    <w:name w:val="toc 3"/>
    <w:basedOn w:val="Normal"/>
    <w:next w:val="Normal"/>
    <w:autoRedefine/>
    <w:uiPriority w:val="39"/>
    <w:unhideWhenUsed/>
    <w:rsid w:val="00357674"/>
    <w:pPr>
      <w:spacing w:after="100" w:line="276" w:lineRule="auto"/>
      <w:ind w:left="440"/>
      <w:jc w:val="left"/>
    </w:pPr>
    <w:rPr>
      <w:rFonts w:asciiTheme="minorHAnsi" w:eastAsiaTheme="minorEastAsia" w:hAnsiTheme="minorHAnsi" w:cstheme="minorBidi"/>
      <w:w w:val="100"/>
      <w:kern w:val="0"/>
      <w:sz w:val="22"/>
      <w:szCs w:val="22"/>
    </w:rPr>
  </w:style>
  <w:style w:type="paragraph" w:styleId="TOC4">
    <w:name w:val="toc 4"/>
    <w:basedOn w:val="Normal"/>
    <w:next w:val="Normal"/>
    <w:autoRedefine/>
    <w:uiPriority w:val="39"/>
    <w:unhideWhenUsed/>
    <w:rsid w:val="00357674"/>
    <w:pPr>
      <w:spacing w:after="100" w:line="276" w:lineRule="auto"/>
      <w:ind w:left="660"/>
      <w:jc w:val="left"/>
    </w:pPr>
    <w:rPr>
      <w:rFonts w:asciiTheme="minorHAnsi" w:eastAsiaTheme="minorEastAsia" w:hAnsiTheme="minorHAnsi" w:cstheme="minorBidi"/>
      <w:w w:val="100"/>
      <w:kern w:val="0"/>
      <w:sz w:val="22"/>
      <w:szCs w:val="22"/>
    </w:rPr>
  </w:style>
  <w:style w:type="paragraph" w:styleId="TOC5">
    <w:name w:val="toc 5"/>
    <w:basedOn w:val="Normal"/>
    <w:next w:val="Normal"/>
    <w:autoRedefine/>
    <w:uiPriority w:val="39"/>
    <w:unhideWhenUsed/>
    <w:rsid w:val="00357674"/>
    <w:pPr>
      <w:spacing w:after="100" w:line="276" w:lineRule="auto"/>
      <w:ind w:left="880"/>
      <w:jc w:val="left"/>
    </w:pPr>
    <w:rPr>
      <w:rFonts w:asciiTheme="minorHAnsi" w:eastAsiaTheme="minorEastAsia" w:hAnsiTheme="minorHAnsi" w:cstheme="minorBidi"/>
      <w:w w:val="100"/>
      <w:kern w:val="0"/>
      <w:sz w:val="22"/>
      <w:szCs w:val="22"/>
    </w:rPr>
  </w:style>
  <w:style w:type="paragraph" w:styleId="TOC6">
    <w:name w:val="toc 6"/>
    <w:basedOn w:val="Normal"/>
    <w:next w:val="Normal"/>
    <w:autoRedefine/>
    <w:uiPriority w:val="39"/>
    <w:unhideWhenUsed/>
    <w:rsid w:val="00357674"/>
    <w:pPr>
      <w:spacing w:after="100" w:line="276" w:lineRule="auto"/>
      <w:ind w:left="1100"/>
      <w:jc w:val="left"/>
    </w:pPr>
    <w:rPr>
      <w:rFonts w:asciiTheme="minorHAnsi" w:eastAsiaTheme="minorEastAsia" w:hAnsiTheme="minorHAnsi" w:cstheme="minorBidi"/>
      <w:w w:val="100"/>
      <w:kern w:val="0"/>
      <w:sz w:val="22"/>
      <w:szCs w:val="22"/>
    </w:rPr>
  </w:style>
  <w:style w:type="paragraph" w:styleId="TOC7">
    <w:name w:val="toc 7"/>
    <w:basedOn w:val="Normal"/>
    <w:next w:val="Normal"/>
    <w:autoRedefine/>
    <w:uiPriority w:val="39"/>
    <w:unhideWhenUsed/>
    <w:rsid w:val="00357674"/>
    <w:pPr>
      <w:spacing w:after="100" w:line="276" w:lineRule="auto"/>
      <w:ind w:left="1320"/>
      <w:jc w:val="left"/>
    </w:pPr>
    <w:rPr>
      <w:rFonts w:asciiTheme="minorHAnsi" w:eastAsiaTheme="minorEastAsia" w:hAnsiTheme="minorHAnsi" w:cstheme="minorBidi"/>
      <w:w w:val="100"/>
      <w:kern w:val="0"/>
      <w:sz w:val="22"/>
      <w:szCs w:val="22"/>
    </w:rPr>
  </w:style>
  <w:style w:type="paragraph" w:styleId="TOC8">
    <w:name w:val="toc 8"/>
    <w:basedOn w:val="Normal"/>
    <w:next w:val="Normal"/>
    <w:autoRedefine/>
    <w:uiPriority w:val="39"/>
    <w:unhideWhenUsed/>
    <w:rsid w:val="00357674"/>
    <w:pPr>
      <w:spacing w:after="100" w:line="276" w:lineRule="auto"/>
      <w:ind w:left="1540"/>
      <w:jc w:val="left"/>
    </w:pPr>
    <w:rPr>
      <w:rFonts w:asciiTheme="minorHAnsi" w:eastAsiaTheme="minorEastAsia" w:hAnsiTheme="minorHAnsi" w:cstheme="minorBidi"/>
      <w:w w:val="100"/>
      <w:kern w:val="0"/>
      <w:sz w:val="22"/>
      <w:szCs w:val="22"/>
    </w:rPr>
  </w:style>
  <w:style w:type="paragraph" w:styleId="TOC9">
    <w:name w:val="toc 9"/>
    <w:basedOn w:val="Normal"/>
    <w:next w:val="Normal"/>
    <w:autoRedefine/>
    <w:uiPriority w:val="39"/>
    <w:unhideWhenUsed/>
    <w:rsid w:val="00357674"/>
    <w:pPr>
      <w:spacing w:after="100" w:line="276" w:lineRule="auto"/>
      <w:ind w:left="1760"/>
      <w:jc w:val="left"/>
    </w:pPr>
    <w:rPr>
      <w:rFonts w:asciiTheme="minorHAnsi" w:eastAsiaTheme="minorEastAsia" w:hAnsiTheme="minorHAnsi" w:cstheme="minorBidi"/>
      <w:w w:val="1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1" w:unhideWhenUsed="1" w:qFormat="1"/>
    <w:lsdException w:name="line number"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
    <w:basedOn w:val="Normal"/>
    <w:next w:val="Normal"/>
    <w:qFormat/>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aliases w:val="5_G"/>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aliases w:val="2_ GA"/>
    <w:basedOn w:val="FootnoteTex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983EC8"/>
    <w:pPr>
      <w:spacing w:line="240" w:lineRule="auto"/>
    </w:pPr>
    <w:rPr>
      <w:szCs w:val="20"/>
    </w:rPr>
  </w:style>
  <w:style w:type="character" w:customStyle="1" w:styleId="CommentTextChar">
    <w:name w:val="Comment Text Char"/>
    <w:basedOn w:val="DefaultParagraphFont"/>
    <w:link w:val="CommentText"/>
    <w:rsid w:val="00983EC8"/>
    <w:rPr>
      <w:w w:val="103"/>
      <w:kern w:val="14"/>
    </w:rPr>
  </w:style>
  <w:style w:type="paragraph" w:styleId="CommentSubject">
    <w:name w:val="annotation subject"/>
    <w:basedOn w:val="CommentText"/>
    <w:next w:val="CommentText"/>
    <w:link w:val="CommentSubjectChar"/>
    <w:rsid w:val="00983EC8"/>
    <w:rPr>
      <w:b/>
      <w:bCs/>
    </w:rPr>
  </w:style>
  <w:style w:type="character" w:customStyle="1" w:styleId="CommentSubjectChar">
    <w:name w:val="Comment Subject Char"/>
    <w:basedOn w:val="CommentTextChar"/>
    <w:link w:val="CommentSubject"/>
    <w:rsid w:val="00983EC8"/>
    <w:rPr>
      <w:b/>
      <w:bCs/>
      <w:w w:val="103"/>
      <w:kern w:val="14"/>
    </w:rPr>
  </w:style>
  <w:style w:type="table" w:styleId="TableGrid">
    <w:name w:val="Table Grid"/>
    <w:basedOn w:val="TableNormal"/>
    <w:rsid w:val="00750F90"/>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qFormat/>
    <w:rsid w:val="00750F90"/>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750F90"/>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750F90"/>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750F90"/>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rsid w:val="00750F90"/>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rsid w:val="00750F90"/>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rsid w:val="00750F90"/>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rsid w:val="00750F90"/>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rsid w:val="00750F90"/>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rsid w:val="00750F90"/>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rsid w:val="00750F90"/>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rsid w:val="00750F90"/>
    <w:pPr>
      <w:numPr>
        <w:numId w:val="10"/>
      </w:numPr>
      <w:suppressAutoHyphens/>
      <w:bidi w:val="0"/>
      <w:spacing w:after="120" w:line="380" w:lineRule="exact"/>
      <w:ind w:right="1247"/>
    </w:pPr>
    <w:rPr>
      <w:rFonts w:eastAsia="Times New Roman"/>
      <w:w w:val="100"/>
      <w:kern w:val="0"/>
    </w:rPr>
  </w:style>
  <w:style w:type="paragraph" w:customStyle="1" w:styleId="Bullet2GA">
    <w:name w:val="_Bullet 2_GA"/>
    <w:basedOn w:val="Normal"/>
    <w:rsid w:val="00750F90"/>
    <w:pPr>
      <w:numPr>
        <w:numId w:val="9"/>
      </w:numPr>
      <w:tabs>
        <w:tab w:val="clear" w:pos="1644"/>
        <w:tab w:val="left" w:pos="2438"/>
      </w:tabs>
      <w:suppressAutoHyphens/>
      <w:bidi w:val="0"/>
      <w:spacing w:after="120" w:line="380" w:lineRule="exact"/>
      <w:ind w:left="2438" w:right="1247" w:hanging="397"/>
    </w:pPr>
    <w:rPr>
      <w:rFonts w:eastAsia="Times New Roman"/>
      <w:w w:val="100"/>
      <w:kern w:val="0"/>
    </w:rPr>
  </w:style>
  <w:style w:type="paragraph" w:customStyle="1" w:styleId="ParaNoGA">
    <w:name w:val="_ParaNo._GA"/>
    <w:basedOn w:val="SingleTxtGA"/>
    <w:rsid w:val="00750F90"/>
    <w:pPr>
      <w:numPr>
        <w:numId w:val="6"/>
      </w:numPr>
      <w:suppressAutoHyphens/>
      <w:bidi w:val="0"/>
    </w:pPr>
  </w:style>
  <w:style w:type="character" w:customStyle="1" w:styleId="EndtnoteReference">
    <w:name w:val="Endtnote Reference"/>
    <w:aliases w:val="1_GA"/>
    <w:rsid w:val="00750F90"/>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750F90"/>
    <w:pPr>
      <w:tabs>
        <w:tab w:val="right" w:pos="1021"/>
      </w:tabs>
      <w:spacing w:after="60" w:line="300" w:lineRule="exact"/>
      <w:ind w:left="1247" w:right="1247" w:hanging="1247"/>
    </w:pPr>
    <w:rPr>
      <w:rFonts w:eastAsia="Times New Roman"/>
      <w:w w:val="100"/>
      <w:kern w:val="0"/>
      <w:sz w:val="18"/>
      <w:szCs w:val="26"/>
    </w:rPr>
  </w:style>
  <w:style w:type="character" w:styleId="PageNumber">
    <w:name w:val="page number"/>
    <w:aliases w:val="7_GA"/>
    <w:rsid w:val="00750F90"/>
    <w:rPr>
      <w:rFonts w:ascii="Times New Roman" w:hAnsi="Times New Roman"/>
      <w:b/>
      <w:sz w:val="18"/>
    </w:rPr>
  </w:style>
  <w:style w:type="paragraph" w:customStyle="1" w:styleId="XXLargeGA">
    <w:name w:val="XXLarge_GA"/>
    <w:basedOn w:val="XLargeGA"/>
    <w:next w:val="Normal"/>
    <w:rsid w:val="00750F90"/>
    <w:pPr>
      <w:spacing w:line="820" w:lineRule="exact"/>
    </w:pPr>
    <w:rPr>
      <w:spacing w:val="-8"/>
      <w:w w:val="96"/>
      <w:sz w:val="57"/>
      <w:szCs w:val="86"/>
    </w:rPr>
  </w:style>
  <w:style w:type="paragraph" w:customStyle="1" w:styleId="Roman1GA">
    <w:name w:val="_Roman 1_GA"/>
    <w:basedOn w:val="Normal"/>
    <w:rsid w:val="00750F90"/>
    <w:pPr>
      <w:numPr>
        <w:numId w:val="7"/>
      </w:numPr>
      <w:suppressAutoHyphens/>
      <w:bidi w:val="0"/>
      <w:spacing w:after="120" w:line="380" w:lineRule="exact"/>
      <w:ind w:right="1247"/>
    </w:pPr>
    <w:rPr>
      <w:rFonts w:eastAsia="Times New Roman"/>
      <w:w w:val="100"/>
      <w:kern w:val="0"/>
    </w:rPr>
  </w:style>
  <w:style w:type="paragraph" w:customStyle="1" w:styleId="Roman2GA">
    <w:name w:val="_Roman 2_GA"/>
    <w:basedOn w:val="Normal"/>
    <w:next w:val="Normal"/>
    <w:rsid w:val="00750F90"/>
    <w:pPr>
      <w:numPr>
        <w:numId w:val="8"/>
      </w:numPr>
      <w:spacing w:after="120" w:line="380" w:lineRule="exact"/>
      <w:ind w:right="1247"/>
    </w:pPr>
    <w:rPr>
      <w:rFonts w:eastAsia="Times New Roman"/>
      <w:w w:val="100"/>
      <w:kern w:val="0"/>
    </w:rPr>
  </w:style>
  <w:style w:type="numbering" w:styleId="111111">
    <w:name w:val="Outline List 2"/>
    <w:basedOn w:val="NoList"/>
    <w:rsid w:val="00750F90"/>
    <w:pPr>
      <w:numPr>
        <w:numId w:val="4"/>
      </w:numPr>
    </w:pPr>
  </w:style>
  <w:style w:type="numbering" w:styleId="1ai">
    <w:name w:val="Outline List 1"/>
    <w:basedOn w:val="NoList"/>
    <w:rsid w:val="00750F90"/>
    <w:pPr>
      <w:numPr>
        <w:numId w:val="5"/>
      </w:numPr>
    </w:pPr>
  </w:style>
  <w:style w:type="paragraph" w:customStyle="1" w:styleId="SingleTxtG">
    <w:name w:val="_ Single Txt_G"/>
    <w:basedOn w:val="Normal"/>
    <w:rsid w:val="00750F90"/>
    <w:pPr>
      <w:bidi w:val="0"/>
      <w:spacing w:after="120" w:line="240" w:lineRule="atLeast"/>
      <w:ind w:left="1134" w:right="1134"/>
      <w:jc w:val="both"/>
    </w:pPr>
    <w:rPr>
      <w:rFonts w:eastAsia="Times New Roman" w:cs="Times New Roman"/>
      <w:w w:val="100"/>
      <w:kern w:val="0"/>
      <w:szCs w:val="20"/>
      <w:lang w:val="es-ES" w:eastAsia="es-ES"/>
    </w:rPr>
  </w:style>
  <w:style w:type="character" w:customStyle="1" w:styleId="apple-style-span">
    <w:name w:val="apple-style-span"/>
    <w:basedOn w:val="DefaultParagraphFont"/>
    <w:rsid w:val="00750F90"/>
  </w:style>
  <w:style w:type="character" w:customStyle="1" w:styleId="apple-converted-space">
    <w:name w:val="apple-converted-space"/>
    <w:basedOn w:val="DefaultParagraphFont"/>
    <w:rsid w:val="00750F90"/>
  </w:style>
  <w:style w:type="paragraph" w:styleId="BodyText3">
    <w:name w:val="Body Text 3"/>
    <w:basedOn w:val="Normal"/>
    <w:link w:val="BodyText3Char"/>
    <w:rsid w:val="00750F90"/>
    <w:pPr>
      <w:spacing w:after="120" w:line="240" w:lineRule="atLeast"/>
    </w:pPr>
    <w:rPr>
      <w:rFonts w:eastAsia="Times New Roman"/>
      <w:w w:val="100"/>
      <w:kern w:val="0"/>
      <w:sz w:val="16"/>
      <w:szCs w:val="16"/>
    </w:rPr>
  </w:style>
  <w:style w:type="character" w:customStyle="1" w:styleId="BodyText3Char">
    <w:name w:val="Body Text 3 Char"/>
    <w:basedOn w:val="DefaultParagraphFont"/>
    <w:link w:val="BodyText3"/>
    <w:rsid w:val="00750F90"/>
    <w:rPr>
      <w:rFonts w:eastAsia="Times New Roman"/>
      <w:sz w:val="16"/>
      <w:szCs w:val="16"/>
    </w:rPr>
  </w:style>
  <w:style w:type="paragraph" w:customStyle="1" w:styleId="H23G">
    <w:name w:val="_ H_2/3_G"/>
    <w:basedOn w:val="Normal"/>
    <w:next w:val="Normal"/>
    <w:rsid w:val="00750F90"/>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rPr>
  </w:style>
  <w:style w:type="table" w:customStyle="1" w:styleId="1">
    <w:name w:val="شبكة جدول1"/>
    <w:basedOn w:val="TableNormal"/>
    <w:next w:val="TableGrid"/>
    <w:rsid w:val="00750F90"/>
    <w:pPr>
      <w:suppressAutoHyphens/>
      <w:spacing w:line="240" w:lineRule="atLeas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rsid w:val="00750F90"/>
    <w:pPr>
      <w:suppressAutoHyphens/>
      <w:spacing w:line="240" w:lineRule="atLeas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TableNormal"/>
    <w:next w:val="TableGrid"/>
    <w:rsid w:val="00750F90"/>
    <w:pPr>
      <w:suppressAutoHyphens/>
      <w:spacing w:line="240" w:lineRule="atLeas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TableNormal"/>
    <w:next w:val="TableGrid"/>
    <w:rsid w:val="00750F90"/>
    <w:pPr>
      <w:suppressAutoHyphens/>
      <w:spacing w:line="240" w:lineRule="atLeas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7674"/>
    <w:pPr>
      <w:spacing w:after="100"/>
    </w:pPr>
  </w:style>
  <w:style w:type="paragraph" w:styleId="TOC2">
    <w:name w:val="toc 2"/>
    <w:basedOn w:val="Normal"/>
    <w:next w:val="Normal"/>
    <w:autoRedefine/>
    <w:uiPriority w:val="39"/>
    <w:rsid w:val="00357674"/>
    <w:pPr>
      <w:spacing w:after="100"/>
      <w:ind w:left="200"/>
    </w:pPr>
  </w:style>
  <w:style w:type="paragraph" w:styleId="TOC3">
    <w:name w:val="toc 3"/>
    <w:basedOn w:val="Normal"/>
    <w:next w:val="Normal"/>
    <w:autoRedefine/>
    <w:uiPriority w:val="39"/>
    <w:unhideWhenUsed/>
    <w:rsid w:val="00357674"/>
    <w:pPr>
      <w:spacing w:after="100" w:line="276" w:lineRule="auto"/>
      <w:ind w:left="440"/>
      <w:jc w:val="left"/>
    </w:pPr>
    <w:rPr>
      <w:rFonts w:asciiTheme="minorHAnsi" w:eastAsiaTheme="minorEastAsia" w:hAnsiTheme="minorHAnsi" w:cstheme="minorBidi"/>
      <w:w w:val="100"/>
      <w:kern w:val="0"/>
      <w:sz w:val="22"/>
      <w:szCs w:val="22"/>
    </w:rPr>
  </w:style>
  <w:style w:type="paragraph" w:styleId="TOC4">
    <w:name w:val="toc 4"/>
    <w:basedOn w:val="Normal"/>
    <w:next w:val="Normal"/>
    <w:autoRedefine/>
    <w:uiPriority w:val="39"/>
    <w:unhideWhenUsed/>
    <w:rsid w:val="00357674"/>
    <w:pPr>
      <w:spacing w:after="100" w:line="276" w:lineRule="auto"/>
      <w:ind w:left="660"/>
      <w:jc w:val="left"/>
    </w:pPr>
    <w:rPr>
      <w:rFonts w:asciiTheme="minorHAnsi" w:eastAsiaTheme="minorEastAsia" w:hAnsiTheme="minorHAnsi" w:cstheme="minorBidi"/>
      <w:w w:val="100"/>
      <w:kern w:val="0"/>
      <w:sz w:val="22"/>
      <w:szCs w:val="22"/>
    </w:rPr>
  </w:style>
  <w:style w:type="paragraph" w:styleId="TOC5">
    <w:name w:val="toc 5"/>
    <w:basedOn w:val="Normal"/>
    <w:next w:val="Normal"/>
    <w:autoRedefine/>
    <w:uiPriority w:val="39"/>
    <w:unhideWhenUsed/>
    <w:rsid w:val="00357674"/>
    <w:pPr>
      <w:spacing w:after="100" w:line="276" w:lineRule="auto"/>
      <w:ind w:left="880"/>
      <w:jc w:val="left"/>
    </w:pPr>
    <w:rPr>
      <w:rFonts w:asciiTheme="minorHAnsi" w:eastAsiaTheme="minorEastAsia" w:hAnsiTheme="minorHAnsi" w:cstheme="minorBidi"/>
      <w:w w:val="100"/>
      <w:kern w:val="0"/>
      <w:sz w:val="22"/>
      <w:szCs w:val="22"/>
    </w:rPr>
  </w:style>
  <w:style w:type="paragraph" w:styleId="TOC6">
    <w:name w:val="toc 6"/>
    <w:basedOn w:val="Normal"/>
    <w:next w:val="Normal"/>
    <w:autoRedefine/>
    <w:uiPriority w:val="39"/>
    <w:unhideWhenUsed/>
    <w:rsid w:val="00357674"/>
    <w:pPr>
      <w:spacing w:after="100" w:line="276" w:lineRule="auto"/>
      <w:ind w:left="1100"/>
      <w:jc w:val="left"/>
    </w:pPr>
    <w:rPr>
      <w:rFonts w:asciiTheme="minorHAnsi" w:eastAsiaTheme="minorEastAsia" w:hAnsiTheme="minorHAnsi" w:cstheme="minorBidi"/>
      <w:w w:val="100"/>
      <w:kern w:val="0"/>
      <w:sz w:val="22"/>
      <w:szCs w:val="22"/>
    </w:rPr>
  </w:style>
  <w:style w:type="paragraph" w:styleId="TOC7">
    <w:name w:val="toc 7"/>
    <w:basedOn w:val="Normal"/>
    <w:next w:val="Normal"/>
    <w:autoRedefine/>
    <w:uiPriority w:val="39"/>
    <w:unhideWhenUsed/>
    <w:rsid w:val="00357674"/>
    <w:pPr>
      <w:spacing w:after="100" w:line="276" w:lineRule="auto"/>
      <w:ind w:left="1320"/>
      <w:jc w:val="left"/>
    </w:pPr>
    <w:rPr>
      <w:rFonts w:asciiTheme="minorHAnsi" w:eastAsiaTheme="minorEastAsia" w:hAnsiTheme="minorHAnsi" w:cstheme="minorBidi"/>
      <w:w w:val="100"/>
      <w:kern w:val="0"/>
      <w:sz w:val="22"/>
      <w:szCs w:val="22"/>
    </w:rPr>
  </w:style>
  <w:style w:type="paragraph" w:styleId="TOC8">
    <w:name w:val="toc 8"/>
    <w:basedOn w:val="Normal"/>
    <w:next w:val="Normal"/>
    <w:autoRedefine/>
    <w:uiPriority w:val="39"/>
    <w:unhideWhenUsed/>
    <w:rsid w:val="00357674"/>
    <w:pPr>
      <w:spacing w:after="100" w:line="276" w:lineRule="auto"/>
      <w:ind w:left="1540"/>
      <w:jc w:val="left"/>
    </w:pPr>
    <w:rPr>
      <w:rFonts w:asciiTheme="minorHAnsi" w:eastAsiaTheme="minorEastAsia" w:hAnsiTheme="minorHAnsi" w:cstheme="minorBidi"/>
      <w:w w:val="100"/>
      <w:kern w:val="0"/>
      <w:sz w:val="22"/>
      <w:szCs w:val="22"/>
    </w:rPr>
  </w:style>
  <w:style w:type="paragraph" w:styleId="TOC9">
    <w:name w:val="toc 9"/>
    <w:basedOn w:val="Normal"/>
    <w:next w:val="Normal"/>
    <w:autoRedefine/>
    <w:uiPriority w:val="39"/>
    <w:unhideWhenUsed/>
    <w:rsid w:val="00357674"/>
    <w:pPr>
      <w:spacing w:after="100" w:line="276" w:lineRule="auto"/>
      <w:ind w:left="1760"/>
      <w:jc w:val="left"/>
    </w:pPr>
    <w:rPr>
      <w:rFonts w:asciiTheme="minorHAnsi" w:eastAsiaTheme="minorEastAsia" w:hAnsiTheme="minorHAnsi" w:cstheme="minorBidi"/>
      <w:w w:val="1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ommons.wikimedia.org/wiki/File:Yes_check.svg"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9.png"/><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commons.wikimedia.org/wiki/File:Zeichen_101.svg"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footer" Target="footer4.xml"/><Relationship Id="rId30" Type="http://schemas.openxmlformats.org/officeDocument/2006/relationships/header" Target="head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D7C3-3944-49C6-B01B-01C9925E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13366</Words>
  <Characters>70840</Characters>
  <Application>Microsoft Office Word</Application>
  <DocSecurity>0</DocSecurity>
  <Lines>1727</Lines>
  <Paragraphs>877</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83329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Mahmoud</dc:creator>
  <cp:lastModifiedBy>Tpsara</cp:lastModifiedBy>
  <cp:revision>3</cp:revision>
  <cp:lastPrinted>2015-09-21T11:40:00Z</cp:lastPrinted>
  <dcterms:created xsi:type="dcterms:W3CDTF">2015-09-21T11:40:00Z</dcterms:created>
  <dcterms:modified xsi:type="dcterms:W3CDTF">2015-09-21T11:40:00Z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1511341</vt:lpwstr>
  </property>
  <property fmtid="{D5CDD505-2E9C-101B-9397-08002B2CF9AE}" pid="3" name="ODSRefJobNo">
    <vt:lpwstr>1515109A</vt:lpwstr>
  </property>
  <property fmtid="{D5CDD505-2E9C-101B-9397-08002B2CF9AE}" pid="4" name="Symbol1">
    <vt:lpwstr>HRI/CORE/ARG/2014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8 July 2015</vt:lpwstr>
  </property>
  <property fmtid="{D5CDD505-2E9C-101B-9397-08002B2CF9AE}" pid="9" name="Original">
    <vt:lpwstr>Spanish</vt:lpwstr>
  </property>
  <property fmtid="{D5CDD505-2E9C-101B-9397-08002B2CF9AE}" pid="10" name="Release Date">
    <vt:lpwstr>200915</vt:lpwstr>
  </property>
  <property fmtid="{D5CDD505-2E9C-101B-9397-08002B2CF9AE}" pid="11" name="Comment">
    <vt:lpwstr>External</vt:lpwstr>
  </property>
  <property fmtid="{D5CDD505-2E9C-101B-9397-08002B2CF9AE}" pid="12" name="DraftPages">
    <vt:lpwstr>46</vt:lpwstr>
  </property>
  <property fmtid="{D5CDD505-2E9C-101B-9397-08002B2CF9AE}" pid="13" name="Operator">
    <vt:lpwstr>Gamal</vt:lpwstr>
  </property>
</Properties>
</file>