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537"/>
        <w:gridCol w:w="3828"/>
      </w:tblGrid>
      <w:tr w:rsidR="006B3E27" w:rsidRPr="00DB7679" w:rsidTr="00A130A4">
        <w:trPr>
          <w:trHeight w:hRule="exact" w:val="851"/>
        </w:trPr>
        <w:tc>
          <w:tcPr>
            <w:tcW w:w="1274" w:type="dxa"/>
            <w:tcBorders>
              <w:bottom w:val="single" w:sz="4" w:space="0" w:color="auto"/>
            </w:tcBorders>
          </w:tcPr>
          <w:p w:rsidR="006B3E27" w:rsidRPr="00983870" w:rsidRDefault="006B3E27" w:rsidP="00A130A4">
            <w:pPr>
              <w:bidi w:val="0"/>
              <w:jc w:val="right"/>
            </w:pPr>
          </w:p>
        </w:tc>
        <w:tc>
          <w:tcPr>
            <w:tcW w:w="4537" w:type="dxa"/>
            <w:tcBorders>
              <w:bottom w:val="single" w:sz="4" w:space="0" w:color="auto"/>
            </w:tcBorders>
            <w:vAlign w:val="bottom"/>
          </w:tcPr>
          <w:p w:rsidR="006B3E27" w:rsidRPr="00DB7679" w:rsidRDefault="006B3E27" w:rsidP="00A130A4">
            <w:pPr>
              <w:spacing w:after="80" w:line="480" w:lineRule="exact"/>
              <w:jc w:val="left"/>
              <w:rPr>
                <w:szCs w:val="40"/>
                <w:rtl/>
              </w:rPr>
            </w:pPr>
            <w:r w:rsidRPr="00DB7679">
              <w:rPr>
                <w:rFonts w:hint="cs"/>
                <w:szCs w:val="40"/>
                <w:rtl/>
              </w:rPr>
              <w:t>الأمم المتحدة</w:t>
            </w:r>
          </w:p>
        </w:tc>
        <w:tc>
          <w:tcPr>
            <w:tcW w:w="3828" w:type="dxa"/>
            <w:tcBorders>
              <w:bottom w:val="single" w:sz="4" w:space="0" w:color="auto"/>
            </w:tcBorders>
            <w:vAlign w:val="bottom"/>
          </w:tcPr>
          <w:p w:rsidR="006B3E27" w:rsidRPr="00243C8A" w:rsidRDefault="001C5513" w:rsidP="00633584">
            <w:pPr>
              <w:bidi w:val="0"/>
              <w:spacing w:after="20"/>
              <w:jc w:val="left"/>
              <w:rPr>
                <w:szCs w:val="20"/>
              </w:rPr>
            </w:pPr>
            <w:r w:rsidRPr="001C5513">
              <w:rPr>
                <w:sz w:val="40"/>
                <w:szCs w:val="20"/>
              </w:rPr>
              <w:t>HRI</w:t>
            </w:r>
            <w:r>
              <w:rPr>
                <w:szCs w:val="20"/>
              </w:rPr>
              <w:t>/CORE/SSD/</w:t>
            </w:r>
            <w:r w:rsidRPr="00C1338B">
              <w:rPr>
                <w:szCs w:val="20"/>
              </w:rPr>
              <w:t>2020</w:t>
            </w:r>
          </w:p>
        </w:tc>
      </w:tr>
      <w:tr w:rsidR="006B3E27" w:rsidRPr="00DB7679" w:rsidTr="00A130A4">
        <w:trPr>
          <w:trHeight w:hRule="exact" w:val="2835"/>
        </w:trPr>
        <w:tc>
          <w:tcPr>
            <w:tcW w:w="1274" w:type="dxa"/>
            <w:tcBorders>
              <w:top w:val="single" w:sz="4" w:space="0" w:color="auto"/>
              <w:bottom w:val="single" w:sz="12" w:space="0" w:color="auto"/>
            </w:tcBorders>
          </w:tcPr>
          <w:p w:rsidR="006B3E27" w:rsidRPr="00DB7679" w:rsidRDefault="0059622A" w:rsidP="00A130A4">
            <w:pPr>
              <w:jc w:val="center"/>
              <w:rPr>
                <w:rtl/>
              </w:rPr>
            </w:pPr>
            <w:r>
              <w:rPr>
                <w:noProof/>
              </w:rPr>
              <w:drawing>
                <wp:inline distT="0" distB="0" distL="0" distR="0" wp14:anchorId="4D1D3C07" wp14:editId="7594C5DC">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37" w:type="dxa"/>
            <w:tcBorders>
              <w:top w:val="single" w:sz="4" w:space="0" w:color="auto"/>
              <w:bottom w:val="single" w:sz="12" w:space="0" w:color="auto"/>
            </w:tcBorders>
          </w:tcPr>
          <w:p w:rsidR="006B3E27" w:rsidRPr="00354CC2" w:rsidRDefault="00354CC2" w:rsidP="00A130A4">
            <w:pPr>
              <w:spacing w:before="240" w:after="40" w:line="640" w:lineRule="exact"/>
              <w:jc w:val="left"/>
              <w:rPr>
                <w:b/>
                <w:bCs/>
                <w:sz w:val="52"/>
                <w:szCs w:val="52"/>
              </w:rPr>
            </w:pPr>
            <w:r w:rsidRPr="00354CC2">
              <w:rPr>
                <w:rFonts w:hint="cs"/>
                <w:b/>
                <w:bCs/>
                <w:sz w:val="52"/>
                <w:szCs w:val="52"/>
                <w:rtl/>
              </w:rPr>
              <w:t>الصكوك الدولية لحقوق الإنسان</w:t>
            </w:r>
          </w:p>
        </w:tc>
        <w:tc>
          <w:tcPr>
            <w:tcW w:w="3828" w:type="dxa"/>
            <w:tcBorders>
              <w:top w:val="single" w:sz="4" w:space="0" w:color="auto"/>
              <w:bottom w:val="single" w:sz="12" w:space="0" w:color="auto"/>
            </w:tcBorders>
          </w:tcPr>
          <w:p w:rsidR="008B7751" w:rsidRPr="008B7751" w:rsidRDefault="008B7751" w:rsidP="008B7751">
            <w:pPr>
              <w:bidi w:val="0"/>
              <w:spacing w:before="240" w:line="240" w:lineRule="auto"/>
              <w:jc w:val="left"/>
              <w:rPr>
                <w:rFonts w:eastAsia="SimSun" w:cs="Times New Roman"/>
                <w:szCs w:val="20"/>
                <w:lang w:val="en-GB" w:eastAsia="zh-CN"/>
              </w:rPr>
            </w:pPr>
            <w:r w:rsidRPr="008B7751">
              <w:rPr>
                <w:rFonts w:eastAsia="SimSun" w:cs="Times New Roman"/>
                <w:szCs w:val="20"/>
                <w:lang w:val="en-GB" w:eastAsia="zh-CN"/>
              </w:rPr>
              <w:t>Distr.: General</w:t>
            </w:r>
          </w:p>
          <w:p w:rsidR="008B7751" w:rsidRPr="008B7751" w:rsidRDefault="008B7751" w:rsidP="008B7751">
            <w:pPr>
              <w:bidi w:val="0"/>
              <w:spacing w:line="240" w:lineRule="auto"/>
              <w:jc w:val="left"/>
              <w:rPr>
                <w:rFonts w:eastAsia="SimSun" w:cs="Times New Roman"/>
                <w:szCs w:val="20"/>
                <w:lang w:val="en-GB" w:eastAsia="zh-CN"/>
              </w:rPr>
            </w:pPr>
            <w:r w:rsidRPr="008B7751">
              <w:rPr>
                <w:rFonts w:eastAsia="SimSun" w:cs="Times New Roman"/>
                <w:szCs w:val="20"/>
                <w:lang w:val="en-GB" w:eastAsia="zh-CN"/>
              </w:rPr>
              <w:t>28 February 2020</w:t>
            </w:r>
          </w:p>
          <w:p w:rsidR="008B7751" w:rsidRPr="008B7751" w:rsidRDefault="008B7751" w:rsidP="008B7751">
            <w:pPr>
              <w:bidi w:val="0"/>
              <w:spacing w:line="240" w:lineRule="auto"/>
              <w:jc w:val="left"/>
              <w:rPr>
                <w:rFonts w:eastAsia="SimSun" w:cs="Times New Roman"/>
                <w:szCs w:val="20"/>
                <w:lang w:val="en-GB" w:eastAsia="zh-CN"/>
              </w:rPr>
            </w:pPr>
            <w:r>
              <w:rPr>
                <w:rFonts w:eastAsia="SimSun" w:cs="Times New Roman"/>
                <w:szCs w:val="20"/>
                <w:lang w:val="en-GB" w:eastAsia="zh-CN"/>
              </w:rPr>
              <w:t>Arabic</w:t>
            </w:r>
          </w:p>
          <w:p w:rsidR="00633584" w:rsidRPr="008B7751" w:rsidRDefault="008B7751" w:rsidP="008B7751">
            <w:pPr>
              <w:bidi w:val="0"/>
              <w:jc w:val="left"/>
              <w:rPr>
                <w:lang w:val="en-GB"/>
              </w:rPr>
            </w:pPr>
            <w:r w:rsidRPr="008B7751">
              <w:rPr>
                <w:rFonts w:eastAsia="SimSun" w:cs="Times New Roman"/>
                <w:szCs w:val="20"/>
                <w:lang w:val="en-GB" w:eastAsia="zh-CN"/>
              </w:rPr>
              <w:t>Original: English</w:t>
            </w:r>
          </w:p>
        </w:tc>
      </w:tr>
    </w:tbl>
    <w:p w:rsidR="00633584" w:rsidRDefault="00633584" w:rsidP="006B0ECA">
      <w:pPr>
        <w:pStyle w:val="HMGA"/>
        <w:spacing w:before="480"/>
        <w:rPr>
          <w:rtl/>
        </w:rPr>
      </w:pPr>
      <w:r>
        <w:rPr>
          <w:rtl/>
        </w:rPr>
        <w:tab/>
      </w:r>
      <w:r>
        <w:rPr>
          <w:rtl/>
        </w:rPr>
        <w:tab/>
        <w:t>وثيقة أساسية مشتركة تشكل جزءاً من تقارير الدول الأطراف</w:t>
      </w:r>
    </w:p>
    <w:p w:rsidR="00633584" w:rsidRDefault="00633584" w:rsidP="00633584">
      <w:pPr>
        <w:pStyle w:val="HMGA"/>
        <w:rPr>
          <w:rtl/>
        </w:rPr>
      </w:pPr>
      <w:r>
        <w:rPr>
          <w:rtl/>
        </w:rPr>
        <w:tab/>
      </w:r>
      <w:r>
        <w:rPr>
          <w:rtl/>
        </w:rPr>
        <w:tab/>
        <w:t>جنوب السودان</w:t>
      </w:r>
      <w:r w:rsidRPr="003F1CBD">
        <w:rPr>
          <w:rStyle w:val="FootnoteReference"/>
          <w:position w:val="6"/>
          <w:sz w:val="20"/>
          <w:vertAlign w:val="baseline"/>
          <w:rtl/>
        </w:rPr>
        <w:footnoteReference w:customMarkFollows="1" w:id="1"/>
        <w:t>*</w:t>
      </w:r>
    </w:p>
    <w:p w:rsidR="00633584" w:rsidRDefault="00633584" w:rsidP="00633584">
      <w:pPr>
        <w:pStyle w:val="SingleTxtGA"/>
        <w:bidi w:val="0"/>
        <w:spacing w:line="380" w:lineRule="exact"/>
        <w:rPr>
          <w:rtl/>
        </w:rPr>
      </w:pPr>
      <w:r>
        <w:rPr>
          <w:rtl/>
        </w:rPr>
        <w:t xml:space="preserve">[تاريخ الاستلام: </w:t>
      </w:r>
      <w:r w:rsidRPr="00C1338B">
        <w:rPr>
          <w:szCs w:val="20"/>
          <w:rtl/>
        </w:rPr>
        <w:t>30</w:t>
      </w:r>
      <w:r>
        <w:rPr>
          <w:rtl/>
        </w:rPr>
        <w:t xml:space="preserve"> كانون الثاني/يناير </w:t>
      </w:r>
      <w:r w:rsidRPr="00C1338B">
        <w:rPr>
          <w:szCs w:val="20"/>
          <w:rtl/>
        </w:rPr>
        <w:t>2020</w:t>
      </w:r>
      <w:r>
        <w:rPr>
          <w:rtl/>
        </w:rPr>
        <w:t>]</w:t>
      </w:r>
    </w:p>
    <w:p w:rsidR="00633584" w:rsidRDefault="00633584" w:rsidP="00633584">
      <w:pPr>
        <w:pStyle w:val="HChGA"/>
        <w:spacing w:before="120"/>
        <w:rPr>
          <w:rtl/>
        </w:rPr>
      </w:pPr>
      <w:r>
        <w:rPr>
          <w:rtl/>
        </w:rPr>
        <w:br w:type="page"/>
      </w:r>
      <w:r>
        <w:rPr>
          <w:rtl/>
        </w:rPr>
        <w:tab/>
      </w:r>
      <w:r>
        <w:rPr>
          <w:rtl/>
        </w:rPr>
        <w:tab/>
        <w:t>مقدمة</w:t>
      </w:r>
    </w:p>
    <w:p w:rsidR="00633584" w:rsidRDefault="00633584" w:rsidP="008B7751">
      <w:pPr>
        <w:pStyle w:val="SingleTxtGA"/>
        <w:spacing w:line="340" w:lineRule="exact"/>
        <w:rPr>
          <w:rFonts w:hint="cs"/>
          <w:rtl/>
        </w:rPr>
      </w:pPr>
      <w:r w:rsidRPr="00C1338B">
        <w:rPr>
          <w:szCs w:val="20"/>
          <w:rtl/>
        </w:rPr>
        <w:t>1</w:t>
      </w:r>
      <w:r>
        <w:rPr>
          <w:rtl/>
        </w:rPr>
        <w:t>-</w:t>
      </w:r>
      <w:r>
        <w:rPr>
          <w:rtl/>
        </w:rPr>
        <w:tab/>
        <w:t>أُعدت هذه الوثيقة الأساسية المشتركة بما يتمشى مع المبادئ التوجيهية المنسَّقة للجنة</w:t>
      </w:r>
      <w:r w:rsidR="008B7751">
        <w:rPr>
          <w:rFonts w:hint="cs"/>
          <w:rtl/>
        </w:rPr>
        <w:t> </w:t>
      </w:r>
      <w:r>
        <w:rPr>
          <w:rtl/>
        </w:rPr>
        <w:t>‏المعنية بحقوق الإنسان فيما يتعلق بشكل ومضمون التقارير الدورية التي ‏يتعين أن تقدمها الدول الأطراف.</w:t>
      </w:r>
      <w:r>
        <w:rPr>
          <w:rFonts w:ascii="Arial" w:hAnsi="Arial" w:cs="Arial" w:hint="cs"/>
          <w:rtl/>
        </w:rPr>
        <w:t>‬</w:t>
      </w:r>
    </w:p>
    <w:p w:rsidR="00633584" w:rsidRDefault="00633584" w:rsidP="008B7751">
      <w:pPr>
        <w:pStyle w:val="SingleTxtGA"/>
        <w:spacing w:line="340" w:lineRule="exact"/>
        <w:rPr>
          <w:rtl/>
        </w:rPr>
      </w:pPr>
      <w:r w:rsidRPr="00C1338B">
        <w:rPr>
          <w:szCs w:val="20"/>
          <w:rtl/>
        </w:rPr>
        <w:t>2</w:t>
      </w:r>
      <w:r>
        <w:rPr>
          <w:rtl/>
        </w:rPr>
        <w:t>-</w:t>
      </w:r>
      <w:r>
        <w:rPr>
          <w:rtl/>
        </w:rPr>
        <w:tab/>
      </w:r>
      <w:r w:rsidRPr="008B7751">
        <w:rPr>
          <w:spacing w:val="-4"/>
          <w:rtl/>
        </w:rPr>
        <w:t>وتقدم هذه الوثيقة معلومات عن الأُطر القانونية الهادفة إلى حماية وتعزيز حقوق الإنسان</w:t>
      </w:r>
      <w:r>
        <w:rPr>
          <w:rtl/>
        </w:rPr>
        <w:t xml:space="preserve"> في</w:t>
      </w:r>
      <w:r w:rsidR="008B7751">
        <w:rPr>
          <w:rFonts w:hint="cs"/>
          <w:rtl/>
        </w:rPr>
        <w:t> </w:t>
      </w:r>
      <w:r>
        <w:rPr>
          <w:rtl/>
        </w:rPr>
        <w:t xml:space="preserve">البلد </w:t>
      </w:r>
      <w:r w:rsidRPr="003661C1">
        <w:rPr>
          <w:spacing w:val="-4"/>
          <w:rtl/>
        </w:rPr>
        <w:t>والتدابير المتخذة للقضاء على أي شكل من أشكال التمييز في التمتع بالحقوق المدنية والسياسية والاقتصادية</w:t>
      </w:r>
      <w:r>
        <w:rPr>
          <w:rtl/>
        </w:rPr>
        <w:t xml:space="preserve"> والاجتماعية والثقافية.</w:t>
      </w:r>
    </w:p>
    <w:p w:rsidR="00633584" w:rsidRDefault="00633584" w:rsidP="008B7751">
      <w:pPr>
        <w:pStyle w:val="SingleTxtGA"/>
        <w:spacing w:line="340" w:lineRule="exact"/>
        <w:rPr>
          <w:rtl/>
        </w:rPr>
      </w:pPr>
      <w:r w:rsidRPr="00C1338B">
        <w:rPr>
          <w:szCs w:val="20"/>
          <w:rtl/>
        </w:rPr>
        <w:t>3</w:t>
      </w:r>
      <w:r>
        <w:rPr>
          <w:rtl/>
        </w:rPr>
        <w:t>-</w:t>
      </w:r>
      <w:r>
        <w:rPr>
          <w:rtl/>
        </w:rPr>
        <w:tab/>
        <w:t xml:space="preserve">ووفقاً للمبادئ التوجيهية الموحَّدة لإعداد الوثيقة الأساسية المشتركة، تنقسم هذه الوثيقة إلى </w:t>
      </w:r>
      <w:r w:rsidRPr="003661C1">
        <w:rPr>
          <w:spacing w:val="-4"/>
          <w:rtl/>
        </w:rPr>
        <w:t>ثلاثة أجزاء: معلومات عامة عن جنوب السودان؛ ومعلومات عن الإطار المؤسسي لحماية وتعزيز حقوق</w:t>
      </w:r>
      <w:r>
        <w:rPr>
          <w:rtl/>
        </w:rPr>
        <w:t xml:space="preserve"> الإنسان؛ والتدابير المتخذة للقضاء على جميع أشكال التمييز في التمتع بالحقوق المدنية والسياسية والاقتصادية والاجتماعية والثقافية.</w:t>
      </w:r>
    </w:p>
    <w:p w:rsidR="00633584" w:rsidRDefault="00633584" w:rsidP="003F1CBD">
      <w:pPr>
        <w:pStyle w:val="H1GA"/>
        <w:rPr>
          <w:rtl/>
        </w:rPr>
      </w:pPr>
      <w:r>
        <w:rPr>
          <w:rtl/>
        </w:rPr>
        <w:tab/>
        <w:t>ألف-</w:t>
      </w:r>
      <w:r>
        <w:rPr>
          <w:rtl/>
        </w:rPr>
        <w:tab/>
        <w:t>معلومات عامة عن جمهورية جنوب السودان</w:t>
      </w:r>
    </w:p>
    <w:p w:rsidR="00633584" w:rsidRDefault="003F1CBD" w:rsidP="008B7751">
      <w:pPr>
        <w:pStyle w:val="H23GA"/>
        <w:spacing w:line="340" w:lineRule="exact"/>
        <w:rPr>
          <w:rtl/>
        </w:rPr>
      </w:pPr>
      <w:r>
        <w:rPr>
          <w:rtl/>
        </w:rPr>
        <w:tab/>
      </w:r>
      <w:r>
        <w:rPr>
          <w:rtl/>
        </w:rPr>
        <w:tab/>
      </w:r>
      <w:r w:rsidR="00633584">
        <w:rPr>
          <w:rtl/>
        </w:rPr>
        <w:t>معلومات جغرافية</w:t>
      </w:r>
    </w:p>
    <w:p w:rsidR="00633584" w:rsidRDefault="00633584" w:rsidP="008B7751">
      <w:pPr>
        <w:pStyle w:val="SingleTxtGA"/>
        <w:spacing w:line="340" w:lineRule="exact"/>
        <w:rPr>
          <w:rtl/>
        </w:rPr>
      </w:pPr>
      <w:r w:rsidRPr="00C1338B">
        <w:rPr>
          <w:szCs w:val="20"/>
          <w:rtl/>
        </w:rPr>
        <w:t>4</w:t>
      </w:r>
      <w:r>
        <w:rPr>
          <w:rtl/>
        </w:rPr>
        <w:t>-</w:t>
      </w:r>
      <w:r>
        <w:rPr>
          <w:rtl/>
        </w:rPr>
        <w:tab/>
      </w:r>
      <w:r w:rsidRPr="008B7751">
        <w:rPr>
          <w:spacing w:val="-4"/>
          <w:rtl/>
        </w:rPr>
        <w:t xml:space="preserve">يقع جنوب السودان بين خطي العرض </w:t>
      </w:r>
      <w:r w:rsidRPr="00C1338B">
        <w:rPr>
          <w:spacing w:val="-4"/>
          <w:szCs w:val="20"/>
          <w:rtl/>
        </w:rPr>
        <w:t>3</w:t>
      </w:r>
      <w:r w:rsidRPr="008B7751">
        <w:rPr>
          <w:spacing w:val="-4"/>
          <w:rtl/>
        </w:rPr>
        <w:t>° و</w:t>
      </w:r>
      <w:r w:rsidRPr="00C1338B">
        <w:rPr>
          <w:spacing w:val="-4"/>
          <w:szCs w:val="20"/>
          <w:rtl/>
        </w:rPr>
        <w:t>13</w:t>
      </w:r>
      <w:r w:rsidRPr="008B7751">
        <w:rPr>
          <w:spacing w:val="-4"/>
          <w:rtl/>
        </w:rPr>
        <w:t xml:space="preserve">° شمالاً وخطي الطول </w:t>
      </w:r>
      <w:r w:rsidRPr="00C1338B">
        <w:rPr>
          <w:spacing w:val="-4"/>
          <w:szCs w:val="20"/>
          <w:rtl/>
        </w:rPr>
        <w:t>24</w:t>
      </w:r>
      <w:r w:rsidRPr="008B7751">
        <w:rPr>
          <w:spacing w:val="-4"/>
          <w:rtl/>
        </w:rPr>
        <w:t>° و</w:t>
      </w:r>
      <w:r w:rsidRPr="00C1338B">
        <w:rPr>
          <w:spacing w:val="-4"/>
          <w:szCs w:val="20"/>
          <w:rtl/>
        </w:rPr>
        <w:t>36</w:t>
      </w:r>
      <w:r w:rsidRPr="008B7751">
        <w:rPr>
          <w:spacing w:val="-4"/>
          <w:rtl/>
        </w:rPr>
        <w:t>° شرقاً،</w:t>
      </w:r>
      <w:r>
        <w:rPr>
          <w:rtl/>
        </w:rPr>
        <w:t xml:space="preserve"> </w:t>
      </w:r>
      <w:r w:rsidRPr="008B7751">
        <w:rPr>
          <w:spacing w:val="-4"/>
          <w:rtl/>
        </w:rPr>
        <w:t xml:space="preserve">وتبلغ مساحته </w:t>
      </w:r>
      <w:r w:rsidRPr="00C1338B">
        <w:rPr>
          <w:spacing w:val="-4"/>
          <w:szCs w:val="20"/>
          <w:rtl/>
        </w:rPr>
        <w:t>285</w:t>
      </w:r>
      <w:r w:rsidRPr="008B7751">
        <w:rPr>
          <w:spacing w:val="-4"/>
          <w:rtl/>
        </w:rPr>
        <w:t xml:space="preserve"> </w:t>
      </w:r>
      <w:r w:rsidR="003F1CBD" w:rsidRPr="00C1338B">
        <w:rPr>
          <w:spacing w:val="-4"/>
          <w:szCs w:val="20"/>
          <w:rtl/>
        </w:rPr>
        <w:t>239</w:t>
      </w:r>
      <w:r w:rsidR="003F1CBD" w:rsidRPr="008B7751">
        <w:rPr>
          <w:rFonts w:hint="cs"/>
          <w:spacing w:val="-4"/>
          <w:rtl/>
        </w:rPr>
        <w:t xml:space="preserve"> </w:t>
      </w:r>
      <w:r w:rsidRPr="008B7751">
        <w:rPr>
          <w:spacing w:val="-4"/>
          <w:rtl/>
        </w:rPr>
        <w:t xml:space="preserve">ميلاً مربعاً. وتحد جنوب السودان جمهورية السودان من الشمال، وإثيوبيا </w:t>
      </w:r>
      <w:r w:rsidRPr="008B7751">
        <w:rPr>
          <w:spacing w:val="-5"/>
          <w:rtl/>
        </w:rPr>
        <w:t>من الشرق، وأوغندا من الجنوب، وكينيا من الجنوب الشرقي، وجمهورية الكونغو الديمقراطية من الجنوب</w:t>
      </w:r>
      <w:r w:rsidRPr="008B7751">
        <w:rPr>
          <w:spacing w:val="-4"/>
          <w:rtl/>
        </w:rPr>
        <w:t xml:space="preserve"> </w:t>
      </w:r>
      <w:r w:rsidRPr="008B7751">
        <w:rPr>
          <w:spacing w:val="-5"/>
          <w:rtl/>
        </w:rPr>
        <w:t>الغربي، وجمهورية أفريقيا الوسطى من الغرب. ويقع جنوب السودان بالقرب من خط الاستواء ويغلب</w:t>
      </w:r>
      <w:r>
        <w:rPr>
          <w:rtl/>
        </w:rPr>
        <w:t xml:space="preserve"> على ساحته الطبيعية بصورة رئيسية وجود الغابات الاستوائية والمستنقعات والأراضي العشبية.</w:t>
      </w:r>
    </w:p>
    <w:p w:rsidR="00633584" w:rsidRPr="00E700F1" w:rsidRDefault="00633584" w:rsidP="008B7751">
      <w:pPr>
        <w:pStyle w:val="SingleTxtGA"/>
        <w:spacing w:line="340" w:lineRule="exact"/>
        <w:rPr>
          <w:rtl/>
        </w:rPr>
      </w:pPr>
      <w:r w:rsidRPr="00E700F1">
        <w:rPr>
          <w:szCs w:val="20"/>
          <w:rtl/>
        </w:rPr>
        <w:t>5</w:t>
      </w:r>
      <w:r w:rsidRPr="00E700F1">
        <w:rPr>
          <w:rtl/>
        </w:rPr>
        <w:t>-</w:t>
      </w:r>
      <w:r w:rsidRPr="00E700F1">
        <w:rPr>
          <w:rtl/>
        </w:rPr>
        <w:tab/>
        <w:t>ويتسم المناخ الاستوائي للبلد بمواسم الأمطار ذات الرطوبة العالية والكميات الكبيرة من الأمطار التي</w:t>
      </w:r>
      <w:r w:rsidR="00E700F1" w:rsidRPr="00E700F1">
        <w:rPr>
          <w:rFonts w:hint="cs"/>
          <w:rtl/>
        </w:rPr>
        <w:t> </w:t>
      </w:r>
      <w:r w:rsidRPr="00E700F1">
        <w:rPr>
          <w:rtl/>
        </w:rPr>
        <w:t>يتساقط معظمها خلال الفترة من نيسان/أبريل إلى تشرين الأول/أكتوبر، بمتوسط سنوي كلي يبلغ نحو</w:t>
      </w:r>
      <w:r w:rsidR="00E700F1" w:rsidRPr="00E700F1">
        <w:rPr>
          <w:rFonts w:hint="cs"/>
          <w:rtl/>
        </w:rPr>
        <w:t> </w:t>
      </w:r>
      <w:r w:rsidRPr="00E700F1">
        <w:rPr>
          <w:szCs w:val="20"/>
          <w:rtl/>
        </w:rPr>
        <w:t>953</w:t>
      </w:r>
      <w:r w:rsidRPr="00E700F1">
        <w:rPr>
          <w:rtl/>
        </w:rPr>
        <w:t xml:space="preserve"> ملم. وجنوب السودان هو بلد من أحد عشر بلداً يتدفق عبرها النيل الأبيض. وغاباته المطيرة هي</w:t>
      </w:r>
      <w:r w:rsidR="00E700F1" w:rsidRPr="00E700F1">
        <w:rPr>
          <w:rFonts w:hint="cs"/>
          <w:rtl/>
        </w:rPr>
        <w:t> </w:t>
      </w:r>
      <w:r w:rsidRPr="00E700F1">
        <w:rPr>
          <w:rtl/>
        </w:rPr>
        <w:t xml:space="preserve">موطن لكثير من أنواع الحياة البرية التي تشكل مزيجاً مثيراً للاهتمام من أنواع الغابات والسافانا الموجودة في وسط وشرق إفريقيا. وللبلد أيضاً نصيبه من الأوضاع المناخية القاسية بما </w:t>
      </w:r>
      <w:proofErr w:type="spellStart"/>
      <w:r w:rsidRPr="00E700F1">
        <w:rPr>
          <w:rtl/>
        </w:rPr>
        <w:t>يواجهه</w:t>
      </w:r>
      <w:proofErr w:type="spellEnd"/>
      <w:r w:rsidRPr="00E700F1">
        <w:rPr>
          <w:rtl/>
        </w:rPr>
        <w:t xml:space="preserve"> من فيضانات وحالات جفاف في بعض السنوات وفي أجزاء مختلفة من البلد.</w:t>
      </w:r>
    </w:p>
    <w:p w:rsidR="00633584" w:rsidRPr="003F1CBD" w:rsidRDefault="003F1CBD" w:rsidP="003661C1">
      <w:pPr>
        <w:pStyle w:val="H23GA"/>
        <w:spacing w:after="240" w:line="340" w:lineRule="exact"/>
        <w:rPr>
          <w:rtl/>
        </w:rPr>
      </w:pPr>
      <w:r>
        <w:rPr>
          <w:rtl/>
        </w:rPr>
        <w:tab/>
      </w:r>
      <w:r>
        <w:rPr>
          <w:rtl/>
        </w:rPr>
        <w:tab/>
      </w:r>
      <w:r w:rsidR="00633584">
        <w:rPr>
          <w:rtl/>
        </w:rPr>
        <w:t xml:space="preserve">خريطة جنوب السودان والبلدان </w:t>
      </w:r>
      <w:proofErr w:type="gramStart"/>
      <w:r w:rsidR="00633584">
        <w:rPr>
          <w:rtl/>
        </w:rPr>
        <w:t>المجاورة</w:t>
      </w:r>
      <w:r>
        <w:rPr>
          <w:vertAlign w:val="superscript"/>
          <w:rtl/>
        </w:rPr>
        <w:t>(</w:t>
      </w:r>
      <w:proofErr w:type="gramEnd"/>
      <w:r w:rsidRPr="00C1338B">
        <w:rPr>
          <w:rStyle w:val="FootnoteReference"/>
          <w:rFonts w:cs="Times New Roman"/>
          <w:position w:val="4"/>
          <w:sz w:val="20"/>
        </w:rPr>
        <w:footnoteReference w:id="2"/>
      </w:r>
      <w:r>
        <w:rPr>
          <w:vertAlign w:val="superscript"/>
          <w:rtl/>
        </w:rPr>
        <w:t>)</w:t>
      </w:r>
    </w:p>
    <w:p w:rsidR="00633584" w:rsidRDefault="008B7751" w:rsidP="008B7751">
      <w:pPr>
        <w:pStyle w:val="SingleTxtGA"/>
        <w:bidi w:val="0"/>
        <w:spacing w:after="0" w:line="240" w:lineRule="auto"/>
      </w:pPr>
      <w:r w:rsidRPr="0038738C">
        <w:rPr>
          <w:noProof/>
        </w:rPr>
        <w:drawing>
          <wp:inline distT="0" distB="0" distL="0" distR="0" wp14:anchorId="479960AF" wp14:editId="621EFE20">
            <wp:extent cx="4491170" cy="2101820"/>
            <wp:effectExtent l="0" t="0" r="5080" b="0"/>
            <wp:docPr id="5" name="Picture 5" descr="D:\Users\dokot\AppData\Local\Microsoft\Windows\INetCache\Content.MSO\4F56600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Users\dokot\AppData\Local\Microsoft\Windows\INetCache\Content.MSO\4F566000.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96508" cy="2151117"/>
                    </a:xfrm>
                    <a:prstGeom prst="rect">
                      <a:avLst/>
                    </a:prstGeom>
                    <a:noFill/>
                    <a:ln>
                      <a:noFill/>
                    </a:ln>
                  </pic:spPr>
                </pic:pic>
              </a:graphicData>
            </a:graphic>
          </wp:inline>
        </w:drawing>
      </w:r>
    </w:p>
    <w:p w:rsidR="00633584" w:rsidRDefault="008B7751" w:rsidP="008B7751">
      <w:pPr>
        <w:pStyle w:val="H23GA"/>
        <w:rPr>
          <w:rtl/>
        </w:rPr>
      </w:pPr>
      <w:r>
        <w:rPr>
          <w:rtl/>
        </w:rPr>
        <w:tab/>
      </w:r>
      <w:r>
        <w:rPr>
          <w:rtl/>
        </w:rPr>
        <w:tab/>
      </w:r>
      <w:r w:rsidR="00633584">
        <w:rPr>
          <w:rtl/>
        </w:rPr>
        <w:t>تاريخ موجز للبلد</w:t>
      </w:r>
    </w:p>
    <w:p w:rsidR="00633584" w:rsidRDefault="00633584" w:rsidP="002A3D48">
      <w:pPr>
        <w:pStyle w:val="SingleTxtGA"/>
        <w:rPr>
          <w:rtl/>
        </w:rPr>
      </w:pPr>
      <w:r w:rsidRPr="00C1338B">
        <w:rPr>
          <w:szCs w:val="20"/>
          <w:rtl/>
        </w:rPr>
        <w:t>6</w:t>
      </w:r>
      <w:r>
        <w:rPr>
          <w:rtl/>
        </w:rPr>
        <w:t>-</w:t>
      </w:r>
      <w:r>
        <w:rPr>
          <w:rtl/>
        </w:rPr>
        <w:tab/>
        <w:t xml:space="preserve">جرى غزو جنوب السودان كجزء من السودان في عام </w:t>
      </w:r>
      <w:r w:rsidRPr="00C1338B">
        <w:rPr>
          <w:szCs w:val="20"/>
          <w:rtl/>
        </w:rPr>
        <w:t>1820</w:t>
      </w:r>
      <w:r>
        <w:rPr>
          <w:rtl/>
        </w:rPr>
        <w:t xml:space="preserve"> على يد محمد علي باشا، والي مصر في عهد الإمبراطورية العثمانية لغرض تجارة الرقيق؛ وبحلول نهاية القرن التاسع عشر، </w:t>
      </w:r>
      <w:r w:rsidRPr="00D820E8">
        <w:rPr>
          <w:spacing w:val="-4"/>
          <w:rtl/>
        </w:rPr>
        <w:t xml:space="preserve">كان السودان </w:t>
      </w:r>
      <w:r w:rsidRPr="00C1338B">
        <w:rPr>
          <w:spacing w:val="-4"/>
          <w:rtl/>
        </w:rPr>
        <w:t>بالفعل تحت الحكم الإنكليزي</w:t>
      </w:r>
      <w:r w:rsidR="003F1CBD" w:rsidRPr="00C1338B">
        <w:rPr>
          <w:rFonts w:hint="cs"/>
          <w:spacing w:val="-4"/>
          <w:rtl/>
        </w:rPr>
        <w:t xml:space="preserve"> </w:t>
      </w:r>
      <w:r w:rsidRPr="00C1338B">
        <w:rPr>
          <w:spacing w:val="-4"/>
          <w:rtl/>
        </w:rPr>
        <w:t>-</w:t>
      </w:r>
      <w:r w:rsidR="003F1CBD" w:rsidRPr="00C1338B">
        <w:rPr>
          <w:rFonts w:hint="cs"/>
          <w:spacing w:val="-4"/>
          <w:rtl/>
        </w:rPr>
        <w:t xml:space="preserve"> </w:t>
      </w:r>
      <w:r w:rsidRPr="00C1338B">
        <w:rPr>
          <w:spacing w:val="-4"/>
          <w:rtl/>
        </w:rPr>
        <w:t>المصري. واستمرت السلطات الاستعمارية البريطانية في حكم الجزء الجنوبي</w:t>
      </w:r>
      <w:r>
        <w:rPr>
          <w:rtl/>
        </w:rPr>
        <w:t xml:space="preserve"> من السودان كمحمية حتى عام </w:t>
      </w:r>
      <w:r w:rsidRPr="00C1338B">
        <w:rPr>
          <w:szCs w:val="20"/>
          <w:rtl/>
        </w:rPr>
        <w:t>1956</w:t>
      </w:r>
      <w:r>
        <w:rPr>
          <w:rtl/>
        </w:rPr>
        <w:t>.</w:t>
      </w:r>
    </w:p>
    <w:p w:rsidR="00633584" w:rsidRDefault="00633584" w:rsidP="002A3D48">
      <w:pPr>
        <w:pStyle w:val="SingleTxtGA"/>
        <w:rPr>
          <w:rtl/>
        </w:rPr>
      </w:pPr>
      <w:r w:rsidRPr="00C1338B">
        <w:rPr>
          <w:szCs w:val="20"/>
          <w:rtl/>
        </w:rPr>
        <w:t>7</w:t>
      </w:r>
      <w:r>
        <w:rPr>
          <w:rtl/>
        </w:rPr>
        <w:t>-</w:t>
      </w:r>
      <w:r>
        <w:rPr>
          <w:rtl/>
        </w:rPr>
        <w:tab/>
        <w:t xml:space="preserve">وفي عام </w:t>
      </w:r>
      <w:r w:rsidRPr="00C1338B">
        <w:rPr>
          <w:szCs w:val="20"/>
          <w:rtl/>
        </w:rPr>
        <w:t>1956</w:t>
      </w:r>
      <w:r>
        <w:rPr>
          <w:rtl/>
        </w:rPr>
        <w:t>، حصل السودان على استقلاله عن الحكم الإنكليزي</w:t>
      </w:r>
      <w:r w:rsidR="00C2646E">
        <w:rPr>
          <w:rFonts w:hint="cs"/>
          <w:rtl/>
        </w:rPr>
        <w:t xml:space="preserve"> </w:t>
      </w:r>
      <w:r>
        <w:rPr>
          <w:rtl/>
        </w:rPr>
        <w:t>-</w:t>
      </w:r>
      <w:r w:rsidR="00C2646E">
        <w:rPr>
          <w:rFonts w:hint="cs"/>
          <w:rtl/>
        </w:rPr>
        <w:t xml:space="preserve"> </w:t>
      </w:r>
      <w:r>
        <w:rPr>
          <w:rtl/>
        </w:rPr>
        <w:t xml:space="preserve">المصري، ولكن بعد استقلال السودان، نشأ الصراع بين الجزأين الشمالي والجنوبي من السودان بسبب التوزيع </w:t>
      </w:r>
      <w:r w:rsidRPr="00D820E8">
        <w:rPr>
          <w:spacing w:val="-4"/>
          <w:rtl/>
        </w:rPr>
        <w:t>غير العادل للموارد والتمييز من جانب حكام السودان آنذاك المتولِّين للحكم في البلد وهو ما انتهى</w:t>
      </w:r>
      <w:r>
        <w:rPr>
          <w:rtl/>
        </w:rPr>
        <w:t xml:space="preserve"> بتوقيع اتفاق في أديس أبابا في عام </w:t>
      </w:r>
      <w:r w:rsidRPr="00C1338B">
        <w:rPr>
          <w:szCs w:val="20"/>
          <w:rtl/>
        </w:rPr>
        <w:t>1972</w:t>
      </w:r>
      <w:r>
        <w:rPr>
          <w:rtl/>
        </w:rPr>
        <w:t xml:space="preserve">، أسفر عن إنشاء حكومة للحكم الذاتي في جنوب السودان. ومما يُؤسف له أن هذا الاتفاق قد ظل قائماً حتى عام </w:t>
      </w:r>
      <w:r w:rsidRPr="00C1338B">
        <w:rPr>
          <w:szCs w:val="20"/>
          <w:rtl/>
        </w:rPr>
        <w:t>1983</w:t>
      </w:r>
      <w:r>
        <w:rPr>
          <w:rtl/>
        </w:rPr>
        <w:t xml:space="preserve"> عندما جرى إعلان </w:t>
      </w:r>
      <w:r w:rsidRPr="00D820E8">
        <w:rPr>
          <w:spacing w:val="-4"/>
          <w:rtl/>
        </w:rPr>
        <w:t xml:space="preserve">الشريعة الإسلامية في السودان ما أدى </w:t>
      </w:r>
      <w:r w:rsidRPr="00414882">
        <w:rPr>
          <w:spacing w:val="-4"/>
          <w:rtl/>
        </w:rPr>
        <w:t>إلى التمرد الثاني من جانب جنوب السودان ضد الشمال. بيد أن هذه الحرب الأهلية قد انتهت مرة أخرى</w:t>
      </w:r>
      <w:r>
        <w:rPr>
          <w:rtl/>
        </w:rPr>
        <w:t xml:space="preserve"> بتوقيع اتفاق السلام الشامل في عام </w:t>
      </w:r>
      <w:r w:rsidRPr="00C1338B">
        <w:rPr>
          <w:szCs w:val="20"/>
          <w:rtl/>
        </w:rPr>
        <w:t>2005</w:t>
      </w:r>
      <w:r>
        <w:rPr>
          <w:rtl/>
        </w:rPr>
        <w:t xml:space="preserve"> الذي تلاه استفتاء في كانون الثاني/يناير </w:t>
      </w:r>
      <w:r w:rsidRPr="00C1338B">
        <w:rPr>
          <w:szCs w:val="20"/>
          <w:rtl/>
        </w:rPr>
        <w:t>2011</w:t>
      </w:r>
      <w:r>
        <w:rPr>
          <w:rtl/>
        </w:rPr>
        <w:t xml:space="preserve"> مهد الطريق لاستقلال جنوب السودان في </w:t>
      </w:r>
      <w:r w:rsidRPr="00C1338B">
        <w:rPr>
          <w:szCs w:val="20"/>
          <w:rtl/>
        </w:rPr>
        <w:t>9</w:t>
      </w:r>
      <w:r>
        <w:rPr>
          <w:rtl/>
        </w:rPr>
        <w:t xml:space="preserve"> تموز/يوليه </w:t>
      </w:r>
      <w:r w:rsidRPr="00C1338B">
        <w:rPr>
          <w:szCs w:val="20"/>
          <w:rtl/>
        </w:rPr>
        <w:t>2011</w:t>
      </w:r>
      <w:r>
        <w:rPr>
          <w:rtl/>
        </w:rPr>
        <w:t>.</w:t>
      </w:r>
      <w:r w:rsidR="003E79CA">
        <w:rPr>
          <w:rFonts w:hint="cs"/>
          <w:rtl/>
        </w:rPr>
        <w:t xml:space="preserve"> </w:t>
      </w:r>
    </w:p>
    <w:p w:rsidR="00633584" w:rsidRDefault="00633584" w:rsidP="003E79CA">
      <w:pPr>
        <w:pStyle w:val="H1GA"/>
        <w:rPr>
          <w:rtl/>
        </w:rPr>
      </w:pPr>
      <w:r>
        <w:rPr>
          <w:rtl/>
        </w:rPr>
        <w:tab/>
        <w:t>باء-</w:t>
      </w:r>
      <w:r>
        <w:rPr>
          <w:rtl/>
        </w:rPr>
        <w:tab/>
        <w:t>الخصائص الديمغرافية والاقتصادية والاجتماعية والثقافية لجنوب السودان</w:t>
      </w:r>
    </w:p>
    <w:p w:rsidR="00633584" w:rsidRDefault="003E79CA" w:rsidP="002A3D48">
      <w:pPr>
        <w:pStyle w:val="H23GA"/>
        <w:rPr>
          <w:rtl/>
        </w:rPr>
      </w:pPr>
      <w:r>
        <w:rPr>
          <w:rtl/>
        </w:rPr>
        <w:tab/>
      </w:r>
      <w:r>
        <w:rPr>
          <w:rtl/>
        </w:rPr>
        <w:tab/>
      </w:r>
      <w:r w:rsidR="00633584">
        <w:rPr>
          <w:rtl/>
        </w:rPr>
        <w:t>الخصائص الديمغرافية</w:t>
      </w:r>
    </w:p>
    <w:p w:rsidR="00633584" w:rsidRDefault="00633584" w:rsidP="002A3D48">
      <w:pPr>
        <w:pStyle w:val="SingleTxtGA"/>
        <w:rPr>
          <w:rtl/>
        </w:rPr>
      </w:pPr>
      <w:r w:rsidRPr="00C1338B">
        <w:rPr>
          <w:szCs w:val="20"/>
          <w:rtl/>
        </w:rPr>
        <w:t>8</w:t>
      </w:r>
      <w:r>
        <w:rPr>
          <w:rtl/>
        </w:rPr>
        <w:t>-</w:t>
      </w:r>
      <w:r>
        <w:rPr>
          <w:rtl/>
        </w:rPr>
        <w:tab/>
      </w:r>
      <w:r w:rsidRPr="00D820E8">
        <w:rPr>
          <w:spacing w:val="-4"/>
          <w:rtl/>
        </w:rPr>
        <w:t>حسب آخر تعداد سكاني أُجري في جنوب السودان كجزء من السودان في عام</w:t>
      </w:r>
      <w:r>
        <w:rPr>
          <w:rtl/>
        </w:rPr>
        <w:t xml:space="preserve"> </w:t>
      </w:r>
      <w:r w:rsidRPr="00C1338B">
        <w:rPr>
          <w:szCs w:val="20"/>
          <w:rtl/>
        </w:rPr>
        <w:t>2008</w:t>
      </w:r>
      <w:r>
        <w:rPr>
          <w:rtl/>
        </w:rPr>
        <w:t xml:space="preserve">، قيل إن عدد سكانه هو </w:t>
      </w:r>
      <w:r w:rsidRPr="00C1338B">
        <w:rPr>
          <w:szCs w:val="20"/>
          <w:rtl/>
        </w:rPr>
        <w:t>8</w:t>
      </w:r>
      <w:r>
        <w:rPr>
          <w:rtl/>
        </w:rPr>
        <w:t>.</w:t>
      </w:r>
      <w:r w:rsidRPr="00C1338B">
        <w:rPr>
          <w:szCs w:val="20"/>
          <w:rtl/>
        </w:rPr>
        <w:t>26</w:t>
      </w:r>
      <w:r>
        <w:rPr>
          <w:rtl/>
        </w:rPr>
        <w:t xml:space="preserve"> ملايين نسمة (الذكور: </w:t>
      </w:r>
      <w:r w:rsidRPr="00C1338B">
        <w:rPr>
          <w:szCs w:val="20"/>
          <w:rtl/>
        </w:rPr>
        <w:t>4</w:t>
      </w:r>
      <w:r>
        <w:rPr>
          <w:rtl/>
        </w:rPr>
        <w:t>.</w:t>
      </w:r>
      <w:r w:rsidRPr="00C1338B">
        <w:rPr>
          <w:szCs w:val="20"/>
          <w:rtl/>
        </w:rPr>
        <w:t>29</w:t>
      </w:r>
      <w:r>
        <w:rPr>
          <w:rtl/>
        </w:rPr>
        <w:t xml:space="preserve"> ملايين، والإناث: </w:t>
      </w:r>
      <w:r w:rsidRPr="00C1338B">
        <w:rPr>
          <w:szCs w:val="20"/>
          <w:rtl/>
        </w:rPr>
        <w:t>3</w:t>
      </w:r>
      <w:r>
        <w:rPr>
          <w:rtl/>
        </w:rPr>
        <w:t>.</w:t>
      </w:r>
      <w:r w:rsidRPr="00C1338B">
        <w:rPr>
          <w:szCs w:val="20"/>
          <w:rtl/>
        </w:rPr>
        <w:t>97</w:t>
      </w:r>
      <w:r>
        <w:rPr>
          <w:rtl/>
        </w:rPr>
        <w:t xml:space="preserve"> ملايين)، مع معدَّل نمو قدره </w:t>
      </w:r>
      <w:r w:rsidRPr="00C1338B">
        <w:rPr>
          <w:szCs w:val="20"/>
          <w:rtl/>
        </w:rPr>
        <w:t>3</w:t>
      </w:r>
      <w:r>
        <w:rPr>
          <w:rtl/>
        </w:rPr>
        <w:t>.</w:t>
      </w:r>
      <w:r w:rsidRPr="00C1338B">
        <w:rPr>
          <w:szCs w:val="20"/>
          <w:rtl/>
        </w:rPr>
        <w:t>83</w:t>
      </w:r>
      <w:r>
        <w:rPr>
          <w:rtl/>
        </w:rPr>
        <w:t xml:space="preserve"> في المائة. </w:t>
      </w:r>
      <w:r w:rsidRPr="00D820E8">
        <w:rPr>
          <w:spacing w:val="-4"/>
          <w:rtl/>
        </w:rPr>
        <w:t>بيد أن الإسقاطات الأخيرة التي أجرتها وكالات الأمم</w:t>
      </w:r>
      <w:r>
        <w:rPr>
          <w:rtl/>
        </w:rPr>
        <w:t xml:space="preserve"> المتحدة قدرت عدد سكان البلد بـ </w:t>
      </w:r>
      <w:r w:rsidRPr="00C1338B">
        <w:rPr>
          <w:szCs w:val="20"/>
          <w:rtl/>
        </w:rPr>
        <w:t>13</w:t>
      </w:r>
      <w:r>
        <w:rPr>
          <w:rtl/>
        </w:rPr>
        <w:t xml:space="preserve"> </w:t>
      </w:r>
      <w:r w:rsidRPr="00C1338B">
        <w:rPr>
          <w:szCs w:val="20"/>
          <w:rtl/>
        </w:rPr>
        <w:t>026</w:t>
      </w:r>
      <w:r>
        <w:rPr>
          <w:rtl/>
        </w:rPr>
        <w:t xml:space="preserve"> </w:t>
      </w:r>
      <w:r w:rsidRPr="00C1338B">
        <w:rPr>
          <w:szCs w:val="20"/>
          <w:rtl/>
        </w:rPr>
        <w:t>129</w:t>
      </w:r>
      <w:r>
        <w:rPr>
          <w:rtl/>
        </w:rPr>
        <w:t xml:space="preserve"> </w:t>
      </w:r>
      <w:proofErr w:type="gramStart"/>
      <w:r>
        <w:rPr>
          <w:rtl/>
        </w:rPr>
        <w:t>نسمة</w:t>
      </w:r>
      <w:r w:rsidR="003E79CA">
        <w:rPr>
          <w:vertAlign w:val="superscript"/>
          <w:rtl/>
        </w:rPr>
        <w:t>(</w:t>
      </w:r>
      <w:proofErr w:type="gramEnd"/>
      <w:r w:rsidR="003E79CA" w:rsidRPr="00C1338B">
        <w:rPr>
          <w:rStyle w:val="FootnoteReference"/>
          <w:rFonts w:cs="Times New Roman"/>
          <w:b w:val="0"/>
          <w:position w:val="4"/>
          <w:sz w:val="20"/>
        </w:rPr>
        <w:footnoteReference w:id="3"/>
      </w:r>
      <w:r w:rsidR="003E79CA">
        <w:rPr>
          <w:vertAlign w:val="superscript"/>
          <w:rtl/>
        </w:rPr>
        <w:t>)</w:t>
      </w:r>
      <w:r>
        <w:rPr>
          <w:rtl/>
        </w:rPr>
        <w:t xml:space="preserve">، وتشكل الإناث أكثر من </w:t>
      </w:r>
      <w:r w:rsidRPr="00C1338B">
        <w:rPr>
          <w:szCs w:val="20"/>
          <w:rtl/>
        </w:rPr>
        <w:t>49</w:t>
      </w:r>
      <w:r>
        <w:rPr>
          <w:rtl/>
        </w:rPr>
        <w:t>.</w:t>
      </w:r>
      <w:r w:rsidRPr="00C1338B">
        <w:rPr>
          <w:szCs w:val="20"/>
          <w:rtl/>
        </w:rPr>
        <w:t>6</w:t>
      </w:r>
      <w:r>
        <w:rPr>
          <w:rtl/>
        </w:rPr>
        <w:t xml:space="preserve"> في المائة.</w:t>
      </w:r>
    </w:p>
    <w:p w:rsidR="00633584" w:rsidRPr="00C1338B" w:rsidRDefault="00633584" w:rsidP="002A3D48">
      <w:pPr>
        <w:pStyle w:val="SingleTxtGA"/>
        <w:spacing w:after="240"/>
        <w:rPr>
          <w:spacing w:val="-4"/>
          <w:rtl/>
        </w:rPr>
      </w:pPr>
      <w:r w:rsidRPr="00C1338B">
        <w:rPr>
          <w:szCs w:val="20"/>
          <w:rtl/>
        </w:rPr>
        <w:t>9</w:t>
      </w:r>
      <w:r>
        <w:rPr>
          <w:rtl/>
        </w:rPr>
        <w:t>-</w:t>
      </w:r>
      <w:r>
        <w:rPr>
          <w:rtl/>
        </w:rPr>
        <w:tab/>
      </w:r>
      <w:r w:rsidRPr="00857D65">
        <w:rPr>
          <w:spacing w:val="-5"/>
          <w:rtl/>
        </w:rPr>
        <w:t>ويوجد ضمن سكان جنوب السودان عدد كبير من الشباب، إذ يشكل الشباب الذين تقل</w:t>
      </w:r>
      <w:r>
        <w:rPr>
          <w:rtl/>
        </w:rPr>
        <w:t xml:space="preserve"> </w:t>
      </w:r>
      <w:r w:rsidRPr="00857D65">
        <w:rPr>
          <w:spacing w:val="-4"/>
          <w:rtl/>
        </w:rPr>
        <w:t xml:space="preserve">أعمارهم عن </w:t>
      </w:r>
      <w:r w:rsidRPr="00C1338B">
        <w:rPr>
          <w:spacing w:val="-4"/>
          <w:szCs w:val="20"/>
          <w:rtl/>
        </w:rPr>
        <w:t>18</w:t>
      </w:r>
      <w:r w:rsidRPr="00857D65">
        <w:rPr>
          <w:spacing w:val="-4"/>
          <w:rtl/>
        </w:rPr>
        <w:t xml:space="preserve"> عاماً نسبة </w:t>
      </w:r>
      <w:r w:rsidRPr="00C1338B">
        <w:rPr>
          <w:spacing w:val="-4"/>
          <w:szCs w:val="20"/>
          <w:rtl/>
        </w:rPr>
        <w:t>51</w:t>
      </w:r>
      <w:r w:rsidRPr="00857D65">
        <w:rPr>
          <w:spacing w:val="-4"/>
          <w:rtl/>
        </w:rPr>
        <w:t xml:space="preserve"> في المائة من السكان، كما يشكل من هم دون الثلاثين من العمر</w:t>
      </w:r>
      <w:r>
        <w:rPr>
          <w:rtl/>
        </w:rPr>
        <w:t xml:space="preserve"> نسبة </w:t>
      </w:r>
      <w:r w:rsidRPr="00C1338B">
        <w:rPr>
          <w:szCs w:val="20"/>
          <w:rtl/>
        </w:rPr>
        <w:t>72</w:t>
      </w:r>
      <w:r>
        <w:rPr>
          <w:rtl/>
        </w:rPr>
        <w:t xml:space="preserve"> </w:t>
      </w:r>
      <w:r w:rsidRPr="00C1338B">
        <w:rPr>
          <w:spacing w:val="-4"/>
          <w:rtl/>
        </w:rPr>
        <w:t xml:space="preserve">في المائة من السكان. ولا تزيد نسبة من تبلغ أعمارهم </w:t>
      </w:r>
      <w:r w:rsidRPr="00C1338B">
        <w:rPr>
          <w:spacing w:val="-4"/>
          <w:szCs w:val="20"/>
          <w:rtl/>
        </w:rPr>
        <w:t>65</w:t>
      </w:r>
      <w:r w:rsidRPr="00C1338B">
        <w:rPr>
          <w:spacing w:val="-4"/>
          <w:rtl/>
        </w:rPr>
        <w:t xml:space="preserve"> عاماً فما فوق عن </w:t>
      </w:r>
      <w:r w:rsidRPr="00C1338B">
        <w:rPr>
          <w:spacing w:val="-4"/>
          <w:szCs w:val="20"/>
          <w:rtl/>
        </w:rPr>
        <w:t>2</w:t>
      </w:r>
      <w:r w:rsidRPr="00C1338B">
        <w:rPr>
          <w:spacing w:val="-4"/>
          <w:rtl/>
        </w:rPr>
        <w:t>.</w:t>
      </w:r>
      <w:r w:rsidRPr="00C1338B">
        <w:rPr>
          <w:spacing w:val="-4"/>
          <w:szCs w:val="20"/>
          <w:rtl/>
        </w:rPr>
        <w:t>1</w:t>
      </w:r>
      <w:r w:rsidRPr="00C1338B">
        <w:rPr>
          <w:spacing w:val="-4"/>
          <w:rtl/>
        </w:rPr>
        <w:t xml:space="preserve"> في المائة من</w:t>
      </w:r>
      <w:r>
        <w:rPr>
          <w:rtl/>
        </w:rPr>
        <w:t xml:space="preserve"> السكان. </w:t>
      </w:r>
      <w:r w:rsidRPr="00C1338B">
        <w:rPr>
          <w:spacing w:val="-4"/>
          <w:rtl/>
        </w:rPr>
        <w:t>ويُقدَّر معدَّل الإعالة الكاملة بـ</w:t>
      </w:r>
      <w:r w:rsidR="003E79CA" w:rsidRPr="00C1338B">
        <w:rPr>
          <w:rFonts w:hint="cs"/>
          <w:spacing w:val="-4"/>
          <w:rtl/>
        </w:rPr>
        <w:t> </w:t>
      </w:r>
      <w:r w:rsidRPr="00C1338B">
        <w:rPr>
          <w:spacing w:val="-4"/>
          <w:szCs w:val="20"/>
          <w:rtl/>
        </w:rPr>
        <w:t>83</w:t>
      </w:r>
      <w:r w:rsidRPr="00C1338B">
        <w:rPr>
          <w:spacing w:val="-4"/>
          <w:rtl/>
        </w:rPr>
        <w:t>.</w:t>
      </w:r>
      <w:r w:rsidRPr="00C1338B">
        <w:rPr>
          <w:spacing w:val="-4"/>
          <w:szCs w:val="20"/>
          <w:rtl/>
        </w:rPr>
        <w:t>7</w:t>
      </w:r>
      <w:r w:rsidRPr="00C1338B">
        <w:rPr>
          <w:spacing w:val="-4"/>
          <w:rtl/>
        </w:rPr>
        <w:t xml:space="preserve">، يبلغ إسهام الشباب فيه </w:t>
      </w:r>
      <w:r w:rsidRPr="00C1338B">
        <w:rPr>
          <w:spacing w:val="-4"/>
          <w:szCs w:val="20"/>
          <w:rtl/>
        </w:rPr>
        <w:t>77</w:t>
      </w:r>
      <w:r w:rsidRPr="00C1338B">
        <w:rPr>
          <w:spacing w:val="-4"/>
          <w:rtl/>
        </w:rPr>
        <w:t>.</w:t>
      </w:r>
      <w:r w:rsidRPr="00C1338B">
        <w:rPr>
          <w:spacing w:val="-4"/>
          <w:szCs w:val="20"/>
          <w:rtl/>
        </w:rPr>
        <w:t>3</w:t>
      </w:r>
      <w:r w:rsidRPr="00C1338B">
        <w:rPr>
          <w:spacing w:val="-4"/>
          <w:rtl/>
        </w:rPr>
        <w:t xml:space="preserve"> في المائة وكبار السن </w:t>
      </w:r>
      <w:r w:rsidRPr="00C1338B">
        <w:rPr>
          <w:spacing w:val="-4"/>
          <w:szCs w:val="20"/>
          <w:rtl/>
        </w:rPr>
        <w:t>6</w:t>
      </w:r>
      <w:r w:rsidRPr="00C1338B">
        <w:rPr>
          <w:spacing w:val="-4"/>
          <w:rtl/>
        </w:rPr>
        <w:t>.</w:t>
      </w:r>
      <w:r w:rsidRPr="00C1338B">
        <w:rPr>
          <w:spacing w:val="-4"/>
          <w:szCs w:val="20"/>
          <w:rtl/>
        </w:rPr>
        <w:t>4</w:t>
      </w:r>
      <w:r w:rsidRPr="00C1338B">
        <w:rPr>
          <w:spacing w:val="-4"/>
          <w:rtl/>
        </w:rPr>
        <w:t xml:space="preserve"> في المائة.</w:t>
      </w:r>
    </w:p>
    <w:tbl>
      <w:tblPr>
        <w:bidiVisual/>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925"/>
        <w:gridCol w:w="1329"/>
        <w:gridCol w:w="1148"/>
        <w:gridCol w:w="1036"/>
        <w:gridCol w:w="1092"/>
        <w:gridCol w:w="840"/>
      </w:tblGrid>
      <w:tr w:rsidR="00D820E8" w:rsidRPr="00EC4853" w:rsidTr="00D820E8">
        <w:trPr>
          <w:tblHeader/>
        </w:trPr>
        <w:tc>
          <w:tcPr>
            <w:tcW w:w="1925" w:type="dxa"/>
            <w:tcBorders>
              <w:top w:val="single" w:sz="4" w:space="0" w:color="auto"/>
              <w:bottom w:val="single" w:sz="12" w:space="0" w:color="auto"/>
            </w:tcBorders>
            <w:shd w:val="clear" w:color="auto" w:fill="auto"/>
          </w:tcPr>
          <w:p w:rsidR="00D820E8" w:rsidRPr="00D820E8" w:rsidRDefault="00D820E8" w:rsidP="002A3D48">
            <w:pPr>
              <w:pStyle w:val="SingleTxtGA"/>
              <w:spacing w:after="0" w:line="280" w:lineRule="exact"/>
              <w:ind w:left="57" w:right="0"/>
              <w:jc w:val="left"/>
              <w:rPr>
                <w:b/>
                <w:i/>
                <w:iCs/>
                <w:sz w:val="24"/>
                <w:szCs w:val="24"/>
                <w:rtl/>
              </w:rPr>
            </w:pPr>
            <w:r w:rsidRPr="00D820E8">
              <w:rPr>
                <w:rFonts w:hint="cs"/>
                <w:b/>
                <w:i/>
                <w:iCs/>
                <w:sz w:val="24"/>
                <w:szCs w:val="24"/>
                <w:rtl/>
              </w:rPr>
              <w:t>المدى العمري</w:t>
            </w:r>
            <w:r>
              <w:rPr>
                <w:b/>
                <w:i/>
                <w:iCs/>
                <w:sz w:val="24"/>
                <w:szCs w:val="24"/>
                <w:rtl/>
              </w:rPr>
              <w:br/>
            </w:r>
            <w:r w:rsidRPr="00D820E8">
              <w:rPr>
                <w:rFonts w:hint="cs"/>
                <w:b/>
                <w:i/>
                <w:iCs/>
                <w:sz w:val="24"/>
                <w:szCs w:val="24"/>
                <w:rtl/>
              </w:rPr>
              <w:t>(بالسنوات)</w:t>
            </w:r>
          </w:p>
        </w:tc>
        <w:tc>
          <w:tcPr>
            <w:tcW w:w="1329" w:type="dxa"/>
            <w:tcBorders>
              <w:top w:val="single" w:sz="4" w:space="0" w:color="auto"/>
              <w:bottom w:val="single" w:sz="12" w:space="0" w:color="auto"/>
            </w:tcBorders>
            <w:shd w:val="clear" w:color="auto" w:fill="auto"/>
          </w:tcPr>
          <w:p w:rsidR="00D820E8" w:rsidRPr="00D820E8" w:rsidRDefault="00D820E8" w:rsidP="002A3D48">
            <w:pPr>
              <w:pStyle w:val="SingleTxtGA"/>
              <w:spacing w:after="0" w:line="280" w:lineRule="exact"/>
              <w:ind w:left="57" w:right="0"/>
              <w:jc w:val="left"/>
              <w:rPr>
                <w:b/>
                <w:i/>
                <w:iCs/>
                <w:sz w:val="24"/>
                <w:szCs w:val="24"/>
                <w:rtl/>
              </w:rPr>
            </w:pPr>
            <w:r w:rsidRPr="00D820E8">
              <w:rPr>
                <w:rFonts w:hint="cs"/>
                <w:b/>
                <w:i/>
                <w:iCs/>
                <w:sz w:val="24"/>
                <w:szCs w:val="24"/>
                <w:rtl/>
              </w:rPr>
              <w:t>النسبة المئوية من مجموع السكان</w:t>
            </w:r>
          </w:p>
        </w:tc>
        <w:tc>
          <w:tcPr>
            <w:tcW w:w="1148" w:type="dxa"/>
            <w:tcBorders>
              <w:top w:val="single" w:sz="4" w:space="0" w:color="auto"/>
              <w:bottom w:val="single" w:sz="12" w:space="0" w:color="auto"/>
            </w:tcBorders>
            <w:shd w:val="clear" w:color="auto" w:fill="auto"/>
          </w:tcPr>
          <w:p w:rsidR="00D820E8" w:rsidRPr="00D820E8" w:rsidRDefault="00D820E8" w:rsidP="002A3D48">
            <w:pPr>
              <w:pStyle w:val="SingleTxtGA"/>
              <w:spacing w:after="0" w:line="280" w:lineRule="exact"/>
              <w:ind w:left="57" w:right="0"/>
              <w:jc w:val="left"/>
              <w:rPr>
                <w:b/>
                <w:i/>
                <w:iCs/>
                <w:sz w:val="24"/>
                <w:szCs w:val="24"/>
                <w:rtl/>
              </w:rPr>
            </w:pPr>
            <w:r w:rsidRPr="00D820E8">
              <w:rPr>
                <w:rFonts w:hint="cs"/>
                <w:b/>
                <w:i/>
                <w:iCs/>
                <w:sz w:val="24"/>
                <w:szCs w:val="24"/>
                <w:rtl/>
              </w:rPr>
              <w:t>الذكور</w:t>
            </w:r>
          </w:p>
        </w:tc>
        <w:tc>
          <w:tcPr>
            <w:tcW w:w="1036" w:type="dxa"/>
            <w:tcBorders>
              <w:top w:val="single" w:sz="4" w:space="0" w:color="auto"/>
              <w:bottom w:val="single" w:sz="12" w:space="0" w:color="auto"/>
            </w:tcBorders>
            <w:shd w:val="clear" w:color="auto" w:fill="auto"/>
          </w:tcPr>
          <w:p w:rsidR="00D820E8" w:rsidRPr="00D820E8" w:rsidRDefault="00D820E8" w:rsidP="002A3D48">
            <w:pPr>
              <w:pStyle w:val="SingleTxtGA"/>
              <w:spacing w:after="0" w:line="280" w:lineRule="exact"/>
              <w:ind w:left="57" w:right="0"/>
              <w:jc w:val="left"/>
              <w:rPr>
                <w:b/>
                <w:i/>
                <w:iCs/>
                <w:sz w:val="24"/>
                <w:szCs w:val="24"/>
                <w:rtl/>
              </w:rPr>
            </w:pPr>
            <w:r w:rsidRPr="00D820E8">
              <w:rPr>
                <w:rFonts w:hint="cs"/>
                <w:b/>
                <w:i/>
                <w:iCs/>
                <w:sz w:val="24"/>
                <w:szCs w:val="24"/>
                <w:rtl/>
              </w:rPr>
              <w:t>النسبة المئوية للذكور</w:t>
            </w:r>
          </w:p>
        </w:tc>
        <w:tc>
          <w:tcPr>
            <w:tcW w:w="1092" w:type="dxa"/>
            <w:tcBorders>
              <w:top w:val="single" w:sz="4" w:space="0" w:color="auto"/>
              <w:bottom w:val="single" w:sz="12" w:space="0" w:color="auto"/>
            </w:tcBorders>
            <w:shd w:val="clear" w:color="auto" w:fill="auto"/>
          </w:tcPr>
          <w:p w:rsidR="00D820E8" w:rsidRPr="00D820E8" w:rsidRDefault="00D820E8" w:rsidP="002A3D48">
            <w:pPr>
              <w:pStyle w:val="SingleTxtGA"/>
              <w:spacing w:after="0" w:line="280" w:lineRule="exact"/>
              <w:ind w:left="57" w:right="0"/>
              <w:jc w:val="left"/>
              <w:rPr>
                <w:b/>
                <w:i/>
                <w:iCs/>
                <w:sz w:val="24"/>
                <w:szCs w:val="24"/>
                <w:rtl/>
              </w:rPr>
            </w:pPr>
            <w:r w:rsidRPr="00D820E8">
              <w:rPr>
                <w:rFonts w:hint="cs"/>
                <w:b/>
                <w:i/>
                <w:iCs/>
                <w:sz w:val="24"/>
                <w:szCs w:val="24"/>
                <w:rtl/>
              </w:rPr>
              <w:t>الإناث</w:t>
            </w:r>
          </w:p>
        </w:tc>
        <w:tc>
          <w:tcPr>
            <w:tcW w:w="840" w:type="dxa"/>
            <w:tcBorders>
              <w:top w:val="single" w:sz="4" w:space="0" w:color="auto"/>
              <w:bottom w:val="single" w:sz="12" w:space="0" w:color="auto"/>
            </w:tcBorders>
            <w:shd w:val="clear" w:color="auto" w:fill="auto"/>
          </w:tcPr>
          <w:p w:rsidR="00D820E8" w:rsidRPr="00D820E8" w:rsidRDefault="00D820E8" w:rsidP="002A3D48">
            <w:pPr>
              <w:pStyle w:val="SingleTxtGA"/>
              <w:spacing w:after="0" w:line="280" w:lineRule="exact"/>
              <w:ind w:left="57" w:right="0"/>
              <w:jc w:val="left"/>
              <w:rPr>
                <w:b/>
                <w:i/>
                <w:iCs/>
                <w:sz w:val="24"/>
                <w:szCs w:val="24"/>
                <w:rtl/>
              </w:rPr>
            </w:pPr>
            <w:r w:rsidRPr="00D820E8">
              <w:rPr>
                <w:rFonts w:hint="cs"/>
                <w:b/>
                <w:i/>
                <w:iCs/>
                <w:sz w:val="24"/>
                <w:szCs w:val="24"/>
                <w:rtl/>
              </w:rPr>
              <w:t>النسبة المئوية للإناث</w:t>
            </w:r>
          </w:p>
        </w:tc>
      </w:tr>
      <w:tr w:rsidR="00D820E8" w:rsidRPr="00EC4853" w:rsidTr="00D820E8">
        <w:tc>
          <w:tcPr>
            <w:tcW w:w="1925" w:type="dxa"/>
            <w:tcBorders>
              <w:top w:val="single" w:sz="12" w:space="0" w:color="auto"/>
            </w:tcBorders>
            <w:shd w:val="clear" w:color="auto" w:fill="auto"/>
          </w:tcPr>
          <w:p w:rsidR="00D820E8" w:rsidRPr="00EC4853" w:rsidRDefault="00D820E8" w:rsidP="002A3D48">
            <w:pPr>
              <w:pStyle w:val="SingleTxtG"/>
              <w:bidi/>
              <w:spacing w:before="40" w:after="40" w:line="280" w:lineRule="exact"/>
              <w:ind w:left="57" w:right="0"/>
              <w:jc w:val="left"/>
              <w:rPr>
                <w:sz w:val="18"/>
              </w:rPr>
            </w:pPr>
            <w:r w:rsidRPr="00EC4853">
              <w:rPr>
                <w:sz w:val="18"/>
              </w:rPr>
              <w:t>0</w:t>
            </w:r>
            <w:r>
              <w:rPr>
                <w:rFonts w:hint="cs"/>
                <w:sz w:val="18"/>
                <w:rtl/>
              </w:rPr>
              <w:t>-</w:t>
            </w:r>
            <w:r w:rsidRPr="00EC4853">
              <w:rPr>
                <w:sz w:val="18"/>
              </w:rPr>
              <w:t>14</w:t>
            </w:r>
          </w:p>
        </w:tc>
        <w:tc>
          <w:tcPr>
            <w:tcW w:w="1329" w:type="dxa"/>
            <w:tcBorders>
              <w:top w:val="single" w:sz="12" w:space="0" w:color="auto"/>
            </w:tcBorders>
            <w:shd w:val="clear" w:color="auto" w:fill="auto"/>
            <w:vAlign w:val="bottom"/>
          </w:tcPr>
          <w:p w:rsidR="00D820E8" w:rsidRPr="00EC4853" w:rsidRDefault="00D820E8" w:rsidP="002A3D48">
            <w:pPr>
              <w:pStyle w:val="SingleTxtG"/>
              <w:bidi/>
              <w:spacing w:before="40" w:after="40" w:line="280" w:lineRule="exact"/>
              <w:ind w:left="57" w:right="0"/>
              <w:jc w:val="left"/>
              <w:rPr>
                <w:sz w:val="18"/>
              </w:rPr>
            </w:pPr>
            <w:r w:rsidRPr="00EC4853">
              <w:rPr>
                <w:sz w:val="18"/>
              </w:rPr>
              <w:t>44.37</w:t>
            </w:r>
          </w:p>
        </w:tc>
        <w:tc>
          <w:tcPr>
            <w:tcW w:w="1148" w:type="dxa"/>
            <w:tcBorders>
              <w:top w:val="single" w:sz="12" w:space="0" w:color="auto"/>
            </w:tcBorders>
            <w:shd w:val="clear" w:color="auto" w:fill="auto"/>
            <w:vAlign w:val="bottom"/>
          </w:tcPr>
          <w:p w:rsidR="00D820E8" w:rsidRPr="00EC4853" w:rsidRDefault="00D820E8" w:rsidP="002A3D48">
            <w:pPr>
              <w:pStyle w:val="SingleTxtG"/>
              <w:bidi/>
              <w:spacing w:before="40" w:after="40" w:line="280" w:lineRule="exact"/>
              <w:ind w:left="57" w:right="0"/>
              <w:jc w:val="left"/>
              <w:rPr>
                <w:sz w:val="18"/>
              </w:rPr>
            </w:pPr>
            <w:r w:rsidRPr="00EC4853">
              <w:rPr>
                <w:sz w:val="18"/>
              </w:rPr>
              <w:t>2 947 277</w:t>
            </w:r>
          </w:p>
        </w:tc>
        <w:tc>
          <w:tcPr>
            <w:tcW w:w="1036" w:type="dxa"/>
            <w:tcBorders>
              <w:top w:val="single" w:sz="12" w:space="0" w:color="auto"/>
            </w:tcBorders>
            <w:shd w:val="clear" w:color="auto" w:fill="auto"/>
            <w:vAlign w:val="bottom"/>
          </w:tcPr>
          <w:p w:rsidR="00D820E8" w:rsidRPr="00EC4853" w:rsidRDefault="00D820E8" w:rsidP="002A3D48">
            <w:pPr>
              <w:pStyle w:val="SingleTxtG"/>
              <w:bidi/>
              <w:spacing w:before="40" w:after="40" w:line="280" w:lineRule="exact"/>
              <w:ind w:left="57" w:right="0"/>
              <w:jc w:val="left"/>
              <w:rPr>
                <w:sz w:val="18"/>
              </w:rPr>
            </w:pPr>
            <w:r w:rsidRPr="00EC4853">
              <w:rPr>
                <w:sz w:val="18"/>
              </w:rPr>
              <w:t>51.00</w:t>
            </w:r>
          </w:p>
        </w:tc>
        <w:tc>
          <w:tcPr>
            <w:tcW w:w="1092" w:type="dxa"/>
            <w:tcBorders>
              <w:top w:val="single" w:sz="12" w:space="0" w:color="auto"/>
            </w:tcBorders>
            <w:shd w:val="clear" w:color="auto" w:fill="auto"/>
            <w:vAlign w:val="bottom"/>
          </w:tcPr>
          <w:p w:rsidR="00D820E8" w:rsidRPr="00EC4853" w:rsidRDefault="00D820E8" w:rsidP="002A3D48">
            <w:pPr>
              <w:pStyle w:val="SingleTxtG"/>
              <w:bidi/>
              <w:spacing w:before="40" w:after="40" w:line="280" w:lineRule="exact"/>
              <w:ind w:left="57" w:right="0"/>
              <w:jc w:val="left"/>
              <w:rPr>
                <w:sz w:val="18"/>
              </w:rPr>
            </w:pPr>
            <w:r w:rsidRPr="00EC4853">
              <w:rPr>
                <w:sz w:val="18"/>
              </w:rPr>
              <w:t>2 831 822</w:t>
            </w:r>
          </w:p>
        </w:tc>
        <w:tc>
          <w:tcPr>
            <w:tcW w:w="840" w:type="dxa"/>
            <w:tcBorders>
              <w:top w:val="single" w:sz="12" w:space="0" w:color="auto"/>
            </w:tcBorders>
            <w:shd w:val="clear" w:color="auto" w:fill="auto"/>
            <w:vAlign w:val="bottom"/>
          </w:tcPr>
          <w:p w:rsidR="00D820E8" w:rsidRPr="00EC4853" w:rsidRDefault="00D820E8" w:rsidP="002A3D48">
            <w:pPr>
              <w:pStyle w:val="SingleTxtG"/>
              <w:bidi/>
              <w:spacing w:before="40" w:after="40" w:line="280" w:lineRule="exact"/>
              <w:ind w:left="57" w:right="0"/>
              <w:jc w:val="left"/>
              <w:rPr>
                <w:sz w:val="18"/>
              </w:rPr>
            </w:pPr>
            <w:r w:rsidRPr="00EC4853">
              <w:rPr>
                <w:sz w:val="18"/>
              </w:rPr>
              <w:t>49.00</w:t>
            </w:r>
          </w:p>
        </w:tc>
      </w:tr>
      <w:tr w:rsidR="00D820E8" w:rsidRPr="00EC4853" w:rsidTr="00D820E8">
        <w:tc>
          <w:tcPr>
            <w:tcW w:w="1925" w:type="dxa"/>
            <w:shd w:val="clear" w:color="auto" w:fill="auto"/>
          </w:tcPr>
          <w:p w:rsidR="00D820E8" w:rsidRPr="00EC4853" w:rsidRDefault="00D820E8" w:rsidP="002A3D48">
            <w:pPr>
              <w:pStyle w:val="SingleTxtG"/>
              <w:bidi/>
              <w:spacing w:before="40" w:after="40" w:line="280" w:lineRule="exact"/>
              <w:ind w:left="57" w:right="0"/>
              <w:jc w:val="left"/>
              <w:rPr>
                <w:sz w:val="18"/>
              </w:rPr>
            </w:pPr>
            <w:r w:rsidRPr="00EC4853">
              <w:rPr>
                <w:sz w:val="18"/>
              </w:rPr>
              <w:t>15</w:t>
            </w:r>
            <w:r>
              <w:rPr>
                <w:rFonts w:hint="cs"/>
                <w:sz w:val="18"/>
                <w:rtl/>
              </w:rPr>
              <w:t>-</w:t>
            </w:r>
            <w:r w:rsidRPr="00EC4853">
              <w:rPr>
                <w:sz w:val="18"/>
              </w:rPr>
              <w:t>24</w:t>
            </w:r>
          </w:p>
        </w:tc>
        <w:tc>
          <w:tcPr>
            <w:tcW w:w="1329" w:type="dxa"/>
            <w:shd w:val="clear" w:color="auto" w:fill="auto"/>
            <w:vAlign w:val="bottom"/>
          </w:tcPr>
          <w:p w:rsidR="00D820E8" w:rsidRPr="00EC4853" w:rsidRDefault="00D820E8" w:rsidP="002A3D48">
            <w:pPr>
              <w:pStyle w:val="SingleTxtG"/>
              <w:bidi/>
              <w:spacing w:before="40" w:after="40" w:line="280" w:lineRule="exact"/>
              <w:ind w:left="57" w:right="0"/>
              <w:jc w:val="left"/>
              <w:rPr>
                <w:sz w:val="18"/>
              </w:rPr>
            </w:pPr>
            <w:r w:rsidRPr="00EC4853">
              <w:rPr>
                <w:sz w:val="18"/>
              </w:rPr>
              <w:t>20.56</w:t>
            </w:r>
          </w:p>
        </w:tc>
        <w:tc>
          <w:tcPr>
            <w:tcW w:w="1148" w:type="dxa"/>
            <w:shd w:val="clear" w:color="auto" w:fill="auto"/>
            <w:vAlign w:val="bottom"/>
          </w:tcPr>
          <w:p w:rsidR="00D820E8" w:rsidRPr="00EC4853" w:rsidRDefault="00D820E8" w:rsidP="002A3D48">
            <w:pPr>
              <w:pStyle w:val="SingleTxtG"/>
              <w:bidi/>
              <w:spacing w:before="40" w:after="40" w:line="280" w:lineRule="exact"/>
              <w:ind w:left="57" w:right="0"/>
              <w:jc w:val="left"/>
              <w:rPr>
                <w:sz w:val="18"/>
              </w:rPr>
            </w:pPr>
            <w:r w:rsidRPr="00EC4853">
              <w:rPr>
                <w:sz w:val="18"/>
              </w:rPr>
              <w:t>1 402 746</w:t>
            </w:r>
          </w:p>
        </w:tc>
        <w:tc>
          <w:tcPr>
            <w:tcW w:w="1036" w:type="dxa"/>
            <w:shd w:val="clear" w:color="auto" w:fill="auto"/>
            <w:vAlign w:val="bottom"/>
          </w:tcPr>
          <w:p w:rsidR="00D820E8" w:rsidRPr="00EC4853" w:rsidRDefault="00D820E8" w:rsidP="002A3D48">
            <w:pPr>
              <w:pStyle w:val="SingleTxtG"/>
              <w:bidi/>
              <w:spacing w:before="40" w:after="40" w:line="280" w:lineRule="exact"/>
              <w:ind w:left="57" w:right="0"/>
              <w:jc w:val="left"/>
              <w:rPr>
                <w:sz w:val="18"/>
              </w:rPr>
            </w:pPr>
            <w:r w:rsidRPr="00EC4853">
              <w:rPr>
                <w:sz w:val="18"/>
              </w:rPr>
              <w:t>52.38</w:t>
            </w:r>
          </w:p>
        </w:tc>
        <w:tc>
          <w:tcPr>
            <w:tcW w:w="1092" w:type="dxa"/>
            <w:shd w:val="clear" w:color="auto" w:fill="auto"/>
            <w:vAlign w:val="bottom"/>
          </w:tcPr>
          <w:p w:rsidR="00D820E8" w:rsidRPr="00EC4853" w:rsidRDefault="00D820E8" w:rsidP="002A3D48">
            <w:pPr>
              <w:pStyle w:val="SingleTxtG"/>
              <w:bidi/>
              <w:spacing w:before="40" w:after="40" w:line="280" w:lineRule="exact"/>
              <w:ind w:left="57" w:right="0"/>
              <w:jc w:val="left"/>
              <w:rPr>
                <w:sz w:val="18"/>
              </w:rPr>
            </w:pPr>
            <w:r w:rsidRPr="00EC4853">
              <w:rPr>
                <w:sz w:val="18"/>
              </w:rPr>
              <w:t>1 275 276</w:t>
            </w:r>
          </w:p>
        </w:tc>
        <w:tc>
          <w:tcPr>
            <w:tcW w:w="840" w:type="dxa"/>
            <w:shd w:val="clear" w:color="auto" w:fill="auto"/>
            <w:vAlign w:val="bottom"/>
          </w:tcPr>
          <w:p w:rsidR="00D820E8" w:rsidRPr="00EC4853" w:rsidRDefault="00D820E8" w:rsidP="002A3D48">
            <w:pPr>
              <w:pStyle w:val="SingleTxtG"/>
              <w:bidi/>
              <w:spacing w:before="40" w:after="40" w:line="280" w:lineRule="exact"/>
              <w:ind w:left="57" w:right="0"/>
              <w:jc w:val="left"/>
              <w:rPr>
                <w:sz w:val="18"/>
              </w:rPr>
            </w:pPr>
            <w:r w:rsidRPr="00EC4853">
              <w:rPr>
                <w:sz w:val="18"/>
              </w:rPr>
              <w:t>47.62</w:t>
            </w:r>
          </w:p>
        </w:tc>
      </w:tr>
      <w:tr w:rsidR="00D820E8" w:rsidRPr="00EC4853" w:rsidTr="00D820E8">
        <w:tc>
          <w:tcPr>
            <w:tcW w:w="1925" w:type="dxa"/>
            <w:shd w:val="clear" w:color="auto" w:fill="auto"/>
          </w:tcPr>
          <w:p w:rsidR="00D820E8" w:rsidRPr="00EC4853" w:rsidRDefault="00D820E8" w:rsidP="002A3D48">
            <w:pPr>
              <w:pStyle w:val="SingleTxtG"/>
              <w:bidi/>
              <w:spacing w:before="40" w:after="40" w:line="280" w:lineRule="exact"/>
              <w:ind w:left="57" w:right="0"/>
              <w:jc w:val="left"/>
              <w:rPr>
                <w:sz w:val="18"/>
              </w:rPr>
            </w:pPr>
            <w:r w:rsidRPr="00EC4853">
              <w:rPr>
                <w:sz w:val="18"/>
              </w:rPr>
              <w:t>25</w:t>
            </w:r>
            <w:r>
              <w:rPr>
                <w:rFonts w:hint="cs"/>
                <w:sz w:val="18"/>
                <w:rtl/>
              </w:rPr>
              <w:t>-</w:t>
            </w:r>
            <w:r w:rsidRPr="00EC4853">
              <w:rPr>
                <w:sz w:val="18"/>
              </w:rPr>
              <w:t>54</w:t>
            </w:r>
          </w:p>
        </w:tc>
        <w:tc>
          <w:tcPr>
            <w:tcW w:w="1329" w:type="dxa"/>
            <w:shd w:val="clear" w:color="auto" w:fill="auto"/>
            <w:vAlign w:val="bottom"/>
          </w:tcPr>
          <w:p w:rsidR="00D820E8" w:rsidRPr="00EC4853" w:rsidRDefault="00D820E8" w:rsidP="002A3D48">
            <w:pPr>
              <w:pStyle w:val="SingleTxtG"/>
              <w:bidi/>
              <w:spacing w:before="40" w:after="40" w:line="280" w:lineRule="exact"/>
              <w:ind w:left="57" w:right="0"/>
              <w:jc w:val="left"/>
              <w:rPr>
                <w:sz w:val="18"/>
              </w:rPr>
            </w:pPr>
            <w:r w:rsidRPr="00EC4853">
              <w:rPr>
                <w:sz w:val="18"/>
              </w:rPr>
              <w:t>29.58</w:t>
            </w:r>
          </w:p>
        </w:tc>
        <w:tc>
          <w:tcPr>
            <w:tcW w:w="1148" w:type="dxa"/>
            <w:shd w:val="clear" w:color="auto" w:fill="auto"/>
            <w:vAlign w:val="bottom"/>
          </w:tcPr>
          <w:p w:rsidR="00D820E8" w:rsidRPr="00EC4853" w:rsidRDefault="00D820E8" w:rsidP="002A3D48">
            <w:pPr>
              <w:pStyle w:val="SingleTxtG"/>
              <w:bidi/>
              <w:spacing w:before="40" w:after="40" w:line="280" w:lineRule="exact"/>
              <w:ind w:left="57" w:right="0"/>
              <w:jc w:val="left"/>
              <w:rPr>
                <w:sz w:val="18"/>
              </w:rPr>
            </w:pPr>
            <w:r w:rsidRPr="00EC4853">
              <w:rPr>
                <w:sz w:val="18"/>
              </w:rPr>
              <w:t>1 869 480</w:t>
            </w:r>
          </w:p>
        </w:tc>
        <w:tc>
          <w:tcPr>
            <w:tcW w:w="1036" w:type="dxa"/>
            <w:shd w:val="clear" w:color="auto" w:fill="auto"/>
            <w:vAlign w:val="bottom"/>
          </w:tcPr>
          <w:p w:rsidR="00D820E8" w:rsidRPr="00EC4853" w:rsidRDefault="00D820E8" w:rsidP="002A3D48">
            <w:pPr>
              <w:pStyle w:val="SingleTxtG"/>
              <w:bidi/>
              <w:spacing w:before="40" w:after="40" w:line="280" w:lineRule="exact"/>
              <w:ind w:left="57" w:right="0"/>
              <w:jc w:val="left"/>
              <w:rPr>
                <w:sz w:val="18"/>
              </w:rPr>
            </w:pPr>
            <w:r w:rsidRPr="00EC4853">
              <w:rPr>
                <w:sz w:val="18"/>
              </w:rPr>
              <w:t>48.52</w:t>
            </w:r>
          </w:p>
        </w:tc>
        <w:tc>
          <w:tcPr>
            <w:tcW w:w="1092" w:type="dxa"/>
            <w:shd w:val="clear" w:color="auto" w:fill="auto"/>
            <w:vAlign w:val="bottom"/>
          </w:tcPr>
          <w:p w:rsidR="00D820E8" w:rsidRPr="00EC4853" w:rsidRDefault="00D820E8" w:rsidP="002A3D48">
            <w:pPr>
              <w:pStyle w:val="SingleTxtG"/>
              <w:bidi/>
              <w:spacing w:before="40" w:after="40" w:line="280" w:lineRule="exact"/>
              <w:ind w:left="57" w:right="0"/>
              <w:jc w:val="left"/>
              <w:rPr>
                <w:sz w:val="18"/>
              </w:rPr>
            </w:pPr>
            <w:r w:rsidRPr="00EC4853">
              <w:rPr>
                <w:sz w:val="18"/>
              </w:rPr>
              <w:t>1 983 504</w:t>
            </w:r>
          </w:p>
        </w:tc>
        <w:tc>
          <w:tcPr>
            <w:tcW w:w="840" w:type="dxa"/>
            <w:shd w:val="clear" w:color="auto" w:fill="auto"/>
            <w:vAlign w:val="bottom"/>
          </w:tcPr>
          <w:p w:rsidR="00D820E8" w:rsidRPr="00EC4853" w:rsidRDefault="00D820E8" w:rsidP="002A3D48">
            <w:pPr>
              <w:pStyle w:val="SingleTxtG"/>
              <w:bidi/>
              <w:spacing w:before="40" w:after="40" w:line="280" w:lineRule="exact"/>
              <w:ind w:left="57" w:right="0"/>
              <w:jc w:val="left"/>
              <w:rPr>
                <w:sz w:val="18"/>
              </w:rPr>
            </w:pPr>
            <w:r w:rsidRPr="00EC4853">
              <w:rPr>
                <w:sz w:val="18"/>
              </w:rPr>
              <w:t>51.48</w:t>
            </w:r>
          </w:p>
        </w:tc>
      </w:tr>
      <w:tr w:rsidR="00D820E8" w:rsidRPr="00EC4853" w:rsidTr="00D820E8">
        <w:tc>
          <w:tcPr>
            <w:tcW w:w="1925" w:type="dxa"/>
            <w:shd w:val="clear" w:color="auto" w:fill="auto"/>
          </w:tcPr>
          <w:p w:rsidR="00D820E8" w:rsidRPr="00EC4853" w:rsidRDefault="00D820E8" w:rsidP="002A3D48">
            <w:pPr>
              <w:pStyle w:val="SingleTxtG"/>
              <w:bidi/>
              <w:spacing w:before="40" w:after="40" w:line="280" w:lineRule="exact"/>
              <w:ind w:left="57" w:right="0"/>
              <w:jc w:val="left"/>
              <w:rPr>
                <w:sz w:val="18"/>
              </w:rPr>
            </w:pPr>
            <w:r w:rsidRPr="00EC4853">
              <w:rPr>
                <w:sz w:val="18"/>
              </w:rPr>
              <w:t>55</w:t>
            </w:r>
            <w:r>
              <w:rPr>
                <w:rFonts w:hint="cs"/>
                <w:sz w:val="18"/>
                <w:rtl/>
              </w:rPr>
              <w:t>-</w:t>
            </w:r>
            <w:r w:rsidRPr="00EC4853">
              <w:rPr>
                <w:sz w:val="18"/>
              </w:rPr>
              <w:t>64</w:t>
            </w:r>
          </w:p>
        </w:tc>
        <w:tc>
          <w:tcPr>
            <w:tcW w:w="1329" w:type="dxa"/>
            <w:shd w:val="clear" w:color="auto" w:fill="auto"/>
            <w:vAlign w:val="bottom"/>
          </w:tcPr>
          <w:p w:rsidR="00D820E8" w:rsidRPr="00EC4853" w:rsidRDefault="00D820E8" w:rsidP="002A3D48">
            <w:pPr>
              <w:pStyle w:val="SingleTxtG"/>
              <w:bidi/>
              <w:spacing w:before="40" w:after="40" w:line="280" w:lineRule="exact"/>
              <w:ind w:left="57" w:right="0"/>
              <w:jc w:val="left"/>
              <w:rPr>
                <w:sz w:val="18"/>
              </w:rPr>
            </w:pPr>
            <w:r w:rsidRPr="00EC4853">
              <w:rPr>
                <w:sz w:val="18"/>
              </w:rPr>
              <w:t>3.39</w:t>
            </w:r>
          </w:p>
        </w:tc>
        <w:tc>
          <w:tcPr>
            <w:tcW w:w="1148" w:type="dxa"/>
            <w:shd w:val="clear" w:color="auto" w:fill="auto"/>
            <w:vAlign w:val="bottom"/>
          </w:tcPr>
          <w:p w:rsidR="00D820E8" w:rsidRPr="00EC4853" w:rsidRDefault="00D820E8" w:rsidP="002A3D48">
            <w:pPr>
              <w:pStyle w:val="SingleTxtG"/>
              <w:bidi/>
              <w:spacing w:before="40" w:after="40" w:line="280" w:lineRule="exact"/>
              <w:ind w:left="57" w:right="0"/>
              <w:jc w:val="left"/>
              <w:rPr>
                <w:sz w:val="18"/>
              </w:rPr>
            </w:pPr>
            <w:r w:rsidRPr="00EC4853">
              <w:rPr>
                <w:sz w:val="18"/>
              </w:rPr>
              <w:t>2 35 546</w:t>
            </w:r>
          </w:p>
        </w:tc>
        <w:tc>
          <w:tcPr>
            <w:tcW w:w="1036" w:type="dxa"/>
            <w:shd w:val="clear" w:color="auto" w:fill="auto"/>
            <w:vAlign w:val="bottom"/>
          </w:tcPr>
          <w:p w:rsidR="00D820E8" w:rsidRPr="00EC4853" w:rsidRDefault="00D820E8" w:rsidP="002A3D48">
            <w:pPr>
              <w:pStyle w:val="SingleTxtG"/>
              <w:bidi/>
              <w:spacing w:before="40" w:after="40" w:line="280" w:lineRule="exact"/>
              <w:ind w:left="57" w:right="0"/>
              <w:jc w:val="left"/>
              <w:rPr>
                <w:sz w:val="18"/>
              </w:rPr>
            </w:pPr>
            <w:r w:rsidRPr="00EC4853">
              <w:rPr>
                <w:sz w:val="18"/>
              </w:rPr>
              <w:t>53.31</w:t>
            </w:r>
          </w:p>
        </w:tc>
        <w:tc>
          <w:tcPr>
            <w:tcW w:w="1092" w:type="dxa"/>
            <w:shd w:val="clear" w:color="auto" w:fill="auto"/>
            <w:vAlign w:val="bottom"/>
          </w:tcPr>
          <w:p w:rsidR="00D820E8" w:rsidRPr="00EC4853" w:rsidRDefault="00D820E8" w:rsidP="002A3D48">
            <w:pPr>
              <w:pStyle w:val="SingleTxtG"/>
              <w:bidi/>
              <w:spacing w:before="40" w:after="40" w:line="280" w:lineRule="exact"/>
              <w:ind w:left="57" w:right="0"/>
              <w:jc w:val="left"/>
              <w:rPr>
                <w:sz w:val="18"/>
              </w:rPr>
            </w:pPr>
            <w:r w:rsidRPr="00EC4853">
              <w:rPr>
                <w:sz w:val="18"/>
              </w:rPr>
              <w:t>206 304</w:t>
            </w:r>
          </w:p>
        </w:tc>
        <w:tc>
          <w:tcPr>
            <w:tcW w:w="840" w:type="dxa"/>
            <w:shd w:val="clear" w:color="auto" w:fill="auto"/>
            <w:vAlign w:val="bottom"/>
          </w:tcPr>
          <w:p w:rsidR="00D820E8" w:rsidRPr="00EC4853" w:rsidRDefault="00D820E8" w:rsidP="002A3D48">
            <w:pPr>
              <w:pStyle w:val="SingleTxtG"/>
              <w:bidi/>
              <w:spacing w:before="40" w:after="40" w:line="280" w:lineRule="exact"/>
              <w:ind w:left="57" w:right="0"/>
              <w:jc w:val="left"/>
              <w:rPr>
                <w:sz w:val="18"/>
              </w:rPr>
            </w:pPr>
            <w:r w:rsidRPr="00EC4853">
              <w:rPr>
                <w:sz w:val="18"/>
              </w:rPr>
              <w:t>46.69</w:t>
            </w:r>
          </w:p>
        </w:tc>
      </w:tr>
      <w:tr w:rsidR="00D820E8" w:rsidRPr="00EC4853" w:rsidTr="00D820E8">
        <w:tc>
          <w:tcPr>
            <w:tcW w:w="1925" w:type="dxa"/>
            <w:shd w:val="clear" w:color="auto" w:fill="auto"/>
          </w:tcPr>
          <w:p w:rsidR="00D820E8" w:rsidRPr="00EC4853" w:rsidRDefault="00D820E8" w:rsidP="002A3D48">
            <w:pPr>
              <w:pStyle w:val="SingleTxtG"/>
              <w:bidi/>
              <w:spacing w:before="40" w:after="40" w:line="280" w:lineRule="exact"/>
              <w:ind w:left="57" w:right="0"/>
              <w:jc w:val="left"/>
              <w:rPr>
                <w:sz w:val="18"/>
              </w:rPr>
            </w:pPr>
            <w:r w:rsidRPr="00EC4853">
              <w:rPr>
                <w:sz w:val="18"/>
              </w:rPr>
              <w:t>65</w:t>
            </w:r>
            <w:r w:rsidR="000C391F">
              <w:rPr>
                <w:rFonts w:ascii="Traditional Arabic" w:hAnsi="Traditional Arabic" w:cs="Traditional Arabic" w:hint="cs"/>
                <w:sz w:val="24"/>
                <w:szCs w:val="24"/>
                <w:rtl/>
              </w:rPr>
              <w:t xml:space="preserve"> </w:t>
            </w:r>
            <w:r w:rsidRPr="00D820E8">
              <w:rPr>
                <w:rFonts w:ascii="Traditional Arabic" w:hAnsi="Traditional Arabic" w:cs="Traditional Arabic"/>
                <w:sz w:val="24"/>
                <w:szCs w:val="24"/>
                <w:rtl/>
              </w:rPr>
              <w:t>عاماً فما فوق</w:t>
            </w:r>
          </w:p>
        </w:tc>
        <w:tc>
          <w:tcPr>
            <w:tcW w:w="1329" w:type="dxa"/>
            <w:shd w:val="clear" w:color="auto" w:fill="auto"/>
            <w:vAlign w:val="bottom"/>
          </w:tcPr>
          <w:p w:rsidR="00D820E8" w:rsidRPr="00EC4853" w:rsidRDefault="00D820E8" w:rsidP="002A3D48">
            <w:pPr>
              <w:pStyle w:val="SingleTxtG"/>
              <w:bidi/>
              <w:spacing w:before="40" w:after="40" w:line="280" w:lineRule="exact"/>
              <w:ind w:left="57" w:right="0"/>
              <w:jc w:val="left"/>
              <w:rPr>
                <w:sz w:val="18"/>
              </w:rPr>
            </w:pPr>
            <w:r w:rsidRPr="00EC4853">
              <w:rPr>
                <w:sz w:val="18"/>
              </w:rPr>
              <w:t>2.1</w:t>
            </w:r>
          </w:p>
        </w:tc>
        <w:tc>
          <w:tcPr>
            <w:tcW w:w="1148" w:type="dxa"/>
            <w:shd w:val="clear" w:color="auto" w:fill="auto"/>
            <w:vAlign w:val="bottom"/>
          </w:tcPr>
          <w:p w:rsidR="00D820E8" w:rsidRPr="00EC4853" w:rsidRDefault="00D820E8" w:rsidP="002A3D48">
            <w:pPr>
              <w:pStyle w:val="SingleTxtG"/>
              <w:bidi/>
              <w:spacing w:before="40" w:after="40" w:line="280" w:lineRule="exact"/>
              <w:ind w:left="57" w:right="0"/>
              <w:jc w:val="left"/>
              <w:rPr>
                <w:sz w:val="18"/>
              </w:rPr>
            </w:pPr>
            <w:r w:rsidRPr="00EC4853">
              <w:rPr>
                <w:sz w:val="18"/>
              </w:rPr>
              <w:t>151 166</w:t>
            </w:r>
          </w:p>
        </w:tc>
        <w:tc>
          <w:tcPr>
            <w:tcW w:w="1036" w:type="dxa"/>
            <w:shd w:val="clear" w:color="auto" w:fill="auto"/>
            <w:vAlign w:val="bottom"/>
          </w:tcPr>
          <w:p w:rsidR="00D820E8" w:rsidRPr="00EC4853" w:rsidRDefault="00D820E8" w:rsidP="002A3D48">
            <w:pPr>
              <w:pStyle w:val="SingleTxtG"/>
              <w:bidi/>
              <w:spacing w:before="40" w:after="40" w:line="280" w:lineRule="exact"/>
              <w:ind w:left="57" w:right="0"/>
              <w:jc w:val="left"/>
              <w:rPr>
                <w:sz w:val="18"/>
              </w:rPr>
            </w:pPr>
            <w:r w:rsidRPr="00EC4853">
              <w:rPr>
                <w:sz w:val="18"/>
              </w:rPr>
              <w:t>55.14</w:t>
            </w:r>
          </w:p>
        </w:tc>
        <w:tc>
          <w:tcPr>
            <w:tcW w:w="1092" w:type="dxa"/>
            <w:shd w:val="clear" w:color="auto" w:fill="auto"/>
            <w:vAlign w:val="bottom"/>
          </w:tcPr>
          <w:p w:rsidR="00D820E8" w:rsidRPr="00EC4853" w:rsidRDefault="00D820E8" w:rsidP="002A3D48">
            <w:pPr>
              <w:pStyle w:val="SingleTxtG"/>
              <w:bidi/>
              <w:spacing w:before="40" w:after="40" w:line="280" w:lineRule="exact"/>
              <w:ind w:left="57" w:right="0"/>
              <w:jc w:val="left"/>
              <w:rPr>
                <w:sz w:val="18"/>
              </w:rPr>
            </w:pPr>
            <w:r w:rsidRPr="00EC4853">
              <w:rPr>
                <w:sz w:val="18"/>
              </w:rPr>
              <w:t>123 008</w:t>
            </w:r>
          </w:p>
        </w:tc>
        <w:tc>
          <w:tcPr>
            <w:tcW w:w="840" w:type="dxa"/>
            <w:shd w:val="clear" w:color="auto" w:fill="auto"/>
            <w:vAlign w:val="bottom"/>
          </w:tcPr>
          <w:p w:rsidR="00D820E8" w:rsidRPr="00EC4853" w:rsidRDefault="00D820E8" w:rsidP="002A3D48">
            <w:pPr>
              <w:pStyle w:val="SingleTxtG"/>
              <w:bidi/>
              <w:spacing w:before="40" w:after="40" w:line="280" w:lineRule="exact"/>
              <w:ind w:left="57" w:right="0"/>
              <w:jc w:val="left"/>
              <w:rPr>
                <w:sz w:val="18"/>
              </w:rPr>
            </w:pPr>
            <w:r w:rsidRPr="00EC4853">
              <w:rPr>
                <w:sz w:val="18"/>
              </w:rPr>
              <w:t>44.86</w:t>
            </w:r>
          </w:p>
        </w:tc>
      </w:tr>
    </w:tbl>
    <w:p w:rsidR="00414882" w:rsidRDefault="00414882" w:rsidP="0008232D">
      <w:pPr>
        <w:pStyle w:val="H23GA"/>
        <w:rPr>
          <w:rtl/>
        </w:rPr>
      </w:pPr>
    </w:p>
    <w:p w:rsidR="0008232D" w:rsidRDefault="00414882" w:rsidP="00BA6644">
      <w:pPr>
        <w:pStyle w:val="H23GA"/>
        <w:spacing w:before="120"/>
        <w:rPr>
          <w:rtl/>
        </w:rPr>
      </w:pPr>
      <w:r>
        <w:rPr>
          <w:rtl/>
        </w:rPr>
        <w:br w:type="page"/>
      </w:r>
      <w:r w:rsidR="0008232D">
        <w:rPr>
          <w:rtl/>
        </w:rPr>
        <w:tab/>
      </w:r>
      <w:r w:rsidR="0008232D">
        <w:rPr>
          <w:rtl/>
        </w:rPr>
        <w:tab/>
      </w:r>
      <w:r w:rsidR="0008232D" w:rsidRPr="00633584">
        <w:rPr>
          <w:rtl/>
        </w:rPr>
        <w:t>بيانات ديمغرافية أخرى</w:t>
      </w:r>
    </w:p>
    <w:tbl>
      <w:tblPr>
        <w:bidiVisual/>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416"/>
        <w:gridCol w:w="2268"/>
        <w:gridCol w:w="3686"/>
      </w:tblGrid>
      <w:tr w:rsidR="0008232D" w:rsidRPr="008F2EBA" w:rsidTr="0008232D">
        <w:trPr>
          <w:tblHeader/>
        </w:trPr>
        <w:tc>
          <w:tcPr>
            <w:tcW w:w="1416" w:type="dxa"/>
            <w:tcBorders>
              <w:top w:val="single" w:sz="4" w:space="0" w:color="auto"/>
              <w:bottom w:val="single" w:sz="12" w:space="0" w:color="auto"/>
            </w:tcBorders>
            <w:shd w:val="clear" w:color="auto" w:fill="auto"/>
          </w:tcPr>
          <w:p w:rsidR="0008232D" w:rsidRPr="003D4C27" w:rsidRDefault="0008232D" w:rsidP="0008232D">
            <w:pPr>
              <w:pStyle w:val="SingleTxtGA"/>
              <w:spacing w:after="0"/>
              <w:ind w:left="113" w:right="0"/>
              <w:jc w:val="left"/>
              <w:rPr>
                <w:b/>
                <w:i/>
                <w:iCs/>
                <w:sz w:val="26"/>
                <w:szCs w:val="26"/>
                <w:rtl/>
              </w:rPr>
            </w:pPr>
            <w:r>
              <w:rPr>
                <w:rFonts w:hint="cs"/>
                <w:b/>
                <w:i/>
                <w:iCs/>
                <w:sz w:val="26"/>
                <w:szCs w:val="26"/>
                <w:rtl/>
              </w:rPr>
              <w:t>رقم مسلسل</w:t>
            </w:r>
          </w:p>
        </w:tc>
        <w:tc>
          <w:tcPr>
            <w:tcW w:w="2268" w:type="dxa"/>
            <w:tcBorders>
              <w:top w:val="single" w:sz="4" w:space="0" w:color="auto"/>
              <w:bottom w:val="single" w:sz="12" w:space="0" w:color="auto"/>
            </w:tcBorders>
            <w:shd w:val="clear" w:color="auto" w:fill="auto"/>
          </w:tcPr>
          <w:p w:rsidR="0008232D" w:rsidRPr="003D4C27" w:rsidRDefault="0008232D" w:rsidP="0008232D">
            <w:pPr>
              <w:pStyle w:val="SingleTxtGA"/>
              <w:spacing w:after="0"/>
              <w:ind w:left="113" w:right="0"/>
              <w:jc w:val="left"/>
              <w:rPr>
                <w:b/>
                <w:i/>
                <w:iCs/>
                <w:sz w:val="26"/>
                <w:szCs w:val="26"/>
                <w:rtl/>
              </w:rPr>
            </w:pPr>
            <w:r w:rsidRPr="003D4C27">
              <w:rPr>
                <w:rFonts w:hint="cs"/>
                <w:b/>
                <w:i/>
                <w:iCs/>
                <w:sz w:val="26"/>
                <w:szCs w:val="26"/>
                <w:rtl/>
              </w:rPr>
              <w:t>المؤشر</w:t>
            </w:r>
          </w:p>
        </w:tc>
        <w:tc>
          <w:tcPr>
            <w:tcW w:w="3686" w:type="dxa"/>
            <w:tcBorders>
              <w:top w:val="single" w:sz="4" w:space="0" w:color="auto"/>
              <w:bottom w:val="single" w:sz="12" w:space="0" w:color="auto"/>
            </w:tcBorders>
            <w:shd w:val="clear" w:color="auto" w:fill="auto"/>
          </w:tcPr>
          <w:p w:rsidR="0008232D" w:rsidRPr="003D4C27" w:rsidRDefault="0008232D" w:rsidP="0008232D">
            <w:pPr>
              <w:pStyle w:val="SingleTxtGA"/>
              <w:spacing w:after="0"/>
              <w:ind w:left="113" w:right="0"/>
              <w:jc w:val="left"/>
              <w:rPr>
                <w:b/>
                <w:i/>
                <w:iCs/>
                <w:sz w:val="26"/>
                <w:szCs w:val="26"/>
                <w:rtl/>
              </w:rPr>
            </w:pPr>
            <w:r>
              <w:rPr>
                <w:rFonts w:hint="cs"/>
                <w:b/>
                <w:i/>
                <w:iCs/>
                <w:sz w:val="26"/>
                <w:szCs w:val="26"/>
                <w:rtl/>
              </w:rPr>
              <w:t>النسبة المئوية</w:t>
            </w:r>
          </w:p>
        </w:tc>
      </w:tr>
      <w:tr w:rsidR="0008232D" w:rsidRPr="008F2EBA" w:rsidTr="0008232D">
        <w:tc>
          <w:tcPr>
            <w:tcW w:w="1416" w:type="dxa"/>
            <w:tcBorders>
              <w:top w:val="single" w:sz="12" w:space="0" w:color="auto"/>
            </w:tcBorders>
            <w:shd w:val="clear" w:color="auto" w:fill="auto"/>
          </w:tcPr>
          <w:p w:rsidR="0008232D" w:rsidRPr="008F2EBA" w:rsidRDefault="0008232D" w:rsidP="0008232D">
            <w:pPr>
              <w:pStyle w:val="SingleTxtG"/>
              <w:bidi/>
              <w:spacing w:before="40" w:after="40" w:line="220" w:lineRule="exact"/>
              <w:ind w:left="113" w:right="113"/>
              <w:jc w:val="lowKashida"/>
              <w:rPr>
                <w:sz w:val="18"/>
              </w:rPr>
            </w:pPr>
            <w:r w:rsidRPr="008F2EBA">
              <w:rPr>
                <w:sz w:val="18"/>
              </w:rPr>
              <w:t>1</w:t>
            </w:r>
          </w:p>
        </w:tc>
        <w:tc>
          <w:tcPr>
            <w:tcW w:w="2268" w:type="dxa"/>
            <w:tcBorders>
              <w:top w:val="single" w:sz="12" w:space="0" w:color="auto"/>
            </w:tcBorders>
            <w:shd w:val="clear" w:color="auto" w:fill="auto"/>
          </w:tcPr>
          <w:p w:rsidR="0008232D" w:rsidRPr="003D4C27" w:rsidRDefault="0008232D" w:rsidP="0008232D">
            <w:pPr>
              <w:pStyle w:val="SingleTxtGA"/>
              <w:spacing w:after="0"/>
              <w:ind w:left="113" w:right="0"/>
              <w:rPr>
                <w:rFonts w:hint="cs"/>
                <w:b/>
                <w:sz w:val="26"/>
                <w:szCs w:val="26"/>
                <w:rtl/>
              </w:rPr>
            </w:pPr>
            <w:r>
              <w:rPr>
                <w:rFonts w:hint="cs"/>
                <w:b/>
                <w:sz w:val="26"/>
                <w:szCs w:val="26"/>
                <w:rtl/>
              </w:rPr>
              <w:t>معدَّل المواليد</w:t>
            </w:r>
          </w:p>
        </w:tc>
        <w:tc>
          <w:tcPr>
            <w:tcW w:w="3686" w:type="dxa"/>
            <w:tcBorders>
              <w:top w:val="single" w:sz="12" w:space="0" w:color="auto"/>
            </w:tcBorders>
            <w:shd w:val="clear" w:color="auto" w:fill="auto"/>
            <w:vAlign w:val="bottom"/>
          </w:tcPr>
          <w:p w:rsidR="0008232D" w:rsidRPr="0008232D" w:rsidRDefault="0008232D" w:rsidP="0008232D">
            <w:pPr>
              <w:pStyle w:val="SingleTxtGA"/>
              <w:spacing w:after="0"/>
              <w:ind w:left="113" w:right="0"/>
              <w:rPr>
                <w:sz w:val="18"/>
              </w:rPr>
            </w:pPr>
            <w:r w:rsidRPr="00C1338B">
              <w:rPr>
                <w:b/>
                <w:sz w:val="26"/>
                <w:szCs w:val="20"/>
                <w:rtl/>
              </w:rPr>
              <w:t>35</w:t>
            </w:r>
            <w:r w:rsidRPr="0008232D">
              <w:rPr>
                <w:b/>
                <w:sz w:val="26"/>
                <w:szCs w:val="26"/>
                <w:rtl/>
              </w:rPr>
              <w:t>,</w:t>
            </w:r>
            <w:r w:rsidRPr="00C1338B">
              <w:rPr>
                <w:b/>
                <w:sz w:val="26"/>
                <w:szCs w:val="20"/>
                <w:rtl/>
              </w:rPr>
              <w:t>5</w:t>
            </w:r>
            <w:r w:rsidRPr="0008232D">
              <w:rPr>
                <w:b/>
                <w:sz w:val="26"/>
                <w:szCs w:val="26"/>
                <w:rtl/>
              </w:rPr>
              <w:t xml:space="preserve"> لكل ألف من السكان (تقديرات </w:t>
            </w:r>
            <w:proofErr w:type="gramStart"/>
            <w:r w:rsidRPr="00C1338B">
              <w:rPr>
                <w:b/>
                <w:sz w:val="26"/>
                <w:szCs w:val="20"/>
                <w:rtl/>
              </w:rPr>
              <w:t>2017</w:t>
            </w:r>
            <w:r w:rsidRPr="0008232D">
              <w:rPr>
                <w:b/>
                <w:sz w:val="26"/>
                <w:szCs w:val="26"/>
                <w:rtl/>
              </w:rPr>
              <w:t>)</w:t>
            </w:r>
            <w:r>
              <w:rPr>
                <w:vertAlign w:val="superscript"/>
                <w:rtl/>
              </w:rPr>
              <w:t>(</w:t>
            </w:r>
            <w:proofErr w:type="gramEnd"/>
            <w:r w:rsidRPr="00C1338B">
              <w:rPr>
                <w:rStyle w:val="FootnoteReference"/>
                <w:rFonts w:cs="Times New Roman"/>
                <w:b w:val="0"/>
                <w:position w:val="4"/>
                <w:sz w:val="20"/>
              </w:rPr>
              <w:footnoteReference w:id="4"/>
            </w:r>
            <w:r>
              <w:rPr>
                <w:vertAlign w:val="superscript"/>
                <w:rtl/>
              </w:rPr>
              <w:t>)</w:t>
            </w:r>
          </w:p>
        </w:tc>
      </w:tr>
      <w:tr w:rsidR="0008232D" w:rsidRPr="008F2EBA" w:rsidTr="0008232D">
        <w:tc>
          <w:tcPr>
            <w:tcW w:w="1416" w:type="dxa"/>
            <w:shd w:val="clear" w:color="auto" w:fill="auto"/>
          </w:tcPr>
          <w:p w:rsidR="0008232D" w:rsidRPr="008F2EBA" w:rsidRDefault="0008232D" w:rsidP="0008232D">
            <w:pPr>
              <w:pStyle w:val="SingleTxtG"/>
              <w:bidi/>
              <w:spacing w:before="40" w:after="40" w:line="220" w:lineRule="exact"/>
              <w:ind w:left="113" w:right="113"/>
              <w:jc w:val="lowKashida"/>
              <w:rPr>
                <w:sz w:val="18"/>
              </w:rPr>
            </w:pPr>
            <w:r w:rsidRPr="008F2EBA">
              <w:rPr>
                <w:sz w:val="18"/>
              </w:rPr>
              <w:t>2</w:t>
            </w:r>
          </w:p>
        </w:tc>
        <w:tc>
          <w:tcPr>
            <w:tcW w:w="2268" w:type="dxa"/>
            <w:shd w:val="clear" w:color="auto" w:fill="auto"/>
          </w:tcPr>
          <w:p w:rsidR="0008232D" w:rsidRPr="003D4C27" w:rsidRDefault="0008232D" w:rsidP="0008232D">
            <w:pPr>
              <w:pStyle w:val="SingleTxtGA"/>
              <w:spacing w:after="0"/>
              <w:ind w:left="113" w:right="0"/>
              <w:rPr>
                <w:b/>
                <w:sz w:val="26"/>
                <w:szCs w:val="26"/>
                <w:rtl/>
              </w:rPr>
            </w:pPr>
            <w:r>
              <w:rPr>
                <w:rFonts w:hint="cs"/>
                <w:b/>
                <w:sz w:val="26"/>
                <w:szCs w:val="26"/>
                <w:rtl/>
              </w:rPr>
              <w:t>معدَّل الوفيات</w:t>
            </w:r>
          </w:p>
        </w:tc>
        <w:tc>
          <w:tcPr>
            <w:tcW w:w="3686" w:type="dxa"/>
            <w:shd w:val="clear" w:color="auto" w:fill="auto"/>
            <w:vAlign w:val="bottom"/>
          </w:tcPr>
          <w:p w:rsidR="0008232D" w:rsidRPr="0008232D" w:rsidRDefault="0008232D" w:rsidP="0008232D">
            <w:pPr>
              <w:pStyle w:val="SingleTxtGA"/>
              <w:spacing w:after="0"/>
              <w:ind w:left="113" w:right="0"/>
              <w:rPr>
                <w:b/>
                <w:sz w:val="26"/>
                <w:szCs w:val="26"/>
              </w:rPr>
            </w:pPr>
            <w:r w:rsidRPr="00C1338B">
              <w:rPr>
                <w:b/>
                <w:sz w:val="26"/>
                <w:szCs w:val="20"/>
                <w:rtl/>
              </w:rPr>
              <w:t>7</w:t>
            </w:r>
            <w:r w:rsidRPr="0008232D">
              <w:rPr>
                <w:b/>
                <w:sz w:val="26"/>
                <w:szCs w:val="26"/>
                <w:rtl/>
              </w:rPr>
              <w:t>,</w:t>
            </w:r>
            <w:r w:rsidRPr="00C1338B">
              <w:rPr>
                <w:b/>
                <w:sz w:val="26"/>
                <w:szCs w:val="20"/>
                <w:rtl/>
              </w:rPr>
              <w:t>7</w:t>
            </w:r>
            <w:r w:rsidRPr="0008232D">
              <w:rPr>
                <w:b/>
                <w:sz w:val="26"/>
                <w:szCs w:val="26"/>
                <w:rtl/>
              </w:rPr>
              <w:t xml:space="preserve"> لكل ألف من السكان (تقديرات </w:t>
            </w:r>
            <w:proofErr w:type="gramStart"/>
            <w:r w:rsidRPr="00C1338B">
              <w:rPr>
                <w:b/>
                <w:sz w:val="26"/>
                <w:szCs w:val="20"/>
                <w:rtl/>
              </w:rPr>
              <w:t>2017</w:t>
            </w:r>
            <w:r w:rsidRPr="0008232D">
              <w:rPr>
                <w:b/>
                <w:sz w:val="26"/>
                <w:szCs w:val="26"/>
                <w:rtl/>
              </w:rPr>
              <w:t>)</w:t>
            </w:r>
            <w:r>
              <w:rPr>
                <w:vertAlign w:val="superscript"/>
                <w:rtl/>
              </w:rPr>
              <w:t>(</w:t>
            </w:r>
            <w:proofErr w:type="gramEnd"/>
            <w:r w:rsidRPr="00C1338B">
              <w:rPr>
                <w:rStyle w:val="FootnoteReference"/>
                <w:rFonts w:cs="Times New Roman"/>
                <w:b w:val="0"/>
                <w:position w:val="4"/>
                <w:sz w:val="20"/>
              </w:rPr>
              <w:footnoteReference w:id="5"/>
            </w:r>
            <w:r>
              <w:rPr>
                <w:vertAlign w:val="superscript"/>
                <w:rtl/>
              </w:rPr>
              <w:t>)</w:t>
            </w:r>
          </w:p>
        </w:tc>
      </w:tr>
      <w:tr w:rsidR="0008232D" w:rsidRPr="008F2EBA" w:rsidTr="0008232D">
        <w:tc>
          <w:tcPr>
            <w:tcW w:w="1416" w:type="dxa"/>
            <w:shd w:val="clear" w:color="auto" w:fill="auto"/>
          </w:tcPr>
          <w:p w:rsidR="0008232D" w:rsidRPr="008F2EBA" w:rsidRDefault="0008232D" w:rsidP="0008232D">
            <w:pPr>
              <w:pStyle w:val="SingleTxtG"/>
              <w:bidi/>
              <w:spacing w:before="40" w:after="40" w:line="220" w:lineRule="exact"/>
              <w:ind w:left="113" w:right="113"/>
              <w:jc w:val="lowKashida"/>
              <w:rPr>
                <w:sz w:val="18"/>
              </w:rPr>
            </w:pPr>
            <w:r w:rsidRPr="008F2EBA">
              <w:rPr>
                <w:sz w:val="18"/>
              </w:rPr>
              <w:t>3</w:t>
            </w:r>
          </w:p>
        </w:tc>
        <w:tc>
          <w:tcPr>
            <w:tcW w:w="2268" w:type="dxa"/>
            <w:shd w:val="clear" w:color="auto" w:fill="auto"/>
          </w:tcPr>
          <w:p w:rsidR="0008232D" w:rsidRPr="003D4C27" w:rsidRDefault="0008232D" w:rsidP="0008232D">
            <w:pPr>
              <w:pStyle w:val="SingleTxtGA"/>
              <w:spacing w:after="0"/>
              <w:ind w:left="113" w:right="0"/>
              <w:rPr>
                <w:b/>
                <w:sz w:val="26"/>
                <w:szCs w:val="26"/>
                <w:rtl/>
              </w:rPr>
            </w:pPr>
            <w:r>
              <w:rPr>
                <w:rFonts w:hint="cs"/>
                <w:b/>
                <w:sz w:val="26"/>
                <w:szCs w:val="26"/>
                <w:rtl/>
              </w:rPr>
              <w:t>العمر المتوقع عند الولادة</w:t>
            </w:r>
          </w:p>
        </w:tc>
        <w:tc>
          <w:tcPr>
            <w:tcW w:w="3686" w:type="dxa"/>
            <w:shd w:val="clear" w:color="auto" w:fill="auto"/>
            <w:vAlign w:val="bottom"/>
          </w:tcPr>
          <w:p w:rsidR="0008232D" w:rsidRPr="008F2EBA" w:rsidRDefault="0008232D" w:rsidP="0008232D">
            <w:pPr>
              <w:pStyle w:val="SingleTxtG"/>
              <w:bidi/>
              <w:spacing w:before="40" w:after="40" w:line="220" w:lineRule="exact"/>
              <w:ind w:left="113" w:right="113"/>
              <w:jc w:val="left"/>
              <w:rPr>
                <w:sz w:val="18"/>
              </w:rPr>
            </w:pPr>
            <w:r>
              <w:rPr>
                <w:rFonts w:hint="cs"/>
                <w:sz w:val="18"/>
                <w:rtl/>
              </w:rPr>
              <w:t>42</w:t>
            </w:r>
            <w:r>
              <w:rPr>
                <w:rFonts w:eastAsia="Times New Roman" w:cs="Traditional Arabic" w:hint="cs"/>
                <w:b/>
                <w:sz w:val="26"/>
                <w:szCs w:val="26"/>
                <w:rtl/>
                <w:lang w:val="en-US" w:eastAsia="en-US"/>
              </w:rPr>
              <w:t xml:space="preserve"> </w:t>
            </w:r>
            <w:proofErr w:type="gramStart"/>
            <w:r w:rsidRPr="0008232D">
              <w:rPr>
                <w:rFonts w:eastAsia="Times New Roman" w:cs="Traditional Arabic" w:hint="cs"/>
                <w:b/>
                <w:sz w:val="26"/>
                <w:szCs w:val="26"/>
                <w:rtl/>
                <w:lang w:val="en-US" w:eastAsia="en-US"/>
              </w:rPr>
              <w:t>عاماً</w:t>
            </w:r>
            <w:r w:rsidRPr="0008232D">
              <w:rPr>
                <w:vertAlign w:val="superscript"/>
                <w:rtl/>
              </w:rPr>
              <w:t>(</w:t>
            </w:r>
            <w:proofErr w:type="gramEnd"/>
            <w:r w:rsidRPr="00C1338B">
              <w:rPr>
                <w:rStyle w:val="FootnoteReference"/>
                <w:rFonts w:cs="Times New Roman"/>
                <w:b w:val="0"/>
                <w:position w:val="4"/>
                <w:sz w:val="20"/>
                <w:lang w:val="en-US"/>
              </w:rPr>
              <w:footnoteReference w:id="6"/>
            </w:r>
            <w:r w:rsidRPr="0008232D">
              <w:rPr>
                <w:vertAlign w:val="superscript"/>
                <w:rtl/>
              </w:rPr>
              <w:t>)</w:t>
            </w:r>
          </w:p>
        </w:tc>
      </w:tr>
    </w:tbl>
    <w:p w:rsidR="00633584" w:rsidRDefault="003E79CA" w:rsidP="0008232D">
      <w:pPr>
        <w:pStyle w:val="H23GA"/>
        <w:spacing w:before="360"/>
        <w:rPr>
          <w:rtl/>
        </w:rPr>
      </w:pPr>
      <w:r>
        <w:rPr>
          <w:rtl/>
        </w:rPr>
        <w:tab/>
      </w:r>
      <w:r>
        <w:rPr>
          <w:rtl/>
        </w:rPr>
        <w:tab/>
      </w:r>
      <w:r w:rsidR="00633584">
        <w:rPr>
          <w:rtl/>
        </w:rPr>
        <w:t>اللغات</w:t>
      </w:r>
    </w:p>
    <w:p w:rsidR="00633584" w:rsidRDefault="00633584" w:rsidP="00633584">
      <w:pPr>
        <w:pStyle w:val="SingleTxtGA"/>
        <w:spacing w:line="380" w:lineRule="exact"/>
        <w:rPr>
          <w:rtl/>
        </w:rPr>
      </w:pPr>
      <w:r w:rsidRPr="00C1338B">
        <w:rPr>
          <w:szCs w:val="20"/>
          <w:rtl/>
        </w:rPr>
        <w:t>10</w:t>
      </w:r>
      <w:r>
        <w:rPr>
          <w:rtl/>
        </w:rPr>
        <w:t>-</w:t>
      </w:r>
      <w:r>
        <w:rPr>
          <w:rtl/>
        </w:rPr>
        <w:tab/>
        <w:t>يوجد العديد من التجمعات اللغوية في جنوب السودان بما في ذلك "</w:t>
      </w:r>
      <w:proofErr w:type="spellStart"/>
      <w:r>
        <w:rPr>
          <w:rtl/>
        </w:rPr>
        <w:t>النيلوتيون</w:t>
      </w:r>
      <w:proofErr w:type="spellEnd"/>
      <w:r>
        <w:rPr>
          <w:rtl/>
        </w:rPr>
        <w:t xml:space="preserve">" </w:t>
      </w:r>
      <w:proofErr w:type="spellStart"/>
      <w:r>
        <w:rPr>
          <w:rtl/>
        </w:rPr>
        <w:t>و"النيليتيون</w:t>
      </w:r>
      <w:proofErr w:type="spellEnd"/>
      <w:r>
        <w:rPr>
          <w:rtl/>
        </w:rPr>
        <w:t xml:space="preserve"> </w:t>
      </w:r>
      <w:proofErr w:type="spellStart"/>
      <w:r w:rsidRPr="0004022E">
        <w:rPr>
          <w:spacing w:val="-4"/>
          <w:rtl/>
        </w:rPr>
        <w:t>الحاميون</w:t>
      </w:r>
      <w:proofErr w:type="spellEnd"/>
      <w:r w:rsidRPr="0004022E">
        <w:rPr>
          <w:spacing w:val="-4"/>
          <w:rtl/>
        </w:rPr>
        <w:t xml:space="preserve">"، والسودان. ويتكلم </w:t>
      </w:r>
      <w:proofErr w:type="spellStart"/>
      <w:r w:rsidRPr="0004022E">
        <w:rPr>
          <w:spacing w:val="-4"/>
          <w:rtl/>
        </w:rPr>
        <w:t>النيلوتيون</w:t>
      </w:r>
      <w:proofErr w:type="spellEnd"/>
      <w:r w:rsidRPr="0004022E">
        <w:rPr>
          <w:spacing w:val="-4"/>
          <w:rtl/>
        </w:rPr>
        <w:t xml:space="preserve"> لغات مختلفة من الفرع اللغوي لأسرة اللغات </w:t>
      </w:r>
      <w:proofErr w:type="spellStart"/>
      <w:r w:rsidRPr="0004022E">
        <w:rPr>
          <w:spacing w:val="-4"/>
          <w:rtl/>
        </w:rPr>
        <w:t>النيلو</w:t>
      </w:r>
      <w:proofErr w:type="spellEnd"/>
      <w:r w:rsidR="003E79CA" w:rsidRPr="0004022E">
        <w:rPr>
          <w:rFonts w:hint="cs"/>
          <w:spacing w:val="-4"/>
          <w:rtl/>
        </w:rPr>
        <w:t xml:space="preserve"> </w:t>
      </w:r>
      <w:r w:rsidRPr="0004022E">
        <w:rPr>
          <w:spacing w:val="-4"/>
          <w:rtl/>
        </w:rPr>
        <w:t>-</w:t>
      </w:r>
      <w:r w:rsidR="003E79CA" w:rsidRPr="0004022E">
        <w:rPr>
          <w:rFonts w:hint="cs"/>
          <w:spacing w:val="-4"/>
          <w:rtl/>
        </w:rPr>
        <w:t xml:space="preserve"> </w:t>
      </w:r>
      <w:r w:rsidRPr="0004022E">
        <w:rPr>
          <w:spacing w:val="-4"/>
          <w:rtl/>
        </w:rPr>
        <w:t>صحراوية</w:t>
      </w:r>
      <w:r>
        <w:rPr>
          <w:rtl/>
        </w:rPr>
        <w:t xml:space="preserve"> </w:t>
      </w:r>
      <w:r w:rsidRPr="00BA6644">
        <w:rPr>
          <w:spacing w:val="-4"/>
          <w:rtl/>
        </w:rPr>
        <w:t xml:space="preserve">الخاص بالجزء الشرقي من السودان، بينما تتحدث مجموعات أخرى لغات مختلفة تنتمي إلى فرع </w:t>
      </w:r>
      <w:proofErr w:type="spellStart"/>
      <w:r w:rsidRPr="00BA6644">
        <w:rPr>
          <w:spacing w:val="-4"/>
          <w:rtl/>
        </w:rPr>
        <w:t>أدماوا</w:t>
      </w:r>
      <w:proofErr w:type="spellEnd"/>
      <w:r w:rsidR="003E79CA" w:rsidRPr="00BA6644">
        <w:rPr>
          <w:rFonts w:hint="cs"/>
          <w:spacing w:val="-4"/>
          <w:rtl/>
        </w:rPr>
        <w:t xml:space="preserve"> </w:t>
      </w:r>
      <w:r w:rsidRPr="00BA6644">
        <w:rPr>
          <w:spacing w:val="-4"/>
          <w:rtl/>
        </w:rPr>
        <w:t>-</w:t>
      </w:r>
      <w:r w:rsidR="003E79CA">
        <w:rPr>
          <w:rFonts w:hint="cs"/>
          <w:rtl/>
        </w:rPr>
        <w:t xml:space="preserve"> </w:t>
      </w:r>
      <w:proofErr w:type="spellStart"/>
      <w:r>
        <w:rPr>
          <w:rtl/>
        </w:rPr>
        <w:t>أوبانغي</w:t>
      </w:r>
      <w:proofErr w:type="spellEnd"/>
      <w:r>
        <w:rPr>
          <w:rtl/>
        </w:rPr>
        <w:t xml:space="preserve"> من لغات النيجر</w:t>
      </w:r>
      <w:r w:rsidR="003E79CA">
        <w:rPr>
          <w:rFonts w:hint="cs"/>
          <w:rtl/>
        </w:rPr>
        <w:t xml:space="preserve"> </w:t>
      </w:r>
      <w:r>
        <w:rPr>
          <w:rtl/>
        </w:rPr>
        <w:t xml:space="preserve">- الكونغو. وبموجب الدستور الانتقالي لعام </w:t>
      </w:r>
      <w:r w:rsidRPr="00C1338B">
        <w:rPr>
          <w:szCs w:val="20"/>
          <w:rtl/>
        </w:rPr>
        <w:t>2011</w:t>
      </w:r>
      <w:r>
        <w:rPr>
          <w:rtl/>
        </w:rPr>
        <w:t xml:space="preserve"> (بصيغته المعدَّلة)، فإن اللغة الإن</w:t>
      </w:r>
      <w:r w:rsidR="009A23B9">
        <w:rPr>
          <w:rFonts w:hint="cs"/>
          <w:rtl/>
        </w:rPr>
        <w:t>ك</w:t>
      </w:r>
      <w:r>
        <w:rPr>
          <w:rtl/>
        </w:rPr>
        <w:t>ليزية هي لغة العمل الرسمية في البلد، على الرغم من أن اللغة العربية واللغات المحلية الأخرى تُستخدم أيضاً كوسيلة للتواصل.</w:t>
      </w:r>
      <w:r w:rsidR="0004022E">
        <w:rPr>
          <w:rFonts w:hint="cs"/>
          <w:rtl/>
        </w:rPr>
        <w:t xml:space="preserve"> </w:t>
      </w:r>
    </w:p>
    <w:p w:rsidR="00633584" w:rsidRDefault="0008232D" w:rsidP="0008232D">
      <w:pPr>
        <w:pStyle w:val="H23GA"/>
        <w:rPr>
          <w:rtl/>
        </w:rPr>
      </w:pPr>
      <w:r>
        <w:rPr>
          <w:rtl/>
        </w:rPr>
        <w:tab/>
      </w:r>
      <w:r>
        <w:rPr>
          <w:rtl/>
        </w:rPr>
        <w:tab/>
      </w:r>
      <w:r w:rsidR="00633584">
        <w:rPr>
          <w:rtl/>
        </w:rPr>
        <w:t>الاقتصاد</w:t>
      </w:r>
    </w:p>
    <w:p w:rsidR="00633584" w:rsidRDefault="00633584" w:rsidP="00633584">
      <w:pPr>
        <w:pStyle w:val="SingleTxtGA"/>
        <w:spacing w:line="380" w:lineRule="exact"/>
        <w:rPr>
          <w:rtl/>
        </w:rPr>
      </w:pPr>
      <w:r w:rsidRPr="00C1338B">
        <w:rPr>
          <w:szCs w:val="20"/>
          <w:rtl/>
        </w:rPr>
        <w:t>11</w:t>
      </w:r>
      <w:r>
        <w:rPr>
          <w:rtl/>
        </w:rPr>
        <w:t>-</w:t>
      </w:r>
      <w:r>
        <w:rPr>
          <w:rtl/>
        </w:rPr>
        <w:tab/>
      </w:r>
      <w:r w:rsidRPr="0004022E">
        <w:rPr>
          <w:spacing w:val="-4"/>
          <w:rtl/>
        </w:rPr>
        <w:t xml:space="preserve">المصدر الرئيسي للإيرادات في البلد هو النفط الذي يبلغ نصيبه نحو </w:t>
      </w:r>
      <w:r w:rsidRPr="0004022E">
        <w:rPr>
          <w:spacing w:val="-4"/>
          <w:szCs w:val="20"/>
          <w:rtl/>
        </w:rPr>
        <w:t>90</w:t>
      </w:r>
      <w:r w:rsidRPr="0004022E">
        <w:rPr>
          <w:spacing w:val="-4"/>
          <w:rtl/>
        </w:rPr>
        <w:t xml:space="preserve"> في المائة من</w:t>
      </w:r>
      <w:r w:rsidR="0008232D" w:rsidRPr="0004022E">
        <w:rPr>
          <w:rFonts w:hint="cs"/>
          <w:spacing w:val="-4"/>
          <w:rtl/>
        </w:rPr>
        <w:t> </w:t>
      </w:r>
      <w:r w:rsidRPr="0004022E">
        <w:rPr>
          <w:spacing w:val="-4"/>
          <w:rtl/>
        </w:rPr>
        <w:t>الناتج المحلي الإجمالي. وتشتمل مصادر الدخل الأخرى على الزراعة، والتجارة، ومصايد الأسماك، والغابات، والسياحة،</w:t>
      </w:r>
      <w:r>
        <w:rPr>
          <w:rtl/>
        </w:rPr>
        <w:t xml:space="preserve"> والطاقة </w:t>
      </w:r>
      <w:proofErr w:type="spellStart"/>
      <w:r>
        <w:rPr>
          <w:rtl/>
        </w:rPr>
        <w:t>الكهرمائية</w:t>
      </w:r>
      <w:proofErr w:type="spellEnd"/>
      <w:r>
        <w:rPr>
          <w:rtl/>
        </w:rPr>
        <w:t>، والتعدين. بيد أن معظم هذه الموارد ليست مستغلَّة بالكامل.</w:t>
      </w:r>
    </w:p>
    <w:p w:rsidR="00633584" w:rsidRDefault="00633584" w:rsidP="00633584">
      <w:pPr>
        <w:pStyle w:val="SingleTxtGA"/>
        <w:spacing w:line="380" w:lineRule="exact"/>
        <w:rPr>
          <w:rtl/>
        </w:rPr>
      </w:pPr>
      <w:r w:rsidRPr="00C1338B">
        <w:rPr>
          <w:szCs w:val="20"/>
          <w:rtl/>
        </w:rPr>
        <w:t>12</w:t>
      </w:r>
      <w:r>
        <w:rPr>
          <w:rtl/>
        </w:rPr>
        <w:t>-</w:t>
      </w:r>
      <w:r>
        <w:rPr>
          <w:rtl/>
        </w:rPr>
        <w:tab/>
        <w:t>وجنوب السودان هو من بين أقل البلدان نمواً في العالم. ويعتمد السكان في المقام الأول على زراعة الكفاف بما فيها زراعة المحاصيل، وتربية الحيوانات، والعمل في مصايد الأسماك والغابات من أجل كسب عيشهم.</w:t>
      </w:r>
    </w:p>
    <w:p w:rsidR="00633584" w:rsidRDefault="00633584" w:rsidP="00633584">
      <w:pPr>
        <w:pStyle w:val="SingleTxtGA"/>
        <w:spacing w:line="380" w:lineRule="exact"/>
        <w:rPr>
          <w:rtl/>
        </w:rPr>
      </w:pPr>
      <w:r w:rsidRPr="00C1338B">
        <w:rPr>
          <w:szCs w:val="20"/>
          <w:rtl/>
        </w:rPr>
        <w:t>13</w:t>
      </w:r>
      <w:r>
        <w:rPr>
          <w:rtl/>
        </w:rPr>
        <w:t>-</w:t>
      </w:r>
      <w:r>
        <w:rPr>
          <w:rtl/>
        </w:rPr>
        <w:tab/>
        <w:t xml:space="preserve">ويعتمد المزارعون بصورة رئيسية على هطول الأمطار لمزاولة الزراعة على الرغم من استخدام تقنيات الزراعة الميكانيكية بشكل متزايد في بعض المناطق، كما هو الحال في منطقة </w:t>
      </w:r>
      <w:proofErr w:type="spellStart"/>
      <w:r>
        <w:rPr>
          <w:rtl/>
        </w:rPr>
        <w:t>رينك</w:t>
      </w:r>
      <w:proofErr w:type="spellEnd"/>
      <w:r>
        <w:rPr>
          <w:rtl/>
        </w:rPr>
        <w:t xml:space="preserve"> في الجزء الشمالي من البلد. وتشتمل المحاصيل الرئيسية على الذرة الرفيعة والذرة والبن واللوبياء والسمسم والفول السوداني والدخن والأرز </w:t>
      </w:r>
      <w:proofErr w:type="spellStart"/>
      <w:r>
        <w:rPr>
          <w:rtl/>
        </w:rPr>
        <w:t>والمنيهوت</w:t>
      </w:r>
      <w:proofErr w:type="spellEnd"/>
      <w:r>
        <w:rPr>
          <w:rtl/>
        </w:rPr>
        <w:t xml:space="preserve"> والبطاطا الحلوة والفواكه والخضروات. وتوجد أعداد كبيرة من الماشية والدواجن التي يجري تربيتها في البلد، بما في ذلك الماعز والأغنام والماشية والدجاج. وتنطوي الغابات في البلد على إمكانية إنتاج الأخشاب الصلبة والأخشاب اللينة والمنتجات الطبية والفواكه والصمغ العربي. ونهر النيل هو المصدر الرئيسي للأسماك ولكنها تُستخدَم بصورة رئيسية في الاستهلاك المحلي.</w:t>
      </w:r>
    </w:p>
    <w:p w:rsidR="00633584" w:rsidRDefault="0004022E" w:rsidP="0004022E">
      <w:pPr>
        <w:pStyle w:val="H1GA"/>
        <w:spacing w:before="120"/>
        <w:rPr>
          <w:rtl/>
        </w:rPr>
      </w:pPr>
      <w:r>
        <w:rPr>
          <w:rtl/>
        </w:rPr>
        <w:br w:type="page"/>
      </w:r>
      <w:r w:rsidR="00633584">
        <w:rPr>
          <w:rtl/>
        </w:rPr>
        <w:tab/>
        <w:t>جيم-</w:t>
      </w:r>
      <w:r w:rsidR="00633584">
        <w:rPr>
          <w:rtl/>
        </w:rPr>
        <w:tab/>
        <w:t>البنية الدستورية والسياسية</w:t>
      </w:r>
    </w:p>
    <w:p w:rsidR="00633584" w:rsidRDefault="008B7751" w:rsidP="0004022E">
      <w:pPr>
        <w:pStyle w:val="H23GA"/>
        <w:rPr>
          <w:rtl/>
        </w:rPr>
      </w:pPr>
      <w:r>
        <w:rPr>
          <w:rtl/>
        </w:rPr>
        <w:tab/>
      </w:r>
      <w:r>
        <w:rPr>
          <w:rtl/>
        </w:rPr>
        <w:tab/>
      </w:r>
      <w:r w:rsidR="00633584">
        <w:rPr>
          <w:rtl/>
        </w:rPr>
        <w:t>جوانب الحكم في البلد</w:t>
      </w:r>
    </w:p>
    <w:p w:rsidR="00633584" w:rsidRDefault="00633584" w:rsidP="0004022E">
      <w:pPr>
        <w:pStyle w:val="SingleTxtGA"/>
        <w:spacing w:line="340" w:lineRule="exact"/>
        <w:rPr>
          <w:rtl/>
        </w:rPr>
      </w:pPr>
      <w:r w:rsidRPr="00C1338B">
        <w:rPr>
          <w:szCs w:val="20"/>
          <w:rtl/>
        </w:rPr>
        <w:t>14</w:t>
      </w:r>
      <w:r>
        <w:rPr>
          <w:rtl/>
        </w:rPr>
        <w:t>-</w:t>
      </w:r>
      <w:r>
        <w:rPr>
          <w:rtl/>
        </w:rPr>
        <w:tab/>
        <w:t>جوبا هي عاصمة جنوب السودان. ويُطبّق البلد نظام حكم لا</w:t>
      </w:r>
      <w:r w:rsidR="0004022E">
        <w:rPr>
          <w:rFonts w:hint="cs"/>
          <w:rtl/>
        </w:rPr>
        <w:t> </w:t>
      </w:r>
      <w:r>
        <w:rPr>
          <w:rtl/>
        </w:rPr>
        <w:t xml:space="preserve">مركزياً يقف على رأس ذراعه </w:t>
      </w:r>
      <w:r w:rsidRPr="0004022E">
        <w:rPr>
          <w:spacing w:val="-4"/>
          <w:rtl/>
        </w:rPr>
        <w:t xml:space="preserve">التنفيذية رئيس الجمهورية. والقاعدة الأساسية في البلد هي الدستور الانتقالي لعام </w:t>
      </w:r>
      <w:r w:rsidRPr="0004022E">
        <w:rPr>
          <w:spacing w:val="-4"/>
          <w:szCs w:val="20"/>
          <w:rtl/>
        </w:rPr>
        <w:t>2011</w:t>
      </w:r>
      <w:r w:rsidRPr="0004022E">
        <w:rPr>
          <w:spacing w:val="-4"/>
          <w:rtl/>
        </w:rPr>
        <w:t xml:space="preserve"> (بصيغته المعدَّلة)</w:t>
      </w:r>
      <w:r>
        <w:rPr>
          <w:rtl/>
        </w:rPr>
        <w:t xml:space="preserve"> الذي يعترف بالتنوع العرقي والثقافي للبلد (المادة </w:t>
      </w:r>
      <w:r w:rsidRPr="00C1338B">
        <w:rPr>
          <w:szCs w:val="20"/>
          <w:rtl/>
        </w:rPr>
        <w:t>1</w:t>
      </w:r>
      <w:r>
        <w:rPr>
          <w:rtl/>
        </w:rPr>
        <w:t>{</w:t>
      </w:r>
      <w:r w:rsidRPr="00C1338B">
        <w:rPr>
          <w:szCs w:val="20"/>
          <w:rtl/>
        </w:rPr>
        <w:t>4</w:t>
      </w:r>
      <w:r>
        <w:rPr>
          <w:rtl/>
        </w:rPr>
        <w:t xml:space="preserve">}). ونظام الحكم في </w:t>
      </w:r>
      <w:r w:rsidRPr="000241FD">
        <w:rPr>
          <w:spacing w:val="-4"/>
          <w:rtl/>
        </w:rPr>
        <w:t>جنوب السودان منظَّم على ثلاثة مستويات للحكم: المستوى الوطني؛ ومستوى الولايات، ومستوى</w:t>
      </w:r>
      <w:r>
        <w:rPr>
          <w:rtl/>
        </w:rPr>
        <w:t xml:space="preserve"> </w:t>
      </w:r>
      <w:r w:rsidRPr="000241FD">
        <w:rPr>
          <w:spacing w:val="-4"/>
          <w:rtl/>
        </w:rPr>
        <w:t xml:space="preserve">الحكم المحلي. وللأغراض الإدارية، ينقسم جنوب السودان حالياً إلى </w:t>
      </w:r>
      <w:r w:rsidRPr="00C1338B">
        <w:rPr>
          <w:spacing w:val="-4"/>
          <w:szCs w:val="20"/>
          <w:rtl/>
        </w:rPr>
        <w:t>32</w:t>
      </w:r>
      <w:r w:rsidRPr="000241FD">
        <w:rPr>
          <w:spacing w:val="-4"/>
          <w:rtl/>
        </w:rPr>
        <w:t xml:space="preserve"> ولاية و</w:t>
      </w:r>
      <w:r w:rsidRPr="00C1338B">
        <w:rPr>
          <w:spacing w:val="-4"/>
          <w:szCs w:val="20"/>
          <w:rtl/>
        </w:rPr>
        <w:t>180</w:t>
      </w:r>
      <w:r w:rsidRPr="000241FD">
        <w:rPr>
          <w:spacing w:val="-4"/>
          <w:rtl/>
        </w:rPr>
        <w:t xml:space="preserve"> مقاطعة على</w:t>
      </w:r>
      <w:r>
        <w:rPr>
          <w:rtl/>
        </w:rPr>
        <w:t xml:space="preserve"> التوالي بالإضافة إلى منطقة أبيي الإدارية.</w:t>
      </w:r>
      <w:r w:rsidR="0004022E">
        <w:rPr>
          <w:rFonts w:hint="cs"/>
          <w:rtl/>
        </w:rPr>
        <w:t xml:space="preserve"> </w:t>
      </w:r>
    </w:p>
    <w:p w:rsidR="00633584" w:rsidRDefault="00633584" w:rsidP="0004022E">
      <w:pPr>
        <w:pStyle w:val="SingleTxtGA"/>
        <w:spacing w:line="340" w:lineRule="exact"/>
        <w:rPr>
          <w:rtl/>
        </w:rPr>
      </w:pPr>
      <w:r w:rsidRPr="00C1338B">
        <w:rPr>
          <w:szCs w:val="20"/>
          <w:rtl/>
        </w:rPr>
        <w:t>15</w:t>
      </w:r>
      <w:r>
        <w:rPr>
          <w:rtl/>
        </w:rPr>
        <w:t>-</w:t>
      </w:r>
      <w:r>
        <w:rPr>
          <w:rtl/>
        </w:rPr>
        <w:tab/>
        <w:t xml:space="preserve">والذراع التشريعية للحكومة هي برلمان مكوَّن من مجلسين يتألف من الجمعية التشريعية الوطنية ومجلس الولايات. ويضم مجلس الولايات </w:t>
      </w:r>
      <w:r w:rsidRPr="00C1338B">
        <w:rPr>
          <w:szCs w:val="20"/>
          <w:rtl/>
        </w:rPr>
        <w:t>50</w:t>
      </w:r>
      <w:r>
        <w:rPr>
          <w:rtl/>
        </w:rPr>
        <w:t xml:space="preserve"> عضواً من </w:t>
      </w:r>
      <w:r w:rsidRPr="00C1338B">
        <w:rPr>
          <w:szCs w:val="20"/>
          <w:rtl/>
        </w:rPr>
        <w:t>50</w:t>
      </w:r>
      <w:r>
        <w:rPr>
          <w:rtl/>
        </w:rPr>
        <w:t xml:space="preserve"> دائرة انتخابية، بينما تتكون </w:t>
      </w:r>
      <w:r w:rsidRPr="000241FD">
        <w:rPr>
          <w:spacing w:val="-4"/>
          <w:rtl/>
        </w:rPr>
        <w:t xml:space="preserve">الجمعية التشريعية الوطنية حالياً من </w:t>
      </w:r>
      <w:r w:rsidRPr="00C1338B">
        <w:rPr>
          <w:spacing w:val="-4"/>
          <w:szCs w:val="20"/>
          <w:rtl/>
        </w:rPr>
        <w:t>450</w:t>
      </w:r>
      <w:r w:rsidRPr="000241FD">
        <w:rPr>
          <w:spacing w:val="-4"/>
          <w:rtl/>
        </w:rPr>
        <w:t xml:space="preserve"> عضواً. وبالإضافة إلى سن القوانين، تتولّى الهيئة التشريعية</w:t>
      </w:r>
      <w:r>
        <w:rPr>
          <w:rtl/>
        </w:rPr>
        <w:t xml:space="preserve"> مهمة الرقابة على أداء الحكومة الوطنية. وهي تقرّ السياسات التنفيذية والميزانية، وتصدق على المعاهدات والاتفاقات الدولية، ويمكنها التصويت بحجب الثقة عن نواب رئيس الجمهورية وأي وزير في مجلس الوزراء.</w:t>
      </w:r>
    </w:p>
    <w:p w:rsidR="00633584" w:rsidRDefault="00503867" w:rsidP="0004022E">
      <w:pPr>
        <w:pStyle w:val="H23GA"/>
        <w:rPr>
          <w:rtl/>
        </w:rPr>
      </w:pPr>
      <w:r>
        <w:rPr>
          <w:rtl/>
        </w:rPr>
        <w:tab/>
      </w:r>
      <w:r>
        <w:rPr>
          <w:rtl/>
        </w:rPr>
        <w:tab/>
      </w:r>
      <w:r w:rsidR="00633584">
        <w:rPr>
          <w:rtl/>
        </w:rPr>
        <w:t>النظام القانوني</w:t>
      </w:r>
    </w:p>
    <w:p w:rsidR="00633584" w:rsidRDefault="00633584" w:rsidP="0004022E">
      <w:pPr>
        <w:pStyle w:val="SingleTxtGA"/>
        <w:spacing w:line="340" w:lineRule="exact"/>
        <w:rPr>
          <w:rtl/>
        </w:rPr>
      </w:pPr>
      <w:r w:rsidRPr="00C1338B">
        <w:rPr>
          <w:szCs w:val="20"/>
          <w:rtl/>
        </w:rPr>
        <w:t>16</w:t>
      </w:r>
      <w:r>
        <w:rPr>
          <w:rtl/>
        </w:rPr>
        <w:t>-</w:t>
      </w:r>
      <w:r>
        <w:rPr>
          <w:rtl/>
        </w:rPr>
        <w:tab/>
        <w:t xml:space="preserve">يستند النظام القانوني لجنوب السودان إلى تقاليد القانون العام، حيث يرأس القضاء رئيس القضاة. وتُحمَّل الميزانية القضائية مباشرة على الاعتمادات الموحَّدة للبلد. والمحكمة العليا هي أعلى </w:t>
      </w:r>
      <w:r w:rsidRPr="0004022E">
        <w:rPr>
          <w:spacing w:val="-4"/>
          <w:rtl/>
        </w:rPr>
        <w:t>محكمة في البلد. وجميع المحاكم الأخرى في الدولة لها ولاية في المسائل المدنية والمسائل الجنائية. أما محاكم</w:t>
      </w:r>
      <w:r>
        <w:rPr>
          <w:rtl/>
        </w:rPr>
        <w:t xml:space="preserve"> الاستئناف والمحاكم العالية فهي محاكم من الدرجة الأعلى. ويجوز لرئيس القضاة، بموجب أمر قضائي، أن يُنشئ محكمة خاصة للنظر في قضايا محددة حسب الحاجة.</w:t>
      </w:r>
    </w:p>
    <w:p w:rsidR="00633584" w:rsidRDefault="00503867" w:rsidP="0004022E">
      <w:pPr>
        <w:pStyle w:val="H23GA"/>
        <w:rPr>
          <w:rtl/>
        </w:rPr>
      </w:pPr>
      <w:r>
        <w:rPr>
          <w:rtl/>
        </w:rPr>
        <w:tab/>
      </w:r>
      <w:r>
        <w:rPr>
          <w:rtl/>
        </w:rPr>
        <w:tab/>
      </w:r>
      <w:r w:rsidR="00633584">
        <w:rPr>
          <w:rtl/>
        </w:rPr>
        <w:t>مصادر القانون</w:t>
      </w:r>
    </w:p>
    <w:p w:rsidR="00633584" w:rsidRDefault="00633584" w:rsidP="0004022E">
      <w:pPr>
        <w:pStyle w:val="SingleTxtGA"/>
        <w:spacing w:line="340" w:lineRule="exact"/>
        <w:rPr>
          <w:rtl/>
        </w:rPr>
      </w:pPr>
      <w:r w:rsidRPr="00C1338B">
        <w:rPr>
          <w:szCs w:val="20"/>
          <w:rtl/>
        </w:rPr>
        <w:t>17</w:t>
      </w:r>
      <w:r>
        <w:rPr>
          <w:rtl/>
        </w:rPr>
        <w:t>-</w:t>
      </w:r>
      <w:r>
        <w:rPr>
          <w:rtl/>
        </w:rPr>
        <w:tab/>
        <w:t xml:space="preserve">يوجد لدى جنوب السودان نظام قانوني تعددي يضم خمسة مصادر للقانون، هي: </w:t>
      </w:r>
      <w:r w:rsidRPr="00503867">
        <w:rPr>
          <w:spacing w:val="-4"/>
          <w:rtl/>
        </w:rPr>
        <w:t>الدستور الانتقالي؛ والقوانين المكتوبة؛ وعادت الشعب وتقاليده؛ وإرادة الشعب؛ وأي مصدر آخر</w:t>
      </w:r>
      <w:r>
        <w:rPr>
          <w:rtl/>
        </w:rPr>
        <w:t xml:space="preserve"> ذي </w:t>
      </w:r>
      <w:proofErr w:type="gramStart"/>
      <w:r>
        <w:rPr>
          <w:rtl/>
        </w:rPr>
        <w:t>صلة</w:t>
      </w:r>
      <w:r w:rsidR="008B7751">
        <w:rPr>
          <w:vertAlign w:val="superscript"/>
          <w:rtl/>
        </w:rPr>
        <w:t>(</w:t>
      </w:r>
      <w:proofErr w:type="gramEnd"/>
      <w:r w:rsidR="008B7751" w:rsidRPr="00C1338B">
        <w:rPr>
          <w:rStyle w:val="FootnoteReference"/>
          <w:rFonts w:cs="Times New Roman"/>
          <w:b w:val="0"/>
          <w:position w:val="4"/>
          <w:sz w:val="20"/>
        </w:rPr>
        <w:footnoteReference w:id="7"/>
      </w:r>
      <w:r w:rsidR="008B7751">
        <w:rPr>
          <w:vertAlign w:val="superscript"/>
          <w:rtl/>
        </w:rPr>
        <w:t>)</w:t>
      </w:r>
      <w:r>
        <w:rPr>
          <w:rtl/>
        </w:rPr>
        <w:t xml:space="preserve">. </w:t>
      </w:r>
      <w:r w:rsidRPr="00503867">
        <w:rPr>
          <w:spacing w:val="-4"/>
          <w:rtl/>
        </w:rPr>
        <w:t>ويُعترف بنظام المحاكم العرفية كمصدر للقانون بموجب الدستور الانتقالي ويعمل هذا</w:t>
      </w:r>
      <w:r>
        <w:rPr>
          <w:rtl/>
        </w:rPr>
        <w:t xml:space="preserve"> النظام جنباً إلى جنب مع نظام العدالة الرسمي. وعلى الرغم من أن القوانين العرفية لكثير من </w:t>
      </w:r>
      <w:r w:rsidRPr="00503867">
        <w:rPr>
          <w:spacing w:val="-4"/>
          <w:rtl/>
        </w:rPr>
        <w:t>المجموعات العرقية في البلد تميل إلى أن يكون بينها قواسم مشتركة، فإن لكل محكمة عرفية أعرافها</w:t>
      </w:r>
      <w:r>
        <w:rPr>
          <w:rtl/>
        </w:rPr>
        <w:t xml:space="preserve"> المنفصلة الخاصة بها التي تطبّقها.</w:t>
      </w:r>
    </w:p>
    <w:p w:rsidR="00633584" w:rsidRDefault="00503867" w:rsidP="0004022E">
      <w:pPr>
        <w:pStyle w:val="H23GA"/>
        <w:rPr>
          <w:rtl/>
        </w:rPr>
      </w:pPr>
      <w:r>
        <w:rPr>
          <w:rtl/>
        </w:rPr>
        <w:tab/>
      </w:r>
      <w:r>
        <w:rPr>
          <w:rtl/>
        </w:rPr>
        <w:tab/>
      </w:r>
      <w:r w:rsidR="00633584">
        <w:rPr>
          <w:rtl/>
        </w:rPr>
        <w:t>النظام الانتخابي</w:t>
      </w:r>
    </w:p>
    <w:p w:rsidR="00633584" w:rsidRPr="00503867" w:rsidRDefault="00633584" w:rsidP="0004022E">
      <w:pPr>
        <w:pStyle w:val="SingleTxtGA"/>
        <w:spacing w:line="340" w:lineRule="exact"/>
        <w:rPr>
          <w:spacing w:val="-4"/>
          <w:rtl/>
        </w:rPr>
      </w:pPr>
      <w:r w:rsidRPr="00C1338B">
        <w:rPr>
          <w:szCs w:val="20"/>
          <w:rtl/>
        </w:rPr>
        <w:t>18</w:t>
      </w:r>
      <w:r>
        <w:rPr>
          <w:rtl/>
        </w:rPr>
        <w:t>-</w:t>
      </w:r>
      <w:r>
        <w:rPr>
          <w:rtl/>
        </w:rPr>
        <w:tab/>
        <w:t xml:space="preserve">ينظم قانون الانتخابات الوطني لعام </w:t>
      </w:r>
      <w:r w:rsidRPr="00C1338B">
        <w:rPr>
          <w:szCs w:val="20"/>
          <w:rtl/>
        </w:rPr>
        <w:t>2012</w:t>
      </w:r>
      <w:r>
        <w:rPr>
          <w:rtl/>
        </w:rPr>
        <w:t xml:space="preserve"> النظام الانتخابي. ورغم أنه لم تُجر أي انتخابات </w:t>
      </w:r>
      <w:r w:rsidRPr="0004022E">
        <w:rPr>
          <w:spacing w:val="-4"/>
          <w:rtl/>
        </w:rPr>
        <w:t>منذ الاستقلال، فإنه توجد لجنة انتخابات وطنية تتألف من ثمانية أعضاء، واحد منهم فقط من</w:t>
      </w:r>
      <w:r w:rsidRPr="00503867">
        <w:rPr>
          <w:spacing w:val="-4"/>
          <w:rtl/>
        </w:rPr>
        <w:t xml:space="preserve"> </w:t>
      </w:r>
      <w:proofErr w:type="gramStart"/>
      <w:r w:rsidRPr="00503867">
        <w:rPr>
          <w:spacing w:val="-4"/>
          <w:rtl/>
        </w:rPr>
        <w:t>الإناث</w:t>
      </w:r>
      <w:r w:rsidR="008B7751" w:rsidRPr="00503867">
        <w:rPr>
          <w:spacing w:val="-4"/>
          <w:vertAlign w:val="superscript"/>
          <w:rtl/>
        </w:rPr>
        <w:t>(</w:t>
      </w:r>
      <w:proofErr w:type="gramEnd"/>
      <w:r w:rsidR="008B7751" w:rsidRPr="00C1338B">
        <w:rPr>
          <w:rStyle w:val="FootnoteReference"/>
          <w:rFonts w:cs="Times New Roman"/>
          <w:b w:val="0"/>
          <w:spacing w:val="-4"/>
          <w:position w:val="4"/>
          <w:sz w:val="20"/>
        </w:rPr>
        <w:footnoteReference w:id="8"/>
      </w:r>
      <w:r w:rsidR="008B7751" w:rsidRPr="00503867">
        <w:rPr>
          <w:spacing w:val="-4"/>
          <w:vertAlign w:val="superscript"/>
          <w:rtl/>
        </w:rPr>
        <w:t>)</w:t>
      </w:r>
      <w:r w:rsidRPr="00503867">
        <w:rPr>
          <w:spacing w:val="-4"/>
          <w:rtl/>
        </w:rPr>
        <w:t>. ويوجد ثمانية وعشرون حزباً سياسياً مسجلاً لا ترأس الإناث سوى اثنين منهما.</w:t>
      </w:r>
    </w:p>
    <w:p w:rsidR="00633584" w:rsidRDefault="000241FD" w:rsidP="0004022E">
      <w:pPr>
        <w:pStyle w:val="H23GA"/>
        <w:rPr>
          <w:rtl/>
        </w:rPr>
      </w:pPr>
      <w:r>
        <w:rPr>
          <w:rtl/>
        </w:rPr>
        <w:tab/>
      </w:r>
      <w:r>
        <w:rPr>
          <w:rtl/>
        </w:rPr>
        <w:tab/>
      </w:r>
      <w:r w:rsidR="00633584">
        <w:rPr>
          <w:rtl/>
        </w:rPr>
        <w:t>المنظمات غير الحكومية</w:t>
      </w:r>
    </w:p>
    <w:p w:rsidR="00633584" w:rsidRDefault="00633584" w:rsidP="0004022E">
      <w:pPr>
        <w:pStyle w:val="SingleTxtGA"/>
        <w:spacing w:line="340" w:lineRule="exact"/>
        <w:rPr>
          <w:rtl/>
        </w:rPr>
      </w:pPr>
      <w:r w:rsidRPr="00C1338B">
        <w:rPr>
          <w:szCs w:val="20"/>
          <w:rtl/>
        </w:rPr>
        <w:t>19</w:t>
      </w:r>
      <w:r>
        <w:rPr>
          <w:rtl/>
        </w:rPr>
        <w:t>-</w:t>
      </w:r>
      <w:r>
        <w:rPr>
          <w:rtl/>
        </w:rPr>
        <w:tab/>
      </w:r>
      <w:r w:rsidRPr="000241FD">
        <w:rPr>
          <w:spacing w:val="-4"/>
          <w:rtl/>
        </w:rPr>
        <w:t xml:space="preserve">يتكفل قانون المنظمات غير الحكومية لعام </w:t>
      </w:r>
      <w:r w:rsidRPr="00C1338B">
        <w:rPr>
          <w:spacing w:val="-4"/>
          <w:szCs w:val="20"/>
          <w:rtl/>
        </w:rPr>
        <w:t>2016</w:t>
      </w:r>
      <w:r w:rsidRPr="000241FD">
        <w:rPr>
          <w:spacing w:val="-4"/>
          <w:rtl/>
        </w:rPr>
        <w:t xml:space="preserve"> بتنظيم أنشطة المنظمات غير الحكومية.</w:t>
      </w:r>
      <w:r>
        <w:rPr>
          <w:rtl/>
        </w:rPr>
        <w:t xml:space="preserve"> </w:t>
      </w:r>
      <w:r w:rsidRPr="000241FD">
        <w:rPr>
          <w:spacing w:val="-4"/>
          <w:rtl/>
        </w:rPr>
        <w:t xml:space="preserve">وهذا القانون هو تنفيذ مباشر للمادة </w:t>
      </w:r>
      <w:r w:rsidRPr="00C1338B">
        <w:rPr>
          <w:spacing w:val="-4"/>
          <w:szCs w:val="20"/>
          <w:rtl/>
        </w:rPr>
        <w:t>52</w:t>
      </w:r>
      <w:r w:rsidRPr="000241FD">
        <w:rPr>
          <w:spacing w:val="-4"/>
          <w:rtl/>
        </w:rPr>
        <w:t xml:space="preserve"> من الدستور الانتقالي. وهو يوفّر إطاراً تنظيمياً لتسجيل</w:t>
      </w:r>
      <w:r>
        <w:rPr>
          <w:rtl/>
        </w:rPr>
        <w:t xml:space="preserve"> المنظمات غير الحكومية وتنسيق ورصد أعمالها.</w:t>
      </w:r>
    </w:p>
    <w:p w:rsidR="00633584" w:rsidRDefault="00633584" w:rsidP="00503867">
      <w:pPr>
        <w:pStyle w:val="H1GA"/>
        <w:rPr>
          <w:rtl/>
        </w:rPr>
      </w:pPr>
      <w:r>
        <w:rPr>
          <w:rtl/>
        </w:rPr>
        <w:tab/>
        <w:t>دال-</w:t>
      </w:r>
      <w:r>
        <w:rPr>
          <w:rtl/>
        </w:rPr>
        <w:tab/>
        <w:t>التزامات البلد بتنفيذ أحكام صكوك حقوق الإنسان</w:t>
      </w:r>
    </w:p>
    <w:p w:rsidR="00633584" w:rsidRDefault="00633584" w:rsidP="00633584">
      <w:pPr>
        <w:pStyle w:val="SingleTxtGA"/>
        <w:spacing w:line="380" w:lineRule="exact"/>
        <w:rPr>
          <w:rtl/>
        </w:rPr>
      </w:pPr>
      <w:r w:rsidRPr="00C1338B">
        <w:rPr>
          <w:szCs w:val="20"/>
          <w:rtl/>
        </w:rPr>
        <w:t>20</w:t>
      </w:r>
      <w:r>
        <w:rPr>
          <w:rtl/>
        </w:rPr>
        <w:t>-</w:t>
      </w:r>
      <w:r>
        <w:rPr>
          <w:rtl/>
        </w:rPr>
        <w:tab/>
        <w:t xml:space="preserve">صدقت الحكومة على صكوك إقليمية ودولية شتى تتعلق بحقوق الإنسان أو انضمت </w:t>
      </w:r>
      <w:r w:rsidRPr="00503867">
        <w:rPr>
          <w:spacing w:val="-4"/>
          <w:rtl/>
        </w:rPr>
        <w:t xml:space="preserve">إليها </w:t>
      </w:r>
      <w:r w:rsidRPr="00BA6644">
        <w:rPr>
          <w:spacing w:val="-4"/>
          <w:rtl/>
        </w:rPr>
        <w:t>بهدف تعزيز وحماية حقوق الإنسان لجميع المواطنين. ووفقاً للدستور، قبلت الحكومة أن تلتزم بأسبقية مبادئ</w:t>
      </w:r>
      <w:r>
        <w:rPr>
          <w:rtl/>
        </w:rPr>
        <w:t xml:space="preserve"> القانون الدولي المعترف بها عالمياً وبأن تكفل اتساق تشريعاتها مع هذه المبادئ.</w:t>
      </w:r>
    </w:p>
    <w:p w:rsidR="00633584" w:rsidRDefault="00633584" w:rsidP="00633584">
      <w:pPr>
        <w:pStyle w:val="SingleTxtGA"/>
        <w:spacing w:line="380" w:lineRule="exact"/>
        <w:rPr>
          <w:rtl/>
        </w:rPr>
      </w:pPr>
      <w:r w:rsidRPr="00C1338B">
        <w:rPr>
          <w:szCs w:val="20"/>
          <w:rtl/>
        </w:rPr>
        <w:t>21</w:t>
      </w:r>
      <w:r>
        <w:rPr>
          <w:rtl/>
        </w:rPr>
        <w:t>-</w:t>
      </w:r>
      <w:r>
        <w:rPr>
          <w:rtl/>
        </w:rPr>
        <w:tab/>
        <w:t xml:space="preserve">ويتضمن الدستور الانتقالي لعام </w:t>
      </w:r>
      <w:r w:rsidRPr="00C1338B">
        <w:rPr>
          <w:szCs w:val="20"/>
          <w:rtl/>
        </w:rPr>
        <w:t>2011</w:t>
      </w:r>
      <w:r>
        <w:rPr>
          <w:rtl/>
        </w:rPr>
        <w:t xml:space="preserve"> (بصيغته المعدَّلة) في الباب الثاني منه، شرعة الحقوق والحريات الأساسية المستمدة من الصكوك الدولية والإقليمية لحقوق الإنسان التي صدّق عليها البلد أو</w:t>
      </w:r>
      <w:r w:rsidR="0004022E">
        <w:rPr>
          <w:rFonts w:hint="cs"/>
          <w:rtl/>
        </w:rPr>
        <w:t> </w:t>
      </w:r>
      <w:r>
        <w:rPr>
          <w:rtl/>
        </w:rPr>
        <w:t>انضم إليها.</w:t>
      </w:r>
    </w:p>
    <w:p w:rsidR="00633584" w:rsidRDefault="00503867" w:rsidP="00503867">
      <w:pPr>
        <w:pStyle w:val="H23GA"/>
        <w:rPr>
          <w:rtl/>
        </w:rPr>
      </w:pPr>
      <w:r>
        <w:rPr>
          <w:rtl/>
        </w:rPr>
        <w:tab/>
      </w:r>
      <w:r>
        <w:rPr>
          <w:rtl/>
        </w:rPr>
        <w:tab/>
      </w:r>
      <w:r w:rsidR="00633584">
        <w:rPr>
          <w:rtl/>
        </w:rPr>
        <w:t>المؤسسات الوطنية لحقوق الإنسان</w:t>
      </w:r>
    </w:p>
    <w:p w:rsidR="00633584" w:rsidRDefault="00633584" w:rsidP="00633584">
      <w:pPr>
        <w:pStyle w:val="SingleTxtGA"/>
        <w:spacing w:line="380" w:lineRule="exact"/>
        <w:rPr>
          <w:rtl/>
        </w:rPr>
      </w:pPr>
      <w:r w:rsidRPr="00C1338B">
        <w:rPr>
          <w:szCs w:val="20"/>
          <w:rtl/>
        </w:rPr>
        <w:t>22</w:t>
      </w:r>
      <w:r>
        <w:rPr>
          <w:rtl/>
        </w:rPr>
        <w:t>-</w:t>
      </w:r>
      <w:r>
        <w:rPr>
          <w:rtl/>
        </w:rPr>
        <w:tab/>
      </w:r>
      <w:r w:rsidRPr="009B20A3">
        <w:rPr>
          <w:spacing w:val="-4"/>
          <w:rtl/>
        </w:rPr>
        <w:t xml:space="preserve">أُنشئت لجنة حقوق الإنسان بجنوب السودان بموجب المادة </w:t>
      </w:r>
      <w:r w:rsidRPr="009B20A3">
        <w:rPr>
          <w:spacing w:val="-4"/>
          <w:szCs w:val="20"/>
          <w:rtl/>
        </w:rPr>
        <w:t>145</w:t>
      </w:r>
      <w:r w:rsidRPr="009B20A3">
        <w:rPr>
          <w:spacing w:val="-4"/>
          <w:rtl/>
        </w:rPr>
        <w:t xml:space="preserve"> من الدستور الانتقالي بغية تعزيز</w:t>
      </w:r>
      <w:r>
        <w:rPr>
          <w:rtl/>
        </w:rPr>
        <w:t xml:space="preserve"> </w:t>
      </w:r>
      <w:r w:rsidRPr="009B20A3">
        <w:rPr>
          <w:spacing w:val="-4"/>
          <w:rtl/>
        </w:rPr>
        <w:t>وحماية حقوق الإنسان والحريات الأساسية عن طريق التعليم والبحث والرصد وإجراء التحقيقات. وينص</w:t>
      </w:r>
      <w:r>
        <w:rPr>
          <w:rtl/>
        </w:rPr>
        <w:t xml:space="preserve"> قانون لجنة حقوق الإنسان بجنوب السودان لعام </w:t>
      </w:r>
      <w:r w:rsidRPr="00C1338B">
        <w:rPr>
          <w:szCs w:val="20"/>
          <w:rtl/>
        </w:rPr>
        <w:t>2009</w:t>
      </w:r>
      <w:r>
        <w:rPr>
          <w:rtl/>
        </w:rPr>
        <w:t xml:space="preserve"> على ولاية هذه المؤسسة وعلى توجيه أعمالها.</w:t>
      </w:r>
    </w:p>
    <w:p w:rsidR="00633584" w:rsidRDefault="00633584" w:rsidP="00633584">
      <w:pPr>
        <w:pStyle w:val="SingleTxtGA"/>
        <w:rPr>
          <w:rtl/>
        </w:rPr>
      </w:pPr>
      <w:r w:rsidRPr="00C1338B">
        <w:rPr>
          <w:szCs w:val="20"/>
          <w:rtl/>
        </w:rPr>
        <w:t>23</w:t>
      </w:r>
      <w:r>
        <w:rPr>
          <w:rtl/>
        </w:rPr>
        <w:t>-</w:t>
      </w:r>
      <w:r>
        <w:rPr>
          <w:rtl/>
        </w:rPr>
        <w:tab/>
        <w:t>وترد أدناه مؤسسات إضافية لتعزيز وحماية حقوق الإنسان.</w:t>
      </w:r>
    </w:p>
    <w:tbl>
      <w:tblPr>
        <w:bidiVisual/>
        <w:tblW w:w="9639"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677"/>
        <w:gridCol w:w="1596"/>
        <w:gridCol w:w="1470"/>
        <w:gridCol w:w="1539"/>
        <w:gridCol w:w="1820"/>
        <w:gridCol w:w="1806"/>
        <w:gridCol w:w="731"/>
      </w:tblGrid>
      <w:tr w:rsidR="000241FD" w:rsidRPr="000241FD" w:rsidTr="00C1338B">
        <w:trPr>
          <w:tblHeader/>
        </w:trPr>
        <w:tc>
          <w:tcPr>
            <w:tcW w:w="677" w:type="dxa"/>
            <w:tcBorders>
              <w:top w:val="single" w:sz="4" w:space="0" w:color="auto"/>
              <w:bottom w:val="single" w:sz="12" w:space="0" w:color="auto"/>
            </w:tcBorders>
            <w:shd w:val="clear" w:color="auto" w:fill="auto"/>
          </w:tcPr>
          <w:p w:rsidR="000241FD" w:rsidRPr="000241FD" w:rsidRDefault="000241FD" w:rsidP="000241FD">
            <w:pPr>
              <w:pStyle w:val="SingleTxtGA"/>
              <w:spacing w:after="0" w:line="380" w:lineRule="exact"/>
              <w:ind w:left="113" w:right="0"/>
              <w:jc w:val="left"/>
              <w:rPr>
                <w:b/>
                <w:i/>
                <w:iCs/>
                <w:sz w:val="26"/>
                <w:szCs w:val="26"/>
                <w:rtl/>
              </w:rPr>
            </w:pPr>
            <w:r w:rsidRPr="000241FD">
              <w:rPr>
                <w:rFonts w:hint="cs"/>
                <w:b/>
                <w:i/>
                <w:iCs/>
                <w:sz w:val="26"/>
                <w:szCs w:val="26"/>
                <w:rtl/>
              </w:rPr>
              <w:t>رقم</w:t>
            </w:r>
            <w:r w:rsidRPr="000241FD">
              <w:rPr>
                <w:b/>
                <w:i/>
                <w:iCs/>
                <w:sz w:val="26"/>
                <w:szCs w:val="26"/>
                <w:rtl/>
              </w:rPr>
              <w:br/>
            </w:r>
            <w:r w:rsidRPr="000241FD">
              <w:rPr>
                <w:rFonts w:hint="cs"/>
                <w:b/>
                <w:i/>
                <w:iCs/>
                <w:sz w:val="26"/>
                <w:szCs w:val="26"/>
                <w:rtl/>
              </w:rPr>
              <w:t xml:space="preserve">مسلسل </w:t>
            </w:r>
          </w:p>
        </w:tc>
        <w:tc>
          <w:tcPr>
            <w:tcW w:w="1596" w:type="dxa"/>
            <w:tcBorders>
              <w:top w:val="single" w:sz="4" w:space="0" w:color="auto"/>
              <w:bottom w:val="single" w:sz="12" w:space="0" w:color="auto"/>
            </w:tcBorders>
            <w:shd w:val="clear" w:color="auto" w:fill="auto"/>
          </w:tcPr>
          <w:p w:rsidR="000241FD" w:rsidRPr="000241FD" w:rsidRDefault="000241FD" w:rsidP="000241FD">
            <w:pPr>
              <w:pStyle w:val="SingleTxtGA"/>
              <w:spacing w:after="0" w:line="380" w:lineRule="exact"/>
              <w:ind w:left="113" w:right="0"/>
              <w:jc w:val="left"/>
              <w:rPr>
                <w:b/>
                <w:i/>
                <w:iCs/>
                <w:sz w:val="26"/>
                <w:szCs w:val="26"/>
                <w:rtl/>
              </w:rPr>
            </w:pPr>
            <w:r w:rsidRPr="000241FD">
              <w:rPr>
                <w:rFonts w:hint="cs"/>
                <w:b/>
                <w:i/>
                <w:iCs/>
                <w:sz w:val="26"/>
                <w:szCs w:val="26"/>
                <w:rtl/>
              </w:rPr>
              <w:t>اسم المؤسسة</w:t>
            </w:r>
          </w:p>
        </w:tc>
        <w:tc>
          <w:tcPr>
            <w:tcW w:w="1470" w:type="dxa"/>
            <w:tcBorders>
              <w:top w:val="single" w:sz="4" w:space="0" w:color="auto"/>
              <w:bottom w:val="single" w:sz="12" w:space="0" w:color="auto"/>
            </w:tcBorders>
            <w:shd w:val="clear" w:color="auto" w:fill="auto"/>
          </w:tcPr>
          <w:p w:rsidR="000241FD" w:rsidRPr="000241FD" w:rsidRDefault="000241FD" w:rsidP="000241FD">
            <w:pPr>
              <w:pStyle w:val="SingleTxtGA"/>
              <w:spacing w:after="0" w:line="380" w:lineRule="exact"/>
              <w:ind w:left="113" w:right="0"/>
              <w:jc w:val="left"/>
              <w:rPr>
                <w:b/>
                <w:i/>
                <w:iCs/>
                <w:sz w:val="26"/>
                <w:szCs w:val="26"/>
                <w:rtl/>
              </w:rPr>
            </w:pPr>
            <w:r w:rsidRPr="000241FD">
              <w:rPr>
                <w:rFonts w:hint="cs"/>
                <w:b/>
                <w:i/>
                <w:iCs/>
                <w:sz w:val="26"/>
                <w:szCs w:val="26"/>
                <w:rtl/>
              </w:rPr>
              <w:t>ولايتها</w:t>
            </w:r>
          </w:p>
        </w:tc>
        <w:tc>
          <w:tcPr>
            <w:tcW w:w="1539" w:type="dxa"/>
            <w:tcBorders>
              <w:top w:val="single" w:sz="4" w:space="0" w:color="auto"/>
              <w:bottom w:val="single" w:sz="12" w:space="0" w:color="auto"/>
            </w:tcBorders>
            <w:shd w:val="clear" w:color="auto" w:fill="auto"/>
          </w:tcPr>
          <w:p w:rsidR="000241FD" w:rsidRPr="000241FD" w:rsidRDefault="000241FD" w:rsidP="000241FD">
            <w:pPr>
              <w:pStyle w:val="SingleTxtGA"/>
              <w:spacing w:after="0" w:line="380" w:lineRule="exact"/>
              <w:ind w:left="113" w:right="0"/>
              <w:jc w:val="left"/>
              <w:rPr>
                <w:b/>
                <w:i/>
                <w:iCs/>
                <w:sz w:val="26"/>
                <w:szCs w:val="26"/>
                <w:rtl/>
              </w:rPr>
            </w:pPr>
            <w:r w:rsidRPr="000241FD">
              <w:rPr>
                <w:rFonts w:hint="cs"/>
                <w:b/>
                <w:i/>
                <w:iCs/>
                <w:sz w:val="26"/>
                <w:szCs w:val="26"/>
                <w:rtl/>
              </w:rPr>
              <w:t>تكوينها</w:t>
            </w:r>
          </w:p>
        </w:tc>
        <w:tc>
          <w:tcPr>
            <w:tcW w:w="1820" w:type="dxa"/>
            <w:tcBorders>
              <w:top w:val="single" w:sz="4" w:space="0" w:color="auto"/>
              <w:bottom w:val="single" w:sz="12" w:space="0" w:color="auto"/>
            </w:tcBorders>
            <w:shd w:val="clear" w:color="auto" w:fill="auto"/>
          </w:tcPr>
          <w:p w:rsidR="000241FD" w:rsidRPr="000241FD" w:rsidRDefault="000241FD" w:rsidP="000241FD">
            <w:pPr>
              <w:pStyle w:val="SingleTxtGA"/>
              <w:spacing w:after="0" w:line="380" w:lineRule="exact"/>
              <w:ind w:left="113" w:right="0"/>
              <w:jc w:val="left"/>
              <w:rPr>
                <w:b/>
                <w:i/>
                <w:iCs/>
                <w:sz w:val="26"/>
                <w:szCs w:val="26"/>
                <w:rtl/>
              </w:rPr>
            </w:pPr>
            <w:r w:rsidRPr="000241FD">
              <w:rPr>
                <w:rFonts w:hint="cs"/>
                <w:b/>
                <w:i/>
                <w:iCs/>
                <w:sz w:val="26"/>
                <w:szCs w:val="26"/>
                <w:rtl/>
              </w:rPr>
              <w:t>مواردها المالية</w:t>
            </w:r>
          </w:p>
        </w:tc>
        <w:tc>
          <w:tcPr>
            <w:tcW w:w="1806" w:type="dxa"/>
            <w:tcBorders>
              <w:top w:val="single" w:sz="4" w:space="0" w:color="auto"/>
              <w:bottom w:val="single" w:sz="12" w:space="0" w:color="auto"/>
            </w:tcBorders>
            <w:shd w:val="clear" w:color="auto" w:fill="auto"/>
          </w:tcPr>
          <w:p w:rsidR="000241FD" w:rsidRPr="000241FD" w:rsidRDefault="000241FD" w:rsidP="000241FD">
            <w:pPr>
              <w:pStyle w:val="SingleTxtGA"/>
              <w:spacing w:after="0" w:line="380" w:lineRule="exact"/>
              <w:ind w:left="113" w:right="0"/>
              <w:jc w:val="left"/>
              <w:rPr>
                <w:b/>
                <w:i/>
                <w:iCs/>
                <w:sz w:val="26"/>
                <w:szCs w:val="26"/>
                <w:rtl/>
              </w:rPr>
            </w:pPr>
            <w:r w:rsidRPr="000241FD">
              <w:rPr>
                <w:rFonts w:hint="cs"/>
                <w:b/>
                <w:i/>
                <w:iCs/>
                <w:sz w:val="26"/>
                <w:szCs w:val="26"/>
                <w:rtl/>
              </w:rPr>
              <w:t>أنشطتها</w:t>
            </w:r>
          </w:p>
        </w:tc>
        <w:tc>
          <w:tcPr>
            <w:tcW w:w="731" w:type="dxa"/>
            <w:tcBorders>
              <w:top w:val="single" w:sz="4" w:space="0" w:color="auto"/>
              <w:bottom w:val="single" w:sz="12" w:space="0" w:color="auto"/>
            </w:tcBorders>
            <w:shd w:val="clear" w:color="auto" w:fill="auto"/>
          </w:tcPr>
          <w:p w:rsidR="000241FD" w:rsidRPr="000241FD" w:rsidRDefault="000241FD" w:rsidP="000241FD">
            <w:pPr>
              <w:pStyle w:val="SingleTxtGA"/>
              <w:spacing w:after="0" w:line="380" w:lineRule="exact"/>
              <w:ind w:left="113" w:right="0"/>
              <w:jc w:val="left"/>
              <w:rPr>
                <w:b/>
                <w:i/>
                <w:iCs/>
                <w:sz w:val="26"/>
                <w:szCs w:val="26"/>
                <w:rtl/>
              </w:rPr>
            </w:pPr>
            <w:r w:rsidRPr="000241FD">
              <w:rPr>
                <w:rFonts w:hint="cs"/>
                <w:b/>
                <w:i/>
                <w:iCs/>
                <w:sz w:val="26"/>
                <w:szCs w:val="26"/>
                <w:rtl/>
              </w:rPr>
              <w:t>مركزها</w:t>
            </w:r>
          </w:p>
        </w:tc>
      </w:tr>
      <w:tr w:rsidR="00C1338B" w:rsidRPr="000241FD" w:rsidTr="00C1338B">
        <w:trPr>
          <w:trHeight w:hRule="exact" w:val="113"/>
          <w:tblHeader/>
        </w:trPr>
        <w:tc>
          <w:tcPr>
            <w:tcW w:w="677" w:type="dxa"/>
            <w:tcBorders>
              <w:top w:val="single" w:sz="12" w:space="0" w:color="auto"/>
            </w:tcBorders>
            <w:shd w:val="clear" w:color="auto" w:fill="auto"/>
          </w:tcPr>
          <w:p w:rsidR="000241FD" w:rsidRPr="000241FD" w:rsidRDefault="000241FD" w:rsidP="000241FD">
            <w:pPr>
              <w:pStyle w:val="SingleTxtG"/>
              <w:spacing w:before="40" w:after="40" w:line="300" w:lineRule="exact"/>
              <w:ind w:left="0" w:right="113"/>
              <w:jc w:val="left"/>
              <w:rPr>
                <w:szCs w:val="24"/>
              </w:rPr>
            </w:pPr>
          </w:p>
        </w:tc>
        <w:tc>
          <w:tcPr>
            <w:tcW w:w="1596" w:type="dxa"/>
            <w:tcBorders>
              <w:top w:val="single" w:sz="12" w:space="0" w:color="auto"/>
            </w:tcBorders>
            <w:shd w:val="clear" w:color="auto" w:fill="auto"/>
          </w:tcPr>
          <w:p w:rsidR="000241FD" w:rsidRPr="000241FD" w:rsidRDefault="000241FD" w:rsidP="000241FD">
            <w:pPr>
              <w:pStyle w:val="SingleTxtG"/>
              <w:spacing w:before="40" w:after="40" w:line="300" w:lineRule="exact"/>
              <w:ind w:left="0" w:right="113"/>
              <w:jc w:val="left"/>
              <w:rPr>
                <w:szCs w:val="24"/>
              </w:rPr>
            </w:pPr>
          </w:p>
        </w:tc>
        <w:tc>
          <w:tcPr>
            <w:tcW w:w="1470" w:type="dxa"/>
            <w:tcBorders>
              <w:top w:val="single" w:sz="12" w:space="0" w:color="auto"/>
            </w:tcBorders>
            <w:shd w:val="clear" w:color="auto" w:fill="auto"/>
          </w:tcPr>
          <w:p w:rsidR="000241FD" w:rsidRPr="000241FD" w:rsidRDefault="000241FD" w:rsidP="000241FD">
            <w:pPr>
              <w:pStyle w:val="SingleTxtG"/>
              <w:spacing w:before="40" w:after="40" w:line="300" w:lineRule="exact"/>
              <w:ind w:left="0" w:right="113"/>
              <w:jc w:val="left"/>
              <w:rPr>
                <w:szCs w:val="24"/>
              </w:rPr>
            </w:pPr>
          </w:p>
        </w:tc>
        <w:tc>
          <w:tcPr>
            <w:tcW w:w="1539" w:type="dxa"/>
            <w:tcBorders>
              <w:top w:val="single" w:sz="12" w:space="0" w:color="auto"/>
            </w:tcBorders>
            <w:shd w:val="clear" w:color="auto" w:fill="auto"/>
          </w:tcPr>
          <w:p w:rsidR="000241FD" w:rsidRPr="000241FD" w:rsidRDefault="000241FD" w:rsidP="000241FD">
            <w:pPr>
              <w:pStyle w:val="SingleTxtG"/>
              <w:spacing w:before="40" w:after="40" w:line="300" w:lineRule="exact"/>
              <w:ind w:left="0" w:right="113"/>
              <w:jc w:val="left"/>
              <w:rPr>
                <w:szCs w:val="24"/>
              </w:rPr>
            </w:pPr>
          </w:p>
        </w:tc>
        <w:tc>
          <w:tcPr>
            <w:tcW w:w="1820" w:type="dxa"/>
            <w:tcBorders>
              <w:top w:val="single" w:sz="12" w:space="0" w:color="auto"/>
            </w:tcBorders>
            <w:shd w:val="clear" w:color="auto" w:fill="auto"/>
          </w:tcPr>
          <w:p w:rsidR="000241FD" w:rsidRPr="000241FD" w:rsidRDefault="000241FD" w:rsidP="000241FD">
            <w:pPr>
              <w:pStyle w:val="SingleTxtG"/>
              <w:spacing w:before="40" w:after="40" w:line="300" w:lineRule="exact"/>
              <w:ind w:left="0" w:right="113"/>
              <w:jc w:val="left"/>
              <w:rPr>
                <w:szCs w:val="24"/>
              </w:rPr>
            </w:pPr>
          </w:p>
        </w:tc>
        <w:tc>
          <w:tcPr>
            <w:tcW w:w="1806" w:type="dxa"/>
            <w:tcBorders>
              <w:top w:val="single" w:sz="12" w:space="0" w:color="auto"/>
            </w:tcBorders>
            <w:shd w:val="clear" w:color="auto" w:fill="auto"/>
          </w:tcPr>
          <w:p w:rsidR="000241FD" w:rsidRPr="000241FD" w:rsidRDefault="000241FD" w:rsidP="000241FD">
            <w:pPr>
              <w:pStyle w:val="SingleTxtG"/>
              <w:spacing w:before="40" w:after="40" w:line="300" w:lineRule="exact"/>
              <w:ind w:left="0" w:right="113"/>
              <w:jc w:val="left"/>
              <w:rPr>
                <w:szCs w:val="24"/>
              </w:rPr>
            </w:pPr>
          </w:p>
        </w:tc>
        <w:tc>
          <w:tcPr>
            <w:tcW w:w="731" w:type="dxa"/>
            <w:tcBorders>
              <w:top w:val="single" w:sz="12" w:space="0" w:color="auto"/>
            </w:tcBorders>
            <w:shd w:val="clear" w:color="auto" w:fill="auto"/>
          </w:tcPr>
          <w:p w:rsidR="000241FD" w:rsidRPr="000241FD" w:rsidRDefault="000241FD" w:rsidP="000241FD">
            <w:pPr>
              <w:pStyle w:val="SingleTxtG"/>
              <w:spacing w:before="40" w:after="40" w:line="300" w:lineRule="exact"/>
              <w:ind w:left="0" w:right="0"/>
              <w:jc w:val="left"/>
              <w:rPr>
                <w:szCs w:val="24"/>
              </w:rPr>
            </w:pPr>
          </w:p>
        </w:tc>
      </w:tr>
      <w:tr w:rsidR="00C1338B" w:rsidRPr="000241FD" w:rsidTr="00C1338B">
        <w:tc>
          <w:tcPr>
            <w:tcW w:w="677" w:type="dxa"/>
            <w:shd w:val="clear" w:color="auto" w:fill="auto"/>
          </w:tcPr>
          <w:p w:rsidR="000241FD" w:rsidRPr="000241FD" w:rsidRDefault="000241FD" w:rsidP="000241FD">
            <w:pPr>
              <w:pStyle w:val="SingleTxtGA"/>
              <w:spacing w:after="0" w:line="380" w:lineRule="exact"/>
              <w:ind w:left="113" w:right="0"/>
              <w:jc w:val="left"/>
              <w:rPr>
                <w:b/>
                <w:sz w:val="26"/>
                <w:szCs w:val="26"/>
                <w:rtl/>
              </w:rPr>
            </w:pPr>
            <w:r w:rsidRPr="00C1338B">
              <w:rPr>
                <w:rFonts w:hint="cs"/>
                <w:b/>
                <w:sz w:val="26"/>
                <w:szCs w:val="20"/>
                <w:rtl/>
              </w:rPr>
              <w:t>1</w:t>
            </w:r>
            <w:r w:rsidRPr="000241FD">
              <w:rPr>
                <w:rFonts w:hint="cs"/>
                <w:b/>
                <w:sz w:val="26"/>
                <w:szCs w:val="26"/>
                <w:rtl/>
              </w:rPr>
              <w:t>-</w:t>
            </w:r>
          </w:p>
        </w:tc>
        <w:tc>
          <w:tcPr>
            <w:tcW w:w="1596" w:type="dxa"/>
            <w:shd w:val="clear" w:color="auto" w:fill="auto"/>
          </w:tcPr>
          <w:p w:rsidR="000241FD" w:rsidRPr="000241FD" w:rsidRDefault="000241FD" w:rsidP="000241FD">
            <w:pPr>
              <w:pStyle w:val="SingleTxtGA"/>
              <w:spacing w:after="0" w:line="380" w:lineRule="exact"/>
              <w:ind w:left="113" w:right="0"/>
              <w:rPr>
                <w:b/>
                <w:sz w:val="26"/>
                <w:szCs w:val="26"/>
                <w:rtl/>
              </w:rPr>
            </w:pPr>
            <w:r w:rsidRPr="000241FD">
              <w:rPr>
                <w:rFonts w:hint="cs"/>
                <w:b/>
                <w:sz w:val="26"/>
                <w:szCs w:val="26"/>
                <w:rtl/>
              </w:rPr>
              <w:t>وزارة العدل والشؤون الدستورية</w:t>
            </w:r>
          </w:p>
        </w:tc>
        <w:tc>
          <w:tcPr>
            <w:tcW w:w="1470" w:type="dxa"/>
            <w:shd w:val="clear" w:color="auto" w:fill="auto"/>
          </w:tcPr>
          <w:p w:rsidR="000241FD" w:rsidRPr="000241FD" w:rsidRDefault="000241FD" w:rsidP="000241FD">
            <w:pPr>
              <w:pStyle w:val="SingleTxtGA"/>
              <w:spacing w:after="0" w:line="380" w:lineRule="exact"/>
              <w:ind w:left="113" w:right="0"/>
              <w:rPr>
                <w:b/>
                <w:sz w:val="26"/>
                <w:szCs w:val="26"/>
                <w:rtl/>
              </w:rPr>
            </w:pPr>
            <w:r w:rsidRPr="000241FD">
              <w:rPr>
                <w:rFonts w:hint="cs"/>
                <w:b/>
                <w:sz w:val="26"/>
                <w:szCs w:val="26"/>
                <w:rtl/>
              </w:rPr>
              <w:t>تقديم الخدمات القانونية، بما فيها المساعدة القانونية</w:t>
            </w:r>
          </w:p>
        </w:tc>
        <w:tc>
          <w:tcPr>
            <w:tcW w:w="1539" w:type="dxa"/>
            <w:shd w:val="clear" w:color="auto" w:fill="auto"/>
          </w:tcPr>
          <w:p w:rsidR="000241FD" w:rsidRPr="000241FD" w:rsidRDefault="000241FD" w:rsidP="000241FD">
            <w:pPr>
              <w:pStyle w:val="SingleTxtGA"/>
              <w:spacing w:after="0" w:line="380" w:lineRule="exact"/>
              <w:ind w:left="113" w:right="0"/>
              <w:rPr>
                <w:b/>
                <w:sz w:val="26"/>
                <w:szCs w:val="26"/>
                <w:rtl/>
              </w:rPr>
            </w:pPr>
            <w:r w:rsidRPr="000241FD">
              <w:rPr>
                <w:rFonts w:hint="cs"/>
                <w:b/>
                <w:sz w:val="26"/>
                <w:szCs w:val="26"/>
                <w:rtl/>
              </w:rPr>
              <w:t>يرأس وزير كل وزارة، على المستوى الوطني ومستوى الولايات</w:t>
            </w:r>
          </w:p>
        </w:tc>
        <w:tc>
          <w:tcPr>
            <w:tcW w:w="1820" w:type="dxa"/>
            <w:shd w:val="clear" w:color="auto" w:fill="auto"/>
          </w:tcPr>
          <w:p w:rsidR="000241FD" w:rsidRPr="000241FD" w:rsidRDefault="000241FD" w:rsidP="000241FD">
            <w:pPr>
              <w:pStyle w:val="SingleTxtGA"/>
              <w:spacing w:after="0" w:line="380" w:lineRule="exact"/>
              <w:ind w:left="113" w:right="0"/>
              <w:rPr>
                <w:b/>
                <w:sz w:val="26"/>
                <w:szCs w:val="26"/>
                <w:rtl/>
              </w:rPr>
            </w:pPr>
            <w:r w:rsidRPr="000241FD">
              <w:rPr>
                <w:rFonts w:hint="cs"/>
                <w:b/>
                <w:sz w:val="26"/>
                <w:szCs w:val="26"/>
                <w:rtl/>
              </w:rPr>
              <w:t xml:space="preserve">الميزانية الحكومية، وتشمل </w:t>
            </w:r>
            <w:r w:rsidRPr="001D35BD">
              <w:rPr>
                <w:rFonts w:hint="cs"/>
                <w:spacing w:val="-4"/>
                <w:sz w:val="26"/>
                <w:szCs w:val="26"/>
                <w:rtl/>
              </w:rPr>
              <w:t xml:space="preserve">تمويلاً تأسيسياً بمبلغ </w:t>
            </w:r>
            <w:r w:rsidRPr="001D35BD">
              <w:rPr>
                <w:rFonts w:hint="cs"/>
                <w:spacing w:val="-4"/>
                <w:szCs w:val="20"/>
                <w:rtl/>
              </w:rPr>
              <w:t>5</w:t>
            </w:r>
            <w:r w:rsidRPr="001D35BD">
              <w:rPr>
                <w:rFonts w:hint="cs"/>
                <w:spacing w:val="-4"/>
                <w:sz w:val="26"/>
                <w:szCs w:val="26"/>
                <w:rtl/>
              </w:rPr>
              <w:t xml:space="preserve"> ملايين</w:t>
            </w:r>
            <w:r w:rsidRPr="000241FD">
              <w:rPr>
                <w:rFonts w:hint="cs"/>
                <w:b/>
                <w:sz w:val="26"/>
                <w:szCs w:val="26"/>
                <w:rtl/>
              </w:rPr>
              <w:t xml:space="preserve"> جنيه من جنيهات جنوب السودان من أجل المساعدة القانونية</w:t>
            </w:r>
          </w:p>
        </w:tc>
        <w:tc>
          <w:tcPr>
            <w:tcW w:w="1806" w:type="dxa"/>
            <w:shd w:val="clear" w:color="auto" w:fill="auto"/>
          </w:tcPr>
          <w:p w:rsidR="000241FD" w:rsidRPr="000241FD" w:rsidRDefault="000241FD" w:rsidP="000241FD">
            <w:pPr>
              <w:pStyle w:val="SingleTxtGA"/>
              <w:spacing w:after="0" w:line="380" w:lineRule="exact"/>
              <w:ind w:left="113" w:right="0"/>
              <w:rPr>
                <w:b/>
                <w:sz w:val="26"/>
                <w:szCs w:val="26"/>
                <w:rtl/>
              </w:rPr>
            </w:pPr>
            <w:r w:rsidRPr="000241FD">
              <w:rPr>
                <w:rFonts w:hint="cs"/>
                <w:b/>
                <w:sz w:val="26"/>
                <w:szCs w:val="26"/>
                <w:rtl/>
              </w:rPr>
              <w:t>المحاكمة على الجرائم</w:t>
            </w:r>
          </w:p>
          <w:p w:rsidR="000241FD" w:rsidRPr="000241FD" w:rsidRDefault="000241FD" w:rsidP="000241FD">
            <w:pPr>
              <w:pStyle w:val="SingleTxtGA"/>
              <w:spacing w:after="0" w:line="380" w:lineRule="exact"/>
              <w:ind w:left="113" w:right="0"/>
              <w:rPr>
                <w:b/>
                <w:sz w:val="26"/>
                <w:szCs w:val="26"/>
                <w:rtl/>
              </w:rPr>
            </w:pPr>
            <w:r w:rsidRPr="000241FD">
              <w:rPr>
                <w:rFonts w:hint="cs"/>
                <w:b/>
                <w:sz w:val="26"/>
                <w:szCs w:val="26"/>
                <w:rtl/>
              </w:rPr>
              <w:t>تقديم المساعدة القانونية</w:t>
            </w:r>
          </w:p>
        </w:tc>
        <w:tc>
          <w:tcPr>
            <w:tcW w:w="731" w:type="dxa"/>
            <w:shd w:val="clear" w:color="auto" w:fill="auto"/>
          </w:tcPr>
          <w:p w:rsidR="000241FD" w:rsidRPr="000241FD" w:rsidRDefault="000241FD" w:rsidP="000241FD">
            <w:pPr>
              <w:pStyle w:val="SingleTxtGA"/>
              <w:spacing w:after="0" w:line="380" w:lineRule="exact"/>
              <w:ind w:left="113" w:right="0"/>
              <w:rPr>
                <w:b/>
                <w:sz w:val="26"/>
                <w:szCs w:val="26"/>
                <w:rtl/>
              </w:rPr>
            </w:pPr>
            <w:r w:rsidRPr="000241FD">
              <w:rPr>
                <w:rFonts w:hint="cs"/>
                <w:b/>
                <w:sz w:val="26"/>
                <w:szCs w:val="26"/>
                <w:rtl/>
              </w:rPr>
              <w:t>أُنشئت</w:t>
            </w:r>
          </w:p>
        </w:tc>
      </w:tr>
      <w:tr w:rsidR="00C1338B" w:rsidRPr="000241FD" w:rsidTr="00C1338B">
        <w:tc>
          <w:tcPr>
            <w:tcW w:w="677" w:type="dxa"/>
            <w:shd w:val="clear" w:color="auto" w:fill="auto"/>
          </w:tcPr>
          <w:p w:rsidR="000241FD" w:rsidRPr="000241FD" w:rsidRDefault="000241FD" w:rsidP="000241FD">
            <w:pPr>
              <w:pStyle w:val="SingleTxtGA"/>
              <w:spacing w:after="0" w:line="380" w:lineRule="exact"/>
              <w:ind w:left="113" w:right="0"/>
              <w:jc w:val="left"/>
              <w:rPr>
                <w:b/>
                <w:sz w:val="26"/>
                <w:szCs w:val="26"/>
                <w:rtl/>
              </w:rPr>
            </w:pPr>
            <w:r w:rsidRPr="00C1338B">
              <w:rPr>
                <w:rFonts w:hint="cs"/>
                <w:b/>
                <w:sz w:val="26"/>
                <w:szCs w:val="20"/>
                <w:rtl/>
              </w:rPr>
              <w:t>2</w:t>
            </w:r>
            <w:r w:rsidRPr="000241FD">
              <w:rPr>
                <w:rFonts w:hint="cs"/>
                <w:b/>
                <w:sz w:val="26"/>
                <w:szCs w:val="26"/>
                <w:rtl/>
              </w:rPr>
              <w:t>-</w:t>
            </w:r>
          </w:p>
        </w:tc>
        <w:tc>
          <w:tcPr>
            <w:tcW w:w="1596" w:type="dxa"/>
            <w:shd w:val="clear" w:color="auto" w:fill="auto"/>
          </w:tcPr>
          <w:p w:rsidR="000241FD" w:rsidRPr="000241FD" w:rsidRDefault="000241FD" w:rsidP="000241FD">
            <w:pPr>
              <w:pStyle w:val="SingleTxtGA"/>
              <w:spacing w:after="0" w:line="380" w:lineRule="exact"/>
              <w:ind w:left="113" w:right="0"/>
              <w:rPr>
                <w:b/>
                <w:sz w:val="26"/>
                <w:szCs w:val="26"/>
                <w:rtl/>
              </w:rPr>
            </w:pPr>
            <w:r w:rsidRPr="000241FD">
              <w:rPr>
                <w:rFonts w:hint="cs"/>
                <w:b/>
                <w:sz w:val="26"/>
                <w:szCs w:val="26"/>
                <w:rtl/>
              </w:rPr>
              <w:t>وزارات المساواة بين الجنسين ورعاية الطفل والرعاية الاجتماعية، على المستوى الوطني ومستوى الولايات</w:t>
            </w:r>
          </w:p>
        </w:tc>
        <w:tc>
          <w:tcPr>
            <w:tcW w:w="1470" w:type="dxa"/>
            <w:shd w:val="clear" w:color="auto" w:fill="auto"/>
          </w:tcPr>
          <w:p w:rsidR="000241FD" w:rsidRPr="000241FD" w:rsidRDefault="000241FD" w:rsidP="000241FD">
            <w:pPr>
              <w:pStyle w:val="SingleTxtGA"/>
              <w:spacing w:after="0" w:line="380" w:lineRule="exact"/>
              <w:ind w:left="113" w:right="0"/>
              <w:rPr>
                <w:b/>
                <w:sz w:val="26"/>
                <w:szCs w:val="26"/>
                <w:rtl/>
              </w:rPr>
            </w:pPr>
            <w:r w:rsidRPr="000241FD">
              <w:rPr>
                <w:rFonts w:hint="cs"/>
                <w:b/>
                <w:sz w:val="26"/>
                <w:szCs w:val="26"/>
                <w:rtl/>
              </w:rPr>
              <w:t>تعزيز وحماية حقوق النساء والأطفال والأشخاص الضعفاء الآخرين</w:t>
            </w:r>
          </w:p>
        </w:tc>
        <w:tc>
          <w:tcPr>
            <w:tcW w:w="1539" w:type="dxa"/>
            <w:shd w:val="clear" w:color="auto" w:fill="auto"/>
          </w:tcPr>
          <w:p w:rsidR="000241FD" w:rsidRPr="000241FD" w:rsidRDefault="000241FD" w:rsidP="000241FD">
            <w:pPr>
              <w:pStyle w:val="SingleTxtGA"/>
              <w:spacing w:after="0" w:line="380" w:lineRule="exact"/>
              <w:ind w:left="113" w:right="0"/>
              <w:rPr>
                <w:b/>
                <w:sz w:val="26"/>
                <w:szCs w:val="26"/>
                <w:rtl/>
              </w:rPr>
            </w:pPr>
            <w:r w:rsidRPr="000241FD">
              <w:rPr>
                <w:rFonts w:hint="cs"/>
                <w:b/>
                <w:sz w:val="26"/>
                <w:szCs w:val="26"/>
                <w:rtl/>
              </w:rPr>
              <w:t>يرأس وزير كل وزارة، على المستوى الوطني ومستوى الولايات</w:t>
            </w:r>
          </w:p>
        </w:tc>
        <w:tc>
          <w:tcPr>
            <w:tcW w:w="1820" w:type="dxa"/>
            <w:shd w:val="clear" w:color="auto" w:fill="auto"/>
          </w:tcPr>
          <w:p w:rsidR="000241FD" w:rsidRPr="000241FD" w:rsidRDefault="000241FD" w:rsidP="000241FD">
            <w:pPr>
              <w:pStyle w:val="SingleTxtGA"/>
              <w:spacing w:after="0" w:line="380" w:lineRule="exact"/>
              <w:ind w:left="113" w:right="0"/>
              <w:rPr>
                <w:b/>
                <w:sz w:val="26"/>
                <w:szCs w:val="26"/>
                <w:rtl/>
              </w:rPr>
            </w:pPr>
            <w:r w:rsidRPr="000241FD">
              <w:rPr>
                <w:rFonts w:hint="cs"/>
                <w:b/>
                <w:sz w:val="26"/>
                <w:szCs w:val="26"/>
                <w:rtl/>
              </w:rPr>
              <w:t>الميزانية الحكومية ودعم ضخم من شركاء التنمية</w:t>
            </w:r>
          </w:p>
        </w:tc>
        <w:tc>
          <w:tcPr>
            <w:tcW w:w="1806" w:type="dxa"/>
            <w:shd w:val="clear" w:color="auto" w:fill="auto"/>
          </w:tcPr>
          <w:p w:rsidR="000241FD" w:rsidRPr="000241FD" w:rsidRDefault="000241FD" w:rsidP="000241FD">
            <w:pPr>
              <w:pStyle w:val="SingleTxtGA"/>
              <w:spacing w:after="0" w:line="380" w:lineRule="exact"/>
              <w:ind w:left="113" w:right="0"/>
              <w:rPr>
                <w:b/>
                <w:sz w:val="26"/>
                <w:szCs w:val="26"/>
                <w:rtl/>
              </w:rPr>
            </w:pPr>
            <w:r w:rsidRPr="000241FD">
              <w:rPr>
                <w:rFonts w:hint="cs"/>
                <w:b/>
                <w:sz w:val="26"/>
                <w:szCs w:val="26"/>
                <w:rtl/>
              </w:rPr>
              <w:t>تعزيز المساواة بين الجنسين</w:t>
            </w:r>
          </w:p>
          <w:p w:rsidR="000241FD" w:rsidRPr="000241FD" w:rsidRDefault="000241FD" w:rsidP="000241FD">
            <w:pPr>
              <w:pStyle w:val="SingleTxtGA"/>
              <w:spacing w:after="0" w:line="380" w:lineRule="exact"/>
              <w:ind w:left="113" w:right="0"/>
              <w:rPr>
                <w:b/>
                <w:sz w:val="26"/>
                <w:szCs w:val="26"/>
                <w:rtl/>
              </w:rPr>
            </w:pPr>
            <w:r w:rsidRPr="000241FD">
              <w:rPr>
                <w:rFonts w:hint="cs"/>
                <w:b/>
                <w:sz w:val="26"/>
                <w:szCs w:val="26"/>
                <w:rtl/>
              </w:rPr>
              <w:t>حماية الأشخاص الضعفاء</w:t>
            </w:r>
          </w:p>
          <w:p w:rsidR="000241FD" w:rsidRPr="000241FD" w:rsidRDefault="000241FD" w:rsidP="000241FD">
            <w:pPr>
              <w:pStyle w:val="SingleTxtGA"/>
              <w:spacing w:after="0" w:line="380" w:lineRule="exact"/>
              <w:ind w:left="113" w:right="0"/>
              <w:rPr>
                <w:b/>
                <w:sz w:val="26"/>
                <w:szCs w:val="26"/>
                <w:rtl/>
              </w:rPr>
            </w:pPr>
            <w:r w:rsidRPr="009B20A3">
              <w:rPr>
                <w:rFonts w:ascii="Times New Roman Bold" w:hAnsi="Times New Roman Bold" w:hint="cs"/>
                <w:b/>
                <w:spacing w:val="-6"/>
                <w:sz w:val="26"/>
                <w:szCs w:val="26"/>
                <w:rtl/>
              </w:rPr>
              <w:t>التوعية العامة بشأن العادات</w:t>
            </w:r>
            <w:r w:rsidRPr="000241FD">
              <w:rPr>
                <w:rFonts w:hint="cs"/>
                <w:b/>
                <w:sz w:val="26"/>
                <w:szCs w:val="26"/>
                <w:rtl/>
              </w:rPr>
              <w:t xml:space="preserve"> الضارة</w:t>
            </w:r>
          </w:p>
        </w:tc>
        <w:tc>
          <w:tcPr>
            <w:tcW w:w="731" w:type="dxa"/>
            <w:shd w:val="clear" w:color="auto" w:fill="auto"/>
          </w:tcPr>
          <w:p w:rsidR="000241FD" w:rsidRPr="000241FD" w:rsidRDefault="000241FD" w:rsidP="000241FD">
            <w:pPr>
              <w:pStyle w:val="SingleTxtGA"/>
              <w:spacing w:after="0" w:line="380" w:lineRule="exact"/>
              <w:ind w:left="113" w:right="0"/>
              <w:rPr>
                <w:b/>
                <w:sz w:val="26"/>
                <w:szCs w:val="26"/>
                <w:rtl/>
              </w:rPr>
            </w:pPr>
            <w:r w:rsidRPr="000241FD">
              <w:rPr>
                <w:rFonts w:hint="cs"/>
                <w:b/>
                <w:sz w:val="26"/>
                <w:szCs w:val="26"/>
                <w:rtl/>
              </w:rPr>
              <w:t>أُنشئت</w:t>
            </w:r>
          </w:p>
        </w:tc>
      </w:tr>
    </w:tbl>
    <w:p w:rsidR="00633584" w:rsidRPr="00C1338B" w:rsidRDefault="00633584" w:rsidP="0004022E">
      <w:pPr>
        <w:pStyle w:val="H1GA"/>
        <w:spacing w:before="360"/>
        <w:rPr>
          <w:rFonts w:ascii="Times New Roman Bold" w:hAnsi="Times New Roman Bold"/>
          <w:spacing w:val="-4"/>
          <w:rtl/>
        </w:rPr>
      </w:pPr>
      <w:r>
        <w:rPr>
          <w:rtl/>
        </w:rPr>
        <w:tab/>
        <w:t>هاء-</w:t>
      </w:r>
      <w:r>
        <w:rPr>
          <w:rtl/>
        </w:rPr>
        <w:tab/>
      </w:r>
      <w:r w:rsidRPr="00C1338B">
        <w:rPr>
          <w:rFonts w:ascii="Times New Roman Bold" w:hAnsi="Times New Roman Bold"/>
          <w:spacing w:val="-4"/>
          <w:rtl/>
        </w:rPr>
        <w:t>الاتفاقيات وصكوك حقوق الإنسان الأخرى التي صدّق عليها البلد أو انضم إليها</w:t>
      </w:r>
    </w:p>
    <w:p w:rsidR="00633584" w:rsidRDefault="000241FD" w:rsidP="009B20A3">
      <w:pPr>
        <w:pStyle w:val="H23GA"/>
        <w:spacing w:after="240"/>
        <w:rPr>
          <w:rtl/>
        </w:rPr>
      </w:pPr>
      <w:r>
        <w:rPr>
          <w:rtl/>
        </w:rPr>
        <w:tab/>
      </w:r>
      <w:r>
        <w:rPr>
          <w:rtl/>
        </w:rPr>
        <w:tab/>
      </w:r>
      <w:r w:rsidR="00633584">
        <w:rPr>
          <w:rtl/>
        </w:rPr>
        <w:t>جنوب السودان طرف في الصكوك الدولية التالية المتعلقة بحقوق الإنسان</w:t>
      </w:r>
    </w:p>
    <w:tbl>
      <w:tblPr>
        <w:tblStyle w:val="TableGrid"/>
        <w:bidiVisual/>
        <w:tblW w:w="0" w:type="auto"/>
        <w:tblInd w:w="13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0"/>
        <w:gridCol w:w="6593"/>
      </w:tblGrid>
      <w:tr w:rsidR="00C1338B" w:rsidRPr="0004022E" w:rsidTr="0004022E">
        <w:tc>
          <w:tcPr>
            <w:tcW w:w="570" w:type="dxa"/>
            <w:tcBorders>
              <w:top w:val="single" w:sz="4" w:space="0" w:color="auto"/>
              <w:bottom w:val="single" w:sz="12" w:space="0" w:color="auto"/>
            </w:tcBorders>
          </w:tcPr>
          <w:p w:rsidR="00C1338B" w:rsidRPr="0004022E" w:rsidRDefault="00C1338B" w:rsidP="0004022E">
            <w:pPr>
              <w:pStyle w:val="SingleTxtGA"/>
              <w:ind w:left="0" w:right="0"/>
              <w:rPr>
                <w:b/>
                <w:i/>
                <w:iCs/>
                <w:rtl/>
              </w:rPr>
            </w:pPr>
            <w:r w:rsidRPr="0004022E">
              <w:rPr>
                <w:rFonts w:hint="cs"/>
                <w:b/>
                <w:i/>
                <w:iCs/>
                <w:rtl/>
              </w:rPr>
              <w:t>الرقم</w:t>
            </w:r>
          </w:p>
        </w:tc>
        <w:tc>
          <w:tcPr>
            <w:tcW w:w="6593" w:type="dxa"/>
            <w:tcBorders>
              <w:top w:val="single" w:sz="4" w:space="0" w:color="auto"/>
              <w:bottom w:val="single" w:sz="12" w:space="0" w:color="auto"/>
            </w:tcBorders>
          </w:tcPr>
          <w:p w:rsidR="00C1338B" w:rsidRPr="0004022E" w:rsidRDefault="00C1338B" w:rsidP="0004022E">
            <w:pPr>
              <w:spacing w:after="120" w:line="360" w:lineRule="exact"/>
              <w:rPr>
                <w:i/>
                <w:iCs/>
                <w:szCs w:val="28"/>
                <w:rtl/>
              </w:rPr>
            </w:pPr>
            <w:r w:rsidRPr="0004022E">
              <w:rPr>
                <w:rFonts w:hint="cs"/>
                <w:i/>
                <w:iCs/>
                <w:szCs w:val="28"/>
                <w:rtl/>
              </w:rPr>
              <w:t>المعاهدة/الاتفاقية</w:t>
            </w:r>
          </w:p>
        </w:tc>
      </w:tr>
      <w:tr w:rsidR="00C1338B" w:rsidRPr="0004022E" w:rsidTr="0004022E">
        <w:tc>
          <w:tcPr>
            <w:tcW w:w="570" w:type="dxa"/>
            <w:tcBorders>
              <w:top w:val="single" w:sz="12" w:space="0" w:color="auto"/>
            </w:tcBorders>
          </w:tcPr>
          <w:p w:rsidR="00C1338B" w:rsidRPr="0004022E" w:rsidRDefault="00C1338B" w:rsidP="0004022E">
            <w:pPr>
              <w:pStyle w:val="SingleTxtGA"/>
              <w:ind w:left="0" w:right="0"/>
              <w:rPr>
                <w:b/>
                <w:rtl/>
              </w:rPr>
            </w:pPr>
          </w:p>
        </w:tc>
        <w:tc>
          <w:tcPr>
            <w:tcW w:w="6593" w:type="dxa"/>
            <w:tcBorders>
              <w:top w:val="single" w:sz="12" w:space="0" w:color="auto"/>
            </w:tcBorders>
          </w:tcPr>
          <w:p w:rsidR="00C1338B" w:rsidRPr="0004022E" w:rsidRDefault="00C1338B" w:rsidP="009B20A3">
            <w:pPr>
              <w:spacing w:before="120" w:after="120" w:line="360" w:lineRule="exact"/>
              <w:rPr>
                <w:szCs w:val="28"/>
                <w:rtl/>
              </w:rPr>
            </w:pPr>
            <w:r w:rsidRPr="0004022E">
              <w:rPr>
                <w:szCs w:val="28"/>
                <w:rtl/>
              </w:rPr>
              <w:t xml:space="preserve">العهد الدولي الخاص بالحقوق المدنية والسياسية </w:t>
            </w:r>
          </w:p>
        </w:tc>
      </w:tr>
      <w:tr w:rsidR="00C1338B" w:rsidRPr="0004022E" w:rsidTr="0004022E">
        <w:tc>
          <w:tcPr>
            <w:tcW w:w="570" w:type="dxa"/>
          </w:tcPr>
          <w:p w:rsidR="00C1338B" w:rsidRPr="0004022E" w:rsidRDefault="00C1338B" w:rsidP="0004022E">
            <w:pPr>
              <w:pStyle w:val="SingleTxtGA"/>
              <w:ind w:left="0" w:right="0"/>
              <w:rPr>
                <w:b/>
                <w:rtl/>
              </w:rPr>
            </w:pPr>
          </w:p>
        </w:tc>
        <w:tc>
          <w:tcPr>
            <w:tcW w:w="6593" w:type="dxa"/>
          </w:tcPr>
          <w:p w:rsidR="00C1338B" w:rsidRPr="0004022E" w:rsidRDefault="00C1338B" w:rsidP="0004022E">
            <w:pPr>
              <w:spacing w:after="120" w:line="360" w:lineRule="exact"/>
              <w:rPr>
                <w:szCs w:val="28"/>
                <w:rtl/>
              </w:rPr>
            </w:pPr>
            <w:r w:rsidRPr="0004022E">
              <w:rPr>
                <w:szCs w:val="28"/>
                <w:rtl/>
              </w:rPr>
              <w:t xml:space="preserve">البروتوكول الاختياري </w:t>
            </w:r>
            <w:r w:rsidRPr="0004022E">
              <w:rPr>
                <w:rFonts w:hint="cs"/>
                <w:szCs w:val="28"/>
                <w:rtl/>
              </w:rPr>
              <w:t xml:space="preserve">الأول </w:t>
            </w:r>
            <w:r w:rsidRPr="0004022E">
              <w:rPr>
                <w:szCs w:val="28"/>
                <w:rtl/>
              </w:rPr>
              <w:t xml:space="preserve">الملحق بالعهد الدولي الخاص بالحقوق المدنية والسياسية </w:t>
            </w:r>
          </w:p>
        </w:tc>
      </w:tr>
      <w:tr w:rsidR="00C1338B" w:rsidRPr="0004022E" w:rsidTr="0004022E">
        <w:tc>
          <w:tcPr>
            <w:tcW w:w="570" w:type="dxa"/>
          </w:tcPr>
          <w:p w:rsidR="00C1338B" w:rsidRPr="0004022E" w:rsidRDefault="00C1338B" w:rsidP="0004022E">
            <w:pPr>
              <w:pStyle w:val="SingleTxtGA"/>
              <w:ind w:left="0" w:right="0"/>
              <w:rPr>
                <w:b/>
                <w:rtl/>
              </w:rPr>
            </w:pPr>
          </w:p>
        </w:tc>
        <w:tc>
          <w:tcPr>
            <w:tcW w:w="6593" w:type="dxa"/>
          </w:tcPr>
          <w:p w:rsidR="00C1338B" w:rsidRPr="0004022E" w:rsidRDefault="00C1338B" w:rsidP="0004022E">
            <w:pPr>
              <w:spacing w:after="120" w:line="360" w:lineRule="exact"/>
              <w:rPr>
                <w:szCs w:val="28"/>
                <w:rtl/>
              </w:rPr>
            </w:pPr>
            <w:r w:rsidRPr="0004022E">
              <w:rPr>
                <w:szCs w:val="28"/>
                <w:rtl/>
              </w:rPr>
              <w:t xml:space="preserve">العهد الدولي الخاص بالحقوق الاقتصادية والاجتماعية والثقافية </w:t>
            </w:r>
          </w:p>
        </w:tc>
      </w:tr>
      <w:tr w:rsidR="00C1338B" w:rsidRPr="0004022E" w:rsidTr="0004022E">
        <w:tc>
          <w:tcPr>
            <w:tcW w:w="570" w:type="dxa"/>
          </w:tcPr>
          <w:p w:rsidR="00C1338B" w:rsidRPr="0004022E" w:rsidRDefault="00C1338B" w:rsidP="0004022E">
            <w:pPr>
              <w:pStyle w:val="SingleTxtGA"/>
              <w:ind w:left="0" w:right="0"/>
              <w:rPr>
                <w:b/>
                <w:rtl/>
              </w:rPr>
            </w:pPr>
          </w:p>
        </w:tc>
        <w:tc>
          <w:tcPr>
            <w:tcW w:w="6593" w:type="dxa"/>
          </w:tcPr>
          <w:p w:rsidR="00C1338B" w:rsidRPr="0004022E" w:rsidRDefault="00C1338B" w:rsidP="0004022E">
            <w:pPr>
              <w:spacing w:after="120" w:line="360" w:lineRule="exact"/>
              <w:rPr>
                <w:szCs w:val="28"/>
                <w:rtl/>
              </w:rPr>
            </w:pPr>
            <w:r w:rsidRPr="0004022E">
              <w:rPr>
                <w:szCs w:val="28"/>
                <w:rtl/>
              </w:rPr>
              <w:t xml:space="preserve">الاتفاقية الدولية للقضاء على جميع أشكال التمييز ضد المرأة </w:t>
            </w:r>
          </w:p>
        </w:tc>
      </w:tr>
      <w:tr w:rsidR="00C1338B" w:rsidRPr="0004022E" w:rsidTr="0004022E">
        <w:tc>
          <w:tcPr>
            <w:tcW w:w="570" w:type="dxa"/>
          </w:tcPr>
          <w:p w:rsidR="00C1338B" w:rsidRPr="0004022E" w:rsidRDefault="00C1338B" w:rsidP="0004022E">
            <w:pPr>
              <w:pStyle w:val="SingleTxtGA"/>
              <w:ind w:left="0" w:right="0"/>
              <w:rPr>
                <w:b/>
                <w:rtl/>
              </w:rPr>
            </w:pPr>
          </w:p>
        </w:tc>
        <w:tc>
          <w:tcPr>
            <w:tcW w:w="6593" w:type="dxa"/>
          </w:tcPr>
          <w:p w:rsidR="00C1338B" w:rsidRPr="0004022E" w:rsidRDefault="00C1338B" w:rsidP="0004022E">
            <w:pPr>
              <w:spacing w:after="120" w:line="360" w:lineRule="exact"/>
              <w:rPr>
                <w:szCs w:val="28"/>
                <w:rtl/>
              </w:rPr>
            </w:pPr>
            <w:r w:rsidRPr="0004022E">
              <w:rPr>
                <w:szCs w:val="28"/>
                <w:rtl/>
              </w:rPr>
              <w:t xml:space="preserve">البروتوكول الاختياري لاتفاقية القضاء على جميع أشكال التمييز ضد المرأة </w:t>
            </w:r>
          </w:p>
        </w:tc>
      </w:tr>
      <w:tr w:rsidR="00C1338B" w:rsidRPr="0004022E" w:rsidTr="0004022E">
        <w:tc>
          <w:tcPr>
            <w:tcW w:w="570" w:type="dxa"/>
          </w:tcPr>
          <w:p w:rsidR="00C1338B" w:rsidRPr="0004022E" w:rsidRDefault="00C1338B" w:rsidP="0004022E">
            <w:pPr>
              <w:pStyle w:val="SingleTxtGA"/>
              <w:ind w:left="0" w:right="0"/>
              <w:rPr>
                <w:b/>
                <w:rtl/>
              </w:rPr>
            </w:pPr>
          </w:p>
        </w:tc>
        <w:tc>
          <w:tcPr>
            <w:tcW w:w="6593" w:type="dxa"/>
          </w:tcPr>
          <w:p w:rsidR="00C1338B" w:rsidRPr="0004022E" w:rsidRDefault="00C1338B" w:rsidP="0004022E">
            <w:pPr>
              <w:spacing w:after="120" w:line="360" w:lineRule="exact"/>
              <w:rPr>
                <w:szCs w:val="28"/>
                <w:rtl/>
              </w:rPr>
            </w:pPr>
            <w:r w:rsidRPr="0004022E">
              <w:rPr>
                <w:szCs w:val="28"/>
                <w:rtl/>
              </w:rPr>
              <w:t>الاتفاقية والبروتوكول المتعلق</w:t>
            </w:r>
            <w:r w:rsidRPr="0004022E">
              <w:rPr>
                <w:rFonts w:hint="cs"/>
                <w:szCs w:val="28"/>
                <w:rtl/>
              </w:rPr>
              <w:t>ا</w:t>
            </w:r>
            <w:r w:rsidRPr="0004022E">
              <w:rPr>
                <w:szCs w:val="28"/>
                <w:rtl/>
              </w:rPr>
              <w:t>ن بوضع اللاجئين</w:t>
            </w:r>
          </w:p>
        </w:tc>
      </w:tr>
      <w:tr w:rsidR="00C1338B" w:rsidRPr="0004022E" w:rsidTr="0004022E">
        <w:tc>
          <w:tcPr>
            <w:tcW w:w="570" w:type="dxa"/>
          </w:tcPr>
          <w:p w:rsidR="00C1338B" w:rsidRPr="0004022E" w:rsidRDefault="00C1338B" w:rsidP="0004022E">
            <w:pPr>
              <w:pStyle w:val="SingleTxtGA"/>
              <w:ind w:left="0" w:right="0"/>
              <w:rPr>
                <w:b/>
                <w:rtl/>
              </w:rPr>
            </w:pPr>
          </w:p>
        </w:tc>
        <w:tc>
          <w:tcPr>
            <w:tcW w:w="6593" w:type="dxa"/>
          </w:tcPr>
          <w:p w:rsidR="00C1338B" w:rsidRPr="0004022E" w:rsidRDefault="00C1338B" w:rsidP="0004022E">
            <w:pPr>
              <w:spacing w:after="120" w:line="360" w:lineRule="exact"/>
              <w:rPr>
                <w:szCs w:val="28"/>
                <w:rtl/>
              </w:rPr>
            </w:pPr>
            <w:r w:rsidRPr="0004022E">
              <w:rPr>
                <w:szCs w:val="28"/>
                <w:rtl/>
              </w:rPr>
              <w:t xml:space="preserve">اتفاقية </w:t>
            </w:r>
            <w:r w:rsidRPr="0004022E">
              <w:rPr>
                <w:rFonts w:hint="cs"/>
                <w:szCs w:val="28"/>
                <w:rtl/>
              </w:rPr>
              <w:t xml:space="preserve">عام </w:t>
            </w:r>
            <w:r w:rsidRPr="001D35BD">
              <w:rPr>
                <w:rFonts w:hint="cs"/>
                <w:szCs w:val="20"/>
                <w:rtl/>
              </w:rPr>
              <w:t>1951</w:t>
            </w:r>
            <w:r w:rsidRPr="0004022E">
              <w:rPr>
                <w:rFonts w:hint="cs"/>
                <w:szCs w:val="28"/>
                <w:rtl/>
              </w:rPr>
              <w:t xml:space="preserve"> وبروتوكولها الخاصان</w:t>
            </w:r>
            <w:r w:rsidRPr="0004022E">
              <w:rPr>
                <w:szCs w:val="28"/>
                <w:rtl/>
              </w:rPr>
              <w:t xml:space="preserve"> بوضع اللاجئين </w:t>
            </w:r>
          </w:p>
        </w:tc>
      </w:tr>
      <w:tr w:rsidR="00C1338B" w:rsidRPr="0004022E" w:rsidTr="0004022E">
        <w:tc>
          <w:tcPr>
            <w:tcW w:w="570" w:type="dxa"/>
          </w:tcPr>
          <w:p w:rsidR="00C1338B" w:rsidRPr="0004022E" w:rsidRDefault="00C1338B" w:rsidP="0004022E">
            <w:pPr>
              <w:pStyle w:val="SingleTxtGA"/>
              <w:ind w:left="0" w:right="0"/>
              <w:rPr>
                <w:b/>
                <w:rtl/>
              </w:rPr>
            </w:pPr>
          </w:p>
        </w:tc>
        <w:tc>
          <w:tcPr>
            <w:tcW w:w="6593" w:type="dxa"/>
          </w:tcPr>
          <w:p w:rsidR="00C1338B" w:rsidRPr="0004022E" w:rsidRDefault="00C1338B" w:rsidP="0004022E">
            <w:pPr>
              <w:spacing w:after="120" w:line="360" w:lineRule="exact"/>
              <w:rPr>
                <w:szCs w:val="28"/>
                <w:rtl/>
              </w:rPr>
            </w:pPr>
            <w:r w:rsidRPr="0004022E">
              <w:rPr>
                <w:spacing w:val="-2"/>
                <w:szCs w:val="28"/>
                <w:rtl/>
              </w:rPr>
              <w:t>اتفاقية مناهضة التعذيب وغيره من ضروب المعاملة أو العقوبة القاسية أو اللاإنسانية</w:t>
            </w:r>
            <w:r w:rsidRPr="0004022E">
              <w:rPr>
                <w:szCs w:val="28"/>
                <w:rtl/>
              </w:rPr>
              <w:t xml:space="preserve"> أو المهينة</w:t>
            </w:r>
            <w:r w:rsidR="00D014BA">
              <w:rPr>
                <w:szCs w:val="28"/>
                <w:rtl/>
              </w:rPr>
              <w:t xml:space="preserve"> </w:t>
            </w:r>
            <w:r w:rsidRPr="0004022E">
              <w:rPr>
                <w:szCs w:val="28"/>
                <w:rtl/>
              </w:rPr>
              <w:t>و</w:t>
            </w:r>
            <w:r w:rsidRPr="0004022E">
              <w:rPr>
                <w:rFonts w:hint="cs"/>
                <w:szCs w:val="28"/>
                <w:rtl/>
              </w:rPr>
              <w:t xml:space="preserve">بروتوكولها </w:t>
            </w:r>
            <w:r w:rsidRPr="0004022E">
              <w:rPr>
                <w:szCs w:val="28"/>
                <w:rtl/>
              </w:rPr>
              <w:t xml:space="preserve">الاختياري </w:t>
            </w:r>
          </w:p>
        </w:tc>
      </w:tr>
      <w:tr w:rsidR="00C1338B" w:rsidRPr="0004022E" w:rsidTr="0004022E">
        <w:tc>
          <w:tcPr>
            <w:tcW w:w="570" w:type="dxa"/>
          </w:tcPr>
          <w:p w:rsidR="00C1338B" w:rsidRPr="0004022E" w:rsidRDefault="00C1338B" w:rsidP="0004022E">
            <w:pPr>
              <w:pStyle w:val="SingleTxtGA"/>
              <w:ind w:left="0" w:right="0"/>
              <w:rPr>
                <w:b/>
                <w:rtl/>
              </w:rPr>
            </w:pPr>
          </w:p>
        </w:tc>
        <w:tc>
          <w:tcPr>
            <w:tcW w:w="6593" w:type="dxa"/>
          </w:tcPr>
          <w:p w:rsidR="00C1338B" w:rsidRPr="0004022E" w:rsidRDefault="00C1338B" w:rsidP="0004022E">
            <w:pPr>
              <w:spacing w:after="120" w:line="360" w:lineRule="exact"/>
              <w:rPr>
                <w:szCs w:val="28"/>
                <w:rtl/>
              </w:rPr>
            </w:pPr>
            <w:r w:rsidRPr="0004022E">
              <w:rPr>
                <w:szCs w:val="28"/>
                <w:rtl/>
              </w:rPr>
              <w:t xml:space="preserve">اتفاقية حقوق الطفل </w:t>
            </w:r>
          </w:p>
        </w:tc>
      </w:tr>
      <w:tr w:rsidR="00C1338B" w:rsidRPr="0004022E" w:rsidTr="0004022E">
        <w:tc>
          <w:tcPr>
            <w:tcW w:w="570" w:type="dxa"/>
          </w:tcPr>
          <w:p w:rsidR="00C1338B" w:rsidRPr="0004022E" w:rsidRDefault="00C1338B" w:rsidP="0004022E">
            <w:pPr>
              <w:pStyle w:val="SingleTxtGA"/>
              <w:ind w:left="0" w:right="0"/>
              <w:rPr>
                <w:b/>
                <w:rtl/>
              </w:rPr>
            </w:pPr>
          </w:p>
        </w:tc>
        <w:tc>
          <w:tcPr>
            <w:tcW w:w="6593" w:type="dxa"/>
          </w:tcPr>
          <w:p w:rsidR="00C1338B" w:rsidRPr="0004022E" w:rsidRDefault="00C1338B" w:rsidP="0004022E">
            <w:pPr>
              <w:spacing w:after="120" w:line="360" w:lineRule="exact"/>
              <w:rPr>
                <w:szCs w:val="28"/>
                <w:rtl/>
              </w:rPr>
            </w:pPr>
            <w:r w:rsidRPr="0004022E">
              <w:rPr>
                <w:szCs w:val="28"/>
                <w:rtl/>
              </w:rPr>
              <w:t xml:space="preserve">البروتوكول الاختياري لاتفاقية حقوق الطفل بشأن بيع الأطفال </w:t>
            </w:r>
            <w:r w:rsidRPr="0004022E">
              <w:rPr>
                <w:rFonts w:hint="cs"/>
                <w:szCs w:val="28"/>
                <w:rtl/>
              </w:rPr>
              <w:t>واستغلال الأطفال</w:t>
            </w:r>
            <w:r w:rsidRPr="0004022E">
              <w:rPr>
                <w:szCs w:val="28"/>
                <w:rtl/>
              </w:rPr>
              <w:t xml:space="preserve"> في البغاء وفي المواد الإباحية </w:t>
            </w:r>
          </w:p>
        </w:tc>
      </w:tr>
      <w:tr w:rsidR="00C1338B" w:rsidRPr="0004022E" w:rsidTr="0004022E">
        <w:tc>
          <w:tcPr>
            <w:tcW w:w="570" w:type="dxa"/>
          </w:tcPr>
          <w:p w:rsidR="00C1338B" w:rsidRPr="0004022E" w:rsidRDefault="00C1338B" w:rsidP="0004022E">
            <w:pPr>
              <w:pStyle w:val="SingleTxtGA"/>
              <w:ind w:left="0" w:right="0"/>
              <w:rPr>
                <w:b/>
                <w:rtl/>
              </w:rPr>
            </w:pPr>
          </w:p>
        </w:tc>
        <w:tc>
          <w:tcPr>
            <w:tcW w:w="6593" w:type="dxa"/>
          </w:tcPr>
          <w:p w:rsidR="00C1338B" w:rsidRPr="0004022E" w:rsidRDefault="00C1338B" w:rsidP="0004022E">
            <w:pPr>
              <w:spacing w:after="120" w:line="360" w:lineRule="exact"/>
              <w:rPr>
                <w:szCs w:val="28"/>
                <w:rtl/>
              </w:rPr>
            </w:pPr>
            <w:r w:rsidRPr="0004022E">
              <w:rPr>
                <w:szCs w:val="28"/>
                <w:rtl/>
              </w:rPr>
              <w:t xml:space="preserve">البروتوكول الاختياري لاتفاقية حقوق الطفل بشأن اشتراك الأطفال في </w:t>
            </w:r>
            <w:r w:rsidRPr="0004022E">
              <w:rPr>
                <w:rFonts w:hint="cs"/>
                <w:szCs w:val="28"/>
                <w:rtl/>
              </w:rPr>
              <w:t>المنازعات</w:t>
            </w:r>
            <w:r w:rsidRPr="0004022E">
              <w:rPr>
                <w:szCs w:val="28"/>
                <w:rtl/>
              </w:rPr>
              <w:t xml:space="preserve"> المسلحة </w:t>
            </w:r>
          </w:p>
        </w:tc>
      </w:tr>
      <w:tr w:rsidR="00C1338B" w:rsidRPr="0004022E" w:rsidTr="0004022E">
        <w:tc>
          <w:tcPr>
            <w:tcW w:w="570" w:type="dxa"/>
          </w:tcPr>
          <w:p w:rsidR="00C1338B" w:rsidRPr="0004022E" w:rsidRDefault="00C1338B" w:rsidP="0004022E">
            <w:pPr>
              <w:pStyle w:val="SingleTxtGA"/>
              <w:ind w:left="0" w:right="0"/>
              <w:rPr>
                <w:b/>
                <w:rtl/>
              </w:rPr>
            </w:pPr>
          </w:p>
        </w:tc>
        <w:tc>
          <w:tcPr>
            <w:tcW w:w="6593" w:type="dxa"/>
          </w:tcPr>
          <w:p w:rsidR="00C1338B" w:rsidRPr="0004022E" w:rsidRDefault="00C1338B" w:rsidP="0004022E">
            <w:pPr>
              <w:spacing w:after="120" w:line="360" w:lineRule="exact"/>
              <w:rPr>
                <w:szCs w:val="28"/>
                <w:rtl/>
              </w:rPr>
            </w:pPr>
            <w:r w:rsidRPr="0004022E">
              <w:rPr>
                <w:szCs w:val="28"/>
                <w:rtl/>
              </w:rPr>
              <w:t>اتفاقية حماية التراث العالمي الثقافي والطبيعي</w:t>
            </w:r>
          </w:p>
        </w:tc>
      </w:tr>
      <w:tr w:rsidR="00C1338B" w:rsidRPr="0004022E" w:rsidTr="0004022E">
        <w:tc>
          <w:tcPr>
            <w:tcW w:w="570" w:type="dxa"/>
          </w:tcPr>
          <w:p w:rsidR="00C1338B" w:rsidRPr="0004022E" w:rsidRDefault="00C1338B" w:rsidP="0004022E">
            <w:pPr>
              <w:pStyle w:val="SingleTxtGA"/>
              <w:ind w:left="0" w:right="0"/>
              <w:rPr>
                <w:b/>
                <w:rtl/>
              </w:rPr>
            </w:pPr>
          </w:p>
        </w:tc>
        <w:tc>
          <w:tcPr>
            <w:tcW w:w="6593" w:type="dxa"/>
          </w:tcPr>
          <w:p w:rsidR="00C1338B" w:rsidRPr="0004022E" w:rsidRDefault="00C1338B" w:rsidP="0004022E">
            <w:pPr>
              <w:spacing w:after="120" w:line="360" w:lineRule="exact"/>
              <w:rPr>
                <w:szCs w:val="28"/>
                <w:rtl/>
              </w:rPr>
            </w:pPr>
            <w:r w:rsidRPr="0004022E">
              <w:rPr>
                <w:szCs w:val="28"/>
                <w:rtl/>
              </w:rPr>
              <w:t xml:space="preserve">اتفاقية حقوق الأشخاص ذوي الإعاقة </w:t>
            </w:r>
          </w:p>
        </w:tc>
      </w:tr>
      <w:tr w:rsidR="00C1338B" w:rsidRPr="0004022E" w:rsidTr="0004022E">
        <w:tc>
          <w:tcPr>
            <w:tcW w:w="570" w:type="dxa"/>
          </w:tcPr>
          <w:p w:rsidR="00C1338B" w:rsidRPr="0004022E" w:rsidRDefault="00C1338B" w:rsidP="0004022E">
            <w:pPr>
              <w:pStyle w:val="SingleTxtGA"/>
              <w:ind w:left="0" w:right="0"/>
              <w:rPr>
                <w:b/>
                <w:rtl/>
              </w:rPr>
            </w:pPr>
          </w:p>
        </w:tc>
        <w:tc>
          <w:tcPr>
            <w:tcW w:w="6593" w:type="dxa"/>
          </w:tcPr>
          <w:p w:rsidR="00C1338B" w:rsidRPr="0004022E" w:rsidRDefault="00C1338B" w:rsidP="0004022E">
            <w:pPr>
              <w:spacing w:after="120" w:line="360" w:lineRule="exact"/>
              <w:rPr>
                <w:szCs w:val="28"/>
                <w:rtl/>
              </w:rPr>
            </w:pPr>
            <w:r w:rsidRPr="0004022E">
              <w:rPr>
                <w:szCs w:val="28"/>
                <w:rtl/>
              </w:rPr>
              <w:t>اتفاقية حماية التراث الثقافي</w:t>
            </w:r>
          </w:p>
        </w:tc>
      </w:tr>
      <w:tr w:rsidR="00C1338B" w:rsidRPr="0004022E" w:rsidTr="0004022E">
        <w:tc>
          <w:tcPr>
            <w:tcW w:w="570" w:type="dxa"/>
          </w:tcPr>
          <w:p w:rsidR="00C1338B" w:rsidRPr="0004022E" w:rsidRDefault="00C1338B" w:rsidP="0004022E">
            <w:pPr>
              <w:pStyle w:val="SingleTxtGA"/>
              <w:ind w:left="0" w:right="0"/>
              <w:rPr>
                <w:b/>
                <w:rtl/>
              </w:rPr>
            </w:pPr>
          </w:p>
        </w:tc>
        <w:tc>
          <w:tcPr>
            <w:tcW w:w="6593" w:type="dxa"/>
          </w:tcPr>
          <w:p w:rsidR="00C1338B" w:rsidRPr="0004022E" w:rsidRDefault="00C1338B" w:rsidP="0004022E">
            <w:pPr>
              <w:spacing w:after="120" w:line="360" w:lineRule="exact"/>
              <w:rPr>
                <w:szCs w:val="28"/>
                <w:rtl/>
              </w:rPr>
            </w:pPr>
            <w:r w:rsidRPr="0004022E">
              <w:rPr>
                <w:szCs w:val="28"/>
                <w:rtl/>
              </w:rPr>
              <w:t xml:space="preserve">اتفاقية حماية وتعزيز تنوع </w:t>
            </w:r>
            <w:r w:rsidRPr="0004022E">
              <w:rPr>
                <w:rFonts w:hint="cs"/>
                <w:szCs w:val="28"/>
                <w:rtl/>
              </w:rPr>
              <w:t xml:space="preserve">أشكال </w:t>
            </w:r>
            <w:r w:rsidRPr="0004022E">
              <w:rPr>
                <w:szCs w:val="28"/>
                <w:rtl/>
              </w:rPr>
              <w:t>التعبير الثقافي</w:t>
            </w:r>
          </w:p>
        </w:tc>
      </w:tr>
      <w:tr w:rsidR="00C1338B" w:rsidRPr="0004022E" w:rsidTr="0004022E">
        <w:tc>
          <w:tcPr>
            <w:tcW w:w="570" w:type="dxa"/>
          </w:tcPr>
          <w:p w:rsidR="00C1338B" w:rsidRPr="0004022E" w:rsidRDefault="00C1338B" w:rsidP="0004022E">
            <w:pPr>
              <w:pStyle w:val="SingleTxtGA"/>
              <w:ind w:left="0" w:right="0"/>
              <w:rPr>
                <w:b/>
                <w:rtl/>
              </w:rPr>
            </w:pPr>
          </w:p>
        </w:tc>
        <w:tc>
          <w:tcPr>
            <w:tcW w:w="6593" w:type="dxa"/>
          </w:tcPr>
          <w:p w:rsidR="00C1338B" w:rsidRPr="0004022E" w:rsidRDefault="00C1338B" w:rsidP="0004022E">
            <w:pPr>
              <w:spacing w:after="120" w:line="360" w:lineRule="exact"/>
              <w:rPr>
                <w:szCs w:val="28"/>
                <w:rtl/>
              </w:rPr>
            </w:pPr>
            <w:r w:rsidRPr="0004022E">
              <w:rPr>
                <w:szCs w:val="28"/>
                <w:rtl/>
              </w:rPr>
              <w:t xml:space="preserve">الاتفاقية </w:t>
            </w:r>
            <w:r w:rsidRPr="0004022E">
              <w:rPr>
                <w:rFonts w:hint="cs"/>
                <w:szCs w:val="28"/>
                <w:rtl/>
              </w:rPr>
              <w:t>المنظِّمة ل</w:t>
            </w:r>
            <w:r w:rsidRPr="0004022E">
              <w:rPr>
                <w:szCs w:val="28"/>
                <w:rtl/>
              </w:rPr>
              <w:t>لجوانب المحددة لمشاكل اللاجئين في أفريقيا</w:t>
            </w:r>
          </w:p>
        </w:tc>
      </w:tr>
      <w:tr w:rsidR="00C1338B" w:rsidRPr="0004022E" w:rsidTr="0004022E">
        <w:tc>
          <w:tcPr>
            <w:tcW w:w="570" w:type="dxa"/>
          </w:tcPr>
          <w:p w:rsidR="00C1338B" w:rsidRPr="0004022E" w:rsidRDefault="00C1338B" w:rsidP="0004022E">
            <w:pPr>
              <w:pStyle w:val="SingleTxtGA"/>
              <w:ind w:left="0" w:right="0"/>
              <w:rPr>
                <w:b/>
                <w:rtl/>
              </w:rPr>
            </w:pPr>
          </w:p>
        </w:tc>
        <w:tc>
          <w:tcPr>
            <w:tcW w:w="6593" w:type="dxa"/>
          </w:tcPr>
          <w:p w:rsidR="00C1338B" w:rsidRPr="0004022E" w:rsidRDefault="00C1338B" w:rsidP="0004022E">
            <w:pPr>
              <w:spacing w:after="120" w:line="360" w:lineRule="exact"/>
              <w:rPr>
                <w:szCs w:val="28"/>
                <w:rtl/>
              </w:rPr>
            </w:pPr>
            <w:r w:rsidRPr="0004022E">
              <w:rPr>
                <w:szCs w:val="28"/>
                <w:rtl/>
              </w:rPr>
              <w:t xml:space="preserve">الميثاق الأفريقي لحقوق الإنسان والشعوب </w:t>
            </w:r>
          </w:p>
        </w:tc>
      </w:tr>
      <w:tr w:rsidR="00C1338B" w:rsidRPr="0004022E" w:rsidTr="0004022E">
        <w:tc>
          <w:tcPr>
            <w:tcW w:w="570" w:type="dxa"/>
          </w:tcPr>
          <w:p w:rsidR="00C1338B" w:rsidRPr="0004022E" w:rsidRDefault="00C1338B" w:rsidP="0004022E">
            <w:pPr>
              <w:pStyle w:val="SingleTxtGA"/>
              <w:ind w:left="0" w:right="0"/>
              <w:rPr>
                <w:b/>
                <w:rtl/>
              </w:rPr>
            </w:pPr>
          </w:p>
        </w:tc>
        <w:tc>
          <w:tcPr>
            <w:tcW w:w="6593" w:type="dxa"/>
          </w:tcPr>
          <w:p w:rsidR="00C1338B" w:rsidRPr="0004022E" w:rsidRDefault="00C1338B" w:rsidP="0004022E">
            <w:pPr>
              <w:spacing w:after="120" w:line="360" w:lineRule="exact"/>
              <w:rPr>
                <w:szCs w:val="28"/>
                <w:rtl/>
              </w:rPr>
            </w:pPr>
            <w:r w:rsidRPr="0004022E">
              <w:rPr>
                <w:szCs w:val="28"/>
                <w:rtl/>
              </w:rPr>
              <w:t xml:space="preserve">الميثاق الأفريقي لحقوق </w:t>
            </w:r>
            <w:r w:rsidRPr="0004022E">
              <w:rPr>
                <w:rFonts w:hint="cs"/>
                <w:szCs w:val="28"/>
                <w:rtl/>
              </w:rPr>
              <w:t xml:space="preserve">الطفل </w:t>
            </w:r>
            <w:r w:rsidRPr="0004022E">
              <w:rPr>
                <w:szCs w:val="28"/>
                <w:rtl/>
              </w:rPr>
              <w:t>ورفاهي</w:t>
            </w:r>
            <w:r w:rsidRPr="0004022E">
              <w:rPr>
                <w:rFonts w:hint="cs"/>
                <w:szCs w:val="28"/>
                <w:rtl/>
              </w:rPr>
              <w:t>ته</w:t>
            </w:r>
            <w:r w:rsidRPr="0004022E">
              <w:rPr>
                <w:szCs w:val="28"/>
                <w:rtl/>
              </w:rPr>
              <w:t xml:space="preserve"> </w:t>
            </w:r>
          </w:p>
        </w:tc>
      </w:tr>
      <w:tr w:rsidR="00C1338B" w:rsidRPr="0004022E" w:rsidTr="0004022E">
        <w:tc>
          <w:tcPr>
            <w:tcW w:w="570" w:type="dxa"/>
          </w:tcPr>
          <w:p w:rsidR="00C1338B" w:rsidRPr="0004022E" w:rsidRDefault="00C1338B" w:rsidP="0004022E">
            <w:pPr>
              <w:pStyle w:val="SingleTxtGA"/>
              <w:ind w:left="0" w:right="0"/>
              <w:rPr>
                <w:b/>
                <w:rtl/>
              </w:rPr>
            </w:pPr>
          </w:p>
        </w:tc>
        <w:tc>
          <w:tcPr>
            <w:tcW w:w="6593" w:type="dxa"/>
          </w:tcPr>
          <w:p w:rsidR="00C1338B" w:rsidRPr="0004022E" w:rsidRDefault="00C1338B" w:rsidP="0004022E">
            <w:pPr>
              <w:spacing w:after="120" w:line="360" w:lineRule="exact"/>
              <w:rPr>
                <w:szCs w:val="28"/>
                <w:rtl/>
              </w:rPr>
            </w:pPr>
            <w:r w:rsidRPr="0004022E">
              <w:rPr>
                <w:szCs w:val="28"/>
                <w:rtl/>
              </w:rPr>
              <w:t>الاتفاقية الأفريقية لحماية ومساعدة الأشخاص المشردين داخلياً ذوي الإعاقة</w:t>
            </w:r>
          </w:p>
        </w:tc>
      </w:tr>
      <w:tr w:rsidR="00C1338B" w:rsidRPr="0004022E" w:rsidTr="0004022E">
        <w:tc>
          <w:tcPr>
            <w:tcW w:w="570" w:type="dxa"/>
          </w:tcPr>
          <w:p w:rsidR="00C1338B" w:rsidRPr="0004022E" w:rsidRDefault="00C1338B" w:rsidP="0004022E">
            <w:pPr>
              <w:pStyle w:val="SingleTxtGA"/>
              <w:ind w:left="0" w:right="0"/>
              <w:rPr>
                <w:b/>
                <w:rtl/>
              </w:rPr>
            </w:pPr>
          </w:p>
        </w:tc>
        <w:tc>
          <w:tcPr>
            <w:tcW w:w="6593" w:type="dxa"/>
          </w:tcPr>
          <w:p w:rsidR="00C1338B" w:rsidRPr="0004022E" w:rsidRDefault="00C1338B" w:rsidP="0004022E">
            <w:pPr>
              <w:spacing w:after="120" w:line="360" w:lineRule="exact"/>
              <w:rPr>
                <w:szCs w:val="28"/>
                <w:rtl/>
              </w:rPr>
            </w:pPr>
            <w:r w:rsidRPr="0004022E">
              <w:rPr>
                <w:szCs w:val="28"/>
                <w:rtl/>
              </w:rPr>
              <w:t xml:space="preserve">بروتوكول الميثاق الأفريقي لحقوق الإنسان والشعوب </w:t>
            </w:r>
            <w:r w:rsidRPr="0004022E">
              <w:rPr>
                <w:rFonts w:hint="cs"/>
                <w:szCs w:val="28"/>
                <w:rtl/>
              </w:rPr>
              <w:t>المتعلق</w:t>
            </w:r>
            <w:r w:rsidRPr="0004022E">
              <w:rPr>
                <w:szCs w:val="28"/>
                <w:rtl/>
              </w:rPr>
              <w:t xml:space="preserve"> </w:t>
            </w:r>
            <w:r w:rsidRPr="0004022E">
              <w:rPr>
                <w:rFonts w:hint="cs"/>
                <w:szCs w:val="28"/>
                <w:rtl/>
              </w:rPr>
              <w:t>ب</w:t>
            </w:r>
            <w:r w:rsidRPr="0004022E">
              <w:rPr>
                <w:szCs w:val="28"/>
                <w:rtl/>
              </w:rPr>
              <w:t>حقوق المرأة في أفريقيا</w:t>
            </w:r>
          </w:p>
        </w:tc>
      </w:tr>
      <w:tr w:rsidR="00C1338B" w:rsidRPr="0004022E" w:rsidTr="0004022E">
        <w:tc>
          <w:tcPr>
            <w:tcW w:w="570" w:type="dxa"/>
          </w:tcPr>
          <w:p w:rsidR="00C1338B" w:rsidRPr="0004022E" w:rsidRDefault="00C1338B" w:rsidP="0004022E">
            <w:pPr>
              <w:pStyle w:val="SingleTxtGA"/>
              <w:ind w:left="0" w:right="0"/>
              <w:rPr>
                <w:b/>
                <w:rtl/>
              </w:rPr>
            </w:pPr>
          </w:p>
        </w:tc>
        <w:tc>
          <w:tcPr>
            <w:tcW w:w="6593" w:type="dxa"/>
          </w:tcPr>
          <w:p w:rsidR="00C1338B" w:rsidRPr="0004022E" w:rsidRDefault="00C1338B" w:rsidP="0004022E">
            <w:pPr>
              <w:spacing w:after="120" w:line="360" w:lineRule="exact"/>
              <w:rPr>
                <w:szCs w:val="28"/>
                <w:rtl/>
              </w:rPr>
            </w:pPr>
            <w:r w:rsidRPr="0004022E">
              <w:rPr>
                <w:szCs w:val="28"/>
                <w:rtl/>
              </w:rPr>
              <w:t>اتفاقيات جنيف وبروتوكولاتها</w:t>
            </w:r>
          </w:p>
        </w:tc>
      </w:tr>
      <w:tr w:rsidR="00C1338B" w:rsidRPr="0004022E" w:rsidTr="0004022E">
        <w:tc>
          <w:tcPr>
            <w:tcW w:w="570" w:type="dxa"/>
          </w:tcPr>
          <w:p w:rsidR="00C1338B" w:rsidRPr="0004022E" w:rsidRDefault="00C1338B" w:rsidP="0004022E">
            <w:pPr>
              <w:pStyle w:val="SingleTxtGA"/>
              <w:ind w:left="0" w:right="0"/>
              <w:rPr>
                <w:b/>
                <w:rtl/>
              </w:rPr>
            </w:pPr>
          </w:p>
        </w:tc>
        <w:tc>
          <w:tcPr>
            <w:tcW w:w="6593" w:type="dxa"/>
          </w:tcPr>
          <w:p w:rsidR="00C1338B" w:rsidRPr="0004022E" w:rsidRDefault="00C1338B" w:rsidP="0004022E">
            <w:pPr>
              <w:spacing w:after="120" w:line="360" w:lineRule="exact"/>
              <w:rPr>
                <w:spacing w:val="-4"/>
                <w:szCs w:val="28"/>
              </w:rPr>
            </w:pPr>
            <w:r w:rsidRPr="0004022E">
              <w:rPr>
                <w:spacing w:val="-4"/>
                <w:szCs w:val="28"/>
                <w:rtl/>
              </w:rPr>
              <w:t xml:space="preserve">اتفاقية مناهضة التعذيب وغيره من ضروب المعاملة أو العقوبة القاسية أو اللاإنسانية أو المهينة، </w:t>
            </w:r>
            <w:r w:rsidRPr="0004022E">
              <w:rPr>
                <w:rFonts w:hint="cs"/>
                <w:spacing w:val="-4"/>
                <w:szCs w:val="28"/>
                <w:rtl/>
              </w:rPr>
              <w:t xml:space="preserve">لعام </w:t>
            </w:r>
            <w:r w:rsidRPr="0004022E">
              <w:rPr>
                <w:spacing w:val="-4"/>
                <w:szCs w:val="20"/>
                <w:rtl/>
              </w:rPr>
              <w:t>1987</w:t>
            </w:r>
            <w:r w:rsidRPr="0004022E">
              <w:rPr>
                <w:rFonts w:hint="cs"/>
                <w:spacing w:val="-4"/>
                <w:szCs w:val="28"/>
                <w:rtl/>
              </w:rPr>
              <w:t>.</w:t>
            </w:r>
          </w:p>
        </w:tc>
      </w:tr>
    </w:tbl>
    <w:p w:rsidR="00633584" w:rsidRDefault="00633584" w:rsidP="000241FD">
      <w:pPr>
        <w:pStyle w:val="H1GA"/>
        <w:rPr>
          <w:rtl/>
        </w:rPr>
      </w:pPr>
      <w:r>
        <w:rPr>
          <w:rtl/>
        </w:rPr>
        <w:tab/>
        <w:t>واو-</w:t>
      </w:r>
      <w:r>
        <w:rPr>
          <w:rtl/>
        </w:rPr>
        <w:tab/>
        <w:t>توعية الموظفين العموميين وغيرهم من المهنيين بحقوق الإنسان</w:t>
      </w:r>
    </w:p>
    <w:p w:rsidR="00633584" w:rsidRDefault="000241FD" w:rsidP="009B20A3">
      <w:pPr>
        <w:pStyle w:val="H23GA"/>
        <w:rPr>
          <w:rtl/>
        </w:rPr>
      </w:pPr>
      <w:r>
        <w:rPr>
          <w:rtl/>
        </w:rPr>
        <w:tab/>
      </w:r>
      <w:r>
        <w:rPr>
          <w:rtl/>
        </w:rPr>
        <w:tab/>
      </w:r>
      <w:r w:rsidR="00633584">
        <w:rPr>
          <w:rtl/>
        </w:rPr>
        <w:t>التوعية العامة</w:t>
      </w:r>
    </w:p>
    <w:p w:rsidR="00633584" w:rsidRDefault="00633584" w:rsidP="009B20A3">
      <w:pPr>
        <w:pStyle w:val="SingleTxtGA"/>
        <w:rPr>
          <w:rtl/>
        </w:rPr>
      </w:pPr>
      <w:r w:rsidRPr="00C1338B">
        <w:rPr>
          <w:szCs w:val="20"/>
          <w:rtl/>
        </w:rPr>
        <w:t>24</w:t>
      </w:r>
      <w:r>
        <w:rPr>
          <w:rtl/>
        </w:rPr>
        <w:t>-</w:t>
      </w:r>
      <w:r>
        <w:rPr>
          <w:rtl/>
        </w:rPr>
        <w:tab/>
        <w:t xml:space="preserve">جرى تدريب العديد من الضباط وضباط الصف في شرطة جنوب السودان، ودائرة السجون، </w:t>
      </w:r>
      <w:r w:rsidRPr="0004022E">
        <w:rPr>
          <w:spacing w:val="-4"/>
          <w:rtl/>
        </w:rPr>
        <w:t>وقوات الدفاع عن شعوب جنوب السودان على التعامل مع حالات العنف الجنسي والعنف القائم على</w:t>
      </w:r>
      <w:r>
        <w:rPr>
          <w:rtl/>
        </w:rPr>
        <w:t xml:space="preserve"> نوع الجنس (العنف الجنساني) وقضايا حقوق الإنسان بوجه عام. وكجزء من التدريب والتوعية، يجري تزويد هؤلاء الموظفين أيضاً بنسخ من المبادئ التوجيهية المتعلقة بحقوق المرأة والطفل. ويجري القيام بعمليات تدريب إضافية بدعم من شركاء مختلفين.</w:t>
      </w:r>
    </w:p>
    <w:p w:rsidR="00633584" w:rsidRDefault="00633584" w:rsidP="009B20A3">
      <w:pPr>
        <w:pStyle w:val="SingleTxtGA"/>
        <w:rPr>
          <w:rtl/>
        </w:rPr>
      </w:pPr>
      <w:r w:rsidRPr="00C1338B">
        <w:rPr>
          <w:szCs w:val="20"/>
          <w:rtl/>
        </w:rPr>
        <w:t>25</w:t>
      </w:r>
      <w:r>
        <w:rPr>
          <w:rtl/>
        </w:rPr>
        <w:t>-</w:t>
      </w:r>
      <w:r>
        <w:rPr>
          <w:rtl/>
        </w:rPr>
        <w:tab/>
      </w:r>
      <w:r w:rsidRPr="00C1338B">
        <w:rPr>
          <w:spacing w:val="-4"/>
          <w:rtl/>
        </w:rPr>
        <w:t xml:space="preserve">وفي ولاية </w:t>
      </w:r>
      <w:proofErr w:type="spellStart"/>
      <w:r w:rsidRPr="00C1338B">
        <w:rPr>
          <w:spacing w:val="-4"/>
          <w:rtl/>
        </w:rPr>
        <w:t>ماريدي</w:t>
      </w:r>
      <w:proofErr w:type="spellEnd"/>
      <w:r w:rsidRPr="00C1338B">
        <w:rPr>
          <w:spacing w:val="-4"/>
          <w:rtl/>
        </w:rPr>
        <w:t xml:space="preserve"> وحدها، تلقى </w:t>
      </w:r>
      <w:r w:rsidRPr="00C1338B">
        <w:rPr>
          <w:spacing w:val="-4"/>
          <w:szCs w:val="20"/>
          <w:rtl/>
        </w:rPr>
        <w:t>40</w:t>
      </w:r>
      <w:r w:rsidRPr="00C1338B">
        <w:rPr>
          <w:spacing w:val="-4"/>
          <w:rtl/>
        </w:rPr>
        <w:t xml:space="preserve"> فرداً من أفراد قوات الدفاع عن شعوب جنوب السودان</w:t>
      </w:r>
      <w:r>
        <w:rPr>
          <w:rtl/>
        </w:rPr>
        <w:t xml:space="preserve"> تدريباً في مجال حقوق الإنسان في كانون الأول/ديسمبر </w:t>
      </w:r>
      <w:r w:rsidRPr="00C1338B">
        <w:rPr>
          <w:szCs w:val="20"/>
          <w:rtl/>
        </w:rPr>
        <w:t>2017</w:t>
      </w:r>
      <w:r>
        <w:rPr>
          <w:rtl/>
        </w:rPr>
        <w:t>.</w:t>
      </w:r>
      <w:r w:rsidR="009B20A3">
        <w:rPr>
          <w:rFonts w:hint="cs"/>
          <w:rtl/>
        </w:rPr>
        <w:t xml:space="preserve"> </w:t>
      </w:r>
    </w:p>
    <w:p w:rsidR="00633584" w:rsidRDefault="00633584" w:rsidP="00633584">
      <w:pPr>
        <w:pStyle w:val="SingleTxtGA"/>
        <w:spacing w:line="380" w:lineRule="exact"/>
        <w:rPr>
          <w:rtl/>
        </w:rPr>
      </w:pPr>
      <w:r w:rsidRPr="00C1338B">
        <w:rPr>
          <w:szCs w:val="20"/>
          <w:rtl/>
        </w:rPr>
        <w:t>26</w:t>
      </w:r>
      <w:r>
        <w:rPr>
          <w:rtl/>
        </w:rPr>
        <w:t>-</w:t>
      </w:r>
      <w:r>
        <w:rPr>
          <w:rtl/>
        </w:rPr>
        <w:tab/>
      </w:r>
      <w:r w:rsidRPr="0004022E">
        <w:rPr>
          <w:spacing w:val="-4"/>
          <w:rtl/>
        </w:rPr>
        <w:t xml:space="preserve">وفي عامي </w:t>
      </w:r>
      <w:r w:rsidRPr="0004022E">
        <w:rPr>
          <w:spacing w:val="-4"/>
          <w:szCs w:val="20"/>
          <w:rtl/>
        </w:rPr>
        <w:t>2014</w:t>
      </w:r>
      <w:r w:rsidRPr="0004022E">
        <w:rPr>
          <w:spacing w:val="-4"/>
          <w:rtl/>
        </w:rPr>
        <w:t xml:space="preserve"> و</w:t>
      </w:r>
      <w:r w:rsidRPr="0004022E">
        <w:rPr>
          <w:spacing w:val="-4"/>
          <w:szCs w:val="20"/>
          <w:rtl/>
        </w:rPr>
        <w:t>2015</w:t>
      </w:r>
      <w:r w:rsidRPr="0004022E">
        <w:rPr>
          <w:spacing w:val="-4"/>
          <w:rtl/>
        </w:rPr>
        <w:t>، قام برنامج الأمم المتحدة الإنمائي بتدريب أفراد الشرطة والأخصائيين الاجتماعيين في أنحاء مختلفة من البلد. ويبين الجدول التالي تفاصيل أعداد عمليات التدريب هذه</w:t>
      </w:r>
      <w:r>
        <w:rPr>
          <w:rtl/>
        </w:rPr>
        <w:t xml:space="preserve"> حسب نوع الجنس والموقع.</w:t>
      </w:r>
    </w:p>
    <w:p w:rsidR="00633584" w:rsidRDefault="000241FD" w:rsidP="000241FD">
      <w:pPr>
        <w:pStyle w:val="H23GA"/>
        <w:rPr>
          <w:rtl/>
        </w:rPr>
      </w:pPr>
      <w:r>
        <w:rPr>
          <w:rtl/>
        </w:rPr>
        <w:tab/>
      </w:r>
      <w:r>
        <w:rPr>
          <w:rtl/>
        </w:rPr>
        <w:tab/>
      </w:r>
      <w:r w:rsidR="00633584">
        <w:rPr>
          <w:rtl/>
        </w:rPr>
        <w:t xml:space="preserve">التدريب بشأن العنف الجنسي والعنف الجنساني في عامي </w:t>
      </w:r>
      <w:r w:rsidR="00633584" w:rsidRPr="00C1338B">
        <w:rPr>
          <w:szCs w:val="20"/>
          <w:rtl/>
        </w:rPr>
        <w:t>2014</w:t>
      </w:r>
      <w:r w:rsidR="00633584">
        <w:rPr>
          <w:rtl/>
        </w:rPr>
        <w:t xml:space="preserve"> و</w:t>
      </w:r>
      <w:r w:rsidR="00633584" w:rsidRPr="00C1338B">
        <w:rPr>
          <w:szCs w:val="20"/>
          <w:rtl/>
        </w:rPr>
        <w:t>2015</w:t>
      </w:r>
    </w:p>
    <w:tbl>
      <w:tblPr>
        <w:bidiVisual/>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572"/>
        <w:gridCol w:w="873"/>
        <w:gridCol w:w="1068"/>
        <w:gridCol w:w="984"/>
        <w:gridCol w:w="859"/>
        <w:gridCol w:w="1047"/>
        <w:gridCol w:w="967"/>
      </w:tblGrid>
      <w:tr w:rsidR="0004022E" w:rsidRPr="004B7AA4" w:rsidTr="0004022E">
        <w:tc>
          <w:tcPr>
            <w:tcW w:w="1572" w:type="dxa"/>
            <w:tcBorders>
              <w:top w:val="single" w:sz="4" w:space="0" w:color="auto"/>
              <w:bottom w:val="nil"/>
            </w:tcBorders>
            <w:shd w:val="clear" w:color="auto" w:fill="auto"/>
          </w:tcPr>
          <w:p w:rsidR="0004022E" w:rsidRPr="003F45A0" w:rsidRDefault="0004022E" w:rsidP="009A23B9">
            <w:pPr>
              <w:pStyle w:val="SingleTxtG"/>
              <w:spacing w:before="40" w:after="40" w:line="280" w:lineRule="exact"/>
              <w:ind w:left="0" w:right="113"/>
              <w:jc w:val="left"/>
              <w:rPr>
                <w:i/>
                <w:sz w:val="16"/>
                <w:lang w:val="en-US"/>
              </w:rPr>
            </w:pPr>
          </w:p>
        </w:tc>
        <w:tc>
          <w:tcPr>
            <w:tcW w:w="2925" w:type="dxa"/>
            <w:gridSpan w:val="3"/>
            <w:tcBorders>
              <w:top w:val="single" w:sz="4" w:space="0" w:color="auto"/>
              <w:bottom w:val="single" w:sz="4" w:space="0" w:color="auto"/>
              <w:right w:val="single" w:sz="24" w:space="0" w:color="FFFFFF" w:themeColor="background1"/>
            </w:tcBorders>
            <w:shd w:val="clear" w:color="auto" w:fill="auto"/>
          </w:tcPr>
          <w:p w:rsidR="0004022E" w:rsidRPr="004B7AA4" w:rsidRDefault="0004022E" w:rsidP="009A23B9">
            <w:pPr>
              <w:pStyle w:val="SingleTxtG"/>
              <w:spacing w:before="40" w:after="40" w:line="280" w:lineRule="exact"/>
              <w:ind w:left="0" w:right="113"/>
              <w:jc w:val="center"/>
              <w:rPr>
                <w:i/>
                <w:sz w:val="16"/>
              </w:rPr>
            </w:pPr>
            <w:r w:rsidRPr="004B7AA4">
              <w:rPr>
                <w:i/>
                <w:sz w:val="16"/>
              </w:rPr>
              <w:t>2014</w:t>
            </w:r>
          </w:p>
        </w:tc>
        <w:tc>
          <w:tcPr>
            <w:tcW w:w="2873" w:type="dxa"/>
            <w:gridSpan w:val="3"/>
            <w:tcBorders>
              <w:top w:val="single" w:sz="4" w:space="0" w:color="auto"/>
              <w:left w:val="single" w:sz="24" w:space="0" w:color="FFFFFF" w:themeColor="background1"/>
              <w:bottom w:val="single" w:sz="4" w:space="0" w:color="auto"/>
            </w:tcBorders>
            <w:shd w:val="clear" w:color="auto" w:fill="auto"/>
          </w:tcPr>
          <w:p w:rsidR="0004022E" w:rsidRPr="004B7AA4" w:rsidRDefault="0004022E" w:rsidP="009A23B9">
            <w:pPr>
              <w:pStyle w:val="SingleTxtG"/>
              <w:spacing w:before="40" w:after="40" w:line="280" w:lineRule="exact"/>
              <w:ind w:left="0" w:right="113"/>
              <w:jc w:val="center"/>
              <w:rPr>
                <w:i/>
                <w:sz w:val="16"/>
              </w:rPr>
            </w:pPr>
            <w:r w:rsidRPr="004B7AA4">
              <w:rPr>
                <w:i/>
                <w:sz w:val="16"/>
              </w:rPr>
              <w:t>2015</w:t>
            </w:r>
          </w:p>
        </w:tc>
      </w:tr>
      <w:tr w:rsidR="0004022E" w:rsidRPr="004B7AA4" w:rsidTr="0004022E">
        <w:tc>
          <w:tcPr>
            <w:tcW w:w="1572" w:type="dxa"/>
            <w:tcBorders>
              <w:top w:val="nil"/>
              <w:bottom w:val="single" w:sz="12" w:space="0" w:color="auto"/>
            </w:tcBorders>
            <w:shd w:val="clear" w:color="auto" w:fill="auto"/>
          </w:tcPr>
          <w:p w:rsidR="0004022E" w:rsidRPr="00731B9A" w:rsidRDefault="0004022E" w:rsidP="009A23B9">
            <w:pPr>
              <w:pStyle w:val="SingleTxtGA"/>
              <w:spacing w:after="0" w:line="280" w:lineRule="exact"/>
              <w:ind w:left="57" w:right="0"/>
              <w:jc w:val="left"/>
              <w:rPr>
                <w:b/>
                <w:i/>
                <w:iCs/>
                <w:sz w:val="26"/>
                <w:szCs w:val="26"/>
                <w:rtl/>
              </w:rPr>
            </w:pPr>
            <w:r>
              <w:rPr>
                <w:rFonts w:hint="cs"/>
                <w:b/>
                <w:i/>
                <w:iCs/>
                <w:sz w:val="26"/>
                <w:szCs w:val="26"/>
                <w:rtl/>
              </w:rPr>
              <w:t xml:space="preserve">المكان </w:t>
            </w:r>
          </w:p>
        </w:tc>
        <w:tc>
          <w:tcPr>
            <w:tcW w:w="873" w:type="dxa"/>
            <w:tcBorders>
              <w:top w:val="nil"/>
              <w:bottom w:val="single" w:sz="12" w:space="0" w:color="auto"/>
            </w:tcBorders>
            <w:shd w:val="clear" w:color="auto" w:fill="auto"/>
          </w:tcPr>
          <w:p w:rsidR="0004022E" w:rsidRPr="00731B9A" w:rsidRDefault="0004022E" w:rsidP="009A23B9">
            <w:pPr>
              <w:pStyle w:val="SingleTxtGA"/>
              <w:spacing w:after="0" w:line="280" w:lineRule="exact"/>
              <w:ind w:left="57" w:right="0"/>
              <w:jc w:val="left"/>
              <w:rPr>
                <w:b/>
                <w:i/>
                <w:iCs/>
                <w:sz w:val="26"/>
                <w:szCs w:val="26"/>
                <w:rtl/>
              </w:rPr>
            </w:pPr>
            <w:r>
              <w:rPr>
                <w:rFonts w:hint="cs"/>
                <w:b/>
                <w:i/>
                <w:iCs/>
                <w:sz w:val="26"/>
                <w:szCs w:val="26"/>
                <w:rtl/>
              </w:rPr>
              <w:t>الذكور</w:t>
            </w:r>
          </w:p>
        </w:tc>
        <w:tc>
          <w:tcPr>
            <w:tcW w:w="1068" w:type="dxa"/>
            <w:tcBorders>
              <w:top w:val="nil"/>
              <w:bottom w:val="single" w:sz="12" w:space="0" w:color="auto"/>
            </w:tcBorders>
            <w:shd w:val="clear" w:color="auto" w:fill="auto"/>
          </w:tcPr>
          <w:p w:rsidR="0004022E" w:rsidRPr="00731B9A" w:rsidRDefault="0004022E" w:rsidP="009A23B9">
            <w:pPr>
              <w:pStyle w:val="SingleTxtGA"/>
              <w:spacing w:after="0" w:line="280" w:lineRule="exact"/>
              <w:ind w:left="57" w:right="0"/>
              <w:jc w:val="left"/>
              <w:rPr>
                <w:b/>
                <w:i/>
                <w:iCs/>
                <w:sz w:val="26"/>
                <w:szCs w:val="26"/>
                <w:rtl/>
              </w:rPr>
            </w:pPr>
            <w:r>
              <w:rPr>
                <w:rFonts w:hint="cs"/>
                <w:b/>
                <w:i/>
                <w:iCs/>
                <w:sz w:val="26"/>
                <w:szCs w:val="26"/>
                <w:rtl/>
              </w:rPr>
              <w:t>الإناث</w:t>
            </w:r>
          </w:p>
        </w:tc>
        <w:tc>
          <w:tcPr>
            <w:tcW w:w="984" w:type="dxa"/>
            <w:tcBorders>
              <w:top w:val="nil"/>
              <w:bottom w:val="single" w:sz="12" w:space="0" w:color="auto"/>
              <w:right w:val="single" w:sz="24" w:space="0" w:color="FFFFFF" w:themeColor="background1"/>
            </w:tcBorders>
            <w:shd w:val="clear" w:color="auto" w:fill="auto"/>
          </w:tcPr>
          <w:p w:rsidR="0004022E" w:rsidRPr="00731B9A" w:rsidRDefault="0004022E" w:rsidP="009A23B9">
            <w:pPr>
              <w:pStyle w:val="SingleTxtGA"/>
              <w:spacing w:after="0" w:line="280" w:lineRule="exact"/>
              <w:ind w:left="57" w:right="0"/>
              <w:jc w:val="left"/>
              <w:rPr>
                <w:b/>
                <w:i/>
                <w:iCs/>
                <w:sz w:val="26"/>
                <w:szCs w:val="26"/>
                <w:rtl/>
              </w:rPr>
            </w:pPr>
            <w:r>
              <w:rPr>
                <w:rFonts w:hint="cs"/>
                <w:b/>
                <w:i/>
                <w:iCs/>
                <w:sz w:val="26"/>
                <w:szCs w:val="26"/>
                <w:rtl/>
              </w:rPr>
              <w:t>المجموع</w:t>
            </w:r>
          </w:p>
        </w:tc>
        <w:tc>
          <w:tcPr>
            <w:tcW w:w="859" w:type="dxa"/>
            <w:tcBorders>
              <w:top w:val="nil"/>
              <w:left w:val="single" w:sz="24" w:space="0" w:color="FFFFFF" w:themeColor="background1"/>
              <w:bottom w:val="single" w:sz="12" w:space="0" w:color="auto"/>
            </w:tcBorders>
            <w:shd w:val="clear" w:color="auto" w:fill="auto"/>
          </w:tcPr>
          <w:p w:rsidR="0004022E" w:rsidRPr="00731B9A" w:rsidRDefault="0004022E" w:rsidP="009A23B9">
            <w:pPr>
              <w:pStyle w:val="SingleTxtGA"/>
              <w:spacing w:after="0" w:line="280" w:lineRule="exact"/>
              <w:ind w:left="57" w:right="0"/>
              <w:jc w:val="left"/>
              <w:rPr>
                <w:b/>
                <w:i/>
                <w:iCs/>
                <w:sz w:val="26"/>
                <w:szCs w:val="26"/>
                <w:rtl/>
              </w:rPr>
            </w:pPr>
            <w:r>
              <w:rPr>
                <w:rFonts w:hint="cs"/>
                <w:b/>
                <w:i/>
                <w:iCs/>
                <w:sz w:val="26"/>
                <w:szCs w:val="26"/>
                <w:rtl/>
              </w:rPr>
              <w:t>الذكور</w:t>
            </w:r>
          </w:p>
        </w:tc>
        <w:tc>
          <w:tcPr>
            <w:tcW w:w="1047" w:type="dxa"/>
            <w:tcBorders>
              <w:top w:val="nil"/>
              <w:bottom w:val="single" w:sz="12" w:space="0" w:color="auto"/>
            </w:tcBorders>
            <w:shd w:val="clear" w:color="auto" w:fill="auto"/>
          </w:tcPr>
          <w:p w:rsidR="0004022E" w:rsidRPr="00731B9A" w:rsidRDefault="0004022E" w:rsidP="009A23B9">
            <w:pPr>
              <w:pStyle w:val="SingleTxtGA"/>
              <w:spacing w:after="0" w:line="280" w:lineRule="exact"/>
              <w:ind w:left="57" w:right="0"/>
              <w:jc w:val="left"/>
              <w:rPr>
                <w:b/>
                <w:i/>
                <w:iCs/>
                <w:sz w:val="26"/>
                <w:szCs w:val="26"/>
                <w:rtl/>
              </w:rPr>
            </w:pPr>
            <w:r>
              <w:rPr>
                <w:rFonts w:hint="cs"/>
                <w:b/>
                <w:i/>
                <w:iCs/>
                <w:sz w:val="26"/>
                <w:szCs w:val="26"/>
                <w:rtl/>
              </w:rPr>
              <w:t>الإناث</w:t>
            </w:r>
          </w:p>
        </w:tc>
        <w:tc>
          <w:tcPr>
            <w:tcW w:w="967" w:type="dxa"/>
            <w:tcBorders>
              <w:top w:val="nil"/>
              <w:bottom w:val="single" w:sz="12" w:space="0" w:color="auto"/>
            </w:tcBorders>
            <w:shd w:val="clear" w:color="auto" w:fill="auto"/>
          </w:tcPr>
          <w:p w:rsidR="0004022E" w:rsidRPr="00731B9A" w:rsidRDefault="0004022E" w:rsidP="009A23B9">
            <w:pPr>
              <w:pStyle w:val="SingleTxtGA"/>
              <w:spacing w:after="0" w:line="280" w:lineRule="exact"/>
              <w:ind w:left="57" w:right="0"/>
              <w:jc w:val="left"/>
              <w:rPr>
                <w:b/>
                <w:i/>
                <w:iCs/>
                <w:sz w:val="26"/>
                <w:szCs w:val="26"/>
                <w:rtl/>
              </w:rPr>
            </w:pPr>
            <w:r>
              <w:rPr>
                <w:rFonts w:hint="cs"/>
                <w:b/>
                <w:i/>
                <w:iCs/>
                <w:sz w:val="26"/>
                <w:szCs w:val="26"/>
                <w:rtl/>
              </w:rPr>
              <w:t>المجموع</w:t>
            </w:r>
          </w:p>
        </w:tc>
      </w:tr>
      <w:tr w:rsidR="0004022E" w:rsidRPr="008B6013" w:rsidTr="0004022E">
        <w:tc>
          <w:tcPr>
            <w:tcW w:w="1572" w:type="dxa"/>
            <w:tcBorders>
              <w:top w:val="single" w:sz="12" w:space="0" w:color="auto"/>
            </w:tcBorders>
            <w:shd w:val="clear" w:color="auto" w:fill="auto"/>
          </w:tcPr>
          <w:p w:rsidR="0004022E" w:rsidRPr="00731B9A" w:rsidRDefault="0004022E" w:rsidP="009A23B9">
            <w:pPr>
              <w:pStyle w:val="SingleTxtGA"/>
              <w:spacing w:after="0" w:line="280" w:lineRule="exact"/>
              <w:ind w:left="57" w:right="0"/>
              <w:jc w:val="left"/>
              <w:rPr>
                <w:b/>
                <w:sz w:val="26"/>
                <w:szCs w:val="26"/>
                <w:rtl/>
              </w:rPr>
            </w:pPr>
            <w:r>
              <w:rPr>
                <w:rFonts w:hint="cs"/>
                <w:b/>
                <w:sz w:val="26"/>
                <w:szCs w:val="26"/>
                <w:rtl/>
              </w:rPr>
              <w:t>جوبا</w:t>
            </w:r>
          </w:p>
        </w:tc>
        <w:tc>
          <w:tcPr>
            <w:tcW w:w="873" w:type="dxa"/>
            <w:tcBorders>
              <w:top w:val="single" w:sz="12" w:space="0" w:color="auto"/>
            </w:tcBorders>
            <w:shd w:val="clear" w:color="auto" w:fill="auto"/>
          </w:tcPr>
          <w:p w:rsidR="0004022E" w:rsidRPr="001D35BD" w:rsidRDefault="0004022E" w:rsidP="009A23B9">
            <w:pPr>
              <w:pStyle w:val="SingleTxtG"/>
              <w:spacing w:before="40" w:after="40" w:line="280" w:lineRule="exact"/>
              <w:ind w:left="0" w:right="113"/>
              <w:jc w:val="right"/>
              <w:rPr>
                <w:rFonts w:ascii="Traditional Arabic" w:hAnsi="Traditional Arabic" w:cs="Traditional Arabic"/>
              </w:rPr>
            </w:pPr>
            <w:r w:rsidRPr="001D35BD">
              <w:rPr>
                <w:rFonts w:ascii="Traditional Arabic" w:hAnsi="Traditional Arabic" w:cs="Traditional Arabic"/>
              </w:rPr>
              <w:t>19</w:t>
            </w:r>
          </w:p>
        </w:tc>
        <w:tc>
          <w:tcPr>
            <w:tcW w:w="1068" w:type="dxa"/>
            <w:tcBorders>
              <w:top w:val="single" w:sz="12" w:space="0" w:color="auto"/>
            </w:tcBorders>
            <w:shd w:val="clear" w:color="auto" w:fill="auto"/>
          </w:tcPr>
          <w:p w:rsidR="0004022E" w:rsidRPr="001D35BD" w:rsidRDefault="0004022E" w:rsidP="009A23B9">
            <w:pPr>
              <w:pStyle w:val="SingleTxtG"/>
              <w:spacing w:before="40" w:after="40" w:line="280" w:lineRule="exact"/>
              <w:ind w:left="0" w:right="113"/>
              <w:jc w:val="right"/>
              <w:rPr>
                <w:rFonts w:ascii="Traditional Arabic" w:hAnsi="Traditional Arabic" w:cs="Traditional Arabic"/>
              </w:rPr>
            </w:pPr>
            <w:r w:rsidRPr="001D35BD">
              <w:rPr>
                <w:rFonts w:ascii="Traditional Arabic" w:hAnsi="Traditional Arabic" w:cs="Traditional Arabic"/>
              </w:rPr>
              <w:t>7</w:t>
            </w:r>
          </w:p>
        </w:tc>
        <w:tc>
          <w:tcPr>
            <w:tcW w:w="984" w:type="dxa"/>
            <w:tcBorders>
              <w:top w:val="single" w:sz="12" w:space="0" w:color="auto"/>
            </w:tcBorders>
            <w:shd w:val="clear" w:color="auto" w:fill="auto"/>
          </w:tcPr>
          <w:p w:rsidR="0004022E" w:rsidRPr="001D35BD" w:rsidRDefault="0004022E" w:rsidP="009A23B9">
            <w:pPr>
              <w:pStyle w:val="SingleTxtG"/>
              <w:spacing w:before="40" w:after="40" w:line="280" w:lineRule="exact"/>
              <w:ind w:left="0" w:right="113"/>
              <w:jc w:val="right"/>
              <w:rPr>
                <w:rFonts w:ascii="Traditional Arabic" w:hAnsi="Traditional Arabic" w:cs="Traditional Arabic"/>
              </w:rPr>
            </w:pPr>
            <w:r w:rsidRPr="001D35BD">
              <w:rPr>
                <w:rFonts w:ascii="Traditional Arabic" w:hAnsi="Traditional Arabic" w:cs="Traditional Arabic"/>
              </w:rPr>
              <w:t>26</w:t>
            </w:r>
          </w:p>
        </w:tc>
        <w:tc>
          <w:tcPr>
            <w:tcW w:w="859" w:type="dxa"/>
            <w:tcBorders>
              <w:top w:val="single" w:sz="12" w:space="0" w:color="auto"/>
            </w:tcBorders>
            <w:shd w:val="clear" w:color="auto" w:fill="auto"/>
          </w:tcPr>
          <w:p w:rsidR="0004022E" w:rsidRPr="001D35BD" w:rsidRDefault="0004022E" w:rsidP="009A23B9">
            <w:pPr>
              <w:pStyle w:val="SingleTxtG"/>
              <w:spacing w:before="40" w:after="40" w:line="280" w:lineRule="exact"/>
              <w:ind w:left="0" w:right="113"/>
              <w:jc w:val="right"/>
              <w:rPr>
                <w:rFonts w:ascii="Traditional Arabic" w:hAnsi="Traditional Arabic" w:cs="Traditional Arabic"/>
              </w:rPr>
            </w:pPr>
            <w:r w:rsidRPr="001D35BD">
              <w:rPr>
                <w:rFonts w:ascii="Traditional Arabic" w:hAnsi="Traditional Arabic" w:cs="Traditional Arabic"/>
              </w:rPr>
              <w:t>13</w:t>
            </w:r>
          </w:p>
        </w:tc>
        <w:tc>
          <w:tcPr>
            <w:tcW w:w="1047" w:type="dxa"/>
            <w:tcBorders>
              <w:top w:val="single" w:sz="12" w:space="0" w:color="auto"/>
            </w:tcBorders>
            <w:shd w:val="clear" w:color="auto" w:fill="auto"/>
          </w:tcPr>
          <w:p w:rsidR="0004022E" w:rsidRPr="001D35BD" w:rsidRDefault="0004022E" w:rsidP="009A23B9">
            <w:pPr>
              <w:pStyle w:val="SingleTxtG"/>
              <w:spacing w:before="40" w:after="40" w:line="280" w:lineRule="exact"/>
              <w:ind w:left="0" w:right="113"/>
              <w:jc w:val="right"/>
              <w:rPr>
                <w:rFonts w:ascii="Traditional Arabic" w:hAnsi="Traditional Arabic" w:cs="Traditional Arabic"/>
              </w:rPr>
            </w:pPr>
            <w:r w:rsidRPr="001D35BD">
              <w:rPr>
                <w:rFonts w:ascii="Traditional Arabic" w:hAnsi="Traditional Arabic" w:cs="Traditional Arabic"/>
              </w:rPr>
              <w:t>12</w:t>
            </w:r>
          </w:p>
        </w:tc>
        <w:tc>
          <w:tcPr>
            <w:tcW w:w="967" w:type="dxa"/>
            <w:tcBorders>
              <w:top w:val="single" w:sz="12" w:space="0" w:color="auto"/>
            </w:tcBorders>
            <w:shd w:val="clear" w:color="auto" w:fill="auto"/>
          </w:tcPr>
          <w:p w:rsidR="0004022E" w:rsidRPr="001D35BD" w:rsidRDefault="0004022E" w:rsidP="009A23B9">
            <w:pPr>
              <w:pStyle w:val="SingleTxtG"/>
              <w:spacing w:before="40" w:after="40" w:line="280" w:lineRule="exact"/>
              <w:ind w:left="0" w:right="113"/>
              <w:jc w:val="right"/>
              <w:rPr>
                <w:rFonts w:ascii="Traditional Arabic" w:hAnsi="Traditional Arabic" w:cs="Traditional Arabic"/>
              </w:rPr>
            </w:pPr>
            <w:r w:rsidRPr="001D35BD">
              <w:rPr>
                <w:rFonts w:ascii="Traditional Arabic" w:hAnsi="Traditional Arabic" w:cs="Traditional Arabic"/>
              </w:rPr>
              <w:t>25</w:t>
            </w:r>
          </w:p>
        </w:tc>
      </w:tr>
      <w:tr w:rsidR="0004022E" w:rsidRPr="008B6013" w:rsidTr="0004022E">
        <w:tc>
          <w:tcPr>
            <w:tcW w:w="1572" w:type="dxa"/>
            <w:shd w:val="clear" w:color="auto" w:fill="auto"/>
          </w:tcPr>
          <w:p w:rsidR="0004022E" w:rsidRPr="00731B9A" w:rsidRDefault="0004022E" w:rsidP="009A23B9">
            <w:pPr>
              <w:pStyle w:val="SingleTxtGA"/>
              <w:spacing w:after="0" w:line="280" w:lineRule="exact"/>
              <w:ind w:left="57" w:right="0"/>
              <w:jc w:val="left"/>
              <w:rPr>
                <w:b/>
                <w:sz w:val="26"/>
                <w:szCs w:val="26"/>
                <w:rtl/>
              </w:rPr>
            </w:pPr>
            <w:proofErr w:type="spellStart"/>
            <w:r>
              <w:rPr>
                <w:rFonts w:hint="cs"/>
                <w:b/>
                <w:sz w:val="26"/>
                <w:szCs w:val="26"/>
                <w:rtl/>
              </w:rPr>
              <w:t>يامبيو</w:t>
            </w:r>
            <w:proofErr w:type="spellEnd"/>
          </w:p>
        </w:tc>
        <w:tc>
          <w:tcPr>
            <w:tcW w:w="873" w:type="dxa"/>
            <w:shd w:val="clear" w:color="auto" w:fill="auto"/>
          </w:tcPr>
          <w:p w:rsidR="0004022E" w:rsidRPr="001D35BD" w:rsidRDefault="0004022E" w:rsidP="009A23B9">
            <w:pPr>
              <w:pStyle w:val="SingleTxtG"/>
              <w:spacing w:before="40" w:after="40" w:line="280" w:lineRule="exact"/>
              <w:ind w:left="0" w:right="113"/>
              <w:jc w:val="right"/>
              <w:rPr>
                <w:rFonts w:ascii="Traditional Arabic" w:hAnsi="Traditional Arabic" w:cs="Traditional Arabic"/>
              </w:rPr>
            </w:pPr>
            <w:r w:rsidRPr="001D35BD">
              <w:rPr>
                <w:rFonts w:ascii="Traditional Arabic" w:hAnsi="Traditional Arabic" w:cs="Traditional Arabic"/>
              </w:rPr>
              <w:t>14</w:t>
            </w:r>
          </w:p>
        </w:tc>
        <w:tc>
          <w:tcPr>
            <w:tcW w:w="1068" w:type="dxa"/>
            <w:shd w:val="clear" w:color="auto" w:fill="auto"/>
          </w:tcPr>
          <w:p w:rsidR="0004022E" w:rsidRPr="001D35BD" w:rsidRDefault="0004022E" w:rsidP="009A23B9">
            <w:pPr>
              <w:pStyle w:val="SingleTxtG"/>
              <w:spacing w:before="40" w:after="40" w:line="280" w:lineRule="exact"/>
              <w:ind w:left="0" w:right="113"/>
              <w:jc w:val="right"/>
              <w:rPr>
                <w:rFonts w:ascii="Traditional Arabic" w:hAnsi="Traditional Arabic" w:cs="Traditional Arabic"/>
              </w:rPr>
            </w:pPr>
            <w:r w:rsidRPr="001D35BD">
              <w:rPr>
                <w:rFonts w:ascii="Traditional Arabic" w:hAnsi="Traditional Arabic" w:cs="Traditional Arabic"/>
              </w:rPr>
              <w:t>16</w:t>
            </w:r>
          </w:p>
        </w:tc>
        <w:tc>
          <w:tcPr>
            <w:tcW w:w="984" w:type="dxa"/>
            <w:shd w:val="clear" w:color="auto" w:fill="auto"/>
          </w:tcPr>
          <w:p w:rsidR="0004022E" w:rsidRPr="001D35BD" w:rsidRDefault="0004022E" w:rsidP="009A23B9">
            <w:pPr>
              <w:pStyle w:val="SingleTxtG"/>
              <w:spacing w:before="40" w:after="40" w:line="280" w:lineRule="exact"/>
              <w:ind w:left="0" w:right="113"/>
              <w:jc w:val="right"/>
              <w:rPr>
                <w:rFonts w:ascii="Traditional Arabic" w:hAnsi="Traditional Arabic" w:cs="Traditional Arabic"/>
              </w:rPr>
            </w:pPr>
            <w:r w:rsidRPr="001D35BD">
              <w:rPr>
                <w:rFonts w:ascii="Traditional Arabic" w:hAnsi="Traditional Arabic" w:cs="Traditional Arabic"/>
              </w:rPr>
              <w:t>30</w:t>
            </w:r>
          </w:p>
        </w:tc>
        <w:tc>
          <w:tcPr>
            <w:tcW w:w="859" w:type="dxa"/>
            <w:shd w:val="clear" w:color="auto" w:fill="auto"/>
          </w:tcPr>
          <w:p w:rsidR="0004022E" w:rsidRPr="001D35BD" w:rsidRDefault="0004022E" w:rsidP="009A23B9">
            <w:pPr>
              <w:pStyle w:val="SingleTxtG"/>
              <w:spacing w:before="40" w:after="40" w:line="280" w:lineRule="exact"/>
              <w:ind w:left="0" w:right="113"/>
              <w:jc w:val="right"/>
              <w:rPr>
                <w:rFonts w:ascii="Traditional Arabic" w:hAnsi="Traditional Arabic" w:cs="Traditional Arabic"/>
              </w:rPr>
            </w:pPr>
            <w:r w:rsidRPr="001D35BD">
              <w:rPr>
                <w:rFonts w:ascii="Traditional Arabic" w:hAnsi="Traditional Arabic" w:cs="Traditional Arabic"/>
              </w:rPr>
              <w:t>19</w:t>
            </w:r>
          </w:p>
        </w:tc>
        <w:tc>
          <w:tcPr>
            <w:tcW w:w="1047" w:type="dxa"/>
            <w:shd w:val="clear" w:color="auto" w:fill="auto"/>
          </w:tcPr>
          <w:p w:rsidR="0004022E" w:rsidRPr="001D35BD" w:rsidRDefault="0004022E" w:rsidP="009A23B9">
            <w:pPr>
              <w:pStyle w:val="SingleTxtG"/>
              <w:spacing w:before="40" w:after="40" w:line="280" w:lineRule="exact"/>
              <w:ind w:left="0" w:right="113"/>
              <w:jc w:val="right"/>
              <w:rPr>
                <w:rFonts w:ascii="Traditional Arabic" w:hAnsi="Traditional Arabic" w:cs="Traditional Arabic"/>
              </w:rPr>
            </w:pPr>
            <w:r w:rsidRPr="001D35BD">
              <w:rPr>
                <w:rFonts w:ascii="Traditional Arabic" w:hAnsi="Traditional Arabic" w:cs="Traditional Arabic"/>
              </w:rPr>
              <w:t>13</w:t>
            </w:r>
          </w:p>
        </w:tc>
        <w:tc>
          <w:tcPr>
            <w:tcW w:w="967" w:type="dxa"/>
            <w:shd w:val="clear" w:color="auto" w:fill="auto"/>
          </w:tcPr>
          <w:p w:rsidR="0004022E" w:rsidRPr="001D35BD" w:rsidRDefault="0004022E" w:rsidP="009A23B9">
            <w:pPr>
              <w:pStyle w:val="SingleTxtG"/>
              <w:spacing w:before="40" w:after="40" w:line="280" w:lineRule="exact"/>
              <w:ind w:left="0" w:right="113"/>
              <w:jc w:val="right"/>
              <w:rPr>
                <w:rFonts w:ascii="Traditional Arabic" w:hAnsi="Traditional Arabic" w:cs="Traditional Arabic"/>
              </w:rPr>
            </w:pPr>
            <w:r w:rsidRPr="001D35BD">
              <w:rPr>
                <w:rFonts w:ascii="Traditional Arabic" w:hAnsi="Traditional Arabic" w:cs="Traditional Arabic"/>
              </w:rPr>
              <w:t>32</w:t>
            </w:r>
          </w:p>
        </w:tc>
      </w:tr>
      <w:tr w:rsidR="0004022E" w:rsidRPr="008B6013" w:rsidTr="0004022E">
        <w:tc>
          <w:tcPr>
            <w:tcW w:w="1572" w:type="dxa"/>
            <w:shd w:val="clear" w:color="auto" w:fill="auto"/>
          </w:tcPr>
          <w:p w:rsidR="0004022E" w:rsidRPr="00731B9A" w:rsidRDefault="0004022E" w:rsidP="009A23B9">
            <w:pPr>
              <w:pStyle w:val="SingleTxtGA"/>
              <w:spacing w:after="0" w:line="280" w:lineRule="exact"/>
              <w:ind w:left="57" w:right="0"/>
              <w:jc w:val="left"/>
              <w:rPr>
                <w:b/>
                <w:sz w:val="26"/>
                <w:szCs w:val="26"/>
                <w:rtl/>
              </w:rPr>
            </w:pPr>
            <w:r>
              <w:rPr>
                <w:rFonts w:hint="cs"/>
                <w:b/>
                <w:sz w:val="26"/>
                <w:szCs w:val="26"/>
                <w:rtl/>
              </w:rPr>
              <w:t>توريت</w:t>
            </w:r>
          </w:p>
        </w:tc>
        <w:tc>
          <w:tcPr>
            <w:tcW w:w="873" w:type="dxa"/>
            <w:shd w:val="clear" w:color="auto" w:fill="auto"/>
          </w:tcPr>
          <w:p w:rsidR="0004022E" w:rsidRPr="001D35BD" w:rsidRDefault="0004022E" w:rsidP="009A23B9">
            <w:pPr>
              <w:pStyle w:val="SingleTxtG"/>
              <w:spacing w:before="40" w:after="40" w:line="280" w:lineRule="exact"/>
              <w:ind w:left="0" w:right="113"/>
              <w:jc w:val="right"/>
              <w:rPr>
                <w:rFonts w:ascii="Traditional Arabic" w:hAnsi="Traditional Arabic" w:cs="Traditional Arabic"/>
              </w:rPr>
            </w:pPr>
            <w:r w:rsidRPr="001D35BD">
              <w:rPr>
                <w:rFonts w:ascii="Traditional Arabic" w:hAnsi="Traditional Arabic" w:cs="Traditional Arabic"/>
              </w:rPr>
              <w:t>28</w:t>
            </w:r>
          </w:p>
        </w:tc>
        <w:tc>
          <w:tcPr>
            <w:tcW w:w="1068" w:type="dxa"/>
            <w:shd w:val="clear" w:color="auto" w:fill="auto"/>
          </w:tcPr>
          <w:p w:rsidR="0004022E" w:rsidRPr="001D35BD" w:rsidRDefault="0004022E" w:rsidP="009A23B9">
            <w:pPr>
              <w:pStyle w:val="SingleTxtG"/>
              <w:spacing w:before="40" w:after="40" w:line="280" w:lineRule="exact"/>
              <w:ind w:left="0" w:right="113"/>
              <w:jc w:val="right"/>
              <w:rPr>
                <w:rFonts w:ascii="Traditional Arabic" w:hAnsi="Traditional Arabic" w:cs="Traditional Arabic"/>
              </w:rPr>
            </w:pPr>
            <w:r w:rsidRPr="001D35BD">
              <w:rPr>
                <w:rFonts w:ascii="Traditional Arabic" w:hAnsi="Traditional Arabic" w:cs="Traditional Arabic"/>
              </w:rPr>
              <w:t>15</w:t>
            </w:r>
          </w:p>
        </w:tc>
        <w:tc>
          <w:tcPr>
            <w:tcW w:w="984" w:type="dxa"/>
            <w:shd w:val="clear" w:color="auto" w:fill="auto"/>
          </w:tcPr>
          <w:p w:rsidR="0004022E" w:rsidRPr="001D35BD" w:rsidRDefault="0004022E" w:rsidP="009A23B9">
            <w:pPr>
              <w:pStyle w:val="SingleTxtG"/>
              <w:spacing w:before="40" w:after="40" w:line="280" w:lineRule="exact"/>
              <w:ind w:left="0" w:right="113"/>
              <w:jc w:val="right"/>
              <w:rPr>
                <w:rFonts w:ascii="Traditional Arabic" w:hAnsi="Traditional Arabic" w:cs="Traditional Arabic"/>
              </w:rPr>
            </w:pPr>
            <w:r w:rsidRPr="001D35BD">
              <w:rPr>
                <w:rFonts w:ascii="Traditional Arabic" w:hAnsi="Traditional Arabic" w:cs="Traditional Arabic"/>
              </w:rPr>
              <w:t>43</w:t>
            </w:r>
          </w:p>
        </w:tc>
        <w:tc>
          <w:tcPr>
            <w:tcW w:w="859" w:type="dxa"/>
            <w:shd w:val="clear" w:color="auto" w:fill="auto"/>
          </w:tcPr>
          <w:p w:rsidR="0004022E" w:rsidRPr="001D35BD" w:rsidRDefault="0004022E" w:rsidP="009A23B9">
            <w:pPr>
              <w:pStyle w:val="SingleTxtG"/>
              <w:spacing w:before="40" w:after="40" w:line="280" w:lineRule="exact"/>
              <w:ind w:left="0" w:right="113"/>
              <w:jc w:val="right"/>
              <w:rPr>
                <w:rFonts w:ascii="Traditional Arabic" w:hAnsi="Traditional Arabic" w:cs="Traditional Arabic"/>
              </w:rPr>
            </w:pPr>
            <w:r w:rsidRPr="001D35BD">
              <w:rPr>
                <w:rFonts w:ascii="Traditional Arabic" w:hAnsi="Traditional Arabic" w:cs="Traditional Arabic"/>
              </w:rPr>
              <w:t>16</w:t>
            </w:r>
          </w:p>
        </w:tc>
        <w:tc>
          <w:tcPr>
            <w:tcW w:w="1047" w:type="dxa"/>
            <w:shd w:val="clear" w:color="auto" w:fill="auto"/>
          </w:tcPr>
          <w:p w:rsidR="0004022E" w:rsidRPr="001D35BD" w:rsidRDefault="0004022E" w:rsidP="009A23B9">
            <w:pPr>
              <w:pStyle w:val="SingleTxtG"/>
              <w:spacing w:before="40" w:after="40" w:line="280" w:lineRule="exact"/>
              <w:ind w:left="0" w:right="113"/>
              <w:jc w:val="right"/>
              <w:rPr>
                <w:rFonts w:ascii="Traditional Arabic" w:hAnsi="Traditional Arabic" w:cs="Traditional Arabic"/>
              </w:rPr>
            </w:pPr>
            <w:r w:rsidRPr="001D35BD">
              <w:rPr>
                <w:rFonts w:ascii="Traditional Arabic" w:hAnsi="Traditional Arabic" w:cs="Traditional Arabic"/>
              </w:rPr>
              <w:t>14</w:t>
            </w:r>
          </w:p>
        </w:tc>
        <w:tc>
          <w:tcPr>
            <w:tcW w:w="967" w:type="dxa"/>
            <w:shd w:val="clear" w:color="auto" w:fill="auto"/>
          </w:tcPr>
          <w:p w:rsidR="0004022E" w:rsidRPr="001D35BD" w:rsidRDefault="0004022E" w:rsidP="009A23B9">
            <w:pPr>
              <w:pStyle w:val="SingleTxtG"/>
              <w:spacing w:before="40" w:after="40" w:line="280" w:lineRule="exact"/>
              <w:ind w:left="0" w:right="113"/>
              <w:jc w:val="right"/>
              <w:rPr>
                <w:rFonts w:ascii="Traditional Arabic" w:hAnsi="Traditional Arabic" w:cs="Traditional Arabic"/>
              </w:rPr>
            </w:pPr>
            <w:r w:rsidRPr="001D35BD">
              <w:rPr>
                <w:rFonts w:ascii="Traditional Arabic" w:hAnsi="Traditional Arabic" w:cs="Traditional Arabic"/>
              </w:rPr>
              <w:t>30</w:t>
            </w:r>
          </w:p>
        </w:tc>
      </w:tr>
      <w:tr w:rsidR="0004022E" w:rsidRPr="008B6013" w:rsidTr="0004022E">
        <w:tc>
          <w:tcPr>
            <w:tcW w:w="1572" w:type="dxa"/>
            <w:shd w:val="clear" w:color="auto" w:fill="auto"/>
          </w:tcPr>
          <w:p w:rsidR="0004022E" w:rsidRPr="00731B9A" w:rsidRDefault="0004022E" w:rsidP="009A23B9">
            <w:pPr>
              <w:pStyle w:val="SingleTxtGA"/>
              <w:spacing w:after="0" w:line="280" w:lineRule="exact"/>
              <w:ind w:left="57" w:right="0"/>
              <w:jc w:val="left"/>
              <w:rPr>
                <w:b/>
                <w:sz w:val="26"/>
                <w:szCs w:val="26"/>
                <w:rtl/>
              </w:rPr>
            </w:pPr>
            <w:r>
              <w:rPr>
                <w:rFonts w:hint="cs"/>
                <w:b/>
                <w:sz w:val="26"/>
                <w:szCs w:val="26"/>
                <w:rtl/>
              </w:rPr>
              <w:t>واو</w:t>
            </w:r>
          </w:p>
        </w:tc>
        <w:tc>
          <w:tcPr>
            <w:tcW w:w="873" w:type="dxa"/>
            <w:shd w:val="clear" w:color="auto" w:fill="auto"/>
          </w:tcPr>
          <w:p w:rsidR="0004022E" w:rsidRPr="001D35BD" w:rsidRDefault="0004022E" w:rsidP="009A23B9">
            <w:pPr>
              <w:pStyle w:val="SingleTxtG"/>
              <w:spacing w:before="40" w:after="40" w:line="280" w:lineRule="exact"/>
              <w:ind w:left="0" w:right="113"/>
              <w:jc w:val="right"/>
              <w:rPr>
                <w:rFonts w:ascii="Traditional Arabic" w:hAnsi="Traditional Arabic" w:cs="Traditional Arabic"/>
              </w:rPr>
            </w:pPr>
            <w:r w:rsidRPr="001D35BD">
              <w:rPr>
                <w:rFonts w:ascii="Traditional Arabic" w:hAnsi="Traditional Arabic" w:cs="Traditional Arabic"/>
              </w:rPr>
              <w:t>15</w:t>
            </w:r>
          </w:p>
        </w:tc>
        <w:tc>
          <w:tcPr>
            <w:tcW w:w="1068" w:type="dxa"/>
            <w:shd w:val="clear" w:color="auto" w:fill="auto"/>
          </w:tcPr>
          <w:p w:rsidR="0004022E" w:rsidRPr="001D35BD" w:rsidRDefault="0004022E" w:rsidP="009A23B9">
            <w:pPr>
              <w:pStyle w:val="SingleTxtG"/>
              <w:spacing w:before="40" w:after="40" w:line="280" w:lineRule="exact"/>
              <w:ind w:left="0" w:right="113"/>
              <w:jc w:val="right"/>
              <w:rPr>
                <w:rFonts w:ascii="Traditional Arabic" w:hAnsi="Traditional Arabic" w:cs="Traditional Arabic"/>
              </w:rPr>
            </w:pPr>
            <w:r w:rsidRPr="001D35BD">
              <w:rPr>
                <w:rFonts w:ascii="Traditional Arabic" w:hAnsi="Traditional Arabic" w:cs="Traditional Arabic"/>
              </w:rPr>
              <w:t>15</w:t>
            </w:r>
          </w:p>
        </w:tc>
        <w:tc>
          <w:tcPr>
            <w:tcW w:w="984" w:type="dxa"/>
            <w:shd w:val="clear" w:color="auto" w:fill="auto"/>
          </w:tcPr>
          <w:p w:rsidR="0004022E" w:rsidRPr="001D35BD" w:rsidRDefault="0004022E" w:rsidP="009A23B9">
            <w:pPr>
              <w:pStyle w:val="SingleTxtG"/>
              <w:spacing w:before="40" w:after="40" w:line="280" w:lineRule="exact"/>
              <w:ind w:left="0" w:right="113"/>
              <w:jc w:val="right"/>
              <w:rPr>
                <w:rFonts w:ascii="Traditional Arabic" w:hAnsi="Traditional Arabic" w:cs="Traditional Arabic"/>
              </w:rPr>
            </w:pPr>
            <w:r w:rsidRPr="001D35BD">
              <w:rPr>
                <w:rFonts w:ascii="Traditional Arabic" w:hAnsi="Traditional Arabic" w:cs="Traditional Arabic"/>
              </w:rPr>
              <w:t>30</w:t>
            </w:r>
          </w:p>
        </w:tc>
        <w:tc>
          <w:tcPr>
            <w:tcW w:w="859" w:type="dxa"/>
            <w:shd w:val="clear" w:color="auto" w:fill="auto"/>
          </w:tcPr>
          <w:p w:rsidR="0004022E" w:rsidRPr="001D35BD" w:rsidRDefault="0004022E" w:rsidP="009A23B9">
            <w:pPr>
              <w:pStyle w:val="SingleTxtG"/>
              <w:spacing w:before="40" w:after="40" w:line="280" w:lineRule="exact"/>
              <w:ind w:left="0" w:right="113"/>
              <w:jc w:val="right"/>
              <w:rPr>
                <w:rFonts w:ascii="Traditional Arabic" w:hAnsi="Traditional Arabic" w:cs="Traditional Arabic"/>
              </w:rPr>
            </w:pPr>
            <w:r w:rsidRPr="001D35BD">
              <w:rPr>
                <w:rFonts w:ascii="Traditional Arabic" w:hAnsi="Traditional Arabic" w:cs="Traditional Arabic"/>
              </w:rPr>
              <w:t>13</w:t>
            </w:r>
          </w:p>
        </w:tc>
        <w:tc>
          <w:tcPr>
            <w:tcW w:w="1047" w:type="dxa"/>
            <w:shd w:val="clear" w:color="auto" w:fill="auto"/>
          </w:tcPr>
          <w:p w:rsidR="0004022E" w:rsidRPr="001D35BD" w:rsidRDefault="0004022E" w:rsidP="009A23B9">
            <w:pPr>
              <w:pStyle w:val="SingleTxtG"/>
              <w:spacing w:before="40" w:after="40" w:line="280" w:lineRule="exact"/>
              <w:ind w:left="0" w:right="113"/>
              <w:jc w:val="right"/>
              <w:rPr>
                <w:rFonts w:ascii="Traditional Arabic" w:hAnsi="Traditional Arabic" w:cs="Traditional Arabic"/>
              </w:rPr>
            </w:pPr>
            <w:r w:rsidRPr="001D35BD">
              <w:rPr>
                <w:rFonts w:ascii="Traditional Arabic" w:hAnsi="Traditional Arabic" w:cs="Traditional Arabic"/>
              </w:rPr>
              <w:t>17</w:t>
            </w:r>
          </w:p>
        </w:tc>
        <w:tc>
          <w:tcPr>
            <w:tcW w:w="967" w:type="dxa"/>
            <w:shd w:val="clear" w:color="auto" w:fill="auto"/>
          </w:tcPr>
          <w:p w:rsidR="0004022E" w:rsidRPr="001D35BD" w:rsidRDefault="0004022E" w:rsidP="009A23B9">
            <w:pPr>
              <w:pStyle w:val="SingleTxtG"/>
              <w:spacing w:before="40" w:after="40" w:line="280" w:lineRule="exact"/>
              <w:ind w:left="0" w:right="113"/>
              <w:jc w:val="right"/>
              <w:rPr>
                <w:rFonts w:ascii="Traditional Arabic" w:hAnsi="Traditional Arabic" w:cs="Traditional Arabic"/>
              </w:rPr>
            </w:pPr>
            <w:r w:rsidRPr="001D35BD">
              <w:rPr>
                <w:rFonts w:ascii="Traditional Arabic" w:hAnsi="Traditional Arabic" w:cs="Traditional Arabic"/>
              </w:rPr>
              <w:t>30</w:t>
            </w:r>
          </w:p>
        </w:tc>
      </w:tr>
      <w:tr w:rsidR="0004022E" w:rsidRPr="008B6013" w:rsidTr="0004022E">
        <w:tc>
          <w:tcPr>
            <w:tcW w:w="1572" w:type="dxa"/>
            <w:shd w:val="clear" w:color="auto" w:fill="auto"/>
          </w:tcPr>
          <w:p w:rsidR="0004022E" w:rsidRPr="00731B9A" w:rsidRDefault="0004022E" w:rsidP="009A23B9">
            <w:pPr>
              <w:pStyle w:val="SingleTxtGA"/>
              <w:spacing w:after="0" w:line="280" w:lineRule="exact"/>
              <w:ind w:left="57" w:right="0"/>
              <w:jc w:val="left"/>
              <w:rPr>
                <w:b/>
                <w:sz w:val="26"/>
                <w:szCs w:val="26"/>
                <w:rtl/>
              </w:rPr>
            </w:pPr>
            <w:r>
              <w:rPr>
                <w:rFonts w:hint="cs"/>
                <w:b/>
                <w:sz w:val="26"/>
                <w:szCs w:val="26"/>
                <w:rtl/>
              </w:rPr>
              <w:t>أويل</w:t>
            </w:r>
          </w:p>
        </w:tc>
        <w:tc>
          <w:tcPr>
            <w:tcW w:w="873" w:type="dxa"/>
            <w:shd w:val="clear" w:color="auto" w:fill="auto"/>
          </w:tcPr>
          <w:p w:rsidR="0004022E" w:rsidRPr="001D35BD" w:rsidRDefault="0004022E" w:rsidP="009A23B9">
            <w:pPr>
              <w:pStyle w:val="SingleTxtG"/>
              <w:spacing w:before="40" w:after="40" w:line="280" w:lineRule="exact"/>
              <w:ind w:left="0" w:right="113"/>
              <w:jc w:val="right"/>
              <w:rPr>
                <w:rFonts w:ascii="Traditional Arabic" w:hAnsi="Traditional Arabic" w:cs="Traditional Arabic"/>
              </w:rPr>
            </w:pPr>
            <w:r w:rsidRPr="001D35BD">
              <w:rPr>
                <w:rFonts w:ascii="Traditional Arabic" w:hAnsi="Traditional Arabic" w:cs="Traditional Arabic"/>
              </w:rPr>
              <w:t>25</w:t>
            </w:r>
          </w:p>
        </w:tc>
        <w:tc>
          <w:tcPr>
            <w:tcW w:w="1068" w:type="dxa"/>
            <w:shd w:val="clear" w:color="auto" w:fill="auto"/>
          </w:tcPr>
          <w:p w:rsidR="0004022E" w:rsidRPr="001D35BD" w:rsidRDefault="0004022E" w:rsidP="009A23B9">
            <w:pPr>
              <w:pStyle w:val="SingleTxtG"/>
              <w:spacing w:before="40" w:after="40" w:line="280" w:lineRule="exact"/>
              <w:ind w:left="0" w:right="113"/>
              <w:jc w:val="right"/>
              <w:rPr>
                <w:rFonts w:ascii="Traditional Arabic" w:hAnsi="Traditional Arabic" w:cs="Traditional Arabic"/>
              </w:rPr>
            </w:pPr>
            <w:r w:rsidRPr="001D35BD">
              <w:rPr>
                <w:rFonts w:ascii="Traditional Arabic" w:hAnsi="Traditional Arabic" w:cs="Traditional Arabic"/>
              </w:rPr>
              <w:t>5</w:t>
            </w:r>
          </w:p>
        </w:tc>
        <w:tc>
          <w:tcPr>
            <w:tcW w:w="984" w:type="dxa"/>
            <w:shd w:val="clear" w:color="auto" w:fill="auto"/>
          </w:tcPr>
          <w:p w:rsidR="0004022E" w:rsidRPr="001D35BD" w:rsidRDefault="0004022E" w:rsidP="009A23B9">
            <w:pPr>
              <w:pStyle w:val="SingleTxtG"/>
              <w:spacing w:before="40" w:after="40" w:line="280" w:lineRule="exact"/>
              <w:ind w:left="0" w:right="113"/>
              <w:jc w:val="right"/>
              <w:rPr>
                <w:rFonts w:ascii="Traditional Arabic" w:hAnsi="Traditional Arabic" w:cs="Traditional Arabic"/>
              </w:rPr>
            </w:pPr>
            <w:r w:rsidRPr="001D35BD">
              <w:rPr>
                <w:rFonts w:ascii="Traditional Arabic" w:hAnsi="Traditional Arabic" w:cs="Traditional Arabic"/>
              </w:rPr>
              <w:t>30</w:t>
            </w:r>
          </w:p>
        </w:tc>
        <w:tc>
          <w:tcPr>
            <w:tcW w:w="859" w:type="dxa"/>
            <w:shd w:val="clear" w:color="auto" w:fill="auto"/>
          </w:tcPr>
          <w:p w:rsidR="0004022E" w:rsidRPr="001D35BD" w:rsidRDefault="0004022E" w:rsidP="009A23B9">
            <w:pPr>
              <w:pStyle w:val="SingleTxtG"/>
              <w:spacing w:before="40" w:after="40" w:line="280" w:lineRule="exact"/>
              <w:ind w:left="0" w:right="113"/>
              <w:jc w:val="right"/>
              <w:rPr>
                <w:rFonts w:ascii="Traditional Arabic" w:hAnsi="Traditional Arabic" w:cs="Traditional Arabic"/>
              </w:rPr>
            </w:pPr>
            <w:r w:rsidRPr="001D35BD">
              <w:rPr>
                <w:rFonts w:ascii="Traditional Arabic" w:hAnsi="Traditional Arabic" w:cs="Traditional Arabic"/>
              </w:rPr>
              <w:t>21</w:t>
            </w:r>
          </w:p>
        </w:tc>
        <w:tc>
          <w:tcPr>
            <w:tcW w:w="1047" w:type="dxa"/>
            <w:shd w:val="clear" w:color="auto" w:fill="auto"/>
          </w:tcPr>
          <w:p w:rsidR="0004022E" w:rsidRPr="001D35BD" w:rsidRDefault="0004022E" w:rsidP="009A23B9">
            <w:pPr>
              <w:pStyle w:val="SingleTxtG"/>
              <w:spacing w:before="40" w:after="40" w:line="280" w:lineRule="exact"/>
              <w:ind w:left="0" w:right="113"/>
              <w:jc w:val="right"/>
              <w:rPr>
                <w:rFonts w:ascii="Traditional Arabic" w:hAnsi="Traditional Arabic" w:cs="Traditional Arabic"/>
              </w:rPr>
            </w:pPr>
            <w:r w:rsidRPr="001D35BD">
              <w:rPr>
                <w:rFonts w:ascii="Traditional Arabic" w:hAnsi="Traditional Arabic" w:cs="Traditional Arabic"/>
              </w:rPr>
              <w:t>9</w:t>
            </w:r>
          </w:p>
        </w:tc>
        <w:tc>
          <w:tcPr>
            <w:tcW w:w="967" w:type="dxa"/>
            <w:shd w:val="clear" w:color="auto" w:fill="auto"/>
          </w:tcPr>
          <w:p w:rsidR="0004022E" w:rsidRPr="001D35BD" w:rsidRDefault="0004022E" w:rsidP="009A23B9">
            <w:pPr>
              <w:pStyle w:val="SingleTxtG"/>
              <w:spacing w:before="40" w:after="40" w:line="280" w:lineRule="exact"/>
              <w:ind w:left="0" w:right="113"/>
              <w:jc w:val="right"/>
              <w:rPr>
                <w:rFonts w:ascii="Traditional Arabic" w:hAnsi="Traditional Arabic" w:cs="Traditional Arabic"/>
              </w:rPr>
            </w:pPr>
            <w:r w:rsidRPr="001D35BD">
              <w:rPr>
                <w:rFonts w:ascii="Traditional Arabic" w:hAnsi="Traditional Arabic" w:cs="Traditional Arabic"/>
              </w:rPr>
              <w:t>30</w:t>
            </w:r>
          </w:p>
        </w:tc>
      </w:tr>
      <w:tr w:rsidR="0004022E" w:rsidRPr="008B6013" w:rsidTr="0004022E">
        <w:tc>
          <w:tcPr>
            <w:tcW w:w="1572" w:type="dxa"/>
            <w:tcBorders>
              <w:bottom w:val="single" w:sz="4" w:space="0" w:color="auto"/>
            </w:tcBorders>
            <w:shd w:val="clear" w:color="auto" w:fill="auto"/>
          </w:tcPr>
          <w:p w:rsidR="0004022E" w:rsidRPr="00731B9A" w:rsidRDefault="0004022E" w:rsidP="009A23B9">
            <w:pPr>
              <w:pStyle w:val="SingleTxtGA"/>
              <w:spacing w:after="0" w:line="280" w:lineRule="exact"/>
              <w:ind w:left="57" w:right="0"/>
              <w:jc w:val="left"/>
              <w:rPr>
                <w:b/>
                <w:sz w:val="26"/>
                <w:szCs w:val="26"/>
                <w:rtl/>
              </w:rPr>
            </w:pPr>
            <w:proofErr w:type="spellStart"/>
            <w:r>
              <w:rPr>
                <w:rFonts w:hint="cs"/>
                <w:b/>
                <w:sz w:val="26"/>
                <w:szCs w:val="26"/>
                <w:rtl/>
              </w:rPr>
              <w:t>مِنكمان</w:t>
            </w:r>
            <w:proofErr w:type="spellEnd"/>
          </w:p>
        </w:tc>
        <w:tc>
          <w:tcPr>
            <w:tcW w:w="873" w:type="dxa"/>
            <w:tcBorders>
              <w:bottom w:val="single" w:sz="4" w:space="0" w:color="auto"/>
            </w:tcBorders>
            <w:shd w:val="clear" w:color="auto" w:fill="auto"/>
          </w:tcPr>
          <w:p w:rsidR="0004022E" w:rsidRPr="001D35BD" w:rsidRDefault="0004022E" w:rsidP="009A23B9">
            <w:pPr>
              <w:pStyle w:val="SingleTxtG"/>
              <w:spacing w:before="40" w:after="40" w:line="280" w:lineRule="exact"/>
              <w:ind w:left="0" w:right="113"/>
              <w:jc w:val="right"/>
              <w:rPr>
                <w:rFonts w:ascii="Traditional Arabic" w:hAnsi="Traditional Arabic" w:cs="Traditional Arabic"/>
              </w:rPr>
            </w:pPr>
            <w:r w:rsidRPr="001D35BD">
              <w:rPr>
                <w:rFonts w:ascii="Traditional Arabic" w:hAnsi="Traditional Arabic" w:cs="Traditional Arabic"/>
              </w:rPr>
              <w:t>15</w:t>
            </w:r>
          </w:p>
        </w:tc>
        <w:tc>
          <w:tcPr>
            <w:tcW w:w="1068" w:type="dxa"/>
            <w:tcBorders>
              <w:bottom w:val="single" w:sz="4" w:space="0" w:color="auto"/>
            </w:tcBorders>
            <w:shd w:val="clear" w:color="auto" w:fill="auto"/>
          </w:tcPr>
          <w:p w:rsidR="0004022E" w:rsidRPr="001D35BD" w:rsidRDefault="0004022E" w:rsidP="009A23B9">
            <w:pPr>
              <w:pStyle w:val="SingleTxtG"/>
              <w:spacing w:before="40" w:after="40" w:line="280" w:lineRule="exact"/>
              <w:ind w:left="0" w:right="113"/>
              <w:jc w:val="right"/>
              <w:rPr>
                <w:rFonts w:ascii="Traditional Arabic" w:hAnsi="Traditional Arabic" w:cs="Traditional Arabic"/>
              </w:rPr>
            </w:pPr>
            <w:r w:rsidRPr="001D35BD">
              <w:rPr>
                <w:rFonts w:ascii="Traditional Arabic" w:hAnsi="Traditional Arabic" w:cs="Traditional Arabic"/>
              </w:rPr>
              <w:t>19</w:t>
            </w:r>
          </w:p>
        </w:tc>
        <w:tc>
          <w:tcPr>
            <w:tcW w:w="984" w:type="dxa"/>
            <w:tcBorders>
              <w:bottom w:val="single" w:sz="4" w:space="0" w:color="auto"/>
            </w:tcBorders>
            <w:shd w:val="clear" w:color="auto" w:fill="auto"/>
          </w:tcPr>
          <w:p w:rsidR="0004022E" w:rsidRPr="001D35BD" w:rsidRDefault="0004022E" w:rsidP="009A23B9">
            <w:pPr>
              <w:pStyle w:val="SingleTxtG"/>
              <w:spacing w:before="40" w:after="40" w:line="280" w:lineRule="exact"/>
              <w:ind w:left="0" w:right="113"/>
              <w:jc w:val="right"/>
              <w:rPr>
                <w:rFonts w:ascii="Traditional Arabic" w:hAnsi="Traditional Arabic" w:cs="Traditional Arabic"/>
                <w:lang w:val="en-US"/>
              </w:rPr>
            </w:pPr>
            <w:r w:rsidRPr="001D35BD">
              <w:rPr>
                <w:rFonts w:ascii="Traditional Arabic" w:hAnsi="Traditional Arabic" w:cs="Traditional Arabic"/>
              </w:rPr>
              <w:t>34</w:t>
            </w:r>
          </w:p>
        </w:tc>
        <w:tc>
          <w:tcPr>
            <w:tcW w:w="859" w:type="dxa"/>
            <w:tcBorders>
              <w:bottom w:val="single" w:sz="4" w:space="0" w:color="auto"/>
            </w:tcBorders>
            <w:shd w:val="clear" w:color="auto" w:fill="auto"/>
          </w:tcPr>
          <w:p w:rsidR="0004022E" w:rsidRPr="001D35BD" w:rsidRDefault="0004022E" w:rsidP="009A23B9">
            <w:pPr>
              <w:pStyle w:val="SingleTxtG"/>
              <w:spacing w:before="40" w:after="40" w:line="280" w:lineRule="exact"/>
              <w:ind w:left="0" w:right="113"/>
              <w:jc w:val="right"/>
              <w:rPr>
                <w:rFonts w:ascii="Traditional Arabic" w:hAnsi="Traditional Arabic" w:cs="Traditional Arabic"/>
              </w:rPr>
            </w:pPr>
            <w:r w:rsidRPr="001D35BD">
              <w:rPr>
                <w:rFonts w:ascii="Traditional Arabic" w:hAnsi="Traditional Arabic" w:cs="Traditional Arabic"/>
                <w:rtl/>
              </w:rPr>
              <w:t>-</w:t>
            </w:r>
          </w:p>
        </w:tc>
        <w:tc>
          <w:tcPr>
            <w:tcW w:w="1047" w:type="dxa"/>
            <w:tcBorders>
              <w:bottom w:val="single" w:sz="4" w:space="0" w:color="auto"/>
            </w:tcBorders>
            <w:shd w:val="clear" w:color="auto" w:fill="auto"/>
          </w:tcPr>
          <w:p w:rsidR="0004022E" w:rsidRPr="001D35BD" w:rsidRDefault="0004022E" w:rsidP="009A23B9">
            <w:pPr>
              <w:pStyle w:val="SingleTxtG"/>
              <w:spacing w:before="40" w:after="40" w:line="280" w:lineRule="exact"/>
              <w:ind w:left="0" w:right="113"/>
              <w:jc w:val="right"/>
              <w:rPr>
                <w:rFonts w:ascii="Traditional Arabic" w:hAnsi="Traditional Arabic" w:cs="Traditional Arabic"/>
              </w:rPr>
            </w:pPr>
            <w:r w:rsidRPr="001D35BD">
              <w:rPr>
                <w:rFonts w:ascii="Traditional Arabic" w:hAnsi="Traditional Arabic" w:cs="Traditional Arabic"/>
                <w:rtl/>
              </w:rPr>
              <w:t>-</w:t>
            </w:r>
          </w:p>
        </w:tc>
        <w:tc>
          <w:tcPr>
            <w:tcW w:w="967" w:type="dxa"/>
            <w:tcBorders>
              <w:bottom w:val="single" w:sz="4" w:space="0" w:color="auto"/>
            </w:tcBorders>
            <w:shd w:val="clear" w:color="auto" w:fill="auto"/>
          </w:tcPr>
          <w:p w:rsidR="0004022E" w:rsidRPr="001D35BD" w:rsidRDefault="0004022E" w:rsidP="009A23B9">
            <w:pPr>
              <w:pStyle w:val="SingleTxtG"/>
              <w:spacing w:before="40" w:after="40" w:line="280" w:lineRule="exact"/>
              <w:ind w:left="0" w:right="113"/>
              <w:jc w:val="right"/>
              <w:rPr>
                <w:rFonts w:ascii="Traditional Arabic" w:hAnsi="Traditional Arabic" w:cs="Traditional Arabic"/>
              </w:rPr>
            </w:pPr>
            <w:r w:rsidRPr="001D35BD">
              <w:rPr>
                <w:rFonts w:ascii="Traditional Arabic" w:hAnsi="Traditional Arabic" w:cs="Traditional Arabic"/>
                <w:rtl/>
              </w:rPr>
              <w:t>-</w:t>
            </w:r>
          </w:p>
        </w:tc>
      </w:tr>
      <w:tr w:rsidR="0004022E" w:rsidRPr="006B2972" w:rsidTr="0004022E">
        <w:tc>
          <w:tcPr>
            <w:tcW w:w="1572" w:type="dxa"/>
            <w:tcBorders>
              <w:top w:val="single" w:sz="4" w:space="0" w:color="auto"/>
              <w:bottom w:val="single" w:sz="12" w:space="0" w:color="auto"/>
            </w:tcBorders>
            <w:shd w:val="clear" w:color="auto" w:fill="auto"/>
          </w:tcPr>
          <w:p w:rsidR="0004022E" w:rsidRPr="009329A0" w:rsidRDefault="0004022E" w:rsidP="009A23B9">
            <w:pPr>
              <w:pStyle w:val="SingleTxtGA"/>
              <w:spacing w:after="0" w:line="280" w:lineRule="exact"/>
              <w:ind w:left="0" w:right="0" w:firstLine="424"/>
              <w:jc w:val="left"/>
              <w:rPr>
                <w:bCs/>
                <w:sz w:val="26"/>
                <w:szCs w:val="26"/>
                <w:rtl/>
              </w:rPr>
            </w:pPr>
            <w:r w:rsidRPr="009329A0">
              <w:rPr>
                <w:rFonts w:hint="cs"/>
                <w:bCs/>
                <w:sz w:val="26"/>
                <w:szCs w:val="26"/>
                <w:rtl/>
              </w:rPr>
              <w:t>المجموع</w:t>
            </w:r>
          </w:p>
        </w:tc>
        <w:tc>
          <w:tcPr>
            <w:tcW w:w="873" w:type="dxa"/>
            <w:tcBorders>
              <w:top w:val="single" w:sz="4" w:space="0" w:color="auto"/>
              <w:bottom w:val="single" w:sz="12" w:space="0" w:color="auto"/>
            </w:tcBorders>
            <w:shd w:val="clear" w:color="auto" w:fill="auto"/>
          </w:tcPr>
          <w:p w:rsidR="0004022E" w:rsidRPr="001D35BD" w:rsidRDefault="0004022E" w:rsidP="009A23B9">
            <w:pPr>
              <w:pStyle w:val="SingleTxtG"/>
              <w:spacing w:before="80" w:after="80" w:line="280" w:lineRule="exact"/>
              <w:ind w:left="0" w:right="113"/>
              <w:jc w:val="right"/>
              <w:rPr>
                <w:rFonts w:ascii="Traditional Arabic" w:hAnsi="Traditional Arabic" w:cs="Traditional Arabic"/>
                <w:b/>
              </w:rPr>
            </w:pPr>
            <w:r w:rsidRPr="001D35BD">
              <w:rPr>
                <w:rFonts w:ascii="Traditional Arabic" w:hAnsi="Traditional Arabic" w:cs="Traditional Arabic"/>
                <w:b/>
              </w:rPr>
              <w:t>116</w:t>
            </w:r>
          </w:p>
        </w:tc>
        <w:tc>
          <w:tcPr>
            <w:tcW w:w="1068" w:type="dxa"/>
            <w:tcBorders>
              <w:top w:val="single" w:sz="4" w:space="0" w:color="auto"/>
              <w:bottom w:val="single" w:sz="12" w:space="0" w:color="auto"/>
            </w:tcBorders>
            <w:shd w:val="clear" w:color="auto" w:fill="auto"/>
          </w:tcPr>
          <w:p w:rsidR="0004022E" w:rsidRPr="001D35BD" w:rsidRDefault="0004022E" w:rsidP="009A23B9">
            <w:pPr>
              <w:pStyle w:val="SingleTxtG"/>
              <w:spacing w:before="80" w:after="80" w:line="280" w:lineRule="exact"/>
              <w:ind w:left="0" w:right="113"/>
              <w:jc w:val="right"/>
              <w:rPr>
                <w:rFonts w:ascii="Traditional Arabic" w:hAnsi="Traditional Arabic" w:cs="Traditional Arabic"/>
                <w:b/>
              </w:rPr>
            </w:pPr>
            <w:r w:rsidRPr="001D35BD">
              <w:rPr>
                <w:rFonts w:ascii="Traditional Arabic" w:hAnsi="Traditional Arabic" w:cs="Traditional Arabic"/>
                <w:b/>
              </w:rPr>
              <w:t>77</w:t>
            </w:r>
          </w:p>
        </w:tc>
        <w:tc>
          <w:tcPr>
            <w:tcW w:w="984" w:type="dxa"/>
            <w:tcBorders>
              <w:top w:val="single" w:sz="4" w:space="0" w:color="auto"/>
              <w:bottom w:val="single" w:sz="12" w:space="0" w:color="auto"/>
            </w:tcBorders>
            <w:shd w:val="clear" w:color="auto" w:fill="auto"/>
          </w:tcPr>
          <w:p w:rsidR="0004022E" w:rsidRPr="001D35BD" w:rsidRDefault="0004022E" w:rsidP="009A23B9">
            <w:pPr>
              <w:pStyle w:val="SingleTxtG"/>
              <w:spacing w:before="80" w:after="80" w:line="280" w:lineRule="exact"/>
              <w:ind w:left="0" w:right="113"/>
              <w:jc w:val="right"/>
              <w:rPr>
                <w:rFonts w:ascii="Traditional Arabic" w:hAnsi="Traditional Arabic" w:cs="Traditional Arabic"/>
                <w:b/>
              </w:rPr>
            </w:pPr>
            <w:r w:rsidRPr="001D35BD">
              <w:rPr>
                <w:rFonts w:ascii="Traditional Arabic" w:hAnsi="Traditional Arabic" w:cs="Traditional Arabic"/>
                <w:b/>
              </w:rPr>
              <w:t>193</w:t>
            </w:r>
          </w:p>
        </w:tc>
        <w:tc>
          <w:tcPr>
            <w:tcW w:w="859" w:type="dxa"/>
            <w:tcBorders>
              <w:top w:val="single" w:sz="4" w:space="0" w:color="auto"/>
              <w:bottom w:val="single" w:sz="12" w:space="0" w:color="auto"/>
            </w:tcBorders>
            <w:shd w:val="clear" w:color="auto" w:fill="auto"/>
          </w:tcPr>
          <w:p w:rsidR="0004022E" w:rsidRPr="001D35BD" w:rsidRDefault="0004022E" w:rsidP="009A23B9">
            <w:pPr>
              <w:pStyle w:val="SingleTxtG"/>
              <w:spacing w:before="80" w:after="80" w:line="280" w:lineRule="exact"/>
              <w:ind w:left="0" w:right="113"/>
              <w:jc w:val="right"/>
              <w:rPr>
                <w:rFonts w:ascii="Traditional Arabic" w:hAnsi="Traditional Arabic" w:cs="Traditional Arabic"/>
                <w:b/>
              </w:rPr>
            </w:pPr>
            <w:r w:rsidRPr="001D35BD">
              <w:rPr>
                <w:rFonts w:ascii="Traditional Arabic" w:hAnsi="Traditional Arabic" w:cs="Traditional Arabic"/>
                <w:b/>
              </w:rPr>
              <w:t>82</w:t>
            </w:r>
          </w:p>
        </w:tc>
        <w:tc>
          <w:tcPr>
            <w:tcW w:w="1047" w:type="dxa"/>
            <w:tcBorders>
              <w:top w:val="single" w:sz="4" w:space="0" w:color="auto"/>
              <w:bottom w:val="single" w:sz="12" w:space="0" w:color="auto"/>
            </w:tcBorders>
            <w:shd w:val="clear" w:color="auto" w:fill="auto"/>
          </w:tcPr>
          <w:p w:rsidR="0004022E" w:rsidRPr="001D35BD" w:rsidRDefault="0004022E" w:rsidP="009A23B9">
            <w:pPr>
              <w:pStyle w:val="SingleTxtG"/>
              <w:spacing w:before="80" w:after="80" w:line="280" w:lineRule="exact"/>
              <w:ind w:left="0" w:right="113"/>
              <w:jc w:val="right"/>
              <w:rPr>
                <w:rFonts w:ascii="Traditional Arabic" w:hAnsi="Traditional Arabic" w:cs="Traditional Arabic"/>
                <w:b/>
              </w:rPr>
            </w:pPr>
            <w:r w:rsidRPr="001D35BD">
              <w:rPr>
                <w:rFonts w:ascii="Traditional Arabic" w:hAnsi="Traditional Arabic" w:cs="Traditional Arabic"/>
                <w:b/>
              </w:rPr>
              <w:t>65</w:t>
            </w:r>
          </w:p>
        </w:tc>
        <w:tc>
          <w:tcPr>
            <w:tcW w:w="967" w:type="dxa"/>
            <w:tcBorders>
              <w:top w:val="single" w:sz="4" w:space="0" w:color="auto"/>
              <w:bottom w:val="single" w:sz="12" w:space="0" w:color="auto"/>
            </w:tcBorders>
            <w:shd w:val="clear" w:color="auto" w:fill="auto"/>
          </w:tcPr>
          <w:p w:rsidR="0004022E" w:rsidRPr="001D35BD" w:rsidRDefault="0004022E" w:rsidP="009A23B9">
            <w:pPr>
              <w:pStyle w:val="SingleTxtG"/>
              <w:spacing w:before="80" w:after="80" w:line="280" w:lineRule="exact"/>
              <w:ind w:left="0" w:right="113"/>
              <w:jc w:val="right"/>
              <w:rPr>
                <w:rFonts w:ascii="Traditional Arabic" w:hAnsi="Traditional Arabic" w:cs="Traditional Arabic"/>
                <w:b/>
              </w:rPr>
            </w:pPr>
            <w:r w:rsidRPr="001D35BD">
              <w:rPr>
                <w:rFonts w:ascii="Traditional Arabic" w:hAnsi="Traditional Arabic" w:cs="Traditional Arabic"/>
                <w:b/>
              </w:rPr>
              <w:t>147</w:t>
            </w:r>
          </w:p>
        </w:tc>
      </w:tr>
    </w:tbl>
    <w:p w:rsidR="00633584" w:rsidRDefault="001D35BD" w:rsidP="001D35BD">
      <w:pPr>
        <w:pStyle w:val="H23GA"/>
        <w:rPr>
          <w:rFonts w:hint="cs"/>
          <w:rtl/>
        </w:rPr>
      </w:pPr>
      <w:r>
        <w:rPr>
          <w:rtl/>
        </w:rPr>
        <w:tab/>
      </w:r>
      <w:r>
        <w:rPr>
          <w:rtl/>
        </w:rPr>
        <w:tab/>
      </w:r>
      <w:r w:rsidR="00633584">
        <w:rPr>
          <w:rtl/>
        </w:rPr>
        <w:t>تعزيز الوعي بحقوق الإنسان عن طريق البرامج التعليمية وأنشطة الإعلام العام المضطلَع بها برعاية الحكومة</w:t>
      </w:r>
    </w:p>
    <w:p w:rsidR="00633584" w:rsidRDefault="00633584" w:rsidP="009A23B9">
      <w:pPr>
        <w:pStyle w:val="SingleTxtGA"/>
        <w:spacing w:line="340" w:lineRule="exact"/>
        <w:rPr>
          <w:rtl/>
        </w:rPr>
      </w:pPr>
      <w:r w:rsidRPr="00C1338B">
        <w:rPr>
          <w:szCs w:val="20"/>
          <w:rtl/>
        </w:rPr>
        <w:t>27</w:t>
      </w:r>
      <w:r>
        <w:rPr>
          <w:rtl/>
        </w:rPr>
        <w:t>-</w:t>
      </w:r>
      <w:r>
        <w:rPr>
          <w:rtl/>
        </w:rPr>
        <w:tab/>
        <w:t xml:space="preserve">أدخلت وزارة التعليم عن طريق الخطة الاستراتيجية للتعليم للفترة </w:t>
      </w:r>
      <w:r w:rsidRPr="00C1338B">
        <w:rPr>
          <w:szCs w:val="20"/>
          <w:rtl/>
        </w:rPr>
        <w:t>2017</w:t>
      </w:r>
      <w:r>
        <w:rPr>
          <w:rtl/>
        </w:rPr>
        <w:t>-</w:t>
      </w:r>
      <w:r w:rsidRPr="00C1338B">
        <w:rPr>
          <w:szCs w:val="20"/>
          <w:rtl/>
        </w:rPr>
        <w:t>2027</w:t>
      </w:r>
      <w:r>
        <w:rPr>
          <w:rtl/>
        </w:rPr>
        <w:t xml:space="preserve"> والمناهج </w:t>
      </w:r>
      <w:r w:rsidRPr="00D014BA">
        <w:rPr>
          <w:spacing w:val="-4"/>
          <w:rtl/>
        </w:rPr>
        <w:t>الدراسية الوطنية برامج تعليمية بشأن حقوق الإنسان في المؤسسات التعليمية في البلد. وتدعم بعثة الأمم</w:t>
      </w:r>
      <w:r>
        <w:rPr>
          <w:rtl/>
        </w:rPr>
        <w:t xml:space="preserve"> المتحدة في جنوب السودان التنفيذ الناجح لهذه الخطة عن طريق تنظيم حلقات عمل تدريبية لمعلمي المدارس بشأن التعليم الأساسي لحقوق الإنسان، وشرعة الحقوق، والواجبات الجنسانية والمدنية.</w:t>
      </w:r>
    </w:p>
    <w:p w:rsidR="00633584" w:rsidRDefault="009A23B9" w:rsidP="009A23B9">
      <w:pPr>
        <w:pStyle w:val="H23GA"/>
        <w:rPr>
          <w:rtl/>
        </w:rPr>
      </w:pPr>
      <w:r>
        <w:rPr>
          <w:rtl/>
        </w:rPr>
        <w:tab/>
      </w:r>
      <w:r>
        <w:rPr>
          <w:rtl/>
        </w:rPr>
        <w:tab/>
      </w:r>
      <w:r w:rsidR="00633584">
        <w:rPr>
          <w:rtl/>
        </w:rPr>
        <w:t>تعزيز الوعي بحقوق الإنسان عن طريق وسائط الإعلام</w:t>
      </w:r>
    </w:p>
    <w:p w:rsidR="00633584" w:rsidRDefault="00633584" w:rsidP="009A23B9">
      <w:pPr>
        <w:pStyle w:val="SingleTxtGA"/>
        <w:spacing w:line="340" w:lineRule="exact"/>
        <w:rPr>
          <w:rtl/>
        </w:rPr>
      </w:pPr>
      <w:r w:rsidRPr="00C1338B">
        <w:rPr>
          <w:szCs w:val="20"/>
          <w:rtl/>
        </w:rPr>
        <w:t>28</w:t>
      </w:r>
      <w:r>
        <w:rPr>
          <w:rtl/>
        </w:rPr>
        <w:t>-</w:t>
      </w:r>
      <w:r>
        <w:rPr>
          <w:rtl/>
        </w:rPr>
        <w:tab/>
        <w:t xml:space="preserve">تجري التوعية المستمرة بالشواغل المتعلقة بحقوق الإنسان عن طريق وسائط الإعلام الإلكترونية والمطبوعة، بما في ذلك وسائط الإعلام الحكومية؛ وهيئة البث لجنوب السودان (الإذاعة والتلفاز)، وإذاعة الأمم المتحدة </w:t>
      </w:r>
      <w:proofErr w:type="spellStart"/>
      <w:r>
        <w:rPr>
          <w:rtl/>
        </w:rPr>
        <w:t>ميرايا</w:t>
      </w:r>
      <w:proofErr w:type="spellEnd"/>
      <w:r>
        <w:rPr>
          <w:rtl/>
        </w:rPr>
        <w:t xml:space="preserve"> "</w:t>
      </w:r>
      <w:proofErr w:type="spellStart"/>
      <w:r>
        <w:rPr>
          <w:rtl/>
        </w:rPr>
        <w:t>إف</w:t>
      </w:r>
      <w:proofErr w:type="spellEnd"/>
      <w:r>
        <w:rPr>
          <w:rtl/>
        </w:rPr>
        <w:t xml:space="preserve"> إم"، والإذاعات الخاصة وهي، في جملة إذاعات، ما يلي: إذاعة العين، وإذاعة </w:t>
      </w:r>
      <w:proofErr w:type="spellStart"/>
      <w:r>
        <w:rPr>
          <w:rtl/>
        </w:rPr>
        <w:t>بخيتا</w:t>
      </w:r>
      <w:proofErr w:type="spellEnd"/>
      <w:r>
        <w:rPr>
          <w:rtl/>
        </w:rPr>
        <w:t xml:space="preserve">، والإذاعة رقم واحد. وتشمل وسائط الإعلام المطبوعة: "جوبا </w:t>
      </w:r>
      <w:proofErr w:type="spellStart"/>
      <w:r>
        <w:rPr>
          <w:rtl/>
        </w:rPr>
        <w:t>مونيتور</w:t>
      </w:r>
      <w:proofErr w:type="spellEnd"/>
      <w:r>
        <w:rPr>
          <w:rtl/>
        </w:rPr>
        <w:t>"،</w:t>
      </w:r>
      <w:r w:rsidR="00D014BA">
        <w:rPr>
          <w:rtl/>
        </w:rPr>
        <w:t xml:space="preserve"> و</w:t>
      </w:r>
      <w:r>
        <w:rPr>
          <w:rtl/>
        </w:rPr>
        <w:t>"دون" وصحف أخرى تؤدّي جميعها دوراً بالغ الأهمية في تعزيز الوعي بحقوق الإنسان في البلد.</w:t>
      </w:r>
    </w:p>
    <w:p w:rsidR="00633584" w:rsidRDefault="003661C1" w:rsidP="003661C1">
      <w:pPr>
        <w:pStyle w:val="H23GA"/>
        <w:rPr>
          <w:rtl/>
        </w:rPr>
      </w:pPr>
      <w:r>
        <w:rPr>
          <w:rtl/>
        </w:rPr>
        <w:tab/>
      </w:r>
      <w:r>
        <w:rPr>
          <w:rtl/>
        </w:rPr>
        <w:tab/>
      </w:r>
      <w:r w:rsidR="00633584">
        <w:rPr>
          <w:rtl/>
        </w:rPr>
        <w:t>دور المجتمع المدني، بما في ذلك المنظمات غير الحكومية</w:t>
      </w:r>
    </w:p>
    <w:p w:rsidR="00633584" w:rsidRDefault="00633584" w:rsidP="009A23B9">
      <w:pPr>
        <w:pStyle w:val="SingleTxtGA"/>
        <w:spacing w:line="340" w:lineRule="exact"/>
        <w:rPr>
          <w:rtl/>
        </w:rPr>
      </w:pPr>
      <w:r w:rsidRPr="00C1338B">
        <w:rPr>
          <w:szCs w:val="20"/>
          <w:rtl/>
        </w:rPr>
        <w:t>29</w:t>
      </w:r>
      <w:r>
        <w:rPr>
          <w:rtl/>
        </w:rPr>
        <w:t>-</w:t>
      </w:r>
      <w:r>
        <w:rPr>
          <w:rtl/>
        </w:rPr>
        <w:tab/>
      </w:r>
      <w:r w:rsidRPr="001D35BD">
        <w:rPr>
          <w:spacing w:val="-2"/>
          <w:rtl/>
        </w:rPr>
        <w:t xml:space="preserve">تنشط منظمات المجتمع المدني في تعزيز حقوق الإنسان في البلد. وتعمل الحكومة لتعزيز حماية حقوق الإنسان في البلد، وتمثلها في ذلك لجنتها المشتركة بين الوزارات بالتعاون مع منظمات المجتمع المدني </w:t>
      </w:r>
      <w:r w:rsidRPr="003661C1">
        <w:rPr>
          <w:spacing w:val="-4"/>
          <w:rtl/>
        </w:rPr>
        <w:t>المدعومة من الشركاء الدوليين، بما في ذلك شعبة حقوق الإنسان في بعثة الأمم المتحدة في جنوب السودان،</w:t>
      </w:r>
      <w:r w:rsidRPr="001D35BD">
        <w:rPr>
          <w:spacing w:val="-2"/>
          <w:rtl/>
        </w:rPr>
        <w:t xml:space="preserve"> وبرنامج الأمم المتحدة الإنمائي، ومنظمة الأمم المتحدة للطفولة (اليونيسيف)، وصندوق الأمم المتحدة للسكان، وهيئة الأمم المتحدة للمرأة، والاتحاد اللوثري العالمي، إلى جانب منظمات أخرى.</w:t>
      </w:r>
    </w:p>
    <w:p w:rsidR="00633584" w:rsidRDefault="001D35BD" w:rsidP="001D35BD">
      <w:pPr>
        <w:pStyle w:val="H23GA"/>
        <w:spacing w:line="350" w:lineRule="exact"/>
        <w:rPr>
          <w:rtl/>
        </w:rPr>
      </w:pPr>
      <w:r>
        <w:rPr>
          <w:rtl/>
        </w:rPr>
        <w:tab/>
      </w:r>
      <w:r>
        <w:rPr>
          <w:rtl/>
        </w:rPr>
        <w:tab/>
      </w:r>
      <w:r w:rsidR="00633584">
        <w:rPr>
          <w:rtl/>
        </w:rPr>
        <w:t>التعاون والمساعدة في مجال التنمية</w:t>
      </w:r>
    </w:p>
    <w:p w:rsidR="00633584" w:rsidRDefault="00633584" w:rsidP="009A23B9">
      <w:pPr>
        <w:pStyle w:val="SingleTxtGA"/>
        <w:spacing w:line="340" w:lineRule="exact"/>
        <w:rPr>
          <w:rtl/>
        </w:rPr>
      </w:pPr>
      <w:r w:rsidRPr="00C1338B">
        <w:rPr>
          <w:szCs w:val="20"/>
          <w:rtl/>
        </w:rPr>
        <w:t>30</w:t>
      </w:r>
      <w:r>
        <w:rPr>
          <w:rtl/>
        </w:rPr>
        <w:t>-</w:t>
      </w:r>
      <w:r>
        <w:rPr>
          <w:rtl/>
        </w:rPr>
        <w:tab/>
        <w:t xml:space="preserve">يتلقى البلد الدعم من الشركاء الدوليين فيما يتصل بتعزيز وحماية حقوق الإنسان الأساسية. </w:t>
      </w:r>
      <w:r w:rsidRPr="009B20A3">
        <w:rPr>
          <w:spacing w:val="-4"/>
          <w:rtl/>
        </w:rPr>
        <w:t>فقد قدمت معظم وكالات الأمم المتحدة العاملة في البلد أشكالاً شتى من التدريب على صعيد البلد بشأن</w:t>
      </w:r>
      <w:r>
        <w:rPr>
          <w:rtl/>
        </w:rPr>
        <w:t xml:space="preserve"> استراتيجيات العمل الجنساني وخطط العمل الرامية إلى توجيه أنشطة الاستجابة.</w:t>
      </w:r>
    </w:p>
    <w:p w:rsidR="00633584" w:rsidRDefault="00633584" w:rsidP="001D35BD">
      <w:pPr>
        <w:pStyle w:val="H1GA"/>
        <w:rPr>
          <w:rtl/>
        </w:rPr>
      </w:pPr>
      <w:r>
        <w:rPr>
          <w:rtl/>
        </w:rPr>
        <w:tab/>
        <w:t>زاي-</w:t>
      </w:r>
      <w:r>
        <w:rPr>
          <w:rtl/>
        </w:rPr>
        <w:tab/>
        <w:t>التحديات ذات الطبيعة العامة التي تؤثر على تنفيذ الصكوك الدولية لحقوق الإنسان أو تعوق هذا التنفيذ</w:t>
      </w:r>
    </w:p>
    <w:p w:rsidR="00633584" w:rsidRDefault="001D35BD" w:rsidP="001D35BD">
      <w:pPr>
        <w:pStyle w:val="H23GA"/>
        <w:rPr>
          <w:rtl/>
        </w:rPr>
      </w:pPr>
      <w:r>
        <w:rPr>
          <w:rtl/>
        </w:rPr>
        <w:tab/>
      </w:r>
      <w:r>
        <w:rPr>
          <w:rtl/>
        </w:rPr>
        <w:tab/>
      </w:r>
      <w:r w:rsidR="00633584">
        <w:rPr>
          <w:rtl/>
        </w:rPr>
        <w:t>انعدام الأمن</w:t>
      </w:r>
    </w:p>
    <w:p w:rsidR="00633584" w:rsidRDefault="00633584" w:rsidP="003661C1">
      <w:pPr>
        <w:pStyle w:val="SingleTxtGA"/>
        <w:rPr>
          <w:rtl/>
        </w:rPr>
      </w:pPr>
      <w:r w:rsidRPr="00C1338B">
        <w:rPr>
          <w:szCs w:val="20"/>
          <w:rtl/>
        </w:rPr>
        <w:t>31</w:t>
      </w:r>
      <w:r>
        <w:rPr>
          <w:rtl/>
        </w:rPr>
        <w:t>-</w:t>
      </w:r>
      <w:r>
        <w:rPr>
          <w:rtl/>
        </w:rPr>
        <w:tab/>
        <w:t>يشكّل انعدام الأمن أحد التحديات الرئيسية التي تعرقل تعزيز وحماية حقوق الإنسان في البلد. ففترة الصراع المطولة قد أعاقت التنفيذ الفعال لكثير من تطلعات البلد وأعاقت تنفيذ صكوك حقوق الإنسان التي انضم إليها جنوب السودان على النحو المنصوص عليه في العديد من وثائق الإطار القانوني والسياسات.</w:t>
      </w:r>
    </w:p>
    <w:p w:rsidR="00633584" w:rsidRDefault="00633584" w:rsidP="003661C1">
      <w:pPr>
        <w:pStyle w:val="H1GA"/>
        <w:rPr>
          <w:rtl/>
        </w:rPr>
      </w:pPr>
      <w:r>
        <w:rPr>
          <w:rtl/>
        </w:rPr>
        <w:tab/>
        <w:t>حاء-</w:t>
      </w:r>
      <w:r>
        <w:rPr>
          <w:rtl/>
        </w:rPr>
        <w:tab/>
        <w:t>عمليات تقديم التقارير</w:t>
      </w:r>
    </w:p>
    <w:p w:rsidR="00633584" w:rsidRDefault="00633584" w:rsidP="003661C1">
      <w:pPr>
        <w:pStyle w:val="SingleTxtGA"/>
        <w:rPr>
          <w:rtl/>
        </w:rPr>
      </w:pPr>
      <w:r w:rsidRPr="00C1338B">
        <w:rPr>
          <w:szCs w:val="20"/>
          <w:rtl/>
        </w:rPr>
        <w:t>32</w:t>
      </w:r>
      <w:r>
        <w:rPr>
          <w:rtl/>
        </w:rPr>
        <w:t>-</w:t>
      </w:r>
      <w:r>
        <w:rPr>
          <w:rtl/>
        </w:rPr>
        <w:tab/>
        <w:t xml:space="preserve">يجري تحديد الإدارات الحكومية المسؤولة عن تقديم التقارير على أساس مجالات التركيز في التقرير. بيد أنه قد جرى إنشاء لجنة مشتركة بين الوزارات/الإدارات الحكومية بشأن الآليات الدولية من أجل التنسيق مع الوزارات المختصة المعنية فيما يتعلق بصياغة التقارير القطرية ذات الصلة. فهذه الوثيقة </w:t>
      </w:r>
      <w:r w:rsidRPr="001D35BD">
        <w:rPr>
          <w:spacing w:val="-5"/>
          <w:rtl/>
        </w:rPr>
        <w:t>الأساسية المشتركة قد تولّت صياغتها اللجنة المشتركة بين الوزارات مع تلقّي إسهامات من الوزارات والإدارات</w:t>
      </w:r>
      <w:r>
        <w:rPr>
          <w:rtl/>
        </w:rPr>
        <w:t xml:space="preserve"> والجهات الشريكة الحكومية المعنية.</w:t>
      </w:r>
    </w:p>
    <w:p w:rsidR="00633584" w:rsidRDefault="00633584" w:rsidP="003661C1">
      <w:pPr>
        <w:pStyle w:val="SingleTxtGA"/>
        <w:rPr>
          <w:rtl/>
        </w:rPr>
      </w:pPr>
      <w:r w:rsidRPr="00C1338B">
        <w:rPr>
          <w:szCs w:val="20"/>
          <w:rtl/>
        </w:rPr>
        <w:t>33</w:t>
      </w:r>
      <w:r>
        <w:rPr>
          <w:rtl/>
        </w:rPr>
        <w:t>-</w:t>
      </w:r>
      <w:r>
        <w:rPr>
          <w:rtl/>
        </w:rPr>
        <w:tab/>
      </w:r>
      <w:r w:rsidRPr="001D35BD">
        <w:rPr>
          <w:spacing w:val="-2"/>
          <w:rtl/>
        </w:rPr>
        <w:t>وفي خضم التحديات المختلفة، تمكنت الحكومة، بدعم من مختل</w:t>
      </w:r>
      <w:bookmarkStart w:id="0" w:name="_GoBack"/>
      <w:bookmarkEnd w:id="0"/>
      <w:r w:rsidRPr="001D35BD">
        <w:rPr>
          <w:spacing w:val="-2"/>
          <w:rtl/>
        </w:rPr>
        <w:t>ف الشركاء الدوليين والوطنيين،</w:t>
      </w:r>
      <w:r>
        <w:rPr>
          <w:rtl/>
        </w:rPr>
        <w:t xml:space="preserve"> من الوفاء بالتزاماتها التعاهدية عن طريق تقديم تقارير وطنية عن حالة تنفيذها للصكوك الدولية المختلفة بما في ذلك ما يلي:</w:t>
      </w:r>
    </w:p>
    <w:p w:rsidR="00633584" w:rsidRDefault="00633584" w:rsidP="003661C1">
      <w:pPr>
        <w:pStyle w:val="SingleTxtGA"/>
        <w:rPr>
          <w:rtl/>
        </w:rPr>
      </w:pPr>
      <w:r>
        <w:rPr>
          <w:rtl/>
        </w:rPr>
        <w:tab/>
        <w:t>(أ)</w:t>
      </w:r>
      <w:r>
        <w:rPr>
          <w:rtl/>
        </w:rPr>
        <w:tab/>
        <w:t>الاستعراض الدوري الشامل؛</w:t>
      </w:r>
    </w:p>
    <w:p w:rsidR="00633584" w:rsidRDefault="00633584" w:rsidP="003661C1">
      <w:pPr>
        <w:pStyle w:val="SingleTxtGA"/>
        <w:rPr>
          <w:rtl/>
        </w:rPr>
      </w:pPr>
      <w:r>
        <w:rPr>
          <w:rtl/>
        </w:rPr>
        <w:tab/>
        <w:t>(ب)</w:t>
      </w:r>
      <w:r>
        <w:rPr>
          <w:rtl/>
        </w:rPr>
        <w:tab/>
        <w:t>التقرير الوطني الأولي عن تنفيذ اتفاقية حقوق الطفل؛</w:t>
      </w:r>
    </w:p>
    <w:p w:rsidR="00633584" w:rsidRDefault="00633584" w:rsidP="003661C1">
      <w:pPr>
        <w:pStyle w:val="SingleTxtGA"/>
        <w:rPr>
          <w:rtl/>
        </w:rPr>
      </w:pPr>
      <w:r>
        <w:rPr>
          <w:rtl/>
        </w:rPr>
        <w:tab/>
        <w:t>(ج)</w:t>
      </w:r>
      <w:r>
        <w:rPr>
          <w:rtl/>
        </w:rPr>
        <w:tab/>
        <w:t>التقرير الأولي عن تنفيذ اتفاقية القضاء على جميع أشكال التمييز ضد المرأة؛</w:t>
      </w:r>
    </w:p>
    <w:p w:rsidR="00633584" w:rsidRDefault="00633584" w:rsidP="003661C1">
      <w:pPr>
        <w:pStyle w:val="SingleTxtGA"/>
        <w:rPr>
          <w:rtl/>
        </w:rPr>
      </w:pPr>
      <w:r>
        <w:rPr>
          <w:rtl/>
        </w:rPr>
        <w:tab/>
        <w:t>(د)</w:t>
      </w:r>
      <w:r>
        <w:rPr>
          <w:rtl/>
        </w:rPr>
        <w:tab/>
        <w:t>منهاج عمل بيجين.</w:t>
      </w:r>
    </w:p>
    <w:p w:rsidR="001D35BD" w:rsidRPr="001D35BD" w:rsidRDefault="001D35BD" w:rsidP="001D35BD">
      <w:pPr>
        <w:spacing w:before="120"/>
        <w:jc w:val="center"/>
        <w:rPr>
          <w:rFonts w:hint="cs"/>
          <w:u w:val="single"/>
          <w:rtl/>
        </w:rPr>
      </w:pPr>
      <w:r>
        <w:rPr>
          <w:u w:val="single"/>
          <w:rtl/>
        </w:rPr>
        <w:tab/>
      </w:r>
      <w:r>
        <w:rPr>
          <w:u w:val="single"/>
          <w:rtl/>
        </w:rPr>
        <w:tab/>
      </w:r>
      <w:r>
        <w:rPr>
          <w:u w:val="single"/>
          <w:rtl/>
        </w:rPr>
        <w:tab/>
      </w:r>
    </w:p>
    <w:sectPr w:rsidR="001D35BD" w:rsidRPr="001D35BD" w:rsidSect="001C5513">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022E" w:rsidRPr="002901D9" w:rsidRDefault="0004022E" w:rsidP="002901D9">
      <w:pPr>
        <w:spacing w:after="60" w:line="240" w:lineRule="auto"/>
        <w:rPr>
          <w:i/>
          <w:iCs/>
        </w:rPr>
      </w:pPr>
      <w:r>
        <w:rPr>
          <w:rFonts w:hint="cs"/>
          <w:i/>
          <w:iCs/>
          <w:rtl/>
        </w:rPr>
        <w:t>الحواشي</w:t>
      </w:r>
    </w:p>
  </w:endnote>
  <w:endnote w:type="continuationSeparator" w:id="0">
    <w:p w:rsidR="0004022E" w:rsidRDefault="0004022E"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022E" w:rsidRPr="00633584" w:rsidRDefault="0004022E" w:rsidP="00633584">
    <w:pPr>
      <w:pStyle w:val="Footer"/>
      <w:tabs>
        <w:tab w:val="right" w:pos="9598"/>
      </w:tabs>
      <w:rPr>
        <w:rFonts w:hint="cs"/>
        <w:sz w:val="17"/>
      </w:rPr>
    </w:pPr>
    <w:r>
      <w:rPr>
        <w:sz w:val="17"/>
      </w:rPr>
      <w:t>GE.20-03139</w:t>
    </w:r>
    <w:r>
      <w:rPr>
        <w:sz w:val="17"/>
      </w:rPr>
      <w:tab/>
    </w:r>
    <w:r w:rsidRPr="00633584">
      <w:rPr>
        <w:b/>
        <w:sz w:val="18"/>
      </w:rPr>
      <w:fldChar w:fldCharType="begin"/>
    </w:r>
    <w:r w:rsidRPr="00633584">
      <w:rPr>
        <w:b/>
        <w:sz w:val="18"/>
      </w:rPr>
      <w:instrText xml:space="preserve"> PAGE  \* MERGEFORMAT </w:instrText>
    </w:r>
    <w:r w:rsidRPr="00633584">
      <w:rPr>
        <w:b/>
        <w:sz w:val="18"/>
      </w:rPr>
      <w:fldChar w:fldCharType="separate"/>
    </w:r>
    <w:r>
      <w:rPr>
        <w:b/>
        <w:sz w:val="18"/>
      </w:rPr>
      <w:t>2</w:t>
    </w:r>
    <w:r w:rsidRPr="00633584">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022E" w:rsidRPr="00633584" w:rsidRDefault="0004022E" w:rsidP="006959B0">
    <w:pPr>
      <w:pStyle w:val="Footer"/>
      <w:tabs>
        <w:tab w:val="right" w:pos="9599"/>
      </w:tabs>
      <w:jc w:val="left"/>
      <w:rPr>
        <w:b/>
        <w:sz w:val="18"/>
        <w:lang w:val="en-US"/>
      </w:rPr>
    </w:pPr>
    <w:r w:rsidRPr="00633584">
      <w:rPr>
        <w:b/>
        <w:sz w:val="18"/>
        <w:lang w:val="en-US"/>
      </w:rPr>
      <w:fldChar w:fldCharType="begin"/>
    </w:r>
    <w:r w:rsidRPr="00633584">
      <w:rPr>
        <w:b/>
        <w:sz w:val="18"/>
        <w:lang w:val="en-US"/>
      </w:rPr>
      <w:instrText xml:space="preserve"> PAGE  \* MERGEFORMAT </w:instrText>
    </w:r>
    <w:r w:rsidRPr="00633584">
      <w:rPr>
        <w:b/>
        <w:sz w:val="18"/>
        <w:lang w:val="en-US"/>
      </w:rPr>
      <w:fldChar w:fldCharType="separate"/>
    </w:r>
    <w:r w:rsidRPr="00633584">
      <w:rPr>
        <w:b/>
        <w:noProof/>
        <w:sz w:val="18"/>
        <w:lang w:val="en-US"/>
      </w:rPr>
      <w:t>3</w:t>
    </w:r>
    <w:r w:rsidRPr="00633584">
      <w:rPr>
        <w:b/>
        <w:sz w:val="18"/>
        <w:lang w:val="en-US"/>
      </w:rPr>
      <w:fldChar w:fldCharType="end"/>
    </w:r>
    <w:r>
      <w:rPr>
        <w:b/>
        <w:sz w:val="18"/>
        <w:lang w:val="en-US"/>
      </w:rPr>
      <w:tab/>
    </w:r>
    <w:r>
      <w:rPr>
        <w:sz w:val="17"/>
        <w:lang w:val="en-US"/>
      </w:rPr>
      <w:t>GE.20-03139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022E" w:rsidRDefault="0004022E" w:rsidP="007C1295">
    <w:pPr>
      <w:pStyle w:val="Footer"/>
      <w:spacing w:before="360"/>
      <w:jc w:val="right"/>
      <w:rPr>
        <w:sz w:val="20"/>
        <w:szCs w:val="20"/>
      </w:rPr>
    </w:pPr>
    <w:r>
      <w:rPr>
        <w:sz w:val="20"/>
        <w:szCs w:val="20"/>
      </w:rPr>
      <w:t>GE</w:t>
    </w:r>
    <w:r>
      <w:rPr>
        <w:sz w:val="20"/>
        <w:szCs w:val="20"/>
        <w:rtl/>
      </w:rPr>
      <w:t>.20-03139</w:t>
    </w:r>
    <w:r>
      <w:rPr>
        <w:noProof/>
        <w:lang w:val="en-US"/>
      </w:rPr>
      <w:drawing>
        <wp:anchor distT="0" distB="0" distL="114300" distR="114300" simplePos="0" relativeHeight="251664384" behindDoc="1" locked="1" layoutInCell="0" allowOverlap="1" wp14:anchorId="78292D59" wp14:editId="5EBDAC9C">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0286">
      <w:rPr>
        <w:sz w:val="20"/>
        <w:szCs w:val="20"/>
      </w:rPr>
      <w:t>(A)</w:t>
    </w:r>
  </w:p>
  <w:p w:rsidR="0004022E" w:rsidRPr="001C5513" w:rsidRDefault="0004022E" w:rsidP="001C5513">
    <w:pPr>
      <w:pStyle w:val="Footer"/>
      <w:jc w:val="right"/>
      <w:rPr>
        <w:rFonts w:ascii="C39T30Lfz" w:hAnsi="C39T30Lfz"/>
        <w:sz w:val="56"/>
        <w:szCs w:val="20"/>
        <w:lang w:val="en-US"/>
      </w:rPr>
    </w:pPr>
    <w:r>
      <w:rPr>
        <w:rFonts w:ascii="C39T30Lfz" w:hAnsi="C39T30Lfz"/>
        <w:sz w:val="56"/>
        <w:szCs w:val="20"/>
        <w:rtl/>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tl/>
      </w:rPr>
      <w:t>*</w:t>
    </w:r>
    <w:r>
      <w:rPr>
        <w:rFonts w:ascii="C39T30Lfz" w:hAnsi="C39T30Lfz"/>
        <w:noProof/>
        <w:sz w:val="56"/>
        <w:szCs w:val="20"/>
        <w:lang w:val="en-US"/>
      </w:rPr>
      <w:drawing>
        <wp:anchor distT="0" distB="0" distL="114300" distR="114300" simplePos="0" relativeHeight="251660288" behindDoc="0" locked="0" layoutInCell="1" allowOverlap="1">
          <wp:simplePos x="0" y="0"/>
          <wp:positionH relativeFrom="page">
            <wp:posOffset>719455</wp:posOffset>
          </wp:positionH>
          <wp:positionV relativeFrom="page">
            <wp:posOffset>9611995</wp:posOffset>
          </wp:positionV>
          <wp:extent cx="561975" cy="5619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stretch>
                    <a:fillRect/>
                  </a:stretch>
                </pic:blipFill>
                <pic:spPr>
                  <a:xfrm>
                    <a:off x="0" y="0"/>
                    <a:ext cx="561975" cy="5619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022E" w:rsidRDefault="0004022E" w:rsidP="00CB28F9">
      <w:pPr>
        <w:pStyle w:val="Footer"/>
        <w:bidi/>
        <w:spacing w:after="80" w:line="200" w:lineRule="exact"/>
        <w:ind w:left="680"/>
        <w:rPr>
          <w:rFonts w:hint="cs"/>
          <w:rtl/>
        </w:rPr>
      </w:pPr>
      <w:r>
        <w:rPr>
          <w:rtl/>
        </w:rPr>
        <w:t>__________</w:t>
      </w:r>
    </w:p>
  </w:footnote>
  <w:footnote w:type="continuationSeparator" w:id="0">
    <w:p w:rsidR="0004022E" w:rsidRDefault="0004022E" w:rsidP="00656392">
      <w:pPr>
        <w:spacing w:line="240" w:lineRule="auto"/>
      </w:pPr>
      <w:r>
        <w:continuationSeparator/>
      </w:r>
    </w:p>
  </w:footnote>
  <w:footnote w:id="1">
    <w:p w:rsidR="0004022E" w:rsidRPr="006B0ECA" w:rsidRDefault="0004022E" w:rsidP="00C1338B">
      <w:pPr>
        <w:pStyle w:val="FootnoteText1"/>
        <w:rPr>
          <w:rFonts w:hint="cs"/>
          <w:rtl/>
          <w:lang w:val="en-GB"/>
        </w:rPr>
      </w:pPr>
      <w:r>
        <w:rPr>
          <w:rtl/>
        </w:rPr>
        <w:t>*</w:t>
      </w:r>
      <w:r>
        <w:rPr>
          <w:rtl/>
        </w:rPr>
        <w:tab/>
      </w:r>
      <w:r w:rsidRPr="006B0ECA">
        <w:rPr>
          <w:rtl/>
          <w:lang w:val="en-GB"/>
        </w:rPr>
        <w:t>تصدر هذه الوثيقة بدون تحرير رسمي.</w:t>
      </w:r>
      <w:r>
        <w:rPr>
          <w:rFonts w:hint="cs"/>
          <w:rtl/>
          <w:lang w:val="en-GB"/>
        </w:rPr>
        <w:t xml:space="preserve"> </w:t>
      </w:r>
    </w:p>
  </w:footnote>
  <w:footnote w:id="2">
    <w:p w:rsidR="0004022E" w:rsidRPr="003F1CBD" w:rsidRDefault="0004022E" w:rsidP="00C1338B">
      <w:pPr>
        <w:pStyle w:val="FootnoteText1"/>
        <w:rPr>
          <w:rFonts w:hint="cs"/>
        </w:rPr>
      </w:pPr>
      <w:r w:rsidRPr="003F1CBD">
        <w:rPr>
          <w:rtl/>
        </w:rPr>
        <w:t>(</w:t>
      </w:r>
      <w:r w:rsidRPr="00C1338B">
        <w:rPr>
          <w:rStyle w:val="FootnoteReference"/>
          <w:rFonts w:cs="Times New Roman"/>
          <w:b w:val="0"/>
          <w:vertAlign w:val="baseline"/>
        </w:rPr>
        <w:footnoteRef/>
      </w:r>
      <w:r>
        <w:rPr>
          <w:sz w:val="26"/>
          <w:rtl/>
        </w:rPr>
        <w:t>)</w:t>
      </w:r>
      <w:r>
        <w:rPr>
          <w:sz w:val="26"/>
          <w:rtl/>
        </w:rPr>
        <w:tab/>
      </w:r>
      <w:r>
        <w:rPr>
          <w:rFonts w:hint="cs"/>
          <w:rtl/>
        </w:rPr>
        <w:t>انظر الرابط:</w:t>
      </w:r>
      <w:r w:rsidRPr="003F1CBD">
        <w:rPr>
          <w:rtl/>
        </w:rPr>
        <w:t xml:space="preserve"> </w:t>
      </w:r>
      <w:hyperlink r:id="rId1" w:history="1">
        <w:r w:rsidRPr="00CE6955">
          <w:t>https://www.google.com/search?q=map+of+south+sudan+and+surrounding+countries</w:t>
        </w:r>
      </w:hyperlink>
      <w:r w:rsidRPr="00CE6955">
        <w:br/>
        <w:t>&amp;</w:t>
      </w:r>
      <w:proofErr w:type="spellStart"/>
      <w:r w:rsidRPr="00CE6955">
        <w:t>tbm</w:t>
      </w:r>
      <w:proofErr w:type="spellEnd"/>
      <w:r w:rsidRPr="00CE6955">
        <w:t>=</w:t>
      </w:r>
      <w:proofErr w:type="spellStart"/>
      <w:r w:rsidRPr="00CE6955">
        <w:t>isch&amp;source</w:t>
      </w:r>
      <w:proofErr w:type="spellEnd"/>
      <w:r w:rsidRPr="00CE6955">
        <w:t>=</w:t>
      </w:r>
      <w:proofErr w:type="spellStart"/>
      <w:r w:rsidRPr="00CE6955">
        <w:t>iu&amp;ictx</w:t>
      </w:r>
      <w:proofErr w:type="spellEnd"/>
      <w:r w:rsidRPr="00CE6955">
        <w:t>=</w:t>
      </w:r>
      <w:r w:rsidRPr="00C1338B">
        <w:rPr>
          <w:szCs w:val="18"/>
        </w:rPr>
        <w:t>1</w:t>
      </w:r>
      <w:r w:rsidRPr="00CE6955">
        <w:t>&amp;fir=</w:t>
      </w:r>
      <w:r w:rsidRPr="00C1338B">
        <w:rPr>
          <w:szCs w:val="18"/>
        </w:rPr>
        <w:t>3</w:t>
      </w:r>
      <w:r w:rsidRPr="00CE6955">
        <w:t>qy</w:t>
      </w:r>
      <w:r w:rsidRPr="00C1338B">
        <w:rPr>
          <w:szCs w:val="18"/>
        </w:rPr>
        <w:t>3</w:t>
      </w:r>
      <w:r w:rsidRPr="00CE6955">
        <w:t>ymD-</w:t>
      </w:r>
      <w:r>
        <w:rPr>
          <w:rFonts w:hint="cs"/>
          <w:rtl/>
        </w:rPr>
        <w:t xml:space="preserve">. </w:t>
      </w:r>
    </w:p>
  </w:footnote>
  <w:footnote w:id="3">
    <w:p w:rsidR="0004022E" w:rsidRPr="003E79CA" w:rsidRDefault="0004022E" w:rsidP="00C1338B">
      <w:pPr>
        <w:pStyle w:val="FootnoteText1"/>
        <w:rPr>
          <w:rFonts w:hint="cs"/>
        </w:rPr>
      </w:pPr>
      <w:r w:rsidRPr="000C391F">
        <w:rPr>
          <w:spacing w:val="-4"/>
          <w:rtl/>
        </w:rPr>
        <w:t>(</w:t>
      </w:r>
      <w:r w:rsidRPr="00C1338B">
        <w:rPr>
          <w:rStyle w:val="FootnoteReference"/>
          <w:rFonts w:cs="Times New Roman"/>
          <w:b w:val="0"/>
          <w:spacing w:val="-4"/>
          <w:vertAlign w:val="baseline"/>
        </w:rPr>
        <w:footnoteRef/>
      </w:r>
      <w:r w:rsidRPr="000C391F">
        <w:rPr>
          <w:spacing w:val="-4"/>
          <w:sz w:val="26"/>
          <w:rtl/>
        </w:rPr>
        <w:t>)</w:t>
      </w:r>
      <w:r w:rsidRPr="000C391F">
        <w:rPr>
          <w:spacing w:val="-4"/>
          <w:sz w:val="26"/>
          <w:rtl/>
        </w:rPr>
        <w:tab/>
      </w:r>
      <w:r w:rsidRPr="000C391F">
        <w:rPr>
          <w:spacing w:val="-4"/>
        </w:rPr>
        <w:t xml:space="preserve">South Sudan Demographics Profile </w:t>
      </w:r>
      <w:r w:rsidRPr="00C1338B">
        <w:rPr>
          <w:spacing w:val="-4"/>
          <w:szCs w:val="18"/>
        </w:rPr>
        <w:t>2018</w:t>
      </w:r>
      <w:r w:rsidRPr="000C391F">
        <w:rPr>
          <w:spacing w:val="-4"/>
        </w:rPr>
        <w:t xml:space="preserve">, </w:t>
      </w:r>
      <w:hyperlink r:id="rId2" w:history="1">
        <w:r w:rsidRPr="000C391F">
          <w:rPr>
            <w:spacing w:val="-4"/>
          </w:rPr>
          <w:t>https://www.indexmundi.com/south_sudan/ demographics_</w:t>
        </w:r>
        <w:r w:rsidRPr="000C391F">
          <w:rPr>
            <w:spacing w:val="-4"/>
          </w:rPr>
          <w:br/>
          <w:t>profile.html</w:t>
        </w:r>
      </w:hyperlink>
      <w:r>
        <w:rPr>
          <w:rFonts w:hint="cs"/>
          <w:rtl/>
        </w:rPr>
        <w:t>.</w:t>
      </w:r>
      <w:r w:rsidRPr="003E79CA">
        <w:rPr>
          <w:rtl/>
        </w:rPr>
        <w:t xml:space="preserve"> </w:t>
      </w:r>
    </w:p>
  </w:footnote>
  <w:footnote w:id="4">
    <w:p w:rsidR="0004022E" w:rsidRPr="003E79CA" w:rsidRDefault="0004022E" w:rsidP="00C1338B">
      <w:pPr>
        <w:pStyle w:val="FootnoteText1"/>
        <w:rPr>
          <w:rFonts w:hint="cs"/>
        </w:rPr>
      </w:pPr>
      <w:r w:rsidRPr="003E79CA">
        <w:rPr>
          <w:rtl/>
        </w:rPr>
        <w:t>(</w:t>
      </w:r>
      <w:r w:rsidRPr="00C1338B">
        <w:rPr>
          <w:rStyle w:val="FootnoteReference"/>
          <w:rFonts w:cs="Times New Roman"/>
          <w:b w:val="0"/>
          <w:vertAlign w:val="baseline"/>
        </w:rPr>
        <w:footnoteRef/>
      </w:r>
      <w:r>
        <w:rPr>
          <w:sz w:val="26"/>
          <w:rtl/>
        </w:rPr>
        <w:t>)</w:t>
      </w:r>
      <w:r>
        <w:rPr>
          <w:sz w:val="26"/>
          <w:rtl/>
        </w:rPr>
        <w:tab/>
      </w:r>
      <w:r w:rsidRPr="008B7751">
        <w:rPr>
          <w:rtl/>
        </w:rPr>
        <w:t>المرجع نفسه.</w:t>
      </w:r>
      <w:r w:rsidRPr="003E79CA">
        <w:rPr>
          <w:rtl/>
        </w:rPr>
        <w:t xml:space="preserve"> </w:t>
      </w:r>
    </w:p>
  </w:footnote>
  <w:footnote w:id="5">
    <w:p w:rsidR="0004022E" w:rsidRPr="003E79CA" w:rsidRDefault="0004022E" w:rsidP="00C1338B">
      <w:pPr>
        <w:pStyle w:val="FootnoteText1"/>
        <w:rPr>
          <w:rFonts w:hint="cs"/>
        </w:rPr>
      </w:pPr>
      <w:r w:rsidRPr="003E79CA">
        <w:rPr>
          <w:rtl/>
        </w:rPr>
        <w:t>(</w:t>
      </w:r>
      <w:r w:rsidRPr="00C1338B">
        <w:rPr>
          <w:rStyle w:val="FootnoteReference"/>
          <w:rFonts w:cs="Times New Roman"/>
          <w:b w:val="0"/>
          <w:vertAlign w:val="baseline"/>
        </w:rPr>
        <w:footnoteRef/>
      </w:r>
      <w:r>
        <w:rPr>
          <w:sz w:val="26"/>
          <w:rtl/>
        </w:rPr>
        <w:t>)</w:t>
      </w:r>
      <w:r>
        <w:rPr>
          <w:sz w:val="26"/>
          <w:rtl/>
        </w:rPr>
        <w:tab/>
      </w:r>
      <w:r w:rsidRPr="008B7751">
        <w:rPr>
          <w:rtl/>
        </w:rPr>
        <w:t>المرجع نفسه.</w:t>
      </w:r>
    </w:p>
  </w:footnote>
  <w:footnote w:id="6">
    <w:p w:rsidR="0004022E" w:rsidRPr="003E79CA" w:rsidRDefault="0004022E" w:rsidP="00C1338B">
      <w:pPr>
        <w:pStyle w:val="FootnoteText1"/>
        <w:rPr>
          <w:rFonts w:hint="cs"/>
        </w:rPr>
      </w:pPr>
      <w:r w:rsidRPr="003E79CA">
        <w:rPr>
          <w:rtl/>
        </w:rPr>
        <w:t>(</w:t>
      </w:r>
      <w:r w:rsidRPr="00C1338B">
        <w:rPr>
          <w:rStyle w:val="FootnoteReference"/>
          <w:rFonts w:cs="Times New Roman"/>
          <w:b w:val="0"/>
          <w:vertAlign w:val="baseline"/>
        </w:rPr>
        <w:footnoteRef/>
      </w:r>
      <w:r>
        <w:rPr>
          <w:sz w:val="26"/>
          <w:rtl/>
        </w:rPr>
        <w:t>)</w:t>
      </w:r>
      <w:r>
        <w:rPr>
          <w:sz w:val="26"/>
          <w:rtl/>
        </w:rPr>
        <w:tab/>
      </w:r>
      <w:r w:rsidRPr="00CE6955">
        <w:t xml:space="preserve">South Sudan </w:t>
      </w:r>
      <w:r w:rsidRPr="00C1338B">
        <w:rPr>
          <w:szCs w:val="18"/>
        </w:rPr>
        <w:t>2010</w:t>
      </w:r>
      <w:r w:rsidRPr="00CE6955">
        <w:t xml:space="preserve"> Household Health Survey, </w:t>
      </w:r>
      <w:r w:rsidRPr="00C1338B">
        <w:rPr>
          <w:szCs w:val="18"/>
        </w:rPr>
        <w:t>2010</w:t>
      </w:r>
      <w:r>
        <w:rPr>
          <w:rFonts w:hint="cs"/>
          <w:rtl/>
        </w:rPr>
        <w:t xml:space="preserve"> </w:t>
      </w:r>
      <w:r w:rsidRPr="008B7751">
        <w:rPr>
          <w:rtl/>
        </w:rPr>
        <w:t xml:space="preserve">(جنوب السودان، دراسة استقصائية صحية للأسر المعيشية، </w:t>
      </w:r>
      <w:r w:rsidRPr="00C1338B">
        <w:rPr>
          <w:szCs w:val="18"/>
          <w:rtl/>
        </w:rPr>
        <w:t>2010</w:t>
      </w:r>
      <w:r w:rsidRPr="008B7751">
        <w:rPr>
          <w:rtl/>
        </w:rPr>
        <w:t>).</w:t>
      </w:r>
      <w:r>
        <w:rPr>
          <w:rFonts w:hint="cs"/>
          <w:rtl/>
        </w:rPr>
        <w:t xml:space="preserve"> </w:t>
      </w:r>
    </w:p>
  </w:footnote>
  <w:footnote w:id="7">
    <w:p w:rsidR="0004022E" w:rsidRPr="003E79CA" w:rsidRDefault="0004022E" w:rsidP="00C1338B">
      <w:pPr>
        <w:pStyle w:val="FootnoteText1"/>
        <w:rPr>
          <w:rFonts w:hint="cs"/>
        </w:rPr>
      </w:pPr>
      <w:r w:rsidRPr="003E79CA">
        <w:rPr>
          <w:rtl/>
        </w:rPr>
        <w:t>(</w:t>
      </w:r>
      <w:r w:rsidRPr="00C1338B">
        <w:rPr>
          <w:rStyle w:val="FootnoteReference"/>
          <w:rFonts w:cs="Times New Roman"/>
          <w:b w:val="0"/>
          <w:vertAlign w:val="baseline"/>
        </w:rPr>
        <w:footnoteRef/>
      </w:r>
      <w:r>
        <w:rPr>
          <w:sz w:val="26"/>
          <w:rtl/>
        </w:rPr>
        <w:t>)</w:t>
      </w:r>
      <w:r>
        <w:rPr>
          <w:sz w:val="26"/>
          <w:rtl/>
        </w:rPr>
        <w:tab/>
      </w:r>
      <w:r w:rsidRPr="008B7751">
        <w:rPr>
          <w:rtl/>
        </w:rPr>
        <w:t xml:space="preserve">المادة </w:t>
      </w:r>
      <w:r w:rsidRPr="00C1338B">
        <w:rPr>
          <w:szCs w:val="18"/>
          <w:rtl/>
        </w:rPr>
        <w:t>5</w:t>
      </w:r>
      <w:r w:rsidRPr="008B7751">
        <w:rPr>
          <w:rtl/>
        </w:rPr>
        <w:t xml:space="preserve"> من الدستور الانتقالي لجنوب السودان لعام </w:t>
      </w:r>
      <w:r w:rsidRPr="00C1338B">
        <w:rPr>
          <w:szCs w:val="18"/>
          <w:rtl/>
        </w:rPr>
        <w:t>2011</w:t>
      </w:r>
      <w:r w:rsidRPr="008B7751">
        <w:rPr>
          <w:rtl/>
        </w:rPr>
        <w:t>.</w:t>
      </w:r>
      <w:r w:rsidRPr="003E79CA">
        <w:rPr>
          <w:rtl/>
        </w:rPr>
        <w:t xml:space="preserve"> </w:t>
      </w:r>
    </w:p>
  </w:footnote>
  <w:footnote w:id="8">
    <w:p w:rsidR="0004022E" w:rsidRPr="003E79CA" w:rsidRDefault="0004022E" w:rsidP="0004022E">
      <w:pPr>
        <w:pStyle w:val="FootnoteText1"/>
        <w:spacing w:line="240" w:lineRule="exact"/>
        <w:rPr>
          <w:rFonts w:hint="cs"/>
        </w:rPr>
      </w:pPr>
      <w:r w:rsidRPr="003E79CA">
        <w:rPr>
          <w:rtl/>
        </w:rPr>
        <w:t>(</w:t>
      </w:r>
      <w:r w:rsidRPr="00C1338B">
        <w:rPr>
          <w:rStyle w:val="FootnoteReference"/>
          <w:rFonts w:cs="Times New Roman"/>
          <w:b w:val="0"/>
          <w:vertAlign w:val="baseline"/>
        </w:rPr>
        <w:footnoteRef/>
      </w:r>
      <w:r>
        <w:rPr>
          <w:sz w:val="26"/>
          <w:rtl/>
        </w:rPr>
        <w:t>)</w:t>
      </w:r>
      <w:r>
        <w:rPr>
          <w:sz w:val="26"/>
          <w:rtl/>
        </w:rPr>
        <w:tab/>
      </w:r>
      <w:r w:rsidRPr="00CE6955">
        <w:t xml:space="preserve">Sudan Tribune, Plural News and Views on Sudan, National Elections Commission (NEC) – South Sudan, </w:t>
      </w:r>
      <w:hyperlink r:id="rId3" w:history="1">
        <w:r w:rsidRPr="00CE6955">
          <w:t>http://www.sudantribune.com/spip.php?mot</w:t>
        </w:r>
        <w:r w:rsidRPr="00C1338B">
          <w:rPr>
            <w:szCs w:val="18"/>
          </w:rPr>
          <w:t>1053</w:t>
        </w:r>
      </w:hyperlink>
      <w:r>
        <w:rPr>
          <w:rFonts w:hint="cs"/>
          <w:rtl/>
        </w:rPr>
        <w:t>.</w:t>
      </w:r>
      <w:r w:rsidRPr="003E79CA">
        <w:rPr>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022E" w:rsidRPr="00633584" w:rsidRDefault="0004022E" w:rsidP="00633584">
    <w:pPr>
      <w:pStyle w:val="Header"/>
      <w:jc w:val="right"/>
    </w:pPr>
    <w:r w:rsidRPr="00633584">
      <w:t>HRI/CORE/SSD/2020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022E" w:rsidRPr="00633584" w:rsidRDefault="0004022E" w:rsidP="00633584">
    <w:pPr>
      <w:pStyle w:val="Header"/>
      <w:jc w:val="left"/>
    </w:pPr>
    <w:r w:rsidRPr="00633584">
      <w:t>HRI/CORE/SSD/2020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3"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5"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7"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6"/>
  </w:num>
  <w:num w:numId="2">
    <w:abstractNumId w:val="5"/>
  </w:num>
  <w:num w:numId="3">
    <w:abstractNumId w:val="1"/>
  </w:num>
  <w:num w:numId="4">
    <w:abstractNumId w:val="4"/>
  </w:num>
  <w:num w:numId="5">
    <w:abstractNumId w:val="3"/>
  </w:num>
  <w:num w:numId="6">
    <w:abstractNumId w:val="2"/>
  </w:num>
  <w:num w:numId="7">
    <w:abstractNumId w:val="7"/>
  </w:num>
  <w:num w:numId="8">
    <w:abstractNumId w:val="1"/>
  </w:num>
  <w:num w:numId="9">
    <w:abstractNumId w:val="4"/>
  </w:num>
  <w:num w:numId="10">
    <w:abstractNumId w:val="2"/>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attachedTemplate r:id="rId1"/>
  <w:defaultTabStop w:val="567"/>
  <w:evenAndOddHeaders/>
  <w:characterSpacingControl w:val="doNotCompress"/>
  <w:savePreviewPicture/>
  <w:hdrShapeDefaults>
    <o:shapedefaults v:ext="edit" spidmax="2049"/>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Setting w:name="useWord2013TrackBottomHyphenation" w:uri="http://schemas.microsoft.com/office/word" w:val="0"/>
  </w:compat>
  <w:rsids>
    <w:rsidRoot w:val="00553FC5"/>
    <w:rsid w:val="000076D5"/>
    <w:rsid w:val="000241FD"/>
    <w:rsid w:val="0004022E"/>
    <w:rsid w:val="00043663"/>
    <w:rsid w:val="000505CF"/>
    <w:rsid w:val="0008232D"/>
    <w:rsid w:val="000C391F"/>
    <w:rsid w:val="000D701C"/>
    <w:rsid w:val="000E2A71"/>
    <w:rsid w:val="00160263"/>
    <w:rsid w:val="00181F96"/>
    <w:rsid w:val="001A1371"/>
    <w:rsid w:val="001B346A"/>
    <w:rsid w:val="001C5513"/>
    <w:rsid w:val="001D35BD"/>
    <w:rsid w:val="001E1CAD"/>
    <w:rsid w:val="001E290D"/>
    <w:rsid w:val="002144FA"/>
    <w:rsid w:val="0023469A"/>
    <w:rsid w:val="00243C8A"/>
    <w:rsid w:val="00267A0E"/>
    <w:rsid w:val="002901D9"/>
    <w:rsid w:val="002976C2"/>
    <w:rsid w:val="002A3D48"/>
    <w:rsid w:val="002C386F"/>
    <w:rsid w:val="003260FF"/>
    <w:rsid w:val="00343D95"/>
    <w:rsid w:val="00354CC2"/>
    <w:rsid w:val="003661C1"/>
    <w:rsid w:val="00374341"/>
    <w:rsid w:val="003D1062"/>
    <w:rsid w:val="003E79CA"/>
    <w:rsid w:val="003F1CBD"/>
    <w:rsid w:val="00414882"/>
    <w:rsid w:val="00420D7B"/>
    <w:rsid w:val="00450B21"/>
    <w:rsid w:val="00453B63"/>
    <w:rsid w:val="00455780"/>
    <w:rsid w:val="004B0A1C"/>
    <w:rsid w:val="004D298E"/>
    <w:rsid w:val="004D7897"/>
    <w:rsid w:val="004E629A"/>
    <w:rsid w:val="00503867"/>
    <w:rsid w:val="0054472E"/>
    <w:rsid w:val="00553FC5"/>
    <w:rsid w:val="005662A9"/>
    <w:rsid w:val="005827D4"/>
    <w:rsid w:val="0059622A"/>
    <w:rsid w:val="005C5878"/>
    <w:rsid w:val="005C7CEA"/>
    <w:rsid w:val="005D3C0B"/>
    <w:rsid w:val="005E5217"/>
    <w:rsid w:val="005F0FA4"/>
    <w:rsid w:val="005F30EE"/>
    <w:rsid w:val="0060473A"/>
    <w:rsid w:val="00633584"/>
    <w:rsid w:val="00656392"/>
    <w:rsid w:val="0068781D"/>
    <w:rsid w:val="006959B0"/>
    <w:rsid w:val="006B0ECA"/>
    <w:rsid w:val="006B3E27"/>
    <w:rsid w:val="006B6507"/>
    <w:rsid w:val="006C104C"/>
    <w:rsid w:val="00733704"/>
    <w:rsid w:val="0078071A"/>
    <w:rsid w:val="007C1295"/>
    <w:rsid w:val="00852A9A"/>
    <w:rsid w:val="00857D65"/>
    <w:rsid w:val="008B7751"/>
    <w:rsid w:val="008F49E1"/>
    <w:rsid w:val="0090370F"/>
    <w:rsid w:val="009269D2"/>
    <w:rsid w:val="00942135"/>
    <w:rsid w:val="009521B0"/>
    <w:rsid w:val="00963593"/>
    <w:rsid w:val="00994130"/>
    <w:rsid w:val="009A23B9"/>
    <w:rsid w:val="009A7E9F"/>
    <w:rsid w:val="009B20A3"/>
    <w:rsid w:val="009C7ED1"/>
    <w:rsid w:val="009E5018"/>
    <w:rsid w:val="00A12B37"/>
    <w:rsid w:val="00A130A4"/>
    <w:rsid w:val="00AA29CE"/>
    <w:rsid w:val="00AB6758"/>
    <w:rsid w:val="00B13763"/>
    <w:rsid w:val="00B477A4"/>
    <w:rsid w:val="00B54045"/>
    <w:rsid w:val="00BA6644"/>
    <w:rsid w:val="00C1338B"/>
    <w:rsid w:val="00C2646E"/>
    <w:rsid w:val="00C438D7"/>
    <w:rsid w:val="00C81B50"/>
    <w:rsid w:val="00CB28F9"/>
    <w:rsid w:val="00CD1801"/>
    <w:rsid w:val="00D014BA"/>
    <w:rsid w:val="00D10EF1"/>
    <w:rsid w:val="00D42810"/>
    <w:rsid w:val="00D820E8"/>
    <w:rsid w:val="00D914A7"/>
    <w:rsid w:val="00DD13C3"/>
    <w:rsid w:val="00DD596E"/>
    <w:rsid w:val="00DD621E"/>
    <w:rsid w:val="00DF0575"/>
    <w:rsid w:val="00E700F1"/>
    <w:rsid w:val="00E70E04"/>
    <w:rsid w:val="00E74A0C"/>
    <w:rsid w:val="00E76499"/>
    <w:rsid w:val="00EB66C8"/>
    <w:rsid w:val="00EC05A7"/>
    <w:rsid w:val="00EC4B6B"/>
    <w:rsid w:val="00EF1EE5"/>
    <w:rsid w:val="00F763B4"/>
    <w:rsid w:val="00F900C3"/>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6D1C4DD"/>
  <w15:docId w15:val="{BAF950C0-3B52-4957-AFD2-0B453060C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rsid w:val="001A1371"/>
    <w:pPr>
      <w:spacing w:line="240" w:lineRule="auto"/>
    </w:pPr>
    <w:rPr>
      <w:szCs w:val="20"/>
    </w:rPr>
  </w:style>
  <w:style w:type="character" w:customStyle="1" w:styleId="FootnoteTextChar">
    <w:name w:val="Footnote Text Char"/>
    <w:aliases w:val="5_G Char"/>
    <w:basedOn w:val="DefaultParagraphFont"/>
    <w:link w:val="FootnoteText"/>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C1338B"/>
    <w:pPr>
      <w:tabs>
        <w:tab w:val="right" w:pos="1021"/>
      </w:tabs>
      <w:spacing w:before="240" w:after="120" w:line="360" w:lineRule="exact"/>
      <w:ind w:left="1247" w:right="1247" w:hanging="1247"/>
    </w:pPr>
    <w:rPr>
      <w:rFonts w:ascii="Times New Roman Bold" w:hAnsi="Times New Roman Bold"/>
      <w:b/>
      <w:bCs/>
      <w:szCs w:val="28"/>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C1338B"/>
    <w:pPr>
      <w:tabs>
        <w:tab w:val="left" w:pos="1928"/>
        <w:tab w:val="left" w:pos="2608"/>
        <w:tab w:val="left" w:pos="3289"/>
        <w:tab w:val="left" w:pos="3969"/>
        <w:tab w:val="left" w:pos="4649"/>
        <w:tab w:val="left" w:pos="5330"/>
      </w:tabs>
      <w:spacing w:after="120" w:line="360" w:lineRule="exact"/>
      <w:ind w:left="1247" w:right="1247"/>
    </w:pPr>
    <w:rPr>
      <w:szCs w:val="28"/>
    </w:r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994130"/>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SingleTxtG">
    <w:name w:val="_ Single Txt_G"/>
    <w:basedOn w:val="Normal"/>
    <w:rsid w:val="00D820E8"/>
    <w:pPr>
      <w:bidi w:val="0"/>
      <w:spacing w:after="120" w:line="240" w:lineRule="auto"/>
      <w:ind w:left="1134" w:right="1134"/>
      <w:jc w:val="both"/>
    </w:pPr>
    <w:rPr>
      <w:rFonts w:eastAsia="SimSun" w:cs="Times New Roman"/>
      <w:szCs w:val="20"/>
      <w:lang w:val="en-GB" w:eastAsia="zh-CN"/>
    </w:rPr>
  </w:style>
  <w:style w:type="paragraph" w:styleId="ListBullet3">
    <w:name w:val="List Bullet 3"/>
    <w:basedOn w:val="Normal"/>
    <w:semiHidden/>
    <w:rsid w:val="00857D65"/>
    <w:pPr>
      <w:numPr>
        <w:numId w:val="12"/>
      </w:numPr>
      <w:bidi w:val="0"/>
      <w:spacing w:line="240" w:lineRule="auto"/>
      <w:jc w:val="left"/>
    </w:pPr>
    <w:rPr>
      <w:rFonts w:eastAsia="SimSun" w:cs="Times New Roman"/>
      <w:szCs w:val="20"/>
      <w:lang w:val="en-GB" w:eastAsia="zh-CN"/>
    </w:rPr>
  </w:style>
  <w:style w:type="character" w:styleId="Hyperlink">
    <w:name w:val="Hyperlink"/>
    <w:basedOn w:val="DefaultParagraphFont"/>
    <w:uiPriority w:val="99"/>
    <w:unhideWhenUsed/>
    <w:rsid w:val="000C391F"/>
    <w:rPr>
      <w:color w:val="0000FF" w:themeColor="hyperlink"/>
      <w:u w:val="single"/>
    </w:rPr>
  </w:style>
  <w:style w:type="character" w:styleId="UnresolvedMention">
    <w:name w:val="Unresolved Mention"/>
    <w:basedOn w:val="DefaultParagraphFont"/>
    <w:uiPriority w:val="99"/>
    <w:semiHidden/>
    <w:unhideWhenUsed/>
    <w:rsid w:val="000C39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13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www.sudantribune.com/spip.php?mot1053" TargetMode="External"/><Relationship Id="rId2" Type="http://schemas.openxmlformats.org/officeDocument/2006/relationships/hyperlink" Target="https://www.indexmundi.com/south_sudan/demographics_profile.html" TargetMode="External"/><Relationship Id="rId1" Type="http://schemas.openxmlformats.org/officeDocument/2006/relationships/hyperlink" Target="https://www.google.com/search?q=map+of+south+sudan+and+surrounding+countri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HRI.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B2A74-D161-49F3-A0E3-D02E8B295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HRI.dotm</Template>
  <TotalTime>0</TotalTime>
  <Pages>9</Pages>
  <Words>2355</Words>
  <Characters>13430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GE: 2003139</vt:lpstr>
    </vt:vector>
  </TitlesOfParts>
  <Company>DCM</Company>
  <LinksUpToDate>false</LinksUpToDate>
  <CharactersWithSpaces>15754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 2003139</dc:title>
  <dc:subject>HRI/CORE/SSD/2020</dc:subject>
  <dc:creator>Gamal MAHMOUD</dc:creator>
  <cp:keywords>ODS NO: 2005385</cp:keywords>
  <dc:description>Distr.: General_x000d_
28 February 2020_x000d_
Original: English</dc:description>
  <cp:lastModifiedBy>Gamal Mohamed Abdelhamid Mahmoud</cp:lastModifiedBy>
  <cp:revision>2</cp:revision>
  <cp:lastPrinted>2020-03-03T15:41:00Z</cp:lastPrinted>
  <dcterms:created xsi:type="dcterms:W3CDTF">2020-03-04T07:47:00Z</dcterms:created>
  <dcterms:modified xsi:type="dcterms:W3CDTF">2020-03-04T07:47:00Z</dcterms:modified>
</cp:coreProperties>
</file>