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2273"/>
        <w:gridCol w:w="3267"/>
        <w:gridCol w:w="2819"/>
      </w:tblGrid>
      <w:tr w:rsidR="002D5AAC" w:rsidTr="0018649F">
        <w:trPr>
          <w:trHeight w:hRule="exact" w:val="851"/>
        </w:trPr>
        <w:tc>
          <w:tcPr>
            <w:tcW w:w="1276" w:type="dxa"/>
            <w:tcBorders>
              <w:bottom w:val="single" w:sz="4" w:space="0" w:color="auto"/>
            </w:tcBorders>
          </w:tcPr>
          <w:p w:rsidR="002D5AAC" w:rsidRDefault="002D5AAC" w:rsidP="0018649F"/>
        </w:tc>
        <w:tc>
          <w:tcPr>
            <w:tcW w:w="2268" w:type="dxa"/>
            <w:tcBorders>
              <w:bottom w:val="single" w:sz="4" w:space="0" w:color="auto"/>
            </w:tcBorders>
            <w:vAlign w:val="bottom"/>
          </w:tcPr>
          <w:p w:rsidR="002D5AAC" w:rsidRPr="00BD33EE" w:rsidRDefault="00BD33EE" w:rsidP="0018649F">
            <w:pPr>
              <w:spacing w:after="80" w:line="300" w:lineRule="exact"/>
              <w:rPr>
                <w:sz w:val="28"/>
              </w:rPr>
            </w:pPr>
            <w:r w:rsidRPr="00BD33EE">
              <w:rPr>
                <w:sz w:val="28"/>
              </w:rPr>
              <w:t>Naciones Unidas</w:t>
            </w:r>
          </w:p>
        </w:tc>
        <w:tc>
          <w:tcPr>
            <w:tcW w:w="6073" w:type="dxa"/>
            <w:gridSpan w:val="2"/>
            <w:tcBorders>
              <w:bottom w:val="single" w:sz="4" w:space="0" w:color="auto"/>
            </w:tcBorders>
            <w:vAlign w:val="bottom"/>
          </w:tcPr>
          <w:p w:rsidR="002D5AAC" w:rsidRDefault="00F236D5" w:rsidP="00F236D5">
            <w:pPr>
              <w:jc w:val="right"/>
            </w:pPr>
            <w:r w:rsidRPr="00F236D5">
              <w:rPr>
                <w:sz w:val="40"/>
              </w:rPr>
              <w:t>HRI</w:t>
            </w:r>
            <w:r>
              <w:t>/CORE/NZL/2010</w:t>
            </w:r>
          </w:p>
        </w:tc>
      </w:tr>
      <w:tr w:rsidR="002D5AAC" w:rsidTr="0018649F">
        <w:trPr>
          <w:trHeight w:hRule="exact" w:val="2835"/>
        </w:trPr>
        <w:tc>
          <w:tcPr>
            <w:tcW w:w="1276" w:type="dxa"/>
            <w:tcBorders>
              <w:top w:val="single" w:sz="4" w:space="0" w:color="auto"/>
              <w:bottom w:val="single" w:sz="12" w:space="0" w:color="auto"/>
            </w:tcBorders>
          </w:tcPr>
          <w:p w:rsidR="002D5AAC" w:rsidRDefault="00BD33EE" w:rsidP="0018649F">
            <w:pPr>
              <w:spacing w:before="12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6.5pt">
                  <v:imagedata r:id="rId7" o:title="_unlogo"/>
                </v:shape>
              </w:pict>
            </w:r>
          </w:p>
        </w:tc>
        <w:tc>
          <w:tcPr>
            <w:tcW w:w="5528" w:type="dxa"/>
            <w:gridSpan w:val="2"/>
            <w:tcBorders>
              <w:top w:val="single" w:sz="4" w:space="0" w:color="auto"/>
              <w:bottom w:val="single" w:sz="12" w:space="0" w:color="auto"/>
            </w:tcBorders>
          </w:tcPr>
          <w:p w:rsidR="002D5AAC" w:rsidRPr="00033EE1" w:rsidRDefault="00DB6076" w:rsidP="005A1AA8">
            <w:pPr>
              <w:spacing w:before="120" w:line="380" w:lineRule="exact"/>
              <w:rPr>
                <w:b/>
                <w:sz w:val="34"/>
                <w:szCs w:val="34"/>
              </w:rPr>
            </w:pPr>
            <w:r>
              <w:rPr>
                <w:b/>
                <w:sz w:val="34"/>
                <w:szCs w:val="34"/>
              </w:rPr>
              <w:t>Instrumentos Internacionales</w:t>
            </w:r>
            <w:r>
              <w:rPr>
                <w:b/>
                <w:sz w:val="34"/>
                <w:szCs w:val="34"/>
              </w:rPr>
              <w:br/>
              <w:t>de Derechos Humanos</w:t>
            </w:r>
          </w:p>
        </w:tc>
        <w:tc>
          <w:tcPr>
            <w:tcW w:w="2813" w:type="dxa"/>
            <w:tcBorders>
              <w:top w:val="single" w:sz="4" w:space="0" w:color="auto"/>
              <w:bottom w:val="single" w:sz="12" w:space="0" w:color="auto"/>
            </w:tcBorders>
          </w:tcPr>
          <w:p w:rsidR="00F236D5" w:rsidRDefault="00F236D5" w:rsidP="00557AA7">
            <w:pPr>
              <w:spacing w:before="240"/>
            </w:pPr>
            <w:r>
              <w:t>Distr. general</w:t>
            </w:r>
          </w:p>
          <w:p w:rsidR="00F236D5" w:rsidRDefault="00F236D5" w:rsidP="00F236D5">
            <w:pPr>
              <w:spacing w:line="240" w:lineRule="exact"/>
            </w:pPr>
            <w:r>
              <w:t>11 de marzo de 2011</w:t>
            </w:r>
          </w:p>
          <w:p w:rsidR="00F236D5" w:rsidRDefault="00F236D5" w:rsidP="00F236D5">
            <w:pPr>
              <w:spacing w:line="240" w:lineRule="exact"/>
            </w:pPr>
            <w:r>
              <w:t>Español</w:t>
            </w:r>
          </w:p>
          <w:p w:rsidR="002D5AAC" w:rsidRDefault="00F236D5" w:rsidP="00F236D5">
            <w:pPr>
              <w:spacing w:line="240" w:lineRule="exact"/>
            </w:pPr>
            <w:r>
              <w:t>Original: inglés</w:t>
            </w:r>
          </w:p>
        </w:tc>
      </w:tr>
    </w:tbl>
    <w:p w:rsidR="006F35EE" w:rsidRDefault="006F35EE" w:rsidP="001075E9"/>
    <w:p w:rsidR="00F236D5" w:rsidRPr="00F34D17" w:rsidRDefault="009D0F1D" w:rsidP="00F236D5">
      <w:pPr>
        <w:pStyle w:val="HMG"/>
      </w:pPr>
      <w:r>
        <w:tab/>
      </w:r>
      <w:r>
        <w:tab/>
      </w:r>
      <w:r w:rsidR="00F236D5" w:rsidRPr="00F34D17">
        <w:t>Documento básico que forma parte integrante</w:t>
      </w:r>
      <w:r w:rsidR="00F236D5">
        <w:br/>
      </w:r>
      <w:r w:rsidR="00F236D5" w:rsidRPr="00F34D17">
        <w:t>de los informes de los Estados partes</w:t>
      </w:r>
    </w:p>
    <w:p w:rsidR="00F236D5" w:rsidRPr="00F34D17" w:rsidRDefault="00F236D5" w:rsidP="00F236D5">
      <w:pPr>
        <w:pStyle w:val="HMG"/>
      </w:pPr>
      <w:r>
        <w:tab/>
      </w:r>
      <w:r>
        <w:tab/>
      </w:r>
      <w:r w:rsidRPr="00F34D17">
        <w:t>Nueva</w:t>
      </w:r>
      <w:r>
        <w:t xml:space="preserve"> </w:t>
      </w:r>
      <w:r w:rsidRPr="00F34D17">
        <w:t>Zelandia</w:t>
      </w:r>
      <w:r w:rsidRPr="00924671">
        <w:rPr>
          <w:rStyle w:val="FootnoteReference"/>
          <w:b w:val="0"/>
          <w:sz w:val="20"/>
          <w:vertAlign w:val="baseline"/>
        </w:rPr>
        <w:footnoteReference w:customMarkFollows="1" w:id="1"/>
        <w:t>*</w:t>
      </w:r>
    </w:p>
    <w:p w:rsidR="00F236D5" w:rsidRPr="00F34D17" w:rsidRDefault="00F236D5" w:rsidP="00F236D5">
      <w:pPr>
        <w:pStyle w:val="SingleTxtG"/>
        <w:jc w:val="right"/>
      </w:pPr>
      <w:r w:rsidRPr="00F34D17">
        <w:t>[30 de septiembre de 2010]</w:t>
      </w:r>
    </w:p>
    <w:p w:rsidR="00F236D5" w:rsidRPr="00F34D17" w:rsidRDefault="00F236D5" w:rsidP="00F236D5"/>
    <w:p w:rsidR="00F236D5" w:rsidRPr="00F34D17" w:rsidRDefault="00F236D5" w:rsidP="00F236D5"/>
    <w:p w:rsidR="00F236D5" w:rsidRDefault="00F236D5" w:rsidP="00F236D5">
      <w:pPr>
        <w:spacing w:after="120"/>
        <w:rPr>
          <w:sz w:val="28"/>
        </w:rPr>
      </w:pPr>
      <w:r>
        <w:br w:type="page"/>
      </w:r>
      <w:r>
        <w:rPr>
          <w:sz w:val="28"/>
        </w:rPr>
        <w:t>Índice</w:t>
      </w:r>
    </w:p>
    <w:p w:rsidR="00F236D5" w:rsidRDefault="00F236D5" w:rsidP="00F236D5">
      <w:pPr>
        <w:tabs>
          <w:tab w:val="right" w:pos="8929"/>
          <w:tab w:val="right" w:pos="9638"/>
        </w:tabs>
        <w:spacing w:after="120"/>
        <w:ind w:left="283"/>
        <w:rPr>
          <w:sz w:val="18"/>
        </w:rPr>
      </w:pPr>
      <w:r>
        <w:rPr>
          <w:i/>
          <w:sz w:val="18"/>
        </w:rPr>
        <w:tab/>
        <w:t>Párrafos</w:t>
      </w:r>
      <w:r>
        <w:rPr>
          <w:i/>
          <w:sz w:val="18"/>
        </w:rPr>
        <w:tab/>
        <w:t>Página</w:t>
      </w:r>
    </w:p>
    <w:p w:rsidR="00F236D5" w:rsidRPr="00974732" w:rsidRDefault="00F236D5" w:rsidP="00F236D5">
      <w:pPr>
        <w:tabs>
          <w:tab w:val="right" w:pos="850"/>
          <w:tab w:val="left" w:pos="1134"/>
          <w:tab w:val="left" w:pos="1559"/>
          <w:tab w:val="left" w:pos="1984"/>
          <w:tab w:val="left" w:leader="dot" w:pos="7654"/>
          <w:tab w:val="right" w:pos="8929"/>
          <w:tab w:val="right" w:pos="9638"/>
        </w:tabs>
        <w:spacing w:after="120"/>
      </w:pPr>
      <w:r>
        <w:tab/>
      </w:r>
      <w:r w:rsidRPr="00974732">
        <w:t>I.</w:t>
      </w:r>
      <w:r w:rsidRPr="00974732">
        <w:tab/>
        <w:t>Datos y estadísticas generales</w:t>
      </w:r>
      <w:r>
        <w:tab/>
      </w:r>
      <w:r>
        <w:tab/>
        <w:t>1–171</w:t>
      </w:r>
      <w:r>
        <w:tab/>
      </w:r>
      <w:r w:rsidR="00B376D5">
        <w:t>5</w:t>
      </w:r>
    </w:p>
    <w:p w:rsidR="00F236D5" w:rsidRDefault="00F236D5" w:rsidP="00F236D5">
      <w:pPr>
        <w:tabs>
          <w:tab w:val="right" w:pos="850"/>
          <w:tab w:val="left" w:pos="1134"/>
          <w:tab w:val="left" w:pos="1559"/>
          <w:tab w:val="left" w:pos="1984"/>
          <w:tab w:val="left" w:leader="dot" w:pos="7654"/>
          <w:tab w:val="right" w:pos="8929"/>
          <w:tab w:val="right" w:pos="9638"/>
        </w:tabs>
        <w:spacing w:after="120"/>
      </w:pPr>
      <w:r>
        <w:tab/>
      </w:r>
      <w:r w:rsidRPr="00974732">
        <w:tab/>
        <w:t>A.</w:t>
      </w:r>
      <w:r w:rsidRPr="00974732">
        <w:tab/>
        <w:t>Características demográficas, económicas, sociales y culturales</w:t>
      </w:r>
      <w:r>
        <w:tab/>
      </w:r>
      <w:r>
        <w:tab/>
        <w:t>1–139</w:t>
      </w:r>
      <w:r>
        <w:tab/>
      </w:r>
      <w:r w:rsidR="00B376D5">
        <w:t>5</w:t>
      </w:r>
    </w:p>
    <w:p w:rsidR="00EF62BD" w:rsidRDefault="00F236D5" w:rsidP="00EF62BD">
      <w:pPr>
        <w:tabs>
          <w:tab w:val="right" w:pos="850"/>
          <w:tab w:val="left" w:pos="1134"/>
          <w:tab w:val="left" w:pos="1559"/>
          <w:tab w:val="left" w:pos="1984"/>
          <w:tab w:val="left" w:leader="dot" w:pos="7654"/>
          <w:tab w:val="right" w:pos="8929"/>
          <w:tab w:val="right" w:pos="9638"/>
        </w:tabs>
        <w:spacing w:after="120"/>
      </w:pPr>
      <w:r>
        <w:tab/>
      </w:r>
      <w:r>
        <w:tab/>
        <w:t>B.</w:t>
      </w:r>
      <w:r>
        <w:tab/>
      </w:r>
      <w:r w:rsidR="00EF62BD" w:rsidRPr="00B816F6">
        <w:t>Estructura constitucional, política y jurídica</w:t>
      </w:r>
      <w:r w:rsidR="00EF62BD">
        <w:tab/>
      </w:r>
      <w:r w:rsidR="00EF62BD">
        <w:tab/>
        <w:t>140–171</w:t>
      </w:r>
      <w:r w:rsidR="00EF62BD">
        <w:tab/>
      </w:r>
      <w:r w:rsidR="00B376D5">
        <w:t>45</w:t>
      </w:r>
    </w:p>
    <w:p w:rsidR="00EF62BD" w:rsidRDefault="00EF62BD" w:rsidP="00EF62BD">
      <w:pPr>
        <w:tabs>
          <w:tab w:val="right" w:pos="850"/>
          <w:tab w:val="left" w:pos="1134"/>
          <w:tab w:val="left" w:pos="1559"/>
          <w:tab w:val="left" w:pos="1984"/>
          <w:tab w:val="left" w:leader="dot" w:pos="7654"/>
          <w:tab w:val="right" w:pos="8929"/>
          <w:tab w:val="right" w:pos="9638"/>
        </w:tabs>
        <w:spacing w:after="120"/>
      </w:pPr>
      <w:r>
        <w:tab/>
        <w:t>II.</w:t>
      </w:r>
      <w:r>
        <w:tab/>
      </w:r>
      <w:r w:rsidRPr="00AB1EE0">
        <w:t>Marco general para la promoción y protección de los derechos humanos</w:t>
      </w:r>
      <w:r>
        <w:tab/>
      </w:r>
      <w:r>
        <w:tab/>
        <w:t>172–240</w:t>
      </w:r>
      <w:r>
        <w:tab/>
      </w:r>
      <w:r w:rsidR="00B376D5">
        <w:t>51</w:t>
      </w:r>
    </w:p>
    <w:p w:rsidR="00EF62BD" w:rsidRDefault="00EF62BD" w:rsidP="00EF62BD">
      <w:pPr>
        <w:tabs>
          <w:tab w:val="right" w:pos="850"/>
          <w:tab w:val="left" w:pos="1134"/>
          <w:tab w:val="left" w:pos="1559"/>
          <w:tab w:val="left" w:pos="1984"/>
          <w:tab w:val="left" w:leader="dot" w:pos="7654"/>
          <w:tab w:val="right" w:pos="8929"/>
          <w:tab w:val="right" w:pos="9638"/>
        </w:tabs>
        <w:spacing w:after="120"/>
      </w:pPr>
      <w:r>
        <w:tab/>
      </w:r>
      <w:r>
        <w:tab/>
        <w:t>A.</w:t>
      </w:r>
      <w:r>
        <w:tab/>
      </w:r>
      <w:r w:rsidRPr="00AB1EE0">
        <w:t>Instrumentos internacionales de derechos humanos aceptados</w:t>
      </w:r>
      <w:r>
        <w:t xml:space="preserve"> </w:t>
      </w:r>
      <w:r w:rsidRPr="00AB1EE0">
        <w:t>por</w:t>
      </w:r>
      <w:r>
        <w:br/>
      </w:r>
      <w:r>
        <w:tab/>
      </w:r>
      <w:r>
        <w:tab/>
      </w:r>
      <w:r>
        <w:tab/>
      </w:r>
      <w:r w:rsidRPr="00AB1EE0">
        <w:t>Nueva Zelandia</w:t>
      </w:r>
      <w:r>
        <w:tab/>
      </w:r>
      <w:r>
        <w:tab/>
        <w:t>172</w:t>
      </w:r>
      <w:r>
        <w:tab/>
      </w:r>
      <w:r w:rsidR="00B376D5">
        <w:t>51</w:t>
      </w:r>
    </w:p>
    <w:p w:rsidR="00EF62BD" w:rsidRDefault="00EF62BD" w:rsidP="00EF62BD">
      <w:pPr>
        <w:tabs>
          <w:tab w:val="right" w:pos="850"/>
          <w:tab w:val="left" w:pos="1134"/>
          <w:tab w:val="left" w:pos="1559"/>
          <w:tab w:val="left" w:pos="1984"/>
          <w:tab w:val="left" w:leader="dot" w:pos="7654"/>
          <w:tab w:val="right" w:pos="8929"/>
          <w:tab w:val="right" w:pos="9638"/>
        </w:tabs>
        <w:spacing w:after="120"/>
        <w:rPr>
          <w:lang w:val="es-ES_tradnl"/>
        </w:rPr>
      </w:pPr>
      <w:r>
        <w:tab/>
      </w:r>
      <w:r>
        <w:tab/>
        <w:t>B.</w:t>
      </w:r>
      <w:r>
        <w:tab/>
      </w:r>
      <w:r w:rsidRPr="00AB1EE0">
        <w:rPr>
          <w:lang w:val="es-ES_tradnl"/>
        </w:rPr>
        <w:t>Marco jurídico general para la protección de los derechos humanos</w:t>
      </w:r>
      <w:r>
        <w:rPr>
          <w:lang w:val="es-ES_tradnl"/>
        </w:rPr>
        <w:br/>
      </w:r>
      <w:r>
        <w:rPr>
          <w:lang w:val="es-ES_tradnl"/>
        </w:rPr>
        <w:tab/>
      </w:r>
      <w:r>
        <w:rPr>
          <w:lang w:val="es-ES_tradnl"/>
        </w:rPr>
        <w:tab/>
      </w:r>
      <w:r>
        <w:rPr>
          <w:lang w:val="es-ES_tradnl"/>
        </w:rPr>
        <w:tab/>
      </w:r>
      <w:r w:rsidRPr="00AB1EE0">
        <w:rPr>
          <w:lang w:val="es-ES_tradnl"/>
        </w:rPr>
        <w:t>en el plano nacional</w:t>
      </w:r>
      <w:r>
        <w:rPr>
          <w:lang w:val="es-ES_tradnl"/>
        </w:rPr>
        <w:tab/>
      </w:r>
      <w:r>
        <w:rPr>
          <w:lang w:val="es-ES_tradnl"/>
        </w:rPr>
        <w:tab/>
        <w:t>173–212</w:t>
      </w:r>
      <w:r>
        <w:rPr>
          <w:lang w:val="es-ES_tradnl"/>
        </w:rPr>
        <w:tab/>
      </w:r>
      <w:r w:rsidR="00B376D5">
        <w:rPr>
          <w:lang w:val="es-ES_tradnl"/>
        </w:rPr>
        <w:t>51</w:t>
      </w:r>
    </w:p>
    <w:p w:rsidR="00EF62BD" w:rsidRDefault="00EF62BD" w:rsidP="00EF62BD">
      <w:pPr>
        <w:tabs>
          <w:tab w:val="right" w:pos="850"/>
          <w:tab w:val="left" w:pos="1134"/>
          <w:tab w:val="left" w:pos="1559"/>
          <w:tab w:val="left" w:pos="1984"/>
          <w:tab w:val="left" w:leader="dot" w:pos="7654"/>
          <w:tab w:val="right" w:pos="8929"/>
          <w:tab w:val="right" w:pos="9638"/>
        </w:tabs>
        <w:spacing w:after="120"/>
      </w:pPr>
      <w:r>
        <w:rPr>
          <w:lang w:val="es-ES_tradnl"/>
        </w:rPr>
        <w:tab/>
      </w:r>
      <w:r>
        <w:rPr>
          <w:lang w:val="es-ES_tradnl"/>
        </w:rPr>
        <w:tab/>
        <w:t>C.</w:t>
      </w:r>
      <w:r>
        <w:rPr>
          <w:lang w:val="es-ES_tradnl"/>
        </w:rPr>
        <w:tab/>
      </w:r>
      <w:r w:rsidRPr="00AB1EE0">
        <w:t>Marco general de promoción de los derechos humanos en el plano</w:t>
      </w:r>
      <w:r>
        <w:br/>
      </w:r>
      <w:r>
        <w:tab/>
      </w:r>
      <w:r>
        <w:tab/>
      </w:r>
      <w:r>
        <w:tab/>
      </w:r>
      <w:r w:rsidRPr="00AB1EE0">
        <w:t>nacional</w:t>
      </w:r>
      <w:r>
        <w:tab/>
      </w:r>
      <w:r>
        <w:tab/>
        <w:t>213–236</w:t>
      </w:r>
      <w:r>
        <w:tab/>
      </w:r>
      <w:r w:rsidR="00B376D5">
        <w:t>59</w:t>
      </w:r>
    </w:p>
    <w:p w:rsidR="00EF62BD" w:rsidRDefault="00EF62BD" w:rsidP="00EF62BD">
      <w:pPr>
        <w:tabs>
          <w:tab w:val="right" w:pos="850"/>
          <w:tab w:val="left" w:pos="1134"/>
          <w:tab w:val="left" w:pos="1559"/>
          <w:tab w:val="left" w:pos="1984"/>
          <w:tab w:val="left" w:leader="dot" w:pos="7654"/>
          <w:tab w:val="right" w:pos="8929"/>
          <w:tab w:val="right" w:pos="9638"/>
        </w:tabs>
        <w:spacing w:after="120"/>
        <w:rPr>
          <w:lang w:val="es-ES_tradnl"/>
        </w:rPr>
      </w:pPr>
      <w:r>
        <w:tab/>
      </w:r>
      <w:r>
        <w:tab/>
        <w:t>D.</w:t>
      </w:r>
      <w:r>
        <w:tab/>
      </w:r>
      <w:r w:rsidRPr="00AB1EE0">
        <w:rPr>
          <w:lang w:val="es-ES_tradnl"/>
        </w:rPr>
        <w:t>Importancia de la presentación de informes en la promoción</w:t>
      </w:r>
      <w:r>
        <w:rPr>
          <w:lang w:val="es-ES_tradnl"/>
        </w:rPr>
        <w:t xml:space="preserve"> </w:t>
      </w:r>
      <w:r w:rsidRPr="00AB1EE0">
        <w:rPr>
          <w:lang w:val="es-ES_tradnl"/>
        </w:rPr>
        <w:t>de los</w:t>
      </w:r>
      <w:r>
        <w:rPr>
          <w:lang w:val="es-ES_tradnl"/>
        </w:rPr>
        <w:br/>
      </w:r>
      <w:r>
        <w:rPr>
          <w:lang w:val="es-ES_tradnl"/>
        </w:rPr>
        <w:tab/>
      </w:r>
      <w:r>
        <w:rPr>
          <w:lang w:val="es-ES_tradnl"/>
        </w:rPr>
        <w:tab/>
      </w:r>
      <w:r>
        <w:rPr>
          <w:lang w:val="es-ES_tradnl"/>
        </w:rPr>
        <w:tab/>
      </w:r>
      <w:r w:rsidRPr="00AB1EE0">
        <w:rPr>
          <w:lang w:val="es-ES_tradnl"/>
        </w:rPr>
        <w:t>derechos</w:t>
      </w:r>
      <w:r>
        <w:rPr>
          <w:lang w:val="es-ES_tradnl"/>
        </w:rPr>
        <w:t xml:space="preserve"> </w:t>
      </w:r>
      <w:r w:rsidRPr="00AB1EE0">
        <w:rPr>
          <w:lang w:val="es-ES_tradnl"/>
        </w:rPr>
        <w:t>humanos en el plano nacional</w:t>
      </w:r>
      <w:r>
        <w:rPr>
          <w:lang w:val="es-ES_tradnl"/>
        </w:rPr>
        <w:tab/>
      </w:r>
      <w:r>
        <w:rPr>
          <w:lang w:val="es-ES_tradnl"/>
        </w:rPr>
        <w:tab/>
        <w:t>237–240</w:t>
      </w:r>
      <w:r>
        <w:rPr>
          <w:lang w:val="es-ES_tradnl"/>
        </w:rPr>
        <w:tab/>
      </w:r>
      <w:r w:rsidR="00B376D5">
        <w:rPr>
          <w:lang w:val="es-ES_tradnl"/>
        </w:rPr>
        <w:t>63</w:t>
      </w:r>
    </w:p>
    <w:p w:rsidR="00EF62BD" w:rsidRDefault="00EF62BD" w:rsidP="00EF62BD">
      <w:pPr>
        <w:tabs>
          <w:tab w:val="right" w:pos="850"/>
          <w:tab w:val="left" w:pos="1134"/>
          <w:tab w:val="left" w:pos="1559"/>
          <w:tab w:val="left" w:pos="1984"/>
          <w:tab w:val="left" w:leader="dot" w:pos="7654"/>
          <w:tab w:val="right" w:pos="8929"/>
          <w:tab w:val="right" w:pos="9638"/>
        </w:tabs>
        <w:spacing w:after="120"/>
      </w:pPr>
      <w:r>
        <w:rPr>
          <w:lang w:val="es-ES_tradnl"/>
        </w:rPr>
        <w:tab/>
        <w:t>III.</w:t>
      </w:r>
      <w:r>
        <w:rPr>
          <w:lang w:val="es-ES_tradnl"/>
        </w:rPr>
        <w:tab/>
      </w:r>
      <w:r w:rsidRPr="00AB1EE0">
        <w:t>Información sobre no discriminación e igualdad y recursos eficace</w:t>
      </w:r>
      <w:r>
        <w:t>s</w:t>
      </w:r>
      <w:r>
        <w:tab/>
      </w:r>
      <w:r>
        <w:tab/>
        <w:t>241–265</w:t>
      </w:r>
      <w:r>
        <w:tab/>
      </w:r>
      <w:r w:rsidR="00B376D5">
        <w:t>64</w:t>
      </w:r>
    </w:p>
    <w:p w:rsidR="00EF62BD" w:rsidRDefault="00EF62BD" w:rsidP="00EF62BD">
      <w:pPr>
        <w:tabs>
          <w:tab w:val="right" w:pos="850"/>
          <w:tab w:val="left" w:pos="1134"/>
          <w:tab w:val="left" w:pos="1559"/>
          <w:tab w:val="left" w:pos="1984"/>
          <w:tab w:val="left" w:leader="dot" w:pos="7654"/>
          <w:tab w:val="right" w:pos="8929"/>
          <w:tab w:val="right" w:pos="9638"/>
        </w:tabs>
        <w:spacing w:after="120"/>
      </w:pPr>
      <w:r>
        <w:tab/>
      </w:r>
      <w:r>
        <w:tab/>
        <w:t>A.</w:t>
      </w:r>
      <w:r>
        <w:tab/>
      </w:r>
      <w:r w:rsidRPr="00AB1EE0">
        <w:t>No discriminación e igualdad</w:t>
      </w:r>
      <w:r>
        <w:tab/>
      </w:r>
      <w:r>
        <w:tab/>
        <w:t>241–244</w:t>
      </w:r>
      <w:r>
        <w:tab/>
      </w:r>
      <w:r w:rsidR="00B376D5">
        <w:t>64</w:t>
      </w:r>
    </w:p>
    <w:p w:rsidR="00EF62BD" w:rsidRDefault="00EF62BD" w:rsidP="00EF62BD">
      <w:pPr>
        <w:tabs>
          <w:tab w:val="right" w:pos="850"/>
          <w:tab w:val="left" w:pos="1134"/>
          <w:tab w:val="left" w:pos="1559"/>
          <w:tab w:val="left" w:pos="1984"/>
          <w:tab w:val="left" w:leader="dot" w:pos="7654"/>
          <w:tab w:val="right" w:pos="8929"/>
          <w:tab w:val="right" w:pos="9638"/>
        </w:tabs>
        <w:spacing w:after="120"/>
        <w:rPr>
          <w:lang w:val="es-ES_tradnl"/>
        </w:rPr>
      </w:pPr>
      <w:r>
        <w:tab/>
      </w:r>
      <w:r>
        <w:tab/>
        <w:t>B.</w:t>
      </w:r>
      <w:r>
        <w:tab/>
      </w:r>
      <w:r>
        <w:rPr>
          <w:lang w:val="es-ES_tradnl"/>
        </w:rPr>
        <w:t>Protección social y educación</w:t>
      </w:r>
      <w:r>
        <w:rPr>
          <w:lang w:val="es-ES_tradnl"/>
        </w:rPr>
        <w:tab/>
      </w:r>
      <w:r>
        <w:rPr>
          <w:lang w:val="es-ES_tradnl"/>
        </w:rPr>
        <w:tab/>
        <w:t>245–258</w:t>
      </w:r>
      <w:r>
        <w:rPr>
          <w:lang w:val="es-ES_tradnl"/>
        </w:rPr>
        <w:tab/>
      </w:r>
      <w:r w:rsidR="00B376D5">
        <w:rPr>
          <w:lang w:val="es-ES_tradnl"/>
        </w:rPr>
        <w:t>65</w:t>
      </w:r>
    </w:p>
    <w:p w:rsidR="00EF62BD" w:rsidRDefault="00EF62BD" w:rsidP="00EF62BD">
      <w:pPr>
        <w:tabs>
          <w:tab w:val="right" w:pos="850"/>
          <w:tab w:val="left" w:pos="1134"/>
          <w:tab w:val="left" w:pos="1559"/>
          <w:tab w:val="left" w:pos="1984"/>
          <w:tab w:val="left" w:leader="dot" w:pos="7654"/>
          <w:tab w:val="right" w:pos="8929"/>
          <w:tab w:val="right" w:pos="9638"/>
        </w:tabs>
        <w:spacing w:after="120"/>
        <w:rPr>
          <w:lang w:val="es-ES_tradnl"/>
        </w:rPr>
      </w:pPr>
      <w:r>
        <w:rPr>
          <w:lang w:val="es-ES_tradnl"/>
        </w:rPr>
        <w:tab/>
      </w:r>
      <w:r>
        <w:rPr>
          <w:lang w:val="es-ES_tradnl"/>
        </w:rPr>
        <w:tab/>
        <w:t>C.</w:t>
      </w:r>
      <w:r>
        <w:rPr>
          <w:lang w:val="es-ES_tradnl"/>
        </w:rPr>
        <w:tab/>
        <w:t>Salud</w:t>
      </w:r>
      <w:r>
        <w:rPr>
          <w:lang w:val="es-ES_tradnl"/>
        </w:rPr>
        <w:tab/>
      </w:r>
      <w:r>
        <w:rPr>
          <w:lang w:val="es-ES_tradnl"/>
        </w:rPr>
        <w:tab/>
        <w:t>259–263</w:t>
      </w:r>
      <w:r>
        <w:rPr>
          <w:lang w:val="es-ES_tradnl"/>
        </w:rPr>
        <w:tab/>
      </w:r>
      <w:r w:rsidR="00B376D5">
        <w:rPr>
          <w:lang w:val="es-ES_tradnl"/>
        </w:rPr>
        <w:t>68</w:t>
      </w:r>
    </w:p>
    <w:p w:rsidR="00EF62BD" w:rsidRDefault="00EF62BD" w:rsidP="00EF62BD">
      <w:pPr>
        <w:tabs>
          <w:tab w:val="right" w:pos="850"/>
          <w:tab w:val="left" w:pos="1134"/>
          <w:tab w:val="left" w:pos="1559"/>
          <w:tab w:val="left" w:pos="1984"/>
          <w:tab w:val="left" w:leader="dot" w:pos="7654"/>
          <w:tab w:val="right" w:pos="8929"/>
          <w:tab w:val="right" w:pos="9638"/>
        </w:tabs>
        <w:spacing w:after="120"/>
        <w:rPr>
          <w:lang w:val="es-ES_tradnl"/>
        </w:rPr>
      </w:pPr>
      <w:r>
        <w:rPr>
          <w:lang w:val="es-ES_tradnl"/>
        </w:rPr>
        <w:tab/>
      </w:r>
      <w:r>
        <w:rPr>
          <w:lang w:val="es-ES_tradnl"/>
        </w:rPr>
        <w:tab/>
        <w:t>D.</w:t>
      </w:r>
      <w:r>
        <w:rPr>
          <w:lang w:val="es-ES_tradnl"/>
        </w:rPr>
        <w:tab/>
      </w:r>
      <w:r w:rsidR="003E1BB1">
        <w:rPr>
          <w:lang w:val="es-ES_tradnl"/>
        </w:rPr>
        <w:t>Justicia y administración penitenciaria</w:t>
      </w:r>
      <w:r w:rsidR="003E1BB1">
        <w:rPr>
          <w:lang w:val="es-ES_tradnl"/>
        </w:rPr>
        <w:tab/>
      </w:r>
      <w:r w:rsidR="003E1BB1">
        <w:rPr>
          <w:lang w:val="es-ES_tradnl"/>
        </w:rPr>
        <w:tab/>
        <w:t>264–265</w:t>
      </w:r>
      <w:r w:rsidR="003E1BB1">
        <w:rPr>
          <w:lang w:val="es-ES_tradnl"/>
        </w:rPr>
        <w:tab/>
      </w:r>
      <w:r w:rsidR="00B376D5">
        <w:rPr>
          <w:lang w:val="es-ES_tradnl"/>
        </w:rPr>
        <w:t>69</w:t>
      </w:r>
    </w:p>
    <w:p w:rsidR="003E1BB1" w:rsidRDefault="000C6966" w:rsidP="000C6966">
      <w:pPr>
        <w:pStyle w:val="H56G"/>
        <w:rPr>
          <w:lang w:val="es-ES_tradnl"/>
        </w:rPr>
      </w:pPr>
      <w:r>
        <w:rPr>
          <w:lang w:val="es-ES_tradnl"/>
        </w:rPr>
        <w:tab/>
      </w:r>
      <w:r w:rsidR="003E1BB1" w:rsidRPr="000C6966">
        <w:t>Anexo</w:t>
      </w:r>
    </w:p>
    <w:p w:rsidR="003E1BB1" w:rsidRDefault="003E1BB1" w:rsidP="008945EB">
      <w:pPr>
        <w:tabs>
          <w:tab w:val="right" w:pos="850"/>
          <w:tab w:val="left" w:pos="1134"/>
          <w:tab w:val="left" w:pos="1559"/>
          <w:tab w:val="left" w:pos="1984"/>
          <w:tab w:val="left" w:leader="dot" w:pos="9000"/>
          <w:tab w:val="right" w:pos="9638"/>
        </w:tabs>
        <w:spacing w:after="120"/>
        <w:rPr>
          <w:lang w:val="es-ES_tradnl"/>
        </w:rPr>
      </w:pPr>
      <w:r>
        <w:rPr>
          <w:lang w:val="es-ES_tradnl"/>
        </w:rPr>
        <w:tab/>
      </w:r>
      <w:r w:rsidR="000C6966">
        <w:rPr>
          <w:lang w:val="es-ES_tradnl"/>
        </w:rPr>
        <w:tab/>
      </w:r>
      <w:r>
        <w:rPr>
          <w:lang w:val="es-ES_tradnl"/>
        </w:rPr>
        <w:t xml:space="preserve">Situación relativa a la ratificación de los instrumentos internacionales de </w:t>
      </w:r>
      <w:r>
        <w:rPr>
          <w:lang w:val="es-ES_tradnl"/>
        </w:rPr>
        <w:br/>
      </w:r>
      <w:r w:rsidR="000C6966">
        <w:rPr>
          <w:lang w:val="es-ES_tradnl"/>
        </w:rPr>
        <w:tab/>
      </w:r>
      <w:r w:rsidR="000C6966">
        <w:rPr>
          <w:lang w:val="es-ES_tradnl"/>
        </w:rPr>
        <w:tab/>
      </w:r>
      <w:r>
        <w:rPr>
          <w:lang w:val="es-ES_tradnl"/>
        </w:rPr>
        <w:t>derechos humanos</w:t>
      </w:r>
      <w:r>
        <w:rPr>
          <w:lang w:val="es-ES_tradnl"/>
        </w:rPr>
        <w:tab/>
      </w:r>
      <w:r w:rsidR="00B376D5">
        <w:rPr>
          <w:lang w:val="es-ES_tradnl"/>
        </w:rPr>
        <w:tab/>
        <w:t>72</w:t>
      </w:r>
    </w:p>
    <w:p w:rsidR="000C6966" w:rsidRDefault="000C6966" w:rsidP="000C6966">
      <w:pPr>
        <w:pStyle w:val="H56G"/>
        <w:rPr>
          <w:lang w:val="es-ES_tradnl"/>
        </w:rPr>
      </w:pPr>
      <w:r>
        <w:rPr>
          <w:lang w:val="es-ES_tradnl"/>
        </w:rPr>
        <w:tab/>
      </w:r>
      <w:r w:rsidRPr="000C6966">
        <w:t>Lista</w:t>
      </w:r>
      <w:r>
        <w:t xml:space="preserve"> de cuadros</w:t>
      </w:r>
    </w:p>
    <w:p w:rsidR="003E1BB1" w:rsidRDefault="003E1BB1" w:rsidP="000C6966">
      <w:pPr>
        <w:tabs>
          <w:tab w:val="right" w:pos="850"/>
          <w:tab w:val="left" w:pos="1134"/>
          <w:tab w:val="left" w:pos="1559"/>
          <w:tab w:val="left" w:pos="1984"/>
          <w:tab w:val="left" w:leader="dot" w:pos="9000"/>
          <w:tab w:val="right" w:pos="9638"/>
        </w:tabs>
        <w:spacing w:after="120"/>
        <w:rPr>
          <w:lang w:val="es-ES_tradnl"/>
        </w:rPr>
      </w:pPr>
      <w:r>
        <w:rPr>
          <w:lang w:val="es-ES_tradnl"/>
        </w:rPr>
        <w:tab/>
        <w:t>1.</w:t>
      </w:r>
      <w:r>
        <w:rPr>
          <w:lang w:val="es-ES_tradnl"/>
        </w:rPr>
        <w:tab/>
      </w:r>
      <w:r w:rsidRPr="003E1BB1">
        <w:t>Distribución de la población por etnia, 1991-2006</w:t>
      </w:r>
      <w:r>
        <w:tab/>
      </w:r>
      <w:r w:rsidR="00B376D5">
        <w:tab/>
        <w:t>6</w:t>
      </w:r>
    </w:p>
    <w:p w:rsidR="00EF62BD" w:rsidRDefault="003E1BB1" w:rsidP="000C6966">
      <w:pPr>
        <w:tabs>
          <w:tab w:val="right" w:pos="850"/>
          <w:tab w:val="left" w:pos="1134"/>
          <w:tab w:val="left" w:pos="1559"/>
          <w:tab w:val="left" w:pos="1984"/>
          <w:tab w:val="left" w:leader="dot" w:pos="9000"/>
          <w:tab w:val="right" w:pos="9638"/>
        </w:tabs>
        <w:spacing w:after="120"/>
      </w:pPr>
      <w:r>
        <w:tab/>
        <w:t>2.</w:t>
      </w:r>
      <w:r>
        <w:tab/>
      </w:r>
      <w:r w:rsidRPr="003E1BB1">
        <w:t>Población, desglosada por edad y sexo, 2008</w:t>
      </w:r>
      <w:r>
        <w:tab/>
      </w:r>
      <w:r w:rsidR="00B376D5">
        <w:tab/>
        <w:t>7</w:t>
      </w:r>
    </w:p>
    <w:p w:rsidR="003E1BB1" w:rsidRDefault="003E1BB1" w:rsidP="000C6966">
      <w:pPr>
        <w:tabs>
          <w:tab w:val="right" w:pos="850"/>
          <w:tab w:val="left" w:pos="1134"/>
          <w:tab w:val="left" w:pos="1559"/>
          <w:tab w:val="left" w:pos="1984"/>
          <w:tab w:val="left" w:leader="dot" w:pos="9000"/>
          <w:tab w:val="right" w:pos="9638"/>
        </w:tabs>
        <w:spacing w:after="120"/>
      </w:pPr>
      <w:r>
        <w:tab/>
        <w:t>3.</w:t>
      </w:r>
      <w:r>
        <w:tab/>
      </w:r>
      <w:r w:rsidRPr="003E1BB1">
        <w:t>Residencia urbana y rural, por grupo étnico, 2006</w:t>
      </w:r>
      <w:r>
        <w:tab/>
      </w:r>
      <w:r w:rsidR="00B376D5">
        <w:tab/>
        <w:t>8</w:t>
      </w:r>
    </w:p>
    <w:p w:rsidR="003E1BB1" w:rsidRDefault="003E1BB1" w:rsidP="000C6966">
      <w:pPr>
        <w:tabs>
          <w:tab w:val="right" w:pos="850"/>
          <w:tab w:val="left" w:pos="1134"/>
          <w:tab w:val="left" w:pos="1559"/>
          <w:tab w:val="left" w:pos="1984"/>
          <w:tab w:val="left" w:leader="dot" w:pos="9000"/>
          <w:tab w:val="right" w:pos="9638"/>
        </w:tabs>
        <w:spacing w:after="120"/>
      </w:pPr>
      <w:r>
        <w:tab/>
        <w:t>4.</w:t>
      </w:r>
      <w:r>
        <w:tab/>
      </w:r>
      <w:r w:rsidRPr="003E1BB1">
        <w:t>Tasa de fecundidad total, 1978-2008</w:t>
      </w:r>
      <w:r w:rsidRPr="003E1BB1">
        <w:tab/>
      </w:r>
      <w:r w:rsidR="00B376D5">
        <w:tab/>
        <w:t>9</w:t>
      </w:r>
    </w:p>
    <w:p w:rsidR="00EF62BD" w:rsidRDefault="003E1BB1" w:rsidP="000C6966">
      <w:pPr>
        <w:tabs>
          <w:tab w:val="right" w:pos="850"/>
          <w:tab w:val="left" w:pos="1134"/>
          <w:tab w:val="left" w:pos="1559"/>
          <w:tab w:val="left" w:pos="1984"/>
          <w:tab w:val="left" w:leader="dot" w:pos="9000"/>
          <w:tab w:val="right" w:pos="9638"/>
        </w:tabs>
        <w:spacing w:after="120"/>
      </w:pPr>
      <w:r>
        <w:tab/>
        <w:t>5.</w:t>
      </w:r>
      <w:r>
        <w:tab/>
      </w:r>
      <w:r w:rsidRPr="003E1BB1">
        <w:t>Afiliación religiosa (total de respuestas), por zona de residencia habitual</w:t>
      </w:r>
      <w:r w:rsidRPr="003E1BB1">
        <w:br/>
      </w:r>
      <w:r>
        <w:tab/>
      </w:r>
      <w:r>
        <w:tab/>
      </w:r>
      <w:r w:rsidRPr="003E1BB1">
        <w:t>(indicador de zona urbana o rural), según el cómputo demográfico de</w:t>
      </w:r>
      <w:r>
        <w:br/>
      </w:r>
      <w:r>
        <w:tab/>
      </w:r>
      <w:r>
        <w:tab/>
      </w:r>
      <w:r w:rsidRPr="003E1BB1">
        <w:t>residentes habituales correspondiente al censo de 2006</w:t>
      </w:r>
      <w:r>
        <w:tab/>
      </w:r>
      <w:r w:rsidR="00B376D5">
        <w:tab/>
        <w:t>10</w:t>
      </w:r>
    </w:p>
    <w:p w:rsidR="003E1BB1" w:rsidRDefault="003E1BB1" w:rsidP="000C6966">
      <w:pPr>
        <w:tabs>
          <w:tab w:val="right" w:pos="850"/>
          <w:tab w:val="left" w:pos="1134"/>
          <w:tab w:val="left" w:pos="1559"/>
          <w:tab w:val="left" w:pos="1984"/>
          <w:tab w:val="left" w:leader="dot" w:pos="9000"/>
          <w:tab w:val="right" w:pos="9638"/>
        </w:tabs>
        <w:spacing w:after="120"/>
      </w:pPr>
      <w:r>
        <w:tab/>
        <w:t>6.</w:t>
      </w:r>
      <w:r>
        <w:tab/>
      </w:r>
      <w:r w:rsidRPr="003E1BB1">
        <w:t>Sexo del progenitor en las familias monoparentales residentes en viviendas</w:t>
      </w:r>
      <w:r w:rsidRPr="003E1BB1">
        <w:br/>
      </w:r>
      <w:r>
        <w:tab/>
      </w:r>
      <w:r>
        <w:tab/>
      </w:r>
      <w:r w:rsidRPr="003E1BB1">
        <w:t>privadas con uno o varios hijos</w:t>
      </w:r>
      <w:r>
        <w:tab/>
      </w:r>
      <w:r w:rsidR="00B376D5">
        <w:tab/>
        <w:t>11</w:t>
      </w:r>
    </w:p>
    <w:p w:rsidR="003E1BB1" w:rsidRDefault="003E1BB1" w:rsidP="000C6966">
      <w:pPr>
        <w:tabs>
          <w:tab w:val="right" w:pos="850"/>
          <w:tab w:val="left" w:pos="1134"/>
          <w:tab w:val="left" w:pos="1559"/>
          <w:tab w:val="left" w:pos="1984"/>
          <w:tab w:val="left" w:leader="dot" w:pos="9000"/>
          <w:tab w:val="right" w:pos="9638"/>
        </w:tabs>
        <w:spacing w:after="120"/>
      </w:pPr>
      <w:r>
        <w:tab/>
        <w:t>7.</w:t>
      </w:r>
      <w:r>
        <w:tab/>
      </w:r>
      <w:r w:rsidRPr="003E1BB1">
        <w:t>Número y proporción de personas con discapacidad (en la población total</w:t>
      </w:r>
      <w:r w:rsidRPr="003E1BB1">
        <w:br/>
      </w:r>
      <w:r>
        <w:tab/>
      </w:r>
      <w:r>
        <w:tab/>
      </w:r>
      <w:r w:rsidRPr="003E1BB1">
        <w:t>residente en casas de familia u otras instalaciones residenciales), por grupo</w:t>
      </w:r>
      <w:r w:rsidRPr="003E1BB1">
        <w:br/>
      </w:r>
      <w:r>
        <w:tab/>
      </w:r>
      <w:r>
        <w:tab/>
      </w:r>
      <w:r w:rsidRPr="003E1BB1">
        <w:t>de edad y sexo, 2006</w:t>
      </w:r>
      <w:r>
        <w:tab/>
      </w:r>
      <w:r w:rsidR="00B376D5">
        <w:tab/>
        <w:t>12</w:t>
      </w:r>
    </w:p>
    <w:p w:rsidR="003E1BB1" w:rsidRDefault="003E1BB1" w:rsidP="000C6966">
      <w:pPr>
        <w:tabs>
          <w:tab w:val="right" w:pos="850"/>
          <w:tab w:val="left" w:pos="1134"/>
          <w:tab w:val="left" w:pos="1559"/>
          <w:tab w:val="left" w:pos="1984"/>
          <w:tab w:val="left" w:leader="dot" w:pos="9000"/>
          <w:tab w:val="right" w:pos="9638"/>
        </w:tabs>
        <w:spacing w:after="120"/>
      </w:pPr>
      <w:r>
        <w:tab/>
        <w:t>8.</w:t>
      </w:r>
      <w:r>
        <w:tab/>
      </w:r>
      <w:r w:rsidR="00D346B4" w:rsidRPr="00D346B4">
        <w:t>Población por sector industrial amplio y sexo, en miles de habitantes, 2009</w:t>
      </w:r>
      <w:r w:rsidR="00D346B4">
        <w:tab/>
      </w:r>
      <w:r w:rsidR="00B376D5">
        <w:tab/>
        <w:t>13</w:t>
      </w:r>
    </w:p>
    <w:p w:rsidR="00D346B4" w:rsidRDefault="00D346B4" w:rsidP="000C6966">
      <w:pPr>
        <w:tabs>
          <w:tab w:val="right" w:pos="850"/>
          <w:tab w:val="left" w:pos="1134"/>
          <w:tab w:val="left" w:pos="1559"/>
          <w:tab w:val="left" w:pos="1984"/>
          <w:tab w:val="left" w:leader="dot" w:pos="9000"/>
          <w:tab w:val="right" w:pos="9638"/>
        </w:tabs>
        <w:spacing w:after="120"/>
      </w:pPr>
      <w:r>
        <w:tab/>
        <w:t>9.</w:t>
      </w:r>
      <w:r>
        <w:tab/>
      </w:r>
      <w:r w:rsidRPr="00D346B4">
        <w:t>Población por sector industrial amplio y origen étnico, en miles de</w:t>
      </w:r>
      <w:r>
        <w:br/>
      </w:r>
      <w:r>
        <w:tab/>
      </w:r>
      <w:r>
        <w:tab/>
      </w:r>
      <w:r w:rsidRPr="00D346B4">
        <w:t>habitantes, 2009</w:t>
      </w:r>
      <w:r>
        <w:tab/>
      </w:r>
      <w:r w:rsidR="00B376D5">
        <w:tab/>
        <w:t>1</w:t>
      </w:r>
      <w:r w:rsidR="008945EB">
        <w:t>3</w:t>
      </w:r>
    </w:p>
    <w:p w:rsidR="00D346B4" w:rsidRDefault="00D346B4" w:rsidP="000C6966">
      <w:pPr>
        <w:tabs>
          <w:tab w:val="right" w:pos="850"/>
          <w:tab w:val="left" w:pos="1134"/>
          <w:tab w:val="left" w:pos="1559"/>
          <w:tab w:val="left" w:pos="1984"/>
          <w:tab w:val="left" w:leader="dot" w:pos="9000"/>
          <w:tab w:val="right" w:pos="9638"/>
        </w:tabs>
        <w:spacing w:after="120"/>
      </w:pPr>
      <w:r>
        <w:tab/>
        <w:t>10.</w:t>
      </w:r>
      <w:r>
        <w:tab/>
      </w:r>
      <w:r w:rsidRPr="00D346B4">
        <w:t>Presupuesto estatal de Nueva Zelandia, por sector</w:t>
      </w:r>
      <w:r>
        <w:tab/>
      </w:r>
      <w:r w:rsidR="00B376D5">
        <w:tab/>
        <w:t>15</w:t>
      </w:r>
    </w:p>
    <w:p w:rsidR="00D346B4" w:rsidRDefault="00D346B4" w:rsidP="000C6966">
      <w:pPr>
        <w:tabs>
          <w:tab w:val="right" w:pos="850"/>
          <w:tab w:val="left" w:pos="1134"/>
          <w:tab w:val="left" w:pos="1559"/>
          <w:tab w:val="left" w:pos="1984"/>
          <w:tab w:val="left" w:leader="dot" w:pos="9000"/>
          <w:tab w:val="right" w:pos="9638"/>
        </w:tabs>
        <w:spacing w:after="120"/>
      </w:pPr>
      <w:r>
        <w:tab/>
        <w:t>11.</w:t>
      </w:r>
      <w:r>
        <w:tab/>
      </w:r>
      <w:r w:rsidR="003809AF" w:rsidRPr="00D04794">
        <w:t>Gastos por concepto de asistencia oficial para el desarrollo (AOD)</w:t>
      </w:r>
      <w:r w:rsidR="003809AF">
        <w:tab/>
      </w:r>
      <w:r w:rsidR="00B376D5">
        <w:tab/>
        <w:t>15</w:t>
      </w:r>
    </w:p>
    <w:p w:rsidR="00D346B4" w:rsidRDefault="00D346B4" w:rsidP="000C6966">
      <w:pPr>
        <w:tabs>
          <w:tab w:val="right" w:pos="850"/>
          <w:tab w:val="left" w:pos="1134"/>
          <w:tab w:val="left" w:pos="1559"/>
          <w:tab w:val="left" w:pos="1984"/>
          <w:tab w:val="left" w:leader="dot" w:pos="9000"/>
          <w:tab w:val="right" w:pos="9638"/>
        </w:tabs>
        <w:spacing w:after="120"/>
      </w:pPr>
      <w:r>
        <w:tab/>
        <w:t>12.</w:t>
      </w:r>
      <w:r>
        <w:tab/>
      </w:r>
      <w:r w:rsidR="003809AF" w:rsidRPr="00D04794">
        <w:t>Deuda pública externa e interna</w:t>
      </w:r>
      <w:r w:rsidR="003809AF">
        <w:tab/>
      </w:r>
      <w:r w:rsidR="00B376D5">
        <w:tab/>
        <w:t>16</w:t>
      </w:r>
    </w:p>
    <w:p w:rsidR="00D346B4" w:rsidRDefault="00D346B4" w:rsidP="000C6966">
      <w:pPr>
        <w:tabs>
          <w:tab w:val="right" w:pos="850"/>
          <w:tab w:val="left" w:pos="1134"/>
          <w:tab w:val="left" w:pos="1559"/>
          <w:tab w:val="left" w:pos="1984"/>
          <w:tab w:val="left" w:leader="dot" w:pos="9000"/>
          <w:tab w:val="right" w:pos="9638"/>
        </w:tabs>
        <w:spacing w:after="120"/>
      </w:pPr>
      <w:r>
        <w:tab/>
        <w:t>13.</w:t>
      </w:r>
      <w:r>
        <w:tab/>
      </w:r>
      <w:r w:rsidR="003809AF" w:rsidRPr="003809AF">
        <w:t>Tasas de desempleo por edad y sexo, en años seleccionados del</w:t>
      </w:r>
      <w:r w:rsidR="003809AF">
        <w:br/>
      </w:r>
      <w:r w:rsidR="003809AF">
        <w:tab/>
      </w:r>
      <w:r w:rsidR="003809AF">
        <w:tab/>
      </w:r>
      <w:r w:rsidR="003809AF" w:rsidRPr="003809AF">
        <w:t>período 1987-2009</w:t>
      </w:r>
      <w:r w:rsidR="003809AF">
        <w:tab/>
      </w:r>
      <w:r w:rsidR="00B376D5">
        <w:tab/>
        <w:t>17</w:t>
      </w:r>
    </w:p>
    <w:p w:rsidR="00D346B4" w:rsidRDefault="00D346B4" w:rsidP="000C6966">
      <w:pPr>
        <w:tabs>
          <w:tab w:val="right" w:pos="850"/>
          <w:tab w:val="left" w:pos="1134"/>
          <w:tab w:val="left" w:pos="1559"/>
          <w:tab w:val="left" w:pos="1984"/>
          <w:tab w:val="left" w:leader="dot" w:pos="9000"/>
          <w:tab w:val="right" w:pos="9638"/>
        </w:tabs>
        <w:spacing w:after="120"/>
      </w:pPr>
      <w:r>
        <w:tab/>
        <w:t>14.</w:t>
      </w:r>
      <w:r>
        <w:tab/>
      </w:r>
      <w:r w:rsidR="003809AF" w:rsidRPr="003809AF">
        <w:t>Tasa de desempleo, por grupo étnico, 1987-2009</w:t>
      </w:r>
      <w:r w:rsidR="003809AF">
        <w:tab/>
      </w:r>
      <w:r w:rsidR="00B376D5">
        <w:tab/>
        <w:t>18</w:t>
      </w:r>
    </w:p>
    <w:p w:rsidR="00D346B4" w:rsidRDefault="00D346B4" w:rsidP="000C6966">
      <w:pPr>
        <w:tabs>
          <w:tab w:val="right" w:pos="850"/>
          <w:tab w:val="left" w:pos="1134"/>
          <w:tab w:val="left" w:pos="1559"/>
          <w:tab w:val="left" w:pos="1984"/>
          <w:tab w:val="left" w:leader="dot" w:pos="9000"/>
          <w:tab w:val="right" w:pos="9638"/>
        </w:tabs>
        <w:spacing w:after="120"/>
      </w:pPr>
      <w:r>
        <w:tab/>
        <w:t>15.</w:t>
      </w:r>
      <w:r>
        <w:tab/>
      </w:r>
      <w:r w:rsidR="005B4E73" w:rsidRPr="00327B2B">
        <w:t>Tasa de empleo, por grupo étnico, 1987-2009</w:t>
      </w:r>
      <w:r w:rsidR="005B4E73">
        <w:tab/>
      </w:r>
      <w:r w:rsidR="00B376D5">
        <w:tab/>
        <w:t>19</w:t>
      </w:r>
    </w:p>
    <w:p w:rsidR="00D346B4" w:rsidRDefault="00D346B4" w:rsidP="000C6966">
      <w:pPr>
        <w:tabs>
          <w:tab w:val="right" w:pos="850"/>
          <w:tab w:val="left" w:pos="1134"/>
          <w:tab w:val="left" w:pos="1559"/>
          <w:tab w:val="left" w:pos="1984"/>
          <w:tab w:val="left" w:leader="dot" w:pos="9000"/>
          <w:tab w:val="right" w:pos="9638"/>
        </w:tabs>
        <w:spacing w:after="120"/>
      </w:pPr>
      <w:r>
        <w:tab/>
        <w:t>16.</w:t>
      </w:r>
      <w:r>
        <w:tab/>
      </w:r>
      <w:r w:rsidR="00FC2C61" w:rsidRPr="00FC2C61">
        <w:t>Factor de dependencia, por sexo, 30 de junio de 2005 a 30 de junio de 2009</w:t>
      </w:r>
      <w:r w:rsidR="00FC2C61">
        <w:tab/>
      </w:r>
      <w:r w:rsidR="00B376D5">
        <w:tab/>
      </w:r>
      <w:r w:rsidR="0065294B">
        <w:t>20</w:t>
      </w:r>
    </w:p>
    <w:p w:rsidR="00D346B4" w:rsidRDefault="00D346B4" w:rsidP="000C6966">
      <w:pPr>
        <w:tabs>
          <w:tab w:val="right" w:pos="850"/>
          <w:tab w:val="left" w:pos="1134"/>
          <w:tab w:val="left" w:pos="1559"/>
          <w:tab w:val="left" w:pos="1984"/>
          <w:tab w:val="left" w:leader="dot" w:pos="9000"/>
          <w:tab w:val="right" w:pos="9638"/>
        </w:tabs>
        <w:spacing w:after="120"/>
      </w:pPr>
      <w:r>
        <w:tab/>
        <w:t>17.</w:t>
      </w:r>
      <w:r>
        <w:tab/>
      </w:r>
      <w:r w:rsidR="00FC2C61" w:rsidRPr="00587163">
        <w:t>Gasto doméstico por subgrupo y por grupo de ingresos familiares, 2006-2007</w:t>
      </w:r>
      <w:r w:rsidR="00FC2C61">
        <w:tab/>
      </w:r>
      <w:r w:rsidR="00B376D5">
        <w:tab/>
      </w:r>
      <w:r w:rsidR="0065294B">
        <w:t>20</w:t>
      </w:r>
    </w:p>
    <w:p w:rsidR="00D346B4" w:rsidRDefault="00D346B4" w:rsidP="000C6966">
      <w:pPr>
        <w:tabs>
          <w:tab w:val="right" w:pos="850"/>
          <w:tab w:val="left" w:pos="1134"/>
          <w:tab w:val="left" w:pos="1559"/>
          <w:tab w:val="left" w:pos="1984"/>
          <w:tab w:val="left" w:leader="dot" w:pos="9000"/>
          <w:tab w:val="right" w:pos="9638"/>
        </w:tabs>
        <w:spacing w:after="120"/>
      </w:pPr>
      <w:r>
        <w:tab/>
        <w:t>18.</w:t>
      </w:r>
      <w:r>
        <w:tab/>
      </w:r>
      <w:r w:rsidR="00FC2C61" w:rsidRPr="00FC2C61">
        <w:t>Proporción de la población con ingresos por debajo de determinados</w:t>
      </w:r>
      <w:r w:rsidR="00FC2C61">
        <w:br/>
      </w:r>
      <w:r w:rsidR="00FC2C61">
        <w:tab/>
      </w:r>
      <w:r w:rsidR="00FC2C61">
        <w:tab/>
      </w:r>
      <w:r w:rsidR="00FC2C61" w:rsidRPr="00FC2C61">
        <w:t>umbrales, una vez deducidos los gastos de vivienda, 1982-2008</w:t>
      </w:r>
      <w:r w:rsidR="00FC2C61">
        <w:tab/>
      </w:r>
      <w:r w:rsidR="00B376D5">
        <w:tab/>
      </w:r>
      <w:r w:rsidR="0065294B">
        <w:t>22</w:t>
      </w:r>
    </w:p>
    <w:p w:rsidR="00D346B4" w:rsidRDefault="00D346B4" w:rsidP="000C6966">
      <w:pPr>
        <w:tabs>
          <w:tab w:val="right" w:pos="850"/>
          <w:tab w:val="left" w:pos="1134"/>
          <w:tab w:val="left" w:pos="1559"/>
          <w:tab w:val="left" w:pos="1984"/>
          <w:tab w:val="left" w:leader="dot" w:pos="9000"/>
          <w:tab w:val="right" w:pos="9638"/>
        </w:tabs>
        <w:spacing w:after="120"/>
      </w:pPr>
      <w:r>
        <w:tab/>
        <w:t>19.</w:t>
      </w:r>
      <w:r>
        <w:tab/>
      </w:r>
      <w:r w:rsidR="00FC2C61" w:rsidRPr="00587163">
        <w:t xml:space="preserve">Proporción de la población en hogares de bajos ingresos (umbral del 60%), </w:t>
      </w:r>
      <w:r w:rsidR="00FC2C61" w:rsidRPr="00587163">
        <w:br/>
      </w:r>
      <w:r w:rsidR="00FC2C61">
        <w:tab/>
      </w:r>
      <w:r w:rsidR="00FC2C61">
        <w:tab/>
      </w:r>
      <w:r w:rsidR="00FC2C61" w:rsidRPr="00587163">
        <w:t>por edad y sexo, en años seleccionados del período 1986-2008</w:t>
      </w:r>
      <w:r w:rsidR="00FC2C61">
        <w:tab/>
      </w:r>
      <w:r w:rsidR="00B376D5">
        <w:tab/>
      </w:r>
      <w:r w:rsidR="0065294B">
        <w:t>22</w:t>
      </w:r>
    </w:p>
    <w:p w:rsidR="00D346B4" w:rsidRDefault="00D346B4" w:rsidP="000C6966">
      <w:pPr>
        <w:tabs>
          <w:tab w:val="right" w:pos="850"/>
          <w:tab w:val="left" w:pos="1134"/>
          <w:tab w:val="left" w:pos="1559"/>
          <w:tab w:val="left" w:pos="1984"/>
          <w:tab w:val="left" w:leader="dot" w:pos="9000"/>
          <w:tab w:val="right" w:pos="9638"/>
        </w:tabs>
        <w:spacing w:after="120"/>
      </w:pPr>
      <w:r>
        <w:tab/>
        <w:t>20.</w:t>
      </w:r>
      <w:r>
        <w:tab/>
      </w:r>
      <w:r w:rsidR="00FC2C61" w:rsidRPr="00FC2C61">
        <w:t>Renta media de los hogares en valores reales y ajustada según el tamaño</w:t>
      </w:r>
      <w:r w:rsidR="00FC2C61">
        <w:br/>
      </w:r>
      <w:r w:rsidR="00FC2C61">
        <w:tab/>
      </w:r>
      <w:r w:rsidR="00FC2C61">
        <w:tab/>
      </w:r>
      <w:r w:rsidR="00FC2C61" w:rsidRPr="00FC2C61">
        <w:t>y la composición del hogar, por grupo étnico, 1988-2008</w:t>
      </w:r>
      <w:r w:rsidR="00FC2C61">
        <w:tab/>
      </w:r>
      <w:r w:rsidR="00B376D5">
        <w:tab/>
      </w:r>
      <w:r w:rsidR="0065294B">
        <w:t>23</w:t>
      </w:r>
    </w:p>
    <w:p w:rsidR="00D346B4" w:rsidRDefault="00D346B4" w:rsidP="000C6966">
      <w:pPr>
        <w:tabs>
          <w:tab w:val="right" w:pos="850"/>
          <w:tab w:val="left" w:pos="1134"/>
          <w:tab w:val="left" w:pos="1559"/>
          <w:tab w:val="left" w:pos="1984"/>
          <w:tab w:val="left" w:leader="dot" w:pos="9000"/>
          <w:tab w:val="right" w:pos="9638"/>
        </w:tabs>
        <w:spacing w:after="120"/>
      </w:pPr>
      <w:r>
        <w:tab/>
        <w:t>21.</w:t>
      </w:r>
      <w:r>
        <w:tab/>
      </w:r>
      <w:r w:rsidR="00FC2C61" w:rsidRPr="00587163">
        <w:t>Esperanza de vida al nacer</w:t>
      </w:r>
      <w:r w:rsidR="00FC2C61">
        <w:tab/>
      </w:r>
      <w:r w:rsidR="00B376D5">
        <w:tab/>
      </w:r>
      <w:r w:rsidR="0065294B">
        <w:t>24</w:t>
      </w:r>
    </w:p>
    <w:p w:rsidR="00D346B4" w:rsidRDefault="00D346B4" w:rsidP="000C6966">
      <w:pPr>
        <w:tabs>
          <w:tab w:val="right" w:pos="850"/>
          <w:tab w:val="left" w:pos="1134"/>
          <w:tab w:val="left" w:pos="1559"/>
          <w:tab w:val="left" w:pos="1984"/>
          <w:tab w:val="left" w:leader="dot" w:pos="9000"/>
          <w:tab w:val="right" w:pos="9638"/>
        </w:tabs>
        <w:spacing w:after="120"/>
      </w:pPr>
      <w:r>
        <w:tab/>
        <w:t>22.</w:t>
      </w:r>
      <w:r>
        <w:tab/>
      </w:r>
      <w:r w:rsidR="00FC2C61" w:rsidRPr="00587163">
        <w:t>Las diez principales causas de muerte</w:t>
      </w:r>
      <w:r w:rsidR="00FC2C61">
        <w:tab/>
      </w:r>
      <w:r w:rsidR="00B376D5">
        <w:tab/>
      </w:r>
      <w:r w:rsidR="0065294B">
        <w:t>25</w:t>
      </w:r>
    </w:p>
    <w:p w:rsidR="00D346B4" w:rsidRDefault="00D346B4" w:rsidP="000C6966">
      <w:pPr>
        <w:tabs>
          <w:tab w:val="right" w:pos="850"/>
          <w:tab w:val="left" w:pos="1134"/>
          <w:tab w:val="left" w:pos="1559"/>
          <w:tab w:val="left" w:pos="1984"/>
          <w:tab w:val="left" w:leader="dot" w:pos="9000"/>
          <w:tab w:val="right" w:pos="9638"/>
        </w:tabs>
        <w:spacing w:after="120"/>
      </w:pPr>
      <w:r>
        <w:tab/>
        <w:t>23.</w:t>
      </w:r>
      <w:r>
        <w:tab/>
      </w:r>
      <w:r w:rsidR="00FC2C61" w:rsidRPr="00FC2C61">
        <w:t>Tasas relativas a todas las causas de mortalidad, 2006</w:t>
      </w:r>
      <w:r w:rsidR="00FC2C61">
        <w:tab/>
      </w:r>
      <w:r w:rsidR="00B376D5">
        <w:tab/>
      </w:r>
      <w:r w:rsidR="0065294B">
        <w:t>26</w:t>
      </w:r>
    </w:p>
    <w:p w:rsidR="00D346B4" w:rsidRDefault="00D346B4" w:rsidP="000C6966">
      <w:pPr>
        <w:tabs>
          <w:tab w:val="right" w:pos="850"/>
          <w:tab w:val="left" w:pos="1134"/>
          <w:tab w:val="left" w:pos="1559"/>
          <w:tab w:val="left" w:pos="1984"/>
          <w:tab w:val="left" w:leader="dot" w:pos="9000"/>
          <w:tab w:val="right" w:pos="9638"/>
        </w:tabs>
        <w:spacing w:after="120"/>
      </w:pPr>
      <w:r>
        <w:tab/>
        <w:t>24.</w:t>
      </w:r>
      <w:r>
        <w:tab/>
      </w:r>
      <w:r w:rsidR="00FC2C61" w:rsidRPr="00587163">
        <w:t>Tasas de mortalidad relativas a todas las causas de muerte, 2006</w:t>
      </w:r>
      <w:r w:rsidR="00FC2C61">
        <w:tab/>
      </w:r>
      <w:r w:rsidR="00B376D5">
        <w:tab/>
      </w:r>
      <w:r w:rsidR="0065294B">
        <w:t>26</w:t>
      </w:r>
    </w:p>
    <w:p w:rsidR="00D346B4" w:rsidRDefault="00D346B4" w:rsidP="000C6966">
      <w:pPr>
        <w:tabs>
          <w:tab w:val="right" w:pos="850"/>
          <w:tab w:val="left" w:pos="1134"/>
          <w:tab w:val="left" w:pos="1559"/>
          <w:tab w:val="left" w:pos="1984"/>
          <w:tab w:val="left" w:leader="dot" w:pos="9000"/>
          <w:tab w:val="right" w:pos="9638"/>
        </w:tabs>
        <w:spacing w:after="120"/>
      </w:pPr>
      <w:r>
        <w:tab/>
        <w:t>25.</w:t>
      </w:r>
      <w:r>
        <w:tab/>
      </w:r>
      <w:r w:rsidR="00FC2C61" w:rsidRPr="00587163">
        <w:t>Tasas de mortalidad infantil, desglosadas por etnia y año</w:t>
      </w:r>
      <w:r w:rsidR="00FC2C61">
        <w:tab/>
      </w:r>
      <w:r w:rsidR="00B376D5">
        <w:tab/>
      </w:r>
      <w:r w:rsidR="0065294B">
        <w:t>27</w:t>
      </w:r>
    </w:p>
    <w:p w:rsidR="00D346B4" w:rsidRDefault="00D346B4" w:rsidP="000C6966">
      <w:pPr>
        <w:tabs>
          <w:tab w:val="right" w:pos="850"/>
          <w:tab w:val="left" w:pos="1134"/>
          <w:tab w:val="left" w:pos="1559"/>
          <w:tab w:val="left" w:pos="1984"/>
          <w:tab w:val="left" w:leader="dot" w:pos="9000"/>
          <w:tab w:val="right" w:pos="9638"/>
        </w:tabs>
        <w:spacing w:after="120"/>
      </w:pPr>
      <w:r>
        <w:tab/>
        <w:t>26.</w:t>
      </w:r>
      <w:r>
        <w:tab/>
      </w:r>
      <w:r w:rsidR="00FC2C61" w:rsidRPr="00587163">
        <w:t>Mortalidad (tasa desglosada por cada 100.000 niños de 1 a 4 años</w:t>
      </w:r>
      <w:r w:rsidR="00FC2C61">
        <w:br/>
      </w:r>
      <w:r w:rsidR="00FC2C61">
        <w:tab/>
      </w:r>
      <w:r w:rsidR="00FC2C61">
        <w:tab/>
      </w:r>
      <w:r w:rsidR="00FC2C61" w:rsidRPr="00587163">
        <w:t>de edad), 1979-2008</w:t>
      </w:r>
      <w:r w:rsidR="00FC2C61">
        <w:tab/>
      </w:r>
      <w:r w:rsidR="00B376D5">
        <w:tab/>
      </w:r>
      <w:r w:rsidR="0065294B">
        <w:t>28</w:t>
      </w:r>
    </w:p>
    <w:p w:rsidR="00D346B4" w:rsidRDefault="00D346B4" w:rsidP="000C6966">
      <w:pPr>
        <w:tabs>
          <w:tab w:val="right" w:pos="850"/>
          <w:tab w:val="left" w:pos="1134"/>
          <w:tab w:val="left" w:pos="1559"/>
          <w:tab w:val="left" w:pos="1984"/>
          <w:tab w:val="left" w:leader="dot" w:pos="9000"/>
          <w:tab w:val="right" w:pos="9638"/>
        </w:tabs>
        <w:spacing w:after="120"/>
      </w:pPr>
      <w:r>
        <w:tab/>
        <w:t>27.</w:t>
      </w:r>
      <w:r>
        <w:tab/>
      </w:r>
      <w:r w:rsidR="00FC2C61" w:rsidRPr="00587163">
        <w:t xml:space="preserve">Mortalidad (tasas correspondientes a los niños maoríes y no maoríes </w:t>
      </w:r>
      <w:r w:rsidR="00FC2C61" w:rsidRPr="00587163">
        <w:br/>
      </w:r>
      <w:r w:rsidR="00FC2C61">
        <w:tab/>
      </w:r>
      <w:r w:rsidR="00FC2C61">
        <w:tab/>
      </w:r>
      <w:r w:rsidR="00FC2C61" w:rsidRPr="00587163">
        <w:t>de 1 a 4 años de edad, por cada 100.000 niños), 2003-2008</w:t>
      </w:r>
      <w:r w:rsidR="0065294B">
        <w:tab/>
      </w:r>
      <w:r w:rsidR="0065294B">
        <w:tab/>
        <w:t>28</w:t>
      </w:r>
    </w:p>
    <w:p w:rsidR="00D346B4" w:rsidRDefault="00D346B4" w:rsidP="000C6966">
      <w:pPr>
        <w:tabs>
          <w:tab w:val="right" w:pos="850"/>
          <w:tab w:val="left" w:pos="1134"/>
          <w:tab w:val="left" w:pos="1559"/>
          <w:tab w:val="left" w:pos="1984"/>
          <w:tab w:val="left" w:leader="dot" w:pos="9000"/>
          <w:tab w:val="right" w:pos="9638"/>
        </w:tabs>
        <w:spacing w:after="120"/>
      </w:pPr>
      <w:r>
        <w:tab/>
        <w:t>28.</w:t>
      </w:r>
      <w:r>
        <w:tab/>
      </w:r>
      <w:r w:rsidR="00CB0B12" w:rsidRPr="00587163">
        <w:t>Tasa de mortalidad materna (basada en un promedio móvil de tres años)</w:t>
      </w:r>
      <w:r w:rsidR="00CB0B12">
        <w:tab/>
      </w:r>
      <w:r w:rsidR="00B376D5">
        <w:tab/>
      </w:r>
      <w:r w:rsidR="0065294B">
        <w:t>29</w:t>
      </w:r>
    </w:p>
    <w:p w:rsidR="00D346B4" w:rsidRDefault="00D346B4" w:rsidP="000C6966">
      <w:pPr>
        <w:tabs>
          <w:tab w:val="right" w:pos="850"/>
          <w:tab w:val="left" w:pos="1134"/>
          <w:tab w:val="left" w:pos="1559"/>
          <w:tab w:val="left" w:pos="1984"/>
          <w:tab w:val="left" w:leader="dot" w:pos="9000"/>
          <w:tab w:val="right" w:pos="9638"/>
        </w:tabs>
        <w:spacing w:after="120"/>
      </w:pPr>
      <w:r>
        <w:tab/>
        <w:t>29.</w:t>
      </w:r>
      <w:r>
        <w:tab/>
      </w:r>
      <w:r w:rsidR="00CB0B12" w:rsidRPr="00587163">
        <w:t>Tasas de enfermedades no transmisibles normalizadas según la edad,</w:t>
      </w:r>
      <w:r w:rsidR="00CB0B12">
        <w:br/>
      </w:r>
      <w:r w:rsidR="00CB0B12">
        <w:tab/>
      </w:r>
      <w:r w:rsidR="00CB0B12">
        <w:tab/>
      </w:r>
      <w:r w:rsidR="00CB0B12" w:rsidRPr="00587163">
        <w:t>desglosadas por etnia</w:t>
      </w:r>
      <w:r w:rsidR="00CB0B12">
        <w:tab/>
      </w:r>
      <w:r w:rsidR="00B376D5">
        <w:tab/>
      </w:r>
      <w:r w:rsidR="0065294B">
        <w:t>30</w:t>
      </w:r>
    </w:p>
    <w:p w:rsidR="00D346B4" w:rsidRDefault="00D346B4" w:rsidP="000C6966">
      <w:pPr>
        <w:tabs>
          <w:tab w:val="right" w:pos="850"/>
          <w:tab w:val="left" w:pos="1134"/>
          <w:tab w:val="left" w:pos="1559"/>
          <w:tab w:val="left" w:pos="1984"/>
          <w:tab w:val="left" w:leader="dot" w:pos="9000"/>
          <w:tab w:val="right" w:pos="9638"/>
        </w:tabs>
        <w:spacing w:after="120"/>
      </w:pPr>
      <w:r>
        <w:tab/>
        <w:t>30.</w:t>
      </w:r>
      <w:r>
        <w:tab/>
      </w:r>
      <w:r w:rsidR="00CB0B12" w:rsidRPr="00587163">
        <w:t>Tasas de enfermedades transmisibles normalizadas según la edad,</w:t>
      </w:r>
      <w:r w:rsidR="00CB0B12">
        <w:br/>
      </w:r>
      <w:r w:rsidR="00CB0B12">
        <w:tab/>
      </w:r>
      <w:r w:rsidR="00CB0B12">
        <w:tab/>
      </w:r>
      <w:r w:rsidR="00CB0B12" w:rsidRPr="00587163">
        <w:t>desglosadas por etnia</w:t>
      </w:r>
      <w:r w:rsidR="00CB0B12">
        <w:tab/>
      </w:r>
      <w:r w:rsidR="00B376D5">
        <w:tab/>
      </w:r>
      <w:r w:rsidR="0065294B">
        <w:t>31</w:t>
      </w:r>
    </w:p>
    <w:p w:rsidR="00D346B4" w:rsidRDefault="00D346B4" w:rsidP="000C6966">
      <w:pPr>
        <w:tabs>
          <w:tab w:val="right" w:pos="850"/>
          <w:tab w:val="left" w:pos="1134"/>
          <w:tab w:val="left" w:pos="1559"/>
          <w:tab w:val="left" w:pos="1984"/>
          <w:tab w:val="left" w:leader="dot" w:pos="9000"/>
          <w:tab w:val="right" w:pos="9638"/>
        </w:tabs>
        <w:spacing w:after="120"/>
      </w:pPr>
      <w:r>
        <w:tab/>
        <w:t>31.</w:t>
      </w:r>
      <w:r>
        <w:tab/>
      </w:r>
      <w:r w:rsidR="00CB0B12" w:rsidRPr="00587163">
        <w:t>Hospitalizaciones, desglosadas por determinadas enfermedades transmisibles</w:t>
      </w:r>
      <w:r w:rsidR="00CB0B12" w:rsidRPr="00587163">
        <w:br/>
      </w:r>
      <w:r w:rsidR="00CB0B12">
        <w:tab/>
      </w:r>
      <w:r w:rsidR="00CB0B12">
        <w:tab/>
      </w:r>
      <w:r w:rsidR="00CB0B12" w:rsidRPr="00587163">
        <w:t>y no transmisibles</w:t>
      </w:r>
      <w:r w:rsidR="00CB0B12">
        <w:tab/>
      </w:r>
      <w:r w:rsidR="00B376D5">
        <w:tab/>
      </w:r>
      <w:r w:rsidR="0065294B">
        <w:t>31</w:t>
      </w:r>
    </w:p>
    <w:p w:rsidR="00D346B4" w:rsidRDefault="00D346B4" w:rsidP="000C6966">
      <w:pPr>
        <w:tabs>
          <w:tab w:val="right" w:pos="850"/>
          <w:tab w:val="left" w:pos="1134"/>
          <w:tab w:val="left" w:pos="1559"/>
          <w:tab w:val="left" w:pos="1984"/>
          <w:tab w:val="left" w:leader="dot" w:pos="9000"/>
          <w:tab w:val="right" w:pos="9638"/>
        </w:tabs>
        <w:spacing w:after="120"/>
      </w:pPr>
      <w:r>
        <w:tab/>
        <w:t>32.</w:t>
      </w:r>
      <w:r>
        <w:tab/>
      </w:r>
      <w:r w:rsidR="00CB0B12" w:rsidRPr="00587163">
        <w:t>Tasas de enfermedades transmisibles y no transmisibles seleccionadas,</w:t>
      </w:r>
      <w:r w:rsidR="00CB0B12">
        <w:br/>
      </w:r>
      <w:r w:rsidR="00CB0B12">
        <w:tab/>
      </w:r>
      <w:r w:rsidR="00CB0B12">
        <w:tab/>
      </w:r>
      <w:r w:rsidR="00CB0B12" w:rsidRPr="00587163">
        <w:t>desglosadas por etnia, 2006</w:t>
      </w:r>
      <w:r w:rsidR="00CB0B12">
        <w:tab/>
      </w:r>
      <w:r w:rsidR="00B376D5">
        <w:tab/>
      </w:r>
      <w:r w:rsidR="0065294B">
        <w:t>32</w:t>
      </w:r>
    </w:p>
    <w:p w:rsidR="00D346B4" w:rsidRDefault="00D346B4" w:rsidP="000C6966">
      <w:pPr>
        <w:tabs>
          <w:tab w:val="right" w:pos="850"/>
          <w:tab w:val="left" w:pos="1134"/>
          <w:tab w:val="left" w:pos="1559"/>
          <w:tab w:val="left" w:pos="1984"/>
          <w:tab w:val="left" w:leader="dot" w:pos="9000"/>
          <w:tab w:val="right" w:pos="9638"/>
        </w:tabs>
        <w:spacing w:after="120"/>
      </w:pPr>
      <w:r>
        <w:tab/>
        <w:t>33.</w:t>
      </w:r>
      <w:r>
        <w:tab/>
      </w:r>
      <w:r w:rsidR="00CB0B12" w:rsidRPr="00587163">
        <w:t xml:space="preserve">Tasas de hospitalización por enfermedades transmisibles y no transmisibles, </w:t>
      </w:r>
      <w:r w:rsidR="00CB0B12" w:rsidRPr="00587163">
        <w:br/>
      </w:r>
      <w:r w:rsidR="00CB0B12">
        <w:tab/>
      </w:r>
      <w:r w:rsidR="00CB0B12">
        <w:tab/>
      </w:r>
      <w:r w:rsidR="00CB0B12" w:rsidRPr="00587163">
        <w:t>desglosadas por edad</w:t>
      </w:r>
      <w:r w:rsidR="00CB0B12">
        <w:tab/>
      </w:r>
      <w:r w:rsidR="00B376D5">
        <w:tab/>
      </w:r>
      <w:r w:rsidR="0065294B">
        <w:t>33</w:t>
      </w:r>
    </w:p>
    <w:p w:rsidR="00D346B4" w:rsidRDefault="00D346B4" w:rsidP="000C6966">
      <w:pPr>
        <w:tabs>
          <w:tab w:val="right" w:pos="850"/>
          <w:tab w:val="left" w:pos="1134"/>
          <w:tab w:val="left" w:pos="1559"/>
          <w:tab w:val="left" w:pos="1984"/>
          <w:tab w:val="left" w:leader="dot" w:pos="9000"/>
          <w:tab w:val="right" w:pos="9638"/>
        </w:tabs>
        <w:spacing w:after="120"/>
      </w:pPr>
      <w:r>
        <w:tab/>
        <w:t>34.</w:t>
      </w:r>
      <w:r>
        <w:tab/>
      </w:r>
      <w:r w:rsidR="00CB0B12" w:rsidRPr="00587163">
        <w:t>Tasas de prestación de servicios de salud mental por cada 100.000 habitantes,</w:t>
      </w:r>
      <w:r w:rsidR="00CB0B12">
        <w:br/>
      </w:r>
      <w:r w:rsidR="00CB0B12">
        <w:tab/>
      </w:r>
      <w:r w:rsidR="00CB0B12">
        <w:tab/>
      </w:r>
      <w:r w:rsidR="00CB0B12" w:rsidRPr="00587163">
        <w:t>normalizadas según la edad y desglosadas por grupo étnico y sexo, 2006-2007</w:t>
      </w:r>
      <w:r w:rsidR="00CB0B12">
        <w:tab/>
      </w:r>
      <w:r w:rsidR="00B376D5">
        <w:tab/>
      </w:r>
      <w:r w:rsidR="0065294B">
        <w:t>34</w:t>
      </w:r>
    </w:p>
    <w:p w:rsidR="00D346B4" w:rsidRDefault="00D346B4" w:rsidP="000C6966">
      <w:pPr>
        <w:tabs>
          <w:tab w:val="right" w:pos="850"/>
          <w:tab w:val="left" w:pos="1134"/>
          <w:tab w:val="left" w:pos="1559"/>
          <w:tab w:val="left" w:pos="1984"/>
          <w:tab w:val="left" w:leader="dot" w:pos="9000"/>
          <w:tab w:val="right" w:pos="9638"/>
        </w:tabs>
        <w:spacing w:after="120"/>
      </w:pPr>
      <w:r>
        <w:tab/>
        <w:t>35.</w:t>
      </w:r>
      <w:r>
        <w:tab/>
      </w:r>
      <w:r w:rsidR="00CB0B12" w:rsidRPr="000C6966">
        <w:t>Mujeres en edad de procrear que utilizan medios anticonceptivos o cuyas</w:t>
      </w:r>
      <w:r w:rsidR="00CB0B12" w:rsidRPr="000C6966">
        <w:br/>
      </w:r>
      <w:r w:rsidR="00CB0B12" w:rsidRPr="000C6966">
        <w:tab/>
      </w:r>
      <w:r w:rsidR="00CB0B12" w:rsidRPr="000C6966">
        <w:tab/>
        <w:t>parejas utilizan anticonceptivos</w:t>
      </w:r>
      <w:r w:rsidR="00CB0B12">
        <w:rPr>
          <w:bCs/>
          <w:lang w:val="es-ES_tradnl"/>
        </w:rPr>
        <w:tab/>
      </w:r>
      <w:r w:rsidR="00B376D5">
        <w:rPr>
          <w:bCs/>
          <w:lang w:val="es-ES_tradnl"/>
        </w:rPr>
        <w:tab/>
      </w:r>
      <w:r w:rsidR="0065294B">
        <w:rPr>
          <w:bCs/>
          <w:lang w:val="es-ES_tradnl"/>
        </w:rPr>
        <w:t>35</w:t>
      </w:r>
    </w:p>
    <w:p w:rsidR="00CB0B12" w:rsidRPr="000C6966" w:rsidRDefault="00D346B4" w:rsidP="000C6966">
      <w:pPr>
        <w:tabs>
          <w:tab w:val="right" w:pos="850"/>
          <w:tab w:val="left" w:pos="1134"/>
          <w:tab w:val="left" w:pos="1559"/>
          <w:tab w:val="left" w:pos="1984"/>
          <w:tab w:val="left" w:leader="dot" w:pos="9000"/>
          <w:tab w:val="right" w:pos="9638"/>
        </w:tabs>
        <w:spacing w:after="120"/>
      </w:pPr>
      <w:r>
        <w:tab/>
        <w:t>36.</w:t>
      </w:r>
      <w:r>
        <w:tab/>
      </w:r>
      <w:r w:rsidR="00CB0B12" w:rsidRPr="00587163">
        <w:rPr>
          <w:bCs/>
          <w:lang w:val="es-ES_tradnl"/>
        </w:rPr>
        <w:t xml:space="preserve">Tasas de </w:t>
      </w:r>
      <w:r w:rsidR="00CB0B12" w:rsidRPr="000C6966">
        <w:t>dispensa escolar por cada 1.000 estudiantes de 15 años de edad,</w:t>
      </w:r>
      <w:r w:rsidR="00CB0B12" w:rsidRPr="000C6966">
        <w:br/>
      </w:r>
      <w:r w:rsidR="00CB0B12" w:rsidRPr="000C6966">
        <w:tab/>
      </w:r>
      <w:r w:rsidR="00CB0B12" w:rsidRPr="000C6966">
        <w:tab/>
        <w:t>desglosadas por grupo étnico, con exclusión de los estudiantes internacionales</w:t>
      </w:r>
      <w:r w:rsidR="00CB0B12" w:rsidRPr="000C6966">
        <w:br/>
      </w:r>
      <w:r w:rsidR="00CB0B12" w:rsidRPr="000C6966">
        <w:tab/>
      </w:r>
      <w:r w:rsidR="00CB0B12" w:rsidRPr="000C6966">
        <w:tab/>
        <w:t>sujetos al pago de derechos de admisión, 2000-2009</w:t>
      </w:r>
      <w:r w:rsidR="00CB0B12" w:rsidRPr="000C6966">
        <w:tab/>
      </w:r>
      <w:r w:rsidR="00B376D5" w:rsidRPr="000C6966">
        <w:tab/>
      </w:r>
      <w:r w:rsidR="0065294B" w:rsidRPr="000C6966">
        <w:t>3</w:t>
      </w:r>
      <w:r w:rsidR="008945EB">
        <w:t>7</w:t>
      </w:r>
    </w:p>
    <w:p w:rsidR="00D346B4" w:rsidRDefault="00D346B4" w:rsidP="000C6966">
      <w:pPr>
        <w:tabs>
          <w:tab w:val="right" w:pos="850"/>
          <w:tab w:val="left" w:pos="1134"/>
          <w:tab w:val="left" w:pos="1559"/>
          <w:tab w:val="left" w:pos="1984"/>
          <w:tab w:val="left" w:leader="dot" w:pos="9000"/>
          <w:tab w:val="right" w:pos="9638"/>
        </w:tabs>
        <w:spacing w:after="120"/>
      </w:pPr>
      <w:r>
        <w:tab/>
        <w:t>37.</w:t>
      </w:r>
      <w:r>
        <w:tab/>
      </w:r>
      <w:r w:rsidR="00CB0B12" w:rsidRPr="000C6966">
        <w:t>Tasas de dispensa escolar por cada 1.000 estudiantes de 15 años de edad,</w:t>
      </w:r>
      <w:r w:rsidR="00CB0B12" w:rsidRPr="000C6966">
        <w:br/>
      </w:r>
      <w:r w:rsidR="00CB0B12" w:rsidRPr="000C6966">
        <w:tab/>
      </w:r>
      <w:r w:rsidR="00CB0B12" w:rsidRPr="000C6966">
        <w:tab/>
        <w:t>desglosadas por género y grupo étnico, 2009</w:t>
      </w:r>
      <w:r w:rsidR="00CB0B12" w:rsidRPr="000C6966">
        <w:tab/>
      </w:r>
      <w:r w:rsidR="00B376D5" w:rsidRPr="000C6966">
        <w:tab/>
      </w:r>
      <w:r w:rsidR="00CB3FA8" w:rsidRPr="000C6966">
        <w:t>37</w:t>
      </w:r>
    </w:p>
    <w:p w:rsidR="00D346B4" w:rsidRDefault="00D346B4" w:rsidP="000C6966">
      <w:pPr>
        <w:tabs>
          <w:tab w:val="right" w:pos="850"/>
          <w:tab w:val="left" w:pos="1134"/>
          <w:tab w:val="left" w:pos="1559"/>
          <w:tab w:val="left" w:pos="1984"/>
          <w:tab w:val="left" w:leader="dot" w:pos="9000"/>
          <w:tab w:val="right" w:pos="9638"/>
        </w:tabs>
        <w:spacing w:after="120"/>
      </w:pPr>
      <w:r>
        <w:tab/>
        <w:t>38.</w:t>
      </w:r>
      <w:r>
        <w:tab/>
      </w:r>
      <w:r w:rsidR="00CB0B12" w:rsidRPr="000C6966">
        <w:t>Proporción de alumnos por maestro en escuelas estatales y escuelas</w:t>
      </w:r>
      <w:r w:rsidR="00CB0B12" w:rsidRPr="000C6966">
        <w:br/>
      </w:r>
      <w:r w:rsidR="00CB0B12" w:rsidRPr="000C6966">
        <w:tab/>
      </w:r>
      <w:r w:rsidR="00CB0B12" w:rsidRPr="000C6966">
        <w:tab/>
        <w:t>integradas estatales, 2003-2009</w:t>
      </w:r>
      <w:r w:rsidR="00CB0B12" w:rsidRPr="000C6966">
        <w:tab/>
      </w:r>
      <w:r w:rsidR="00B376D5" w:rsidRPr="000C6966">
        <w:tab/>
      </w:r>
      <w:r w:rsidR="00CB3FA8" w:rsidRPr="000C6966">
        <w:t>38</w:t>
      </w:r>
    </w:p>
    <w:p w:rsidR="00D346B4" w:rsidRDefault="00D346B4" w:rsidP="000C6966">
      <w:pPr>
        <w:tabs>
          <w:tab w:val="right" w:pos="850"/>
          <w:tab w:val="left" w:pos="1134"/>
          <w:tab w:val="left" w:pos="1559"/>
          <w:tab w:val="left" w:pos="1984"/>
          <w:tab w:val="left" w:leader="dot" w:pos="9000"/>
          <w:tab w:val="right" w:pos="9638"/>
        </w:tabs>
        <w:spacing w:after="120"/>
      </w:pPr>
      <w:r>
        <w:tab/>
        <w:t>39.</w:t>
      </w:r>
      <w:r>
        <w:tab/>
      </w:r>
      <w:r w:rsidR="007B24D2" w:rsidRPr="000C6966">
        <w:t>Delitos registrados</w:t>
      </w:r>
      <w:r w:rsidR="007B24D2" w:rsidRPr="000C6966">
        <w:tab/>
      </w:r>
      <w:r w:rsidR="00B376D5" w:rsidRPr="000C6966">
        <w:tab/>
      </w:r>
      <w:r w:rsidR="00CB3FA8" w:rsidRPr="000C6966">
        <w:t>40</w:t>
      </w:r>
    </w:p>
    <w:p w:rsidR="00D346B4" w:rsidRDefault="00D346B4" w:rsidP="000C6966">
      <w:pPr>
        <w:tabs>
          <w:tab w:val="right" w:pos="850"/>
          <w:tab w:val="left" w:pos="1134"/>
          <w:tab w:val="left" w:pos="1559"/>
          <w:tab w:val="left" w:pos="1984"/>
          <w:tab w:val="left" w:leader="dot" w:pos="9000"/>
          <w:tab w:val="right" w:pos="9638"/>
        </w:tabs>
        <w:spacing w:after="120"/>
      </w:pPr>
      <w:r>
        <w:tab/>
        <w:t>40.</w:t>
      </w:r>
      <w:r>
        <w:tab/>
      </w:r>
      <w:r w:rsidR="008945EB">
        <w:t>Duración media de la detención preventiva</w:t>
      </w:r>
      <w:r w:rsidR="007B24D2" w:rsidRPr="000C6966">
        <w:tab/>
      </w:r>
      <w:r w:rsidR="00B376D5" w:rsidRPr="000C6966">
        <w:tab/>
      </w:r>
      <w:r w:rsidR="00CB3FA8" w:rsidRPr="000C6966">
        <w:t>41</w:t>
      </w:r>
    </w:p>
    <w:p w:rsidR="00D346B4" w:rsidRDefault="00D346B4" w:rsidP="000C6966">
      <w:pPr>
        <w:tabs>
          <w:tab w:val="right" w:pos="850"/>
          <w:tab w:val="left" w:pos="1134"/>
          <w:tab w:val="left" w:pos="1559"/>
          <w:tab w:val="left" w:pos="1984"/>
          <w:tab w:val="left" w:leader="dot" w:pos="9000"/>
          <w:tab w:val="right" w:pos="9638"/>
        </w:tabs>
        <w:spacing w:after="120"/>
      </w:pPr>
      <w:r>
        <w:tab/>
        <w:t>41.</w:t>
      </w:r>
      <w:r>
        <w:tab/>
      </w:r>
      <w:r w:rsidR="007B24D2" w:rsidRPr="00F9341F">
        <w:t>Población penitenciaria, desglosada por delito y duración de la pena,</w:t>
      </w:r>
      <w:r w:rsidR="007B24D2" w:rsidRPr="00F9341F">
        <w:br/>
      </w:r>
      <w:r w:rsidR="007B24D2">
        <w:tab/>
      </w:r>
      <w:r w:rsidR="007B24D2">
        <w:tab/>
      </w:r>
      <w:r w:rsidR="007B24D2" w:rsidRPr="00F9341F">
        <w:t>al 30 de junio de 2010</w:t>
      </w:r>
      <w:r w:rsidR="007B24D2">
        <w:tab/>
      </w:r>
      <w:r w:rsidR="00B376D5">
        <w:tab/>
      </w:r>
      <w:r w:rsidR="00CB3FA8">
        <w:t>41</w:t>
      </w:r>
    </w:p>
    <w:p w:rsidR="00D346B4" w:rsidRDefault="00D346B4" w:rsidP="000C6966">
      <w:pPr>
        <w:tabs>
          <w:tab w:val="right" w:pos="850"/>
          <w:tab w:val="left" w:pos="1134"/>
          <w:tab w:val="left" w:pos="1559"/>
          <w:tab w:val="left" w:pos="1984"/>
          <w:tab w:val="left" w:leader="dot" w:pos="9000"/>
          <w:tab w:val="right" w:pos="9638"/>
        </w:tabs>
        <w:spacing w:after="120"/>
      </w:pPr>
      <w:r>
        <w:tab/>
        <w:t>42.</w:t>
      </w:r>
      <w:r>
        <w:tab/>
      </w:r>
      <w:r w:rsidR="007B24D2" w:rsidRPr="00F9341F">
        <w:t>Muertes no naturales en establecimientos penitenciarios</w:t>
      </w:r>
      <w:r w:rsidR="007B24D2">
        <w:tab/>
      </w:r>
      <w:r w:rsidR="00B376D5">
        <w:tab/>
      </w:r>
      <w:r w:rsidR="00CB3FA8">
        <w:t>43</w:t>
      </w:r>
    </w:p>
    <w:p w:rsidR="00D346B4" w:rsidRDefault="00D346B4" w:rsidP="000C6966">
      <w:pPr>
        <w:tabs>
          <w:tab w:val="right" w:pos="850"/>
          <w:tab w:val="left" w:pos="1134"/>
          <w:tab w:val="left" w:pos="1559"/>
          <w:tab w:val="left" w:pos="1984"/>
          <w:tab w:val="left" w:leader="dot" w:pos="9000"/>
          <w:tab w:val="right" w:pos="9638"/>
        </w:tabs>
        <w:spacing w:after="120"/>
      </w:pPr>
      <w:r>
        <w:tab/>
        <w:t>43.</w:t>
      </w:r>
      <w:r>
        <w:tab/>
      </w:r>
      <w:r w:rsidR="007B24D2" w:rsidRPr="00F9341F">
        <w:t>Número de agentes de policía en Nueva Zelandia por cada 100.000</w:t>
      </w:r>
      <w:r w:rsidR="007B24D2">
        <w:br/>
      </w:r>
      <w:r w:rsidR="007B24D2">
        <w:tab/>
      </w:r>
      <w:r w:rsidR="007B24D2">
        <w:tab/>
      </w:r>
      <w:r w:rsidR="007B24D2" w:rsidRPr="00F9341F">
        <w:t>habitantes</w:t>
      </w:r>
      <w:r w:rsidR="007B24D2">
        <w:tab/>
      </w:r>
      <w:r w:rsidR="007B24D2">
        <w:tab/>
      </w:r>
      <w:r w:rsidR="00B376D5">
        <w:tab/>
      </w:r>
      <w:r w:rsidR="00CB3FA8">
        <w:t>43</w:t>
      </w:r>
    </w:p>
    <w:p w:rsidR="00D346B4" w:rsidRDefault="00D346B4" w:rsidP="000C6966">
      <w:pPr>
        <w:tabs>
          <w:tab w:val="right" w:pos="850"/>
          <w:tab w:val="left" w:pos="1134"/>
          <w:tab w:val="left" w:pos="1559"/>
          <w:tab w:val="left" w:pos="1984"/>
          <w:tab w:val="left" w:leader="dot" w:pos="9000"/>
          <w:tab w:val="right" w:pos="9638"/>
        </w:tabs>
        <w:spacing w:after="120"/>
      </w:pPr>
      <w:r>
        <w:tab/>
        <w:t>44.</w:t>
      </w:r>
      <w:r>
        <w:tab/>
      </w:r>
      <w:r w:rsidR="007B24D2" w:rsidRPr="00F9341F">
        <w:t>Desglose de los agentes de policía por grupo étnico</w:t>
      </w:r>
      <w:r w:rsidR="007B24D2">
        <w:tab/>
      </w:r>
      <w:r w:rsidR="00B376D5">
        <w:tab/>
      </w:r>
      <w:r w:rsidR="00CB3FA8">
        <w:t>43</w:t>
      </w:r>
    </w:p>
    <w:p w:rsidR="00D346B4" w:rsidRDefault="00D346B4" w:rsidP="000C6966">
      <w:pPr>
        <w:tabs>
          <w:tab w:val="right" w:pos="850"/>
          <w:tab w:val="left" w:pos="1134"/>
          <w:tab w:val="left" w:pos="1559"/>
          <w:tab w:val="left" w:pos="1984"/>
          <w:tab w:val="left" w:leader="dot" w:pos="9000"/>
          <w:tab w:val="right" w:pos="9638"/>
        </w:tabs>
        <w:spacing w:after="120"/>
      </w:pPr>
      <w:r>
        <w:tab/>
        <w:t>45.</w:t>
      </w:r>
      <w:r>
        <w:tab/>
      </w:r>
      <w:r w:rsidR="007B24D2" w:rsidRPr="00F9341F">
        <w:t>Número de jueces, magistrados y fiscales por cada 100.000 habitantes</w:t>
      </w:r>
      <w:r w:rsidR="007B24D2">
        <w:tab/>
      </w:r>
      <w:r w:rsidR="00B376D5">
        <w:tab/>
      </w:r>
      <w:r w:rsidR="00CB3FA8">
        <w:t>44</w:t>
      </w:r>
    </w:p>
    <w:p w:rsidR="00D346B4" w:rsidRDefault="00D346B4" w:rsidP="000C6966">
      <w:pPr>
        <w:tabs>
          <w:tab w:val="right" w:pos="850"/>
          <w:tab w:val="left" w:pos="1134"/>
          <w:tab w:val="left" w:pos="1559"/>
          <w:tab w:val="left" w:pos="1984"/>
          <w:tab w:val="left" w:leader="dot" w:pos="9000"/>
          <w:tab w:val="right" w:pos="9638"/>
        </w:tabs>
        <w:spacing w:after="120"/>
      </w:pPr>
      <w:r>
        <w:tab/>
        <w:t>46.</w:t>
      </w:r>
      <w:r>
        <w:tab/>
      </w:r>
      <w:r w:rsidR="007B24D2" w:rsidRPr="00F9341F">
        <w:t>Información relativa a los jueces, desglosada por grupo étnico y sexo</w:t>
      </w:r>
      <w:r w:rsidR="007B24D2">
        <w:tab/>
      </w:r>
      <w:r w:rsidR="00B376D5">
        <w:tab/>
      </w:r>
      <w:r w:rsidR="00CB3FA8">
        <w:t>44</w:t>
      </w:r>
    </w:p>
    <w:p w:rsidR="00D346B4" w:rsidRDefault="00D346B4" w:rsidP="000C6966">
      <w:pPr>
        <w:tabs>
          <w:tab w:val="right" w:pos="850"/>
          <w:tab w:val="left" w:pos="1134"/>
          <w:tab w:val="left" w:pos="1559"/>
          <w:tab w:val="left" w:pos="1984"/>
          <w:tab w:val="left" w:leader="dot" w:pos="9000"/>
          <w:tab w:val="right" w:pos="9638"/>
        </w:tabs>
        <w:spacing w:after="120"/>
      </w:pPr>
      <w:r>
        <w:tab/>
        <w:t>47.</w:t>
      </w:r>
      <w:r>
        <w:tab/>
      </w:r>
      <w:r w:rsidR="007B24D2" w:rsidRPr="00F9341F">
        <w:t>Proporción del gasto público correspondiente a los sectores policial y judicial</w:t>
      </w:r>
      <w:r w:rsidR="007B24D2">
        <w:tab/>
      </w:r>
      <w:r w:rsidR="00B376D5">
        <w:tab/>
      </w:r>
      <w:r w:rsidR="00CB3FA8">
        <w:t>44</w:t>
      </w:r>
    </w:p>
    <w:p w:rsidR="00D346B4" w:rsidRDefault="00D346B4" w:rsidP="000C6966">
      <w:pPr>
        <w:tabs>
          <w:tab w:val="right" w:pos="850"/>
          <w:tab w:val="left" w:pos="1134"/>
          <w:tab w:val="left" w:pos="1559"/>
          <w:tab w:val="left" w:pos="1984"/>
          <w:tab w:val="left" w:leader="dot" w:pos="9000"/>
          <w:tab w:val="right" w:pos="9638"/>
        </w:tabs>
        <w:spacing w:after="120"/>
      </w:pPr>
      <w:r>
        <w:tab/>
        <w:t>48.</w:t>
      </w:r>
      <w:r>
        <w:tab/>
      </w:r>
      <w:r w:rsidR="007B24D2" w:rsidRPr="00F9341F">
        <w:t>Número de solicitudes de asistencia letrada denegadas</w:t>
      </w:r>
      <w:r w:rsidR="007B24D2">
        <w:tab/>
      </w:r>
      <w:r w:rsidR="00B376D5">
        <w:tab/>
      </w:r>
      <w:r w:rsidR="00CB3FA8">
        <w:t>45</w:t>
      </w:r>
    </w:p>
    <w:p w:rsidR="00D346B4" w:rsidRDefault="00D346B4" w:rsidP="008945EB">
      <w:pPr>
        <w:tabs>
          <w:tab w:val="right" w:pos="850"/>
          <w:tab w:val="left" w:pos="1134"/>
          <w:tab w:val="left" w:pos="1559"/>
          <w:tab w:val="left" w:pos="1984"/>
          <w:tab w:val="left" w:leader="dot" w:pos="9000"/>
          <w:tab w:val="right" w:pos="9638"/>
        </w:tabs>
        <w:spacing w:after="120"/>
      </w:pPr>
      <w:r>
        <w:tab/>
        <w:t>49.</w:t>
      </w:r>
      <w:r>
        <w:tab/>
      </w:r>
      <w:r w:rsidR="007B24D2" w:rsidRPr="00F9341F">
        <w:t>Monto y número de los pagos por concepto de reparación efectuados durante</w:t>
      </w:r>
      <w:r w:rsidR="007B24D2" w:rsidRPr="00F9341F">
        <w:br/>
      </w:r>
      <w:r w:rsidR="007B24D2">
        <w:tab/>
      </w:r>
      <w:r w:rsidR="007B24D2">
        <w:tab/>
      </w:r>
      <w:r w:rsidR="007B24D2" w:rsidRPr="00F9341F">
        <w:t>durante</w:t>
      </w:r>
      <w:r w:rsidR="007B24D2">
        <w:t xml:space="preserve"> </w:t>
      </w:r>
      <w:r w:rsidR="007B24D2" w:rsidRPr="00F9341F">
        <w:t xml:space="preserve">el ejercicio económico comprendido entre el 1º de julio de 2009 </w:t>
      </w:r>
      <w:r w:rsidR="007B24D2" w:rsidRPr="00F9341F">
        <w:br/>
      </w:r>
      <w:r w:rsidR="007B24D2">
        <w:tab/>
      </w:r>
      <w:r w:rsidR="007B24D2">
        <w:tab/>
      </w:r>
      <w:r w:rsidR="007B24D2" w:rsidRPr="00F9341F">
        <w:t>y el 30 de junio</w:t>
      </w:r>
      <w:r w:rsidR="007B24D2">
        <w:t xml:space="preserve"> </w:t>
      </w:r>
      <w:r w:rsidR="007B24D2" w:rsidRPr="00F9341F">
        <w:t>de 2010</w:t>
      </w:r>
      <w:r w:rsidR="007B24D2">
        <w:tab/>
      </w:r>
      <w:r w:rsidR="00B376D5">
        <w:tab/>
      </w:r>
      <w:r w:rsidR="00CB3FA8">
        <w:t>45</w:t>
      </w:r>
    </w:p>
    <w:p w:rsidR="00EF62BD" w:rsidRDefault="00EF62BD" w:rsidP="00EF62BD">
      <w:pPr>
        <w:tabs>
          <w:tab w:val="right" w:pos="850"/>
          <w:tab w:val="left" w:pos="1134"/>
          <w:tab w:val="left" w:pos="1559"/>
          <w:tab w:val="left" w:pos="1984"/>
          <w:tab w:val="left" w:leader="dot" w:pos="7654"/>
          <w:tab w:val="right" w:pos="8929"/>
          <w:tab w:val="right" w:pos="9638"/>
        </w:tabs>
        <w:spacing w:after="120"/>
      </w:pPr>
    </w:p>
    <w:p w:rsidR="00F236D5" w:rsidRPr="00F34D17" w:rsidRDefault="00F236D5" w:rsidP="006E0F88">
      <w:pPr>
        <w:pStyle w:val="HChG"/>
      </w:pPr>
      <w:r w:rsidRPr="00F34D17">
        <w:br w:type="page"/>
      </w:r>
      <w:r>
        <w:tab/>
      </w:r>
      <w:r w:rsidRPr="00F34D17">
        <w:t>I.</w:t>
      </w:r>
      <w:r>
        <w:tab/>
      </w:r>
      <w:r w:rsidRPr="00F34D17">
        <w:t>Datos y estadísticas generales</w:t>
      </w:r>
    </w:p>
    <w:p w:rsidR="00F236D5" w:rsidRPr="00F34D17" w:rsidRDefault="00F236D5" w:rsidP="00F236D5">
      <w:pPr>
        <w:pStyle w:val="H1G"/>
      </w:pPr>
      <w:r>
        <w:tab/>
      </w:r>
      <w:r w:rsidRPr="00F34D17">
        <w:t>A.</w:t>
      </w:r>
      <w:r>
        <w:tab/>
      </w:r>
      <w:r w:rsidRPr="00F34D17">
        <w:t>Características demográficas, económicas, sociales y culturales</w:t>
      </w:r>
    </w:p>
    <w:p w:rsidR="00F236D5" w:rsidRPr="00F34D17" w:rsidRDefault="00F236D5" w:rsidP="00F236D5">
      <w:pPr>
        <w:pStyle w:val="H23G"/>
      </w:pPr>
      <w:r>
        <w:tab/>
      </w:r>
      <w:r w:rsidRPr="00F34D17">
        <w:t>1.</w:t>
      </w:r>
      <w:r w:rsidRPr="00F34D17">
        <w:tab/>
        <w:t>Territorio</w:t>
      </w:r>
    </w:p>
    <w:p w:rsidR="00F236D5" w:rsidRPr="00F34D17" w:rsidRDefault="00F236D5" w:rsidP="00F236D5">
      <w:pPr>
        <w:pStyle w:val="SingleTxtG"/>
      </w:pPr>
      <w:r w:rsidRPr="00F34D17">
        <w:t>1.</w:t>
      </w:r>
      <w:r w:rsidRPr="00F34D17">
        <w:tab/>
        <w:t>Nueva</w:t>
      </w:r>
      <w:r>
        <w:t xml:space="preserve"> </w:t>
      </w:r>
      <w:r w:rsidRPr="00F34D17">
        <w:t>Zelandia, situada en la región sudoccidental del océano Pacífico a medio camino entre el Ecuador y el Polo Sur, está constituida por dos islas principales: Isla del Norte e Isla del Sur y otras más pequeñas. Tiene una superficie total de 268.021 km</w:t>
      </w:r>
      <w:r w:rsidRPr="004574CD">
        <w:rPr>
          <w:vertAlign w:val="superscript"/>
        </w:rPr>
        <w:t>2</w:t>
      </w:r>
      <w:r w:rsidRPr="00F34D17">
        <w:t>, una extensión similar a la del Japón o las Islas Británicas. El mayor país vecino es Australia, al oeste. Al</w:t>
      </w:r>
      <w:r>
        <w:t xml:space="preserve"> </w:t>
      </w:r>
      <w:r w:rsidRPr="00F34D17">
        <w:t>norte se encuentran Nueva Caledonia, Fiji y Tonga. Esta región del mundo se caracteriza por tener volcanes activos y movimientos sísmicos frecuentes. El límite entre la placa indoaustraliana y la placa del Pacífico atraviesa Nueva</w:t>
      </w:r>
      <w:r>
        <w:t xml:space="preserve"> </w:t>
      </w:r>
      <w:r w:rsidRPr="00F34D17">
        <w:t xml:space="preserve">Zelandia y los resultados de sus colisiones han tenido profundos efectos en la extensión, la forma y la geología del país. </w:t>
      </w:r>
    </w:p>
    <w:p w:rsidR="00F236D5" w:rsidRPr="00F34D17" w:rsidRDefault="00F236D5" w:rsidP="00F236D5">
      <w:pPr>
        <w:pStyle w:val="SingleTxtG"/>
      </w:pPr>
      <w:r w:rsidRPr="00F34D17">
        <w:t>2.</w:t>
      </w:r>
      <w:r w:rsidRPr="00F34D17">
        <w:tab/>
        <w:t>En</w:t>
      </w:r>
      <w:r>
        <w:t xml:space="preserve"> </w:t>
      </w:r>
      <w:r w:rsidRPr="00F34D17">
        <w:t>los</w:t>
      </w:r>
      <w:r>
        <w:t xml:space="preserve"> </w:t>
      </w:r>
      <w:r w:rsidRPr="00F34D17">
        <w:t>Alpes del Sur de la Isla del Sur, que se elevan entre zonas de nieves perpetuas y numerosos glaciares, hay 19 picos de más de 3.000 m. Las dos islas principales miden</w:t>
      </w:r>
      <w:r>
        <w:t xml:space="preserve"> </w:t>
      </w:r>
      <w:r w:rsidRPr="00F34D17">
        <w:t>1.600 km desde la punta septentrional hasta la extremidad meridional y ningún punto está a más de 120 km del océano. La larga costa y la distancia a los países vecinos más cercanos contribuyen a que Nueva</w:t>
      </w:r>
      <w:r>
        <w:t xml:space="preserve"> </w:t>
      </w:r>
      <w:r w:rsidRPr="00F34D17">
        <w:t xml:space="preserve">Zelandia tenga una zona económica exclusiva marítima muy grande. </w:t>
      </w:r>
    </w:p>
    <w:p w:rsidR="00F236D5" w:rsidRPr="00F34D17" w:rsidRDefault="00F236D5" w:rsidP="00F236D5">
      <w:pPr>
        <w:pStyle w:val="H23G"/>
      </w:pPr>
      <w:r>
        <w:tab/>
      </w:r>
      <w:r w:rsidRPr="00F34D17">
        <w:t>2.</w:t>
      </w:r>
      <w:r w:rsidRPr="00F34D17">
        <w:tab/>
        <w:t>Historia</w:t>
      </w:r>
    </w:p>
    <w:p w:rsidR="00F236D5" w:rsidRPr="00F34D17" w:rsidRDefault="00F236D5" w:rsidP="00F236D5">
      <w:pPr>
        <w:pStyle w:val="SingleTxtG"/>
      </w:pPr>
      <w:r w:rsidRPr="00F34D17">
        <w:t>3.</w:t>
      </w:r>
      <w:r w:rsidRPr="00F34D17">
        <w:tab/>
        <w:t>Se cree que los primeros colonos polinesios llegaron a Nueva</w:t>
      </w:r>
      <w:r>
        <w:t xml:space="preserve"> </w:t>
      </w:r>
      <w:r w:rsidRPr="00F34D17">
        <w:t>Zelandia hace más</w:t>
      </w:r>
      <w:r>
        <w:t xml:space="preserve"> </w:t>
      </w:r>
      <w:r w:rsidRPr="00F34D17">
        <w:t>de 1.000 años. Hacia el siglo XII, había asentamientos maoríes repartidos por la mayor parte del</w:t>
      </w:r>
      <w:r>
        <w:t xml:space="preserve"> </w:t>
      </w:r>
      <w:r w:rsidRPr="00F34D17">
        <w:t>país. En 1642, el navegante holandés Abel Tasman divisó Nueva</w:t>
      </w:r>
      <w:r>
        <w:t xml:space="preserve"> </w:t>
      </w:r>
      <w:r w:rsidRPr="00F34D17">
        <w:t>Zelandia, pero pasaron 127 años hasta la llegada, en 1769, del capitán de la marina británica James Cook, que fue el primer europeo que puso pie en Nueva</w:t>
      </w:r>
      <w:r>
        <w:t xml:space="preserve"> </w:t>
      </w:r>
      <w:r w:rsidRPr="00F34D17">
        <w:t>Zelandia. El asentamiento organizado de europeos empezó a mediados del siglo XIX.</w:t>
      </w:r>
    </w:p>
    <w:p w:rsidR="00F236D5" w:rsidRPr="00F34D17" w:rsidRDefault="00F236D5" w:rsidP="00F236D5">
      <w:pPr>
        <w:pStyle w:val="SingleTxtG"/>
      </w:pPr>
      <w:r w:rsidRPr="00F34D17">
        <w:t>4.</w:t>
      </w:r>
      <w:r w:rsidRPr="00F34D17">
        <w:tab/>
        <w:t>En 1840 se firmó el Tratado de Waitangi entre los maoríes iwi (las tribus indígenas de Nueva</w:t>
      </w:r>
      <w:r>
        <w:t xml:space="preserve"> </w:t>
      </w:r>
      <w:r w:rsidRPr="00F34D17">
        <w:t>Zelandia) y la Corona Británica. Ese Tratado es uno de los instrumentos en que se funda la Nueva</w:t>
      </w:r>
      <w:r>
        <w:t xml:space="preserve"> </w:t>
      </w:r>
      <w:r w:rsidRPr="00F34D17">
        <w:t>Zelandia moderna.</w:t>
      </w:r>
    </w:p>
    <w:p w:rsidR="00F236D5" w:rsidRPr="00F34D17" w:rsidRDefault="00F236D5" w:rsidP="00F236D5">
      <w:pPr>
        <w:pStyle w:val="H23G"/>
      </w:pPr>
      <w:r>
        <w:tab/>
      </w:r>
      <w:r w:rsidRPr="00F34D17">
        <w:t>3.</w:t>
      </w:r>
      <w:r w:rsidRPr="00F34D17">
        <w:tab/>
        <w:t>Población</w:t>
      </w:r>
    </w:p>
    <w:p w:rsidR="00F236D5" w:rsidRPr="00F34D17" w:rsidRDefault="00F236D5" w:rsidP="00F236D5">
      <w:pPr>
        <w:pStyle w:val="SingleTxtG"/>
      </w:pPr>
      <w:r w:rsidRPr="00F34D17">
        <w:t>5.</w:t>
      </w:r>
      <w:r w:rsidRPr="00F34D17">
        <w:tab/>
        <w:t>Algunos datos incluidos en el presente informe proceden del censo de población de 2006. El próximo censo se realizará en marzo de 2011.</w:t>
      </w:r>
    </w:p>
    <w:p w:rsidR="00F236D5" w:rsidRPr="00F34D17" w:rsidRDefault="00F236D5" w:rsidP="00F236D5">
      <w:pPr>
        <w:pStyle w:val="SingleTxtG"/>
      </w:pPr>
      <w:r w:rsidRPr="00F34D17">
        <w:t>6.</w:t>
      </w:r>
      <w:r w:rsidRPr="00F34D17">
        <w:tab/>
        <w:t>La población residente de Nueva</w:t>
      </w:r>
      <w:r>
        <w:t xml:space="preserve"> </w:t>
      </w:r>
      <w:r w:rsidRPr="00F34D17">
        <w:t>Zelandia alcanzó los 4 millones de habitantes en 2003 y a fines de diciembre de 2008 se estimaba en 4,29 millones. En 2008 el crecimiento de la población fue del 0,9%. Esta tasa de crecimiento demográfico fue inferior a la registrada en 2007 (1,0%) y al aumento medio anual observado durante el decenio terminado en diciembre de 2008 (46.300, o el 1,1%).</w:t>
      </w:r>
    </w:p>
    <w:p w:rsidR="00F236D5" w:rsidRPr="00F34D17" w:rsidRDefault="00F236D5" w:rsidP="00F236D5">
      <w:pPr>
        <w:pStyle w:val="SingleTxtG"/>
      </w:pPr>
      <w:r w:rsidRPr="00F34D17">
        <w:t>7.</w:t>
      </w:r>
      <w:r w:rsidRPr="00F34D17">
        <w:tab/>
        <w:t>Los principales países que contribuyeron al aumento de la migración en 2008 fueron el Reino Unido de Gran Bretaña e Irlanda del Norte (7.800), la India (5.200), Filipinas (3.700), Sudáfrica y Fiji (2.800 cada uno) y China (2.600). El mayor flujo migratorio neto de personas de estos países ocurrido entre 2007 y 2008 no bastó para compensar las migraciones netas a Australia.</w:t>
      </w:r>
    </w:p>
    <w:p w:rsidR="00F236D5" w:rsidRPr="00F34D17" w:rsidRDefault="00F236D5" w:rsidP="00F236D5">
      <w:pPr>
        <w:pStyle w:val="H4G"/>
      </w:pPr>
      <w:r>
        <w:tab/>
      </w:r>
      <w:r w:rsidRPr="00F34D17">
        <w:t>a)</w:t>
      </w:r>
      <w:r w:rsidRPr="00F34D17">
        <w:tab/>
        <w:t>Composición étnica</w:t>
      </w:r>
    </w:p>
    <w:p w:rsidR="00F236D5" w:rsidRPr="00F34D17" w:rsidRDefault="00F236D5" w:rsidP="00F236D5">
      <w:pPr>
        <w:pStyle w:val="SingleTxtG"/>
      </w:pPr>
      <w:r w:rsidRPr="00F34D17">
        <w:t>8.</w:t>
      </w:r>
      <w:r w:rsidRPr="00F34D17">
        <w:tab/>
        <w:t>La diversidad étnica de la población neozelandesa sigue en aumento. Mientras que los neozelandeses de ascendencia europea constituyen aún la mayor parte de la población total (el 78%), el número de personas que se identifica como europeos aumentó s</w:t>
      </w:r>
      <w:r>
        <w:t>o</w:t>
      </w:r>
      <w:r w:rsidRPr="00F34D17">
        <w:t>lo en un 8% en el período de 15 años entre 1991 y 2006. En ese mismo período, el número de personas que se identificaba como maoríes aumentó en un 30%, el grupo étnico de los pueblos del Pacífico</w:t>
      </w:r>
      <w:r>
        <w:rPr>
          <w:rStyle w:val="FootnoteReference"/>
        </w:rPr>
        <w:footnoteReference w:id="2"/>
      </w:r>
      <w:r w:rsidRPr="00F34D17">
        <w:t xml:space="preserve"> se incrementó en un 59% y el número de personas pertenecientes al grupo étnico asiático aumentó en un 255%. Aunque las personas pertenecientes a las demás etnias representan menos del 1% de la población, su número aumentó más rápidamente que el de los otros principales grupos étnicos (en un 440%).</w:t>
      </w:r>
    </w:p>
    <w:p w:rsidR="00F236D5" w:rsidRPr="00F34D17" w:rsidRDefault="00F236D5" w:rsidP="00F236D5">
      <w:pPr>
        <w:pStyle w:val="SingleTxtG"/>
      </w:pPr>
      <w:r w:rsidRPr="00F34D17">
        <w:t>9.</w:t>
      </w:r>
      <w:r w:rsidRPr="00F34D17">
        <w:tab/>
        <w:t>En las principales encuestas de población que se realizan en Nueva Zelandia, la persona encuestada es la que identifica su etnia. La clasificación de las familias de acuerdo a la etnia resulta difícil dado que en Nueva Zelandia es común el matrimonio interracial. Al hacer comparaciones de cifras agregadas se debe prestar atención a las diferencias demográficas entre las etnias. Por ejemplo, dado que la población maorí tiende a ser más joven que las demás, en todo fenómeno característico de una población más joven puede haber cierta representación excesiva de los maoríes.</w:t>
      </w:r>
    </w:p>
    <w:p w:rsidR="00F236D5" w:rsidRDefault="00F236D5" w:rsidP="00F236D5">
      <w:pPr>
        <w:pStyle w:val="Heading1"/>
      </w:pPr>
      <w:r w:rsidRPr="00F34D17">
        <w:t>Cuadro 1</w:t>
      </w:r>
    </w:p>
    <w:p w:rsidR="00F236D5" w:rsidRDefault="00F236D5" w:rsidP="00F236D5">
      <w:pPr>
        <w:pStyle w:val="SingleTxtG"/>
        <w:jc w:val="left"/>
        <w:rPr>
          <w:b/>
        </w:rPr>
      </w:pPr>
      <w:r w:rsidRPr="003B4E42">
        <w:rPr>
          <w:b/>
        </w:rPr>
        <w:t>Distribución de la población por etnia, 1991-2006</w:t>
      </w:r>
    </w:p>
    <w:tbl>
      <w:tblPr>
        <w:tblStyle w:val="TableGrid"/>
        <w:tblW w:w="9645" w:type="dxa"/>
        <w:tblInd w:w="14"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618"/>
        <w:gridCol w:w="878"/>
        <w:gridCol w:w="878"/>
        <w:gridCol w:w="879"/>
        <w:gridCol w:w="878"/>
        <w:gridCol w:w="878"/>
        <w:gridCol w:w="879"/>
        <w:gridCol w:w="878"/>
        <w:gridCol w:w="879"/>
      </w:tblGrid>
      <w:tr w:rsidR="00F236D5" w:rsidRPr="00944120" w:rsidTr="00947046">
        <w:trPr>
          <w:trHeight w:val="240"/>
          <w:tblHeader/>
        </w:trPr>
        <w:tc>
          <w:tcPr>
            <w:tcW w:w="2618" w:type="dxa"/>
            <w:tcBorders>
              <w:top w:val="single" w:sz="4" w:space="0" w:color="auto"/>
              <w:bottom w:val="single" w:sz="12" w:space="0" w:color="auto"/>
            </w:tcBorders>
            <w:shd w:val="clear" w:color="auto" w:fill="auto"/>
            <w:vAlign w:val="bottom"/>
          </w:tcPr>
          <w:p w:rsidR="00F236D5" w:rsidRPr="00944120" w:rsidRDefault="00F236D5" w:rsidP="00947046">
            <w:pPr>
              <w:pStyle w:val="SingleTxtG"/>
              <w:spacing w:before="80" w:after="80" w:line="200" w:lineRule="exact"/>
              <w:ind w:left="0" w:right="0"/>
              <w:jc w:val="left"/>
              <w:rPr>
                <w:i/>
                <w:sz w:val="16"/>
              </w:rPr>
            </w:pPr>
            <w:r w:rsidRPr="00944120">
              <w:rPr>
                <w:i/>
                <w:sz w:val="16"/>
              </w:rPr>
              <w:t>Grupo étnico</w:t>
            </w:r>
            <w:r w:rsidRPr="006A5073">
              <w:rPr>
                <w:i/>
                <w:sz w:val="18"/>
                <w:szCs w:val="18"/>
                <w:vertAlign w:val="superscript"/>
              </w:rPr>
              <w:t>1</w:t>
            </w:r>
            <w:r w:rsidRPr="00944120">
              <w:rPr>
                <w:i/>
                <w:sz w:val="16"/>
              </w:rPr>
              <w:t xml:space="preserve"> </w:t>
            </w:r>
          </w:p>
        </w:tc>
        <w:tc>
          <w:tcPr>
            <w:tcW w:w="878" w:type="dxa"/>
            <w:tcBorders>
              <w:top w:val="single" w:sz="4" w:space="0" w:color="auto"/>
              <w:bottom w:val="single" w:sz="12" w:space="0" w:color="auto"/>
            </w:tcBorders>
            <w:shd w:val="clear" w:color="auto" w:fill="auto"/>
            <w:vAlign w:val="bottom"/>
          </w:tcPr>
          <w:p w:rsidR="00F236D5" w:rsidRPr="00944120" w:rsidRDefault="00F236D5" w:rsidP="00947046">
            <w:pPr>
              <w:pStyle w:val="SingleTxtG"/>
              <w:spacing w:before="80" w:after="80" w:line="200" w:lineRule="exact"/>
              <w:ind w:left="113" w:right="0"/>
              <w:jc w:val="right"/>
              <w:rPr>
                <w:i/>
                <w:sz w:val="16"/>
              </w:rPr>
            </w:pPr>
            <w:r w:rsidRPr="00944120">
              <w:rPr>
                <w:i/>
                <w:sz w:val="16"/>
              </w:rPr>
              <w:t>1991</w:t>
            </w:r>
          </w:p>
        </w:tc>
        <w:tc>
          <w:tcPr>
            <w:tcW w:w="878" w:type="dxa"/>
            <w:tcBorders>
              <w:top w:val="single" w:sz="4" w:space="0" w:color="auto"/>
              <w:bottom w:val="single" w:sz="12" w:space="0" w:color="auto"/>
            </w:tcBorders>
            <w:shd w:val="clear" w:color="auto" w:fill="auto"/>
            <w:vAlign w:val="bottom"/>
          </w:tcPr>
          <w:p w:rsidR="00F236D5" w:rsidRPr="00944120" w:rsidRDefault="00F236D5" w:rsidP="00947046">
            <w:pPr>
              <w:pStyle w:val="SingleTxtG"/>
              <w:spacing w:before="80" w:after="80" w:line="200" w:lineRule="exact"/>
              <w:ind w:left="113" w:right="0"/>
              <w:jc w:val="right"/>
              <w:rPr>
                <w:i/>
                <w:sz w:val="16"/>
              </w:rPr>
            </w:pPr>
            <w:r w:rsidRPr="00944120">
              <w:rPr>
                <w:i/>
                <w:sz w:val="16"/>
              </w:rPr>
              <w:t>Porcentaje</w:t>
            </w:r>
          </w:p>
        </w:tc>
        <w:tc>
          <w:tcPr>
            <w:tcW w:w="879" w:type="dxa"/>
            <w:tcBorders>
              <w:top w:val="single" w:sz="4" w:space="0" w:color="auto"/>
              <w:bottom w:val="single" w:sz="12" w:space="0" w:color="auto"/>
            </w:tcBorders>
            <w:shd w:val="clear" w:color="auto" w:fill="auto"/>
            <w:vAlign w:val="bottom"/>
          </w:tcPr>
          <w:p w:rsidR="00F236D5" w:rsidRPr="00944120" w:rsidRDefault="00F236D5" w:rsidP="00947046">
            <w:pPr>
              <w:pStyle w:val="SingleTxtG"/>
              <w:spacing w:before="80" w:after="80" w:line="200" w:lineRule="exact"/>
              <w:ind w:left="113" w:right="0"/>
              <w:jc w:val="right"/>
              <w:rPr>
                <w:i/>
                <w:sz w:val="16"/>
              </w:rPr>
            </w:pPr>
            <w:r w:rsidRPr="00944120">
              <w:rPr>
                <w:i/>
                <w:sz w:val="16"/>
              </w:rPr>
              <w:t>1996</w:t>
            </w:r>
          </w:p>
        </w:tc>
        <w:tc>
          <w:tcPr>
            <w:tcW w:w="878" w:type="dxa"/>
            <w:tcBorders>
              <w:top w:val="single" w:sz="4" w:space="0" w:color="auto"/>
              <w:bottom w:val="single" w:sz="12" w:space="0" w:color="auto"/>
            </w:tcBorders>
            <w:shd w:val="clear" w:color="auto" w:fill="auto"/>
            <w:vAlign w:val="bottom"/>
          </w:tcPr>
          <w:p w:rsidR="00F236D5" w:rsidRPr="00944120" w:rsidRDefault="00F236D5" w:rsidP="00947046">
            <w:pPr>
              <w:pStyle w:val="SingleTxtG"/>
              <w:spacing w:before="80" w:after="80" w:line="200" w:lineRule="exact"/>
              <w:ind w:left="113" w:right="0"/>
              <w:jc w:val="right"/>
              <w:rPr>
                <w:i/>
                <w:sz w:val="16"/>
              </w:rPr>
            </w:pPr>
            <w:r w:rsidRPr="00944120">
              <w:rPr>
                <w:i/>
                <w:sz w:val="16"/>
              </w:rPr>
              <w:t>Porcentaje</w:t>
            </w:r>
          </w:p>
        </w:tc>
        <w:tc>
          <w:tcPr>
            <w:tcW w:w="878" w:type="dxa"/>
            <w:tcBorders>
              <w:top w:val="single" w:sz="4" w:space="0" w:color="auto"/>
              <w:bottom w:val="single" w:sz="12" w:space="0" w:color="auto"/>
            </w:tcBorders>
            <w:shd w:val="clear" w:color="auto" w:fill="auto"/>
            <w:vAlign w:val="bottom"/>
          </w:tcPr>
          <w:p w:rsidR="00F236D5" w:rsidRPr="00944120" w:rsidRDefault="00F236D5" w:rsidP="00947046">
            <w:pPr>
              <w:pStyle w:val="SingleTxtG"/>
              <w:spacing w:before="80" w:after="80" w:line="200" w:lineRule="exact"/>
              <w:ind w:left="113" w:right="0"/>
              <w:jc w:val="right"/>
              <w:rPr>
                <w:i/>
                <w:sz w:val="16"/>
              </w:rPr>
            </w:pPr>
            <w:r w:rsidRPr="00944120">
              <w:rPr>
                <w:i/>
                <w:sz w:val="16"/>
              </w:rPr>
              <w:t>2001</w:t>
            </w:r>
          </w:p>
        </w:tc>
        <w:tc>
          <w:tcPr>
            <w:tcW w:w="879" w:type="dxa"/>
            <w:tcBorders>
              <w:top w:val="single" w:sz="4" w:space="0" w:color="auto"/>
              <w:bottom w:val="single" w:sz="12" w:space="0" w:color="auto"/>
            </w:tcBorders>
            <w:shd w:val="clear" w:color="auto" w:fill="auto"/>
            <w:vAlign w:val="bottom"/>
          </w:tcPr>
          <w:p w:rsidR="00F236D5" w:rsidRPr="00944120" w:rsidRDefault="00F236D5" w:rsidP="00947046">
            <w:pPr>
              <w:pStyle w:val="SingleTxtG"/>
              <w:spacing w:before="80" w:after="80" w:line="200" w:lineRule="exact"/>
              <w:ind w:left="113" w:right="0"/>
              <w:jc w:val="right"/>
              <w:rPr>
                <w:i/>
                <w:sz w:val="16"/>
              </w:rPr>
            </w:pPr>
            <w:r w:rsidRPr="00944120">
              <w:rPr>
                <w:i/>
                <w:sz w:val="16"/>
              </w:rPr>
              <w:t>Porcentaje</w:t>
            </w:r>
          </w:p>
        </w:tc>
        <w:tc>
          <w:tcPr>
            <w:tcW w:w="878" w:type="dxa"/>
            <w:tcBorders>
              <w:top w:val="single" w:sz="4" w:space="0" w:color="auto"/>
              <w:bottom w:val="single" w:sz="12" w:space="0" w:color="auto"/>
            </w:tcBorders>
            <w:shd w:val="clear" w:color="auto" w:fill="auto"/>
            <w:vAlign w:val="bottom"/>
          </w:tcPr>
          <w:p w:rsidR="00F236D5" w:rsidRPr="00944120" w:rsidRDefault="00F236D5" w:rsidP="00947046">
            <w:pPr>
              <w:pStyle w:val="SingleTxtG"/>
              <w:spacing w:before="80" w:after="80" w:line="200" w:lineRule="exact"/>
              <w:ind w:left="113" w:right="0"/>
              <w:jc w:val="right"/>
              <w:rPr>
                <w:i/>
                <w:sz w:val="16"/>
              </w:rPr>
            </w:pPr>
            <w:r w:rsidRPr="00944120">
              <w:rPr>
                <w:i/>
                <w:sz w:val="16"/>
              </w:rPr>
              <w:t>2006</w:t>
            </w:r>
          </w:p>
        </w:tc>
        <w:tc>
          <w:tcPr>
            <w:tcW w:w="879" w:type="dxa"/>
            <w:tcBorders>
              <w:top w:val="single" w:sz="4" w:space="0" w:color="auto"/>
              <w:bottom w:val="single" w:sz="12" w:space="0" w:color="auto"/>
            </w:tcBorders>
            <w:shd w:val="clear" w:color="auto" w:fill="auto"/>
            <w:vAlign w:val="bottom"/>
          </w:tcPr>
          <w:p w:rsidR="00F236D5" w:rsidRPr="00944120" w:rsidRDefault="00F236D5" w:rsidP="00947046">
            <w:pPr>
              <w:pStyle w:val="SingleTxtG"/>
              <w:spacing w:before="80" w:after="80" w:line="200" w:lineRule="exact"/>
              <w:ind w:left="113" w:right="0"/>
              <w:jc w:val="right"/>
              <w:rPr>
                <w:i/>
                <w:sz w:val="16"/>
              </w:rPr>
            </w:pPr>
            <w:r w:rsidRPr="00944120">
              <w:rPr>
                <w:i/>
                <w:sz w:val="16"/>
              </w:rPr>
              <w:t>Porcentaje</w:t>
            </w:r>
          </w:p>
        </w:tc>
      </w:tr>
      <w:tr w:rsidR="00F236D5" w:rsidRPr="00944120" w:rsidTr="00947046">
        <w:trPr>
          <w:trHeight w:val="240"/>
        </w:trPr>
        <w:tc>
          <w:tcPr>
            <w:tcW w:w="2618" w:type="dxa"/>
            <w:tcBorders>
              <w:top w:val="single" w:sz="12" w:space="0" w:color="auto"/>
            </w:tcBorders>
            <w:shd w:val="clear" w:color="auto" w:fill="auto"/>
          </w:tcPr>
          <w:p w:rsidR="00F236D5" w:rsidRPr="00944120" w:rsidRDefault="00F236D5" w:rsidP="00947046">
            <w:pPr>
              <w:spacing w:before="40" w:after="40" w:line="220" w:lineRule="exact"/>
              <w:rPr>
                <w:sz w:val="18"/>
              </w:rPr>
            </w:pPr>
            <w:r w:rsidRPr="00944120">
              <w:rPr>
                <w:sz w:val="18"/>
              </w:rPr>
              <w:t>Europeo</w:t>
            </w:r>
            <w:r w:rsidRPr="006A5073">
              <w:rPr>
                <w:i/>
                <w:sz w:val="18"/>
                <w:vertAlign w:val="superscript"/>
              </w:rPr>
              <w:t>2</w:t>
            </w:r>
          </w:p>
        </w:tc>
        <w:tc>
          <w:tcPr>
            <w:tcW w:w="878" w:type="dxa"/>
            <w:tcBorders>
              <w:top w:val="single" w:sz="12" w:space="0" w:color="auto"/>
            </w:tcBorders>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2 783 028</w:t>
            </w:r>
          </w:p>
        </w:tc>
        <w:tc>
          <w:tcPr>
            <w:tcW w:w="878" w:type="dxa"/>
            <w:tcBorders>
              <w:top w:val="single" w:sz="12" w:space="0" w:color="auto"/>
            </w:tcBorders>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83</w:t>
            </w:r>
            <w:r>
              <w:rPr>
                <w:sz w:val="18"/>
              </w:rPr>
              <w:t>,</w:t>
            </w:r>
            <w:r w:rsidRPr="00944120">
              <w:rPr>
                <w:sz w:val="18"/>
              </w:rPr>
              <w:t>2</w:t>
            </w:r>
          </w:p>
        </w:tc>
        <w:tc>
          <w:tcPr>
            <w:tcW w:w="879" w:type="dxa"/>
            <w:tcBorders>
              <w:top w:val="single" w:sz="12" w:space="0" w:color="auto"/>
            </w:tcBorders>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2 879 085</w:t>
            </w:r>
          </w:p>
        </w:tc>
        <w:tc>
          <w:tcPr>
            <w:tcW w:w="878" w:type="dxa"/>
            <w:tcBorders>
              <w:top w:val="single" w:sz="12" w:space="0" w:color="auto"/>
            </w:tcBorders>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83</w:t>
            </w:r>
            <w:r>
              <w:rPr>
                <w:sz w:val="18"/>
              </w:rPr>
              <w:t>,</w:t>
            </w:r>
            <w:r w:rsidRPr="00944120">
              <w:rPr>
                <w:sz w:val="18"/>
              </w:rPr>
              <w:t>1</w:t>
            </w:r>
          </w:p>
        </w:tc>
        <w:tc>
          <w:tcPr>
            <w:tcW w:w="878" w:type="dxa"/>
            <w:tcBorders>
              <w:top w:val="single" w:sz="12" w:space="0" w:color="auto"/>
            </w:tcBorders>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2 871 432</w:t>
            </w:r>
          </w:p>
        </w:tc>
        <w:tc>
          <w:tcPr>
            <w:tcW w:w="879" w:type="dxa"/>
            <w:tcBorders>
              <w:top w:val="single" w:sz="12" w:space="0" w:color="auto"/>
            </w:tcBorders>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80</w:t>
            </w:r>
            <w:r>
              <w:rPr>
                <w:sz w:val="18"/>
              </w:rPr>
              <w:t>,</w:t>
            </w:r>
            <w:r w:rsidRPr="00944120">
              <w:rPr>
                <w:sz w:val="18"/>
              </w:rPr>
              <w:t>1</w:t>
            </w:r>
          </w:p>
        </w:tc>
        <w:tc>
          <w:tcPr>
            <w:tcW w:w="878" w:type="dxa"/>
            <w:tcBorders>
              <w:top w:val="single" w:sz="12" w:space="0" w:color="auto"/>
            </w:tcBorders>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2 997 051</w:t>
            </w:r>
          </w:p>
        </w:tc>
        <w:tc>
          <w:tcPr>
            <w:tcW w:w="879" w:type="dxa"/>
            <w:tcBorders>
              <w:top w:val="single" w:sz="12" w:space="0" w:color="auto"/>
            </w:tcBorders>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77</w:t>
            </w:r>
            <w:r>
              <w:rPr>
                <w:sz w:val="18"/>
              </w:rPr>
              <w:t>,</w:t>
            </w:r>
            <w:r w:rsidRPr="00944120">
              <w:rPr>
                <w:sz w:val="18"/>
              </w:rPr>
              <w:t>6</w:t>
            </w:r>
          </w:p>
        </w:tc>
      </w:tr>
      <w:tr w:rsidR="00F236D5" w:rsidRPr="00944120" w:rsidTr="00947046">
        <w:trPr>
          <w:trHeight w:val="240"/>
        </w:trPr>
        <w:tc>
          <w:tcPr>
            <w:tcW w:w="2618" w:type="dxa"/>
            <w:shd w:val="clear" w:color="auto" w:fill="auto"/>
          </w:tcPr>
          <w:p w:rsidR="00F236D5" w:rsidRPr="00944120" w:rsidRDefault="00F236D5" w:rsidP="00947046">
            <w:pPr>
              <w:spacing w:before="40" w:after="40" w:line="220" w:lineRule="exact"/>
              <w:rPr>
                <w:sz w:val="18"/>
              </w:rPr>
            </w:pPr>
            <w:r w:rsidRPr="00944120">
              <w:rPr>
                <w:sz w:val="18"/>
              </w:rPr>
              <w:t>Maorí</w:t>
            </w:r>
          </w:p>
        </w:tc>
        <w:tc>
          <w:tcPr>
            <w:tcW w:w="878"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434 847</w:t>
            </w:r>
          </w:p>
        </w:tc>
        <w:tc>
          <w:tcPr>
            <w:tcW w:w="878"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13</w:t>
            </w:r>
            <w:r>
              <w:rPr>
                <w:sz w:val="18"/>
              </w:rPr>
              <w:t>,</w:t>
            </w:r>
            <w:r w:rsidRPr="00944120">
              <w:rPr>
                <w:sz w:val="18"/>
              </w:rPr>
              <w:t>0</w:t>
            </w:r>
          </w:p>
        </w:tc>
        <w:tc>
          <w:tcPr>
            <w:tcW w:w="879"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523 374</w:t>
            </w:r>
          </w:p>
        </w:tc>
        <w:tc>
          <w:tcPr>
            <w:tcW w:w="878"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15</w:t>
            </w:r>
            <w:r>
              <w:rPr>
                <w:sz w:val="18"/>
              </w:rPr>
              <w:t>,</w:t>
            </w:r>
            <w:r w:rsidRPr="00944120">
              <w:rPr>
                <w:sz w:val="18"/>
              </w:rPr>
              <w:t>1</w:t>
            </w:r>
          </w:p>
        </w:tc>
        <w:tc>
          <w:tcPr>
            <w:tcW w:w="878"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526 281</w:t>
            </w:r>
          </w:p>
        </w:tc>
        <w:tc>
          <w:tcPr>
            <w:tcW w:w="879"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14</w:t>
            </w:r>
            <w:r>
              <w:rPr>
                <w:sz w:val="18"/>
              </w:rPr>
              <w:t>,</w:t>
            </w:r>
            <w:r w:rsidRPr="00944120">
              <w:rPr>
                <w:sz w:val="18"/>
              </w:rPr>
              <w:t>7</w:t>
            </w:r>
          </w:p>
        </w:tc>
        <w:tc>
          <w:tcPr>
            <w:tcW w:w="878"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565 329</w:t>
            </w:r>
          </w:p>
        </w:tc>
        <w:tc>
          <w:tcPr>
            <w:tcW w:w="879"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14</w:t>
            </w:r>
            <w:r>
              <w:rPr>
                <w:sz w:val="18"/>
              </w:rPr>
              <w:t>,</w:t>
            </w:r>
            <w:r w:rsidRPr="00944120">
              <w:rPr>
                <w:sz w:val="18"/>
              </w:rPr>
              <w:t>6</w:t>
            </w:r>
          </w:p>
        </w:tc>
      </w:tr>
      <w:tr w:rsidR="00F236D5" w:rsidRPr="00944120" w:rsidTr="00947046">
        <w:trPr>
          <w:trHeight w:val="240"/>
        </w:trPr>
        <w:tc>
          <w:tcPr>
            <w:tcW w:w="2618" w:type="dxa"/>
            <w:shd w:val="clear" w:color="auto" w:fill="auto"/>
          </w:tcPr>
          <w:p w:rsidR="00F236D5" w:rsidRPr="00944120" w:rsidRDefault="00F236D5" w:rsidP="00947046">
            <w:pPr>
              <w:spacing w:before="40" w:after="40" w:line="220" w:lineRule="exact"/>
              <w:rPr>
                <w:sz w:val="18"/>
              </w:rPr>
            </w:pPr>
            <w:r w:rsidRPr="00944120">
              <w:rPr>
                <w:sz w:val="18"/>
              </w:rPr>
              <w:t>Pueblos del Pacífico</w:t>
            </w:r>
          </w:p>
        </w:tc>
        <w:tc>
          <w:tcPr>
            <w:tcW w:w="878"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167 070</w:t>
            </w:r>
          </w:p>
        </w:tc>
        <w:tc>
          <w:tcPr>
            <w:tcW w:w="878"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5</w:t>
            </w:r>
            <w:r>
              <w:rPr>
                <w:sz w:val="18"/>
              </w:rPr>
              <w:t>,</w:t>
            </w:r>
            <w:r w:rsidRPr="00944120">
              <w:rPr>
                <w:sz w:val="18"/>
              </w:rPr>
              <w:t>0</w:t>
            </w:r>
          </w:p>
        </w:tc>
        <w:tc>
          <w:tcPr>
            <w:tcW w:w="879"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202 233</w:t>
            </w:r>
          </w:p>
        </w:tc>
        <w:tc>
          <w:tcPr>
            <w:tcW w:w="878"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5</w:t>
            </w:r>
            <w:r>
              <w:rPr>
                <w:sz w:val="18"/>
              </w:rPr>
              <w:t>,</w:t>
            </w:r>
            <w:r w:rsidRPr="00944120">
              <w:rPr>
                <w:sz w:val="18"/>
              </w:rPr>
              <w:t>8</w:t>
            </w:r>
          </w:p>
        </w:tc>
        <w:tc>
          <w:tcPr>
            <w:tcW w:w="878"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231 798</w:t>
            </w:r>
          </w:p>
        </w:tc>
        <w:tc>
          <w:tcPr>
            <w:tcW w:w="879"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6</w:t>
            </w:r>
            <w:r>
              <w:rPr>
                <w:sz w:val="18"/>
              </w:rPr>
              <w:t>,</w:t>
            </w:r>
            <w:r w:rsidRPr="00944120">
              <w:rPr>
                <w:sz w:val="18"/>
              </w:rPr>
              <w:t>5</w:t>
            </w:r>
          </w:p>
        </w:tc>
        <w:tc>
          <w:tcPr>
            <w:tcW w:w="878"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265 974</w:t>
            </w:r>
          </w:p>
        </w:tc>
        <w:tc>
          <w:tcPr>
            <w:tcW w:w="879"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6</w:t>
            </w:r>
            <w:r>
              <w:rPr>
                <w:sz w:val="18"/>
              </w:rPr>
              <w:t>,</w:t>
            </w:r>
            <w:r w:rsidRPr="00944120">
              <w:rPr>
                <w:sz w:val="18"/>
              </w:rPr>
              <w:t>9</w:t>
            </w:r>
          </w:p>
        </w:tc>
      </w:tr>
      <w:tr w:rsidR="00F236D5" w:rsidRPr="00944120" w:rsidTr="00947046">
        <w:trPr>
          <w:trHeight w:val="240"/>
        </w:trPr>
        <w:tc>
          <w:tcPr>
            <w:tcW w:w="2618" w:type="dxa"/>
            <w:shd w:val="clear" w:color="auto" w:fill="auto"/>
          </w:tcPr>
          <w:p w:rsidR="00F236D5" w:rsidRPr="00944120" w:rsidRDefault="00F236D5" w:rsidP="00947046">
            <w:pPr>
              <w:spacing w:before="40" w:after="40" w:line="220" w:lineRule="exact"/>
              <w:rPr>
                <w:sz w:val="18"/>
              </w:rPr>
            </w:pPr>
            <w:r w:rsidRPr="00944120">
              <w:rPr>
                <w:sz w:val="18"/>
              </w:rPr>
              <w:t>Asiático</w:t>
            </w:r>
          </w:p>
        </w:tc>
        <w:tc>
          <w:tcPr>
            <w:tcW w:w="878"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99 759</w:t>
            </w:r>
          </w:p>
        </w:tc>
        <w:tc>
          <w:tcPr>
            <w:tcW w:w="878"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3</w:t>
            </w:r>
            <w:r>
              <w:rPr>
                <w:sz w:val="18"/>
              </w:rPr>
              <w:t>,</w:t>
            </w:r>
            <w:r w:rsidRPr="00944120">
              <w:rPr>
                <w:sz w:val="18"/>
              </w:rPr>
              <w:t>0</w:t>
            </w:r>
          </w:p>
        </w:tc>
        <w:tc>
          <w:tcPr>
            <w:tcW w:w="879"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173 502</w:t>
            </w:r>
          </w:p>
        </w:tc>
        <w:tc>
          <w:tcPr>
            <w:tcW w:w="878"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5</w:t>
            </w:r>
            <w:r>
              <w:rPr>
                <w:sz w:val="18"/>
              </w:rPr>
              <w:t>,</w:t>
            </w:r>
            <w:r w:rsidRPr="00944120">
              <w:rPr>
                <w:sz w:val="18"/>
              </w:rPr>
              <w:t>0</w:t>
            </w:r>
          </w:p>
        </w:tc>
        <w:tc>
          <w:tcPr>
            <w:tcW w:w="878"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238 176</w:t>
            </w:r>
          </w:p>
        </w:tc>
        <w:tc>
          <w:tcPr>
            <w:tcW w:w="879"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6</w:t>
            </w:r>
            <w:r>
              <w:rPr>
                <w:sz w:val="18"/>
              </w:rPr>
              <w:t>,</w:t>
            </w:r>
            <w:r w:rsidRPr="00944120">
              <w:rPr>
                <w:sz w:val="18"/>
              </w:rPr>
              <w:t>6</w:t>
            </w:r>
          </w:p>
        </w:tc>
        <w:tc>
          <w:tcPr>
            <w:tcW w:w="878"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354 549</w:t>
            </w:r>
          </w:p>
        </w:tc>
        <w:tc>
          <w:tcPr>
            <w:tcW w:w="879" w:type="dxa"/>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9</w:t>
            </w:r>
            <w:r>
              <w:rPr>
                <w:sz w:val="18"/>
              </w:rPr>
              <w:t>,</w:t>
            </w:r>
            <w:r w:rsidRPr="00944120">
              <w:rPr>
                <w:sz w:val="18"/>
              </w:rPr>
              <w:t>2</w:t>
            </w:r>
          </w:p>
        </w:tc>
      </w:tr>
      <w:tr w:rsidR="00F236D5" w:rsidRPr="00944120" w:rsidTr="00947046">
        <w:trPr>
          <w:trHeight w:val="240"/>
        </w:trPr>
        <w:tc>
          <w:tcPr>
            <w:tcW w:w="2618" w:type="dxa"/>
            <w:tcBorders>
              <w:bottom w:val="single" w:sz="4" w:space="0" w:color="auto"/>
            </w:tcBorders>
            <w:shd w:val="clear" w:color="auto" w:fill="auto"/>
          </w:tcPr>
          <w:p w:rsidR="00F236D5" w:rsidRPr="00944120" w:rsidRDefault="00F236D5" w:rsidP="00947046">
            <w:pPr>
              <w:spacing w:before="40" w:after="40" w:line="220" w:lineRule="exact"/>
              <w:rPr>
                <w:sz w:val="18"/>
              </w:rPr>
            </w:pPr>
            <w:r w:rsidRPr="00944120">
              <w:rPr>
                <w:sz w:val="18"/>
              </w:rPr>
              <w:t>Otros grupos étnicos</w:t>
            </w:r>
          </w:p>
        </w:tc>
        <w:tc>
          <w:tcPr>
            <w:tcW w:w="878" w:type="dxa"/>
            <w:tcBorders>
              <w:bottom w:val="single" w:sz="4" w:space="0" w:color="auto"/>
            </w:tcBorders>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6 597</w:t>
            </w:r>
          </w:p>
        </w:tc>
        <w:tc>
          <w:tcPr>
            <w:tcW w:w="878" w:type="dxa"/>
            <w:tcBorders>
              <w:bottom w:val="single" w:sz="4" w:space="0" w:color="auto"/>
            </w:tcBorders>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0</w:t>
            </w:r>
            <w:r>
              <w:rPr>
                <w:sz w:val="18"/>
              </w:rPr>
              <w:t>,</w:t>
            </w:r>
            <w:r w:rsidRPr="00944120">
              <w:rPr>
                <w:sz w:val="18"/>
              </w:rPr>
              <w:t>2</w:t>
            </w:r>
          </w:p>
        </w:tc>
        <w:tc>
          <w:tcPr>
            <w:tcW w:w="879" w:type="dxa"/>
            <w:tcBorders>
              <w:bottom w:val="single" w:sz="4" w:space="0" w:color="auto"/>
            </w:tcBorders>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15 804</w:t>
            </w:r>
          </w:p>
        </w:tc>
        <w:tc>
          <w:tcPr>
            <w:tcW w:w="878" w:type="dxa"/>
            <w:tcBorders>
              <w:bottom w:val="single" w:sz="4" w:space="0" w:color="auto"/>
            </w:tcBorders>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0</w:t>
            </w:r>
            <w:r>
              <w:rPr>
                <w:sz w:val="18"/>
              </w:rPr>
              <w:t>,</w:t>
            </w:r>
            <w:r w:rsidRPr="00944120">
              <w:rPr>
                <w:sz w:val="18"/>
              </w:rPr>
              <w:t>5</w:t>
            </w:r>
          </w:p>
        </w:tc>
        <w:tc>
          <w:tcPr>
            <w:tcW w:w="878" w:type="dxa"/>
            <w:tcBorders>
              <w:bottom w:val="single" w:sz="4" w:space="0" w:color="auto"/>
            </w:tcBorders>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24 885</w:t>
            </w:r>
          </w:p>
        </w:tc>
        <w:tc>
          <w:tcPr>
            <w:tcW w:w="879" w:type="dxa"/>
            <w:tcBorders>
              <w:bottom w:val="single" w:sz="4" w:space="0" w:color="auto"/>
            </w:tcBorders>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0</w:t>
            </w:r>
            <w:r>
              <w:rPr>
                <w:sz w:val="18"/>
              </w:rPr>
              <w:t>,</w:t>
            </w:r>
            <w:r w:rsidRPr="00944120">
              <w:rPr>
                <w:sz w:val="18"/>
              </w:rPr>
              <w:t>7</w:t>
            </w:r>
          </w:p>
        </w:tc>
        <w:tc>
          <w:tcPr>
            <w:tcW w:w="878" w:type="dxa"/>
            <w:tcBorders>
              <w:bottom w:val="single" w:sz="4" w:space="0" w:color="auto"/>
            </w:tcBorders>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36 237</w:t>
            </w:r>
          </w:p>
        </w:tc>
        <w:tc>
          <w:tcPr>
            <w:tcW w:w="879" w:type="dxa"/>
            <w:tcBorders>
              <w:bottom w:val="single" w:sz="4" w:space="0" w:color="auto"/>
            </w:tcBorders>
            <w:shd w:val="clear" w:color="auto" w:fill="auto"/>
            <w:vAlign w:val="bottom"/>
          </w:tcPr>
          <w:p w:rsidR="00F236D5" w:rsidRPr="00944120" w:rsidRDefault="00F236D5" w:rsidP="00947046">
            <w:pPr>
              <w:spacing w:before="40" w:after="40" w:line="220" w:lineRule="exact"/>
              <w:ind w:left="113"/>
              <w:jc w:val="right"/>
              <w:rPr>
                <w:sz w:val="18"/>
              </w:rPr>
            </w:pPr>
            <w:r w:rsidRPr="00944120">
              <w:rPr>
                <w:sz w:val="18"/>
              </w:rPr>
              <w:t>0</w:t>
            </w:r>
            <w:r>
              <w:rPr>
                <w:sz w:val="18"/>
              </w:rPr>
              <w:t>,</w:t>
            </w:r>
            <w:r w:rsidRPr="00944120">
              <w:rPr>
                <w:sz w:val="18"/>
              </w:rPr>
              <w:t>9</w:t>
            </w:r>
          </w:p>
        </w:tc>
      </w:tr>
      <w:tr w:rsidR="00F236D5" w:rsidRPr="00944120" w:rsidTr="00947046">
        <w:trPr>
          <w:trHeight w:val="240"/>
        </w:trPr>
        <w:tc>
          <w:tcPr>
            <w:tcW w:w="2618" w:type="dxa"/>
            <w:tcBorders>
              <w:top w:val="single" w:sz="4" w:space="0" w:color="auto"/>
              <w:bottom w:val="single" w:sz="12" w:space="0" w:color="auto"/>
            </w:tcBorders>
            <w:shd w:val="clear" w:color="auto" w:fill="auto"/>
          </w:tcPr>
          <w:p w:rsidR="00F236D5" w:rsidRPr="00944120" w:rsidRDefault="00F236D5" w:rsidP="00947046">
            <w:pPr>
              <w:spacing w:before="80" w:after="80" w:line="220" w:lineRule="exact"/>
              <w:ind w:left="324" w:hanging="40"/>
              <w:rPr>
                <w:b/>
                <w:sz w:val="18"/>
              </w:rPr>
            </w:pPr>
            <w:r w:rsidRPr="00944120">
              <w:rPr>
                <w:b/>
                <w:sz w:val="18"/>
              </w:rPr>
              <w:t>Total de habitantes de algún grupo étnico específico</w:t>
            </w:r>
          </w:p>
        </w:tc>
        <w:tc>
          <w:tcPr>
            <w:tcW w:w="878" w:type="dxa"/>
            <w:tcBorders>
              <w:top w:val="single" w:sz="4" w:space="0" w:color="auto"/>
              <w:bottom w:val="single" w:sz="12" w:space="0" w:color="auto"/>
            </w:tcBorders>
            <w:shd w:val="clear" w:color="auto" w:fill="auto"/>
            <w:vAlign w:val="bottom"/>
          </w:tcPr>
          <w:p w:rsidR="00F236D5" w:rsidRPr="00944120" w:rsidRDefault="00F236D5" w:rsidP="00947046">
            <w:pPr>
              <w:spacing w:before="80" w:after="80" w:line="220" w:lineRule="exact"/>
              <w:ind w:left="113"/>
              <w:jc w:val="right"/>
              <w:rPr>
                <w:b/>
                <w:sz w:val="18"/>
              </w:rPr>
            </w:pPr>
            <w:r w:rsidRPr="00944120">
              <w:rPr>
                <w:b/>
                <w:sz w:val="18"/>
              </w:rPr>
              <w:t>3 345 741</w:t>
            </w:r>
          </w:p>
        </w:tc>
        <w:tc>
          <w:tcPr>
            <w:tcW w:w="878" w:type="dxa"/>
            <w:tcBorders>
              <w:top w:val="single" w:sz="4" w:space="0" w:color="auto"/>
              <w:bottom w:val="single" w:sz="12" w:space="0" w:color="auto"/>
            </w:tcBorders>
            <w:shd w:val="clear" w:color="auto" w:fill="auto"/>
            <w:vAlign w:val="bottom"/>
          </w:tcPr>
          <w:p w:rsidR="00F236D5" w:rsidRPr="00944120" w:rsidRDefault="00F236D5" w:rsidP="00947046">
            <w:pPr>
              <w:spacing w:before="80" w:after="80" w:line="220" w:lineRule="exact"/>
              <w:ind w:left="113"/>
              <w:jc w:val="right"/>
              <w:rPr>
                <w:b/>
                <w:sz w:val="18"/>
              </w:rPr>
            </w:pPr>
          </w:p>
        </w:tc>
        <w:tc>
          <w:tcPr>
            <w:tcW w:w="879" w:type="dxa"/>
            <w:tcBorders>
              <w:top w:val="single" w:sz="4" w:space="0" w:color="auto"/>
              <w:bottom w:val="single" w:sz="12" w:space="0" w:color="auto"/>
            </w:tcBorders>
            <w:shd w:val="clear" w:color="auto" w:fill="auto"/>
            <w:vAlign w:val="bottom"/>
          </w:tcPr>
          <w:p w:rsidR="00F236D5" w:rsidRPr="00944120" w:rsidRDefault="00F236D5" w:rsidP="00947046">
            <w:pPr>
              <w:spacing w:before="80" w:after="80" w:line="220" w:lineRule="exact"/>
              <w:ind w:left="113"/>
              <w:jc w:val="right"/>
              <w:rPr>
                <w:b/>
                <w:sz w:val="18"/>
              </w:rPr>
            </w:pPr>
            <w:r w:rsidRPr="00944120">
              <w:rPr>
                <w:b/>
                <w:sz w:val="18"/>
              </w:rPr>
              <w:t>3 466 515</w:t>
            </w:r>
          </w:p>
        </w:tc>
        <w:tc>
          <w:tcPr>
            <w:tcW w:w="878" w:type="dxa"/>
            <w:tcBorders>
              <w:top w:val="single" w:sz="4" w:space="0" w:color="auto"/>
              <w:bottom w:val="single" w:sz="12" w:space="0" w:color="auto"/>
            </w:tcBorders>
            <w:shd w:val="clear" w:color="auto" w:fill="auto"/>
            <w:vAlign w:val="bottom"/>
          </w:tcPr>
          <w:p w:rsidR="00F236D5" w:rsidRPr="00944120" w:rsidRDefault="00F236D5" w:rsidP="00947046">
            <w:pPr>
              <w:spacing w:before="80" w:after="80" w:line="220" w:lineRule="exact"/>
              <w:ind w:left="113"/>
              <w:jc w:val="right"/>
              <w:rPr>
                <w:b/>
                <w:sz w:val="18"/>
              </w:rPr>
            </w:pPr>
          </w:p>
        </w:tc>
        <w:tc>
          <w:tcPr>
            <w:tcW w:w="878" w:type="dxa"/>
            <w:tcBorders>
              <w:top w:val="single" w:sz="4" w:space="0" w:color="auto"/>
              <w:bottom w:val="single" w:sz="12" w:space="0" w:color="auto"/>
            </w:tcBorders>
            <w:shd w:val="clear" w:color="auto" w:fill="auto"/>
            <w:vAlign w:val="bottom"/>
          </w:tcPr>
          <w:p w:rsidR="00F236D5" w:rsidRPr="00944120" w:rsidRDefault="00F236D5" w:rsidP="00947046">
            <w:pPr>
              <w:spacing w:before="80" w:after="80" w:line="220" w:lineRule="exact"/>
              <w:ind w:left="113"/>
              <w:jc w:val="right"/>
              <w:rPr>
                <w:b/>
                <w:sz w:val="18"/>
              </w:rPr>
            </w:pPr>
            <w:r w:rsidRPr="00944120">
              <w:rPr>
                <w:b/>
                <w:sz w:val="18"/>
              </w:rPr>
              <w:t>3 586 641</w:t>
            </w:r>
          </w:p>
        </w:tc>
        <w:tc>
          <w:tcPr>
            <w:tcW w:w="879" w:type="dxa"/>
            <w:tcBorders>
              <w:top w:val="single" w:sz="4" w:space="0" w:color="auto"/>
              <w:bottom w:val="single" w:sz="12" w:space="0" w:color="auto"/>
            </w:tcBorders>
            <w:shd w:val="clear" w:color="auto" w:fill="auto"/>
            <w:vAlign w:val="bottom"/>
          </w:tcPr>
          <w:p w:rsidR="00F236D5" w:rsidRPr="00944120" w:rsidRDefault="00F236D5" w:rsidP="00947046">
            <w:pPr>
              <w:spacing w:before="80" w:after="80" w:line="220" w:lineRule="exact"/>
              <w:ind w:left="113"/>
              <w:jc w:val="right"/>
              <w:rPr>
                <w:b/>
                <w:sz w:val="18"/>
              </w:rPr>
            </w:pPr>
          </w:p>
        </w:tc>
        <w:tc>
          <w:tcPr>
            <w:tcW w:w="878" w:type="dxa"/>
            <w:tcBorders>
              <w:top w:val="single" w:sz="4" w:space="0" w:color="auto"/>
              <w:bottom w:val="single" w:sz="12" w:space="0" w:color="auto"/>
            </w:tcBorders>
            <w:shd w:val="clear" w:color="auto" w:fill="auto"/>
            <w:vAlign w:val="bottom"/>
          </w:tcPr>
          <w:p w:rsidR="00F236D5" w:rsidRPr="00944120" w:rsidRDefault="00F236D5" w:rsidP="00947046">
            <w:pPr>
              <w:spacing w:before="80" w:after="80" w:line="220" w:lineRule="exact"/>
              <w:ind w:left="113"/>
              <w:jc w:val="right"/>
              <w:rPr>
                <w:b/>
                <w:sz w:val="18"/>
              </w:rPr>
            </w:pPr>
            <w:r w:rsidRPr="00944120">
              <w:rPr>
                <w:b/>
                <w:sz w:val="18"/>
              </w:rPr>
              <w:t>3 860 163</w:t>
            </w:r>
          </w:p>
        </w:tc>
        <w:tc>
          <w:tcPr>
            <w:tcW w:w="879" w:type="dxa"/>
            <w:tcBorders>
              <w:top w:val="single" w:sz="4" w:space="0" w:color="auto"/>
              <w:bottom w:val="single" w:sz="12" w:space="0" w:color="auto"/>
            </w:tcBorders>
            <w:shd w:val="clear" w:color="auto" w:fill="auto"/>
            <w:vAlign w:val="bottom"/>
          </w:tcPr>
          <w:p w:rsidR="00F236D5" w:rsidRPr="00944120" w:rsidRDefault="00F236D5" w:rsidP="00947046">
            <w:pPr>
              <w:spacing w:before="80" w:after="80" w:line="220" w:lineRule="exact"/>
              <w:ind w:left="113"/>
              <w:jc w:val="right"/>
              <w:rPr>
                <w:b/>
                <w:sz w:val="18"/>
              </w:rPr>
            </w:pPr>
          </w:p>
        </w:tc>
      </w:tr>
    </w:tbl>
    <w:p w:rsidR="00F236D5" w:rsidRPr="0058324D" w:rsidRDefault="00F236D5" w:rsidP="00F236D5">
      <w:pPr>
        <w:pStyle w:val="SingleTxtG"/>
        <w:spacing w:before="120" w:after="0"/>
        <w:ind w:left="0" w:right="0" w:firstLine="170"/>
        <w:rPr>
          <w:sz w:val="18"/>
          <w:szCs w:val="18"/>
        </w:rPr>
      </w:pPr>
      <w:r w:rsidRPr="0058324D">
        <w:rPr>
          <w:i/>
          <w:sz w:val="18"/>
          <w:szCs w:val="18"/>
        </w:rPr>
        <w:t>Fuente:</w:t>
      </w:r>
      <w:r w:rsidRPr="0058324D">
        <w:rPr>
          <w:sz w:val="18"/>
          <w:szCs w:val="18"/>
        </w:rPr>
        <w:t xml:space="preserve"> Oficina de Estadísticas de Nueva Zelandia (2007e), cuadro 1, y datos inéditos del censo de 2006 (relativos al grupo europeo/neozelandés y otros grupos étnicos).</w:t>
      </w:r>
    </w:p>
    <w:p w:rsidR="00F236D5" w:rsidRDefault="00F236D5" w:rsidP="00F236D5">
      <w:pPr>
        <w:pStyle w:val="SingleTxtG"/>
        <w:spacing w:after="0"/>
        <w:ind w:left="0" w:right="0" w:firstLine="170"/>
        <w:rPr>
          <w:sz w:val="18"/>
          <w:szCs w:val="18"/>
        </w:rPr>
      </w:pPr>
      <w:r w:rsidRPr="0031606A">
        <w:rPr>
          <w:i/>
          <w:sz w:val="18"/>
          <w:szCs w:val="18"/>
          <w:vertAlign w:val="superscript"/>
        </w:rPr>
        <w:t>1</w:t>
      </w:r>
      <w:r w:rsidRPr="006C03A2">
        <w:rPr>
          <w:sz w:val="18"/>
          <w:szCs w:val="18"/>
        </w:rPr>
        <w:t xml:space="preserve">  </w:t>
      </w:r>
      <w:r w:rsidRPr="0058324D">
        <w:rPr>
          <w:sz w:val="18"/>
          <w:szCs w:val="18"/>
        </w:rPr>
        <w:t xml:space="preserve">Incluye a todas las personas que se identificaron con un grupo étnico, ya sea como su única etnia o como uno de varios grupos étnicos. Las personas que se especificaron más de un grupo étnico se contabilizaron en cada uno de los grupos indicados. Por tanto, el total agregado no suma un 100%. </w:t>
      </w:r>
    </w:p>
    <w:p w:rsidR="00F236D5" w:rsidRDefault="00F236D5" w:rsidP="00F236D5">
      <w:pPr>
        <w:pStyle w:val="SingleTxtG"/>
        <w:spacing w:after="0"/>
        <w:ind w:left="0" w:right="0" w:firstLine="170"/>
        <w:rPr>
          <w:sz w:val="18"/>
          <w:szCs w:val="18"/>
        </w:rPr>
      </w:pPr>
      <w:r w:rsidRPr="0031606A">
        <w:rPr>
          <w:i/>
          <w:sz w:val="18"/>
          <w:szCs w:val="18"/>
          <w:vertAlign w:val="superscript"/>
        </w:rPr>
        <w:t>2</w:t>
      </w:r>
      <w:r w:rsidRPr="0031606A">
        <w:rPr>
          <w:sz w:val="18"/>
          <w:szCs w:val="18"/>
        </w:rPr>
        <w:t xml:space="preserve">  </w:t>
      </w:r>
      <w:r w:rsidRPr="0058324D">
        <w:rPr>
          <w:sz w:val="18"/>
          <w:szCs w:val="18"/>
        </w:rPr>
        <w:t xml:space="preserve">Antes del </w:t>
      </w:r>
      <w:r w:rsidRPr="006A5073">
        <w:rPr>
          <w:i/>
          <w:sz w:val="18"/>
          <w:szCs w:val="18"/>
        </w:rPr>
        <w:t>censo</w:t>
      </w:r>
      <w:r w:rsidRPr="0058324D">
        <w:rPr>
          <w:sz w:val="18"/>
          <w:szCs w:val="18"/>
        </w:rPr>
        <w:t xml:space="preserve"> de 2006, las personas que se identificaron como "neozelandeses</w:t>
      </w:r>
      <w:r>
        <w:rPr>
          <w:sz w:val="18"/>
          <w:szCs w:val="18"/>
        </w:rPr>
        <w:t>"</w:t>
      </w:r>
      <w:r w:rsidRPr="0058324D">
        <w:rPr>
          <w:sz w:val="18"/>
          <w:szCs w:val="18"/>
        </w:rPr>
        <w:t xml:space="preserve"> se habían incluido en el grupo étnico europeo. Las 429.429 personas que se identificaron como "neozelandese</w:t>
      </w:r>
      <w:r>
        <w:rPr>
          <w:sz w:val="18"/>
          <w:szCs w:val="18"/>
        </w:rPr>
        <w:t>s"</w:t>
      </w:r>
      <w:r w:rsidRPr="0058324D">
        <w:rPr>
          <w:sz w:val="18"/>
          <w:szCs w:val="18"/>
        </w:rPr>
        <w:t xml:space="preserve"> en 2006 se incluyeron en el grupo étnico europeo a fin de mantener la coherencia con la práctica anterior.</w:t>
      </w:r>
    </w:p>
    <w:p w:rsidR="00F236D5" w:rsidRDefault="00F236D5" w:rsidP="00F236D5">
      <w:pPr>
        <w:pStyle w:val="SingleTxtG"/>
        <w:spacing w:after="0"/>
        <w:ind w:left="0" w:right="0" w:firstLine="170"/>
        <w:rPr>
          <w:sz w:val="18"/>
          <w:szCs w:val="18"/>
        </w:rPr>
      </w:pPr>
      <w:r w:rsidRPr="0031606A">
        <w:rPr>
          <w:i/>
          <w:sz w:val="18"/>
          <w:szCs w:val="18"/>
          <w:vertAlign w:val="superscript"/>
        </w:rPr>
        <w:t>3</w:t>
      </w:r>
      <w:r w:rsidRPr="006C03A2">
        <w:rPr>
          <w:sz w:val="18"/>
          <w:szCs w:val="18"/>
        </w:rPr>
        <w:t xml:space="preserve">  </w:t>
      </w:r>
      <w:r w:rsidRPr="0058324D">
        <w:rPr>
          <w:sz w:val="18"/>
          <w:szCs w:val="18"/>
        </w:rPr>
        <w:t xml:space="preserve">En 2006, se </w:t>
      </w:r>
      <w:r w:rsidRPr="006A5073">
        <w:rPr>
          <w:i/>
          <w:sz w:val="18"/>
          <w:szCs w:val="18"/>
        </w:rPr>
        <w:t>incluyó</w:t>
      </w:r>
      <w:r w:rsidRPr="0058324D">
        <w:rPr>
          <w:sz w:val="18"/>
          <w:szCs w:val="18"/>
        </w:rPr>
        <w:t xml:space="preserve"> en la categoría de otros grupos étnicos a 1as 17.514 personas que se identificaron con grupos étnicos del Oriente Medio, las 6.657 que se identificaron con etnias de América Latina y las 10.647 que especificaron grupos étnicos africanos.</w:t>
      </w:r>
    </w:p>
    <w:p w:rsidR="00F236D5" w:rsidRPr="0058324D" w:rsidRDefault="00F236D5" w:rsidP="00F236D5">
      <w:pPr>
        <w:pStyle w:val="SingleTxtG"/>
        <w:spacing w:after="240"/>
        <w:ind w:left="0" w:right="0" w:firstLine="170"/>
        <w:rPr>
          <w:sz w:val="18"/>
          <w:szCs w:val="18"/>
        </w:rPr>
      </w:pPr>
      <w:r w:rsidRPr="0031606A">
        <w:rPr>
          <w:i/>
          <w:sz w:val="18"/>
          <w:szCs w:val="18"/>
          <w:vertAlign w:val="superscript"/>
        </w:rPr>
        <w:t>4</w:t>
      </w:r>
      <w:r w:rsidRPr="00301C74">
        <w:rPr>
          <w:i/>
          <w:sz w:val="18"/>
          <w:szCs w:val="18"/>
        </w:rPr>
        <w:t xml:space="preserve">  </w:t>
      </w:r>
      <w:r w:rsidRPr="0058324D">
        <w:rPr>
          <w:sz w:val="18"/>
          <w:szCs w:val="18"/>
        </w:rPr>
        <w:t>En 1991 y 1996 se utilizaron hasta tres respuestas; en 2001 y 2006 se tuvieron en cuenta hasta seis respuestas.</w:t>
      </w:r>
    </w:p>
    <w:p w:rsidR="00F236D5" w:rsidRPr="00F34D17" w:rsidRDefault="00F236D5" w:rsidP="00F236D5">
      <w:pPr>
        <w:pStyle w:val="SingleTxtG"/>
      </w:pPr>
      <w:r w:rsidRPr="00F34D17">
        <w:t>10.</w:t>
      </w:r>
      <w:r w:rsidRPr="00F34D17">
        <w:tab/>
        <w:t xml:space="preserve">La diversidad étnica varía según la edad: </w:t>
      </w:r>
      <w:r>
        <w:t>s</w:t>
      </w:r>
      <w:r w:rsidRPr="00F34D17">
        <w:t>egún datos del censo de 2006, entre los menores de 25 años el grupo étnico europeo constituía un 72%, el grupo maorí un 22%, el grupo de los pueblos del Pacífico y el grupo asiático un 11%, respectivamente, y las personas de las demás etnias un 1%. Entre los mayores de 65 años, el grupo europeo representaba un 91%, el grupo maorí un 5%, el grupo asiático un 3%, el grupo de los pueblos del Pacífico un 2% y las personas de otras etnias un 0,2%.</w:t>
      </w:r>
    </w:p>
    <w:p w:rsidR="00F236D5" w:rsidRPr="00F34D17" w:rsidRDefault="00F236D5" w:rsidP="00F236D5">
      <w:pPr>
        <w:pStyle w:val="SingleTxtG"/>
      </w:pPr>
      <w:r w:rsidRPr="00F34D17">
        <w:t>11.</w:t>
      </w:r>
      <w:r w:rsidRPr="00F34D17">
        <w:tab/>
        <w:t>El número de personas con identidades étnicas múltiples está en aumento. En 2006, el 90% de la población se identificó con una sola etnia, porcentaje que fue menor al 95% registrado en 1991. Mucho más que las personas mayores, los jóvenes suelen identificarse con más de una etnia. Así pues, en 2006 el 19,7% de los menores de 15 años se identificó con dos o más grupos étnicos, en comparación con el 3,5% de las personas mayores de 65 años.</w:t>
      </w:r>
    </w:p>
    <w:p w:rsidR="00F236D5" w:rsidRPr="00F34D17" w:rsidRDefault="00F236D5" w:rsidP="00F236D5">
      <w:pPr>
        <w:pStyle w:val="H4G"/>
      </w:pPr>
      <w:r>
        <w:tab/>
      </w:r>
      <w:r w:rsidRPr="00F34D17">
        <w:t>b)</w:t>
      </w:r>
      <w:r w:rsidRPr="00F34D17">
        <w:tab/>
        <w:t>Estructura de la población por edad y sexo</w:t>
      </w:r>
    </w:p>
    <w:p w:rsidR="00F236D5" w:rsidRPr="00F34D17" w:rsidRDefault="00F236D5" w:rsidP="00F236D5">
      <w:pPr>
        <w:pStyle w:val="SingleTxtG"/>
      </w:pPr>
      <w:r w:rsidRPr="00F34D17">
        <w:t>12.</w:t>
      </w:r>
      <w:r w:rsidRPr="00F34D17">
        <w:tab/>
        <w:t>Las mujeres constituyen poco más de la mitad (el 51%) de la población de Nueva Zelandia. Los hombres son más numerosos que las mujeres entre los niños y jóvenes, pero entre los adultos predominan las mujeres. Nacen más hombres que mujeres, pero los hombres tienen una tasa de mortalidad más elevada que las mujeres en todos los grupos de edad, especialmente en el de 20 a 29 años. El desequilibrio en los grupos de edad intermedios se debe parcialmente a las diferencias de sexo en la tasa de migración neta. En los grupos de edades más avanzadas la diferencia refleja tasas de mortalidad masculina también más elevadas.</w:t>
      </w:r>
    </w:p>
    <w:p w:rsidR="00F236D5" w:rsidRDefault="00F236D5" w:rsidP="00F236D5">
      <w:pPr>
        <w:pStyle w:val="Heading1"/>
      </w:pPr>
      <w:r w:rsidRPr="00F34D17">
        <w:t>Cuadro 2</w:t>
      </w:r>
    </w:p>
    <w:p w:rsidR="00F236D5" w:rsidRDefault="00F236D5" w:rsidP="00F236D5">
      <w:pPr>
        <w:pStyle w:val="SingleTxtG"/>
        <w:jc w:val="left"/>
        <w:rPr>
          <w:b/>
        </w:rPr>
      </w:pPr>
      <w:r w:rsidRPr="00D20D8C">
        <w:rPr>
          <w:b/>
        </w:rPr>
        <w:t>Población, desglosada por edad y sexo, 2008</w:t>
      </w:r>
    </w:p>
    <w:bookmarkStart w:id="0" w:name="_MON_1367040022"/>
    <w:bookmarkStart w:id="1" w:name="_MON_1367040361"/>
    <w:bookmarkStart w:id="2" w:name="_MON_1367040386"/>
    <w:bookmarkStart w:id="3" w:name="_MON_1367041761"/>
    <w:bookmarkStart w:id="4" w:name="_MON_1367048875"/>
    <w:bookmarkStart w:id="5" w:name="_MON_1367048885"/>
    <w:bookmarkStart w:id="6" w:name="_MON_1367048888"/>
    <w:bookmarkStart w:id="7" w:name="_MON_1367049875"/>
    <w:bookmarkEnd w:id="0"/>
    <w:bookmarkEnd w:id="1"/>
    <w:bookmarkEnd w:id="2"/>
    <w:bookmarkEnd w:id="3"/>
    <w:bookmarkEnd w:id="4"/>
    <w:bookmarkEnd w:id="5"/>
    <w:bookmarkEnd w:id="6"/>
    <w:bookmarkEnd w:id="7"/>
    <w:p w:rsidR="00F236D5" w:rsidRDefault="00F236D5" w:rsidP="00F236D5">
      <w:pPr>
        <w:pStyle w:val="SingleTxtG"/>
        <w:jc w:val="left"/>
        <w:rPr>
          <w:b/>
        </w:rPr>
      </w:pPr>
      <w:r>
        <w:object w:dxaOrig="7333" w:dyaOrig="5846">
          <v:shape id="_x0000_i1026" type="#_x0000_t75" style="width:366.75pt;height:264.75pt" o:ole="">
            <v:imagedata r:id="rId8" o:title="" cropbottom="6125f"/>
          </v:shape>
          <o:OLEObject Type="Embed" ProgID="Word.Picture.8" ShapeID="_x0000_i1026" DrawAspect="Content" ObjectID="_1395889825" r:id="rId9"/>
        </w:object>
      </w:r>
    </w:p>
    <w:p w:rsidR="00F236D5" w:rsidRPr="007E08EF" w:rsidRDefault="00F236D5" w:rsidP="00F236D5">
      <w:pPr>
        <w:pStyle w:val="SingleTxtG"/>
        <w:spacing w:before="120" w:after="0"/>
        <w:ind w:firstLine="170"/>
        <w:rPr>
          <w:sz w:val="18"/>
          <w:szCs w:val="18"/>
        </w:rPr>
      </w:pPr>
      <w:r w:rsidRPr="007E08EF">
        <w:rPr>
          <w:i/>
          <w:sz w:val="18"/>
          <w:szCs w:val="18"/>
        </w:rPr>
        <w:t>Fuente:</w:t>
      </w:r>
      <w:r w:rsidRPr="007E08EF">
        <w:rPr>
          <w:sz w:val="18"/>
          <w:szCs w:val="18"/>
        </w:rPr>
        <w:t xml:space="preserve"> Oficina de Estadísticas de Nueva Zelandia.</w:t>
      </w:r>
    </w:p>
    <w:p w:rsidR="00F236D5" w:rsidRPr="007E08EF" w:rsidRDefault="00F236D5" w:rsidP="00F236D5">
      <w:pPr>
        <w:pStyle w:val="SingleTxtG"/>
        <w:spacing w:after="240"/>
        <w:ind w:firstLine="170"/>
        <w:rPr>
          <w:sz w:val="18"/>
          <w:szCs w:val="18"/>
        </w:rPr>
      </w:pPr>
      <w:r w:rsidRPr="007E08EF">
        <w:rPr>
          <w:i/>
          <w:sz w:val="18"/>
          <w:szCs w:val="18"/>
        </w:rPr>
        <w:t>Nota:</w:t>
      </w:r>
      <w:r w:rsidRPr="007E08EF">
        <w:rPr>
          <w:sz w:val="18"/>
          <w:szCs w:val="18"/>
        </w:rPr>
        <w:t xml:space="preserve"> El aparente aumento demográfico en el grupo de edad de mayores de 90 años se debe a que todas las personas mayores de 90 años se incluyen en un solo grupo.</w:t>
      </w:r>
    </w:p>
    <w:p w:rsidR="00F236D5" w:rsidRPr="00F34D17" w:rsidRDefault="00F236D5" w:rsidP="00F236D5">
      <w:pPr>
        <w:pStyle w:val="SingleTxtG"/>
      </w:pPr>
      <w:r w:rsidRPr="00F34D17">
        <w:t>13.</w:t>
      </w:r>
      <w:r w:rsidRPr="00F34D17">
        <w:tab/>
        <w:t>La población de Nueva Zelandia está envejeciendo: la media de edad de la población total era 36 años en 2006 y se calcula que para 2016 habrá aumentado a 38 años y en 2026 a 40 años.</w:t>
      </w:r>
    </w:p>
    <w:p w:rsidR="00F236D5" w:rsidRPr="00F34D17" w:rsidRDefault="00F236D5" w:rsidP="00F236D5">
      <w:pPr>
        <w:pStyle w:val="SingleTxtG"/>
      </w:pPr>
      <w:r w:rsidRPr="00F34D17">
        <w:t>14.</w:t>
      </w:r>
      <w:r w:rsidRPr="00F34D17">
        <w:tab/>
        <w:t>La estructura de edad varía según el grupo étnico. En 2006, el grupo europeo u otros neozelandeses constituía el sector demográfico más viejo, con una media de edad de 38 años, seguido del grupo asiático (28 años), la población maorí (23 años) y el grupo de los pueblos del Pacífico (22 años). En 2026 la mitad de la población maorí tendrá más de 25 años y la mitad de los integrantes del grupo de pueblos del Pacífico tendrá más de 23 años. En ese mismo período, se prevé que la media de edad de los neozelandeses de etnia asiática aumente a 36 años y la de los integrantes del grupo europeo u otros neozelandeses se eleve a 43 años.</w:t>
      </w:r>
    </w:p>
    <w:p w:rsidR="00F236D5" w:rsidRPr="00F34D17" w:rsidRDefault="00F236D5" w:rsidP="00F236D5">
      <w:pPr>
        <w:pStyle w:val="H23G"/>
      </w:pPr>
      <w:r>
        <w:tab/>
      </w:r>
      <w:r w:rsidRPr="00F34D17">
        <w:t>4.</w:t>
      </w:r>
      <w:r>
        <w:tab/>
      </w:r>
      <w:r w:rsidRPr="00F34D17">
        <w:t>Distribución de la población</w:t>
      </w:r>
    </w:p>
    <w:p w:rsidR="00F236D5" w:rsidRPr="00F34D17" w:rsidRDefault="00F236D5" w:rsidP="00F236D5">
      <w:pPr>
        <w:pStyle w:val="SingleTxtG"/>
      </w:pPr>
      <w:r w:rsidRPr="00F34D17">
        <w:t>15.</w:t>
      </w:r>
      <w:r w:rsidRPr="00F34D17">
        <w:tab/>
        <w:t xml:space="preserve">La población neozelandesa es mayormente urbana. Según el censo de 2006, el 86% de la población vivía en zonas urbanas. Ello incluye un 72% correspondiente a las principales zonas urbanas (con más de 30.000 habitantes), un 6% a zonas urbanas secundarias (entre 10.000 y 29.999 habitantes) y un 8% a zonas urbanas menores (entre 1.000 y 9.999 habitantes). </w:t>
      </w:r>
    </w:p>
    <w:p w:rsidR="00F236D5" w:rsidRDefault="00F236D5" w:rsidP="00F236D5">
      <w:pPr>
        <w:pStyle w:val="Heading1"/>
      </w:pPr>
      <w:r w:rsidRPr="00F34D17">
        <w:t>Cuadro 3</w:t>
      </w:r>
    </w:p>
    <w:p w:rsidR="00F236D5" w:rsidRDefault="00F236D5" w:rsidP="00F236D5">
      <w:pPr>
        <w:pStyle w:val="SingleTxtG"/>
        <w:spacing w:after="0"/>
        <w:jc w:val="left"/>
        <w:rPr>
          <w:b/>
        </w:rPr>
      </w:pPr>
      <w:r w:rsidRPr="001F180B">
        <w:rPr>
          <w:b/>
        </w:rPr>
        <w:t>Residencia urbana y rural</w:t>
      </w:r>
      <w:r>
        <w:rPr>
          <w:b/>
        </w:rPr>
        <w:t>,</w:t>
      </w:r>
      <w:r w:rsidRPr="001F180B">
        <w:rPr>
          <w:b/>
        </w:rPr>
        <w:t xml:space="preserve"> por grupo étnico, 2006</w:t>
      </w:r>
    </w:p>
    <w:p w:rsidR="00F236D5" w:rsidRPr="002D6F59" w:rsidRDefault="00F236D5" w:rsidP="00F236D5">
      <w:pPr>
        <w:pStyle w:val="SingleTxtG"/>
        <w:jc w:val="left"/>
        <w:rPr>
          <w:sz w:val="16"/>
          <w:szCs w:val="16"/>
        </w:rPr>
      </w:pPr>
      <w:r w:rsidRPr="002D6F59">
        <w:rPr>
          <w:sz w:val="16"/>
          <w:szCs w:val="16"/>
        </w:rPr>
        <w:t>(En porcentaje)</w:t>
      </w:r>
    </w:p>
    <w:tbl>
      <w:tblPr>
        <w:tblStyle w:val="TableGrid"/>
        <w:tblW w:w="848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226"/>
        <w:gridCol w:w="1042"/>
        <w:gridCol w:w="1043"/>
        <w:gridCol w:w="1043"/>
        <w:gridCol w:w="1043"/>
        <w:gridCol w:w="1043"/>
        <w:gridCol w:w="1043"/>
      </w:tblGrid>
      <w:tr w:rsidR="00F236D5" w:rsidRPr="00427D90" w:rsidTr="00947046">
        <w:tc>
          <w:tcPr>
            <w:tcW w:w="2226" w:type="dxa"/>
            <w:tcBorders>
              <w:top w:val="single" w:sz="4" w:space="0" w:color="auto"/>
              <w:bottom w:val="single" w:sz="12" w:space="0" w:color="auto"/>
            </w:tcBorders>
            <w:shd w:val="clear" w:color="auto" w:fill="auto"/>
            <w:vAlign w:val="bottom"/>
          </w:tcPr>
          <w:p w:rsidR="00F236D5" w:rsidRPr="00427D90" w:rsidRDefault="00F236D5" w:rsidP="00947046">
            <w:pPr>
              <w:pStyle w:val="SingleTxtG"/>
              <w:spacing w:before="80" w:after="80" w:line="200" w:lineRule="exact"/>
              <w:ind w:left="0" w:right="0"/>
              <w:jc w:val="left"/>
              <w:rPr>
                <w:i/>
                <w:sz w:val="16"/>
              </w:rPr>
            </w:pPr>
          </w:p>
        </w:tc>
        <w:tc>
          <w:tcPr>
            <w:tcW w:w="1042" w:type="dxa"/>
            <w:tcBorders>
              <w:top w:val="single" w:sz="4" w:space="0" w:color="auto"/>
              <w:bottom w:val="single" w:sz="12" w:space="0" w:color="auto"/>
            </w:tcBorders>
            <w:shd w:val="clear" w:color="auto" w:fill="auto"/>
            <w:vAlign w:val="bottom"/>
          </w:tcPr>
          <w:p w:rsidR="00F236D5" w:rsidRPr="00427D90" w:rsidRDefault="00F236D5" w:rsidP="00947046">
            <w:pPr>
              <w:pStyle w:val="SingleTxtG"/>
              <w:spacing w:before="80" w:after="80" w:line="200" w:lineRule="exact"/>
              <w:ind w:left="0" w:right="0"/>
              <w:jc w:val="right"/>
              <w:rPr>
                <w:i/>
                <w:sz w:val="16"/>
              </w:rPr>
            </w:pPr>
            <w:r>
              <w:rPr>
                <w:i/>
                <w:sz w:val="16"/>
              </w:rPr>
              <w:t>Europeo</w:t>
            </w:r>
          </w:p>
        </w:tc>
        <w:tc>
          <w:tcPr>
            <w:tcW w:w="1043" w:type="dxa"/>
            <w:tcBorders>
              <w:top w:val="single" w:sz="4" w:space="0" w:color="auto"/>
              <w:bottom w:val="single" w:sz="12" w:space="0" w:color="auto"/>
            </w:tcBorders>
            <w:shd w:val="clear" w:color="auto" w:fill="auto"/>
            <w:vAlign w:val="bottom"/>
          </w:tcPr>
          <w:p w:rsidR="00F236D5" w:rsidRPr="00427D90" w:rsidRDefault="00F236D5" w:rsidP="00947046">
            <w:pPr>
              <w:pStyle w:val="SingleTxtG"/>
              <w:spacing w:before="80" w:after="80" w:line="200" w:lineRule="exact"/>
              <w:ind w:left="0" w:right="0"/>
              <w:jc w:val="right"/>
              <w:rPr>
                <w:i/>
                <w:sz w:val="16"/>
              </w:rPr>
            </w:pPr>
            <w:r>
              <w:rPr>
                <w:i/>
                <w:sz w:val="16"/>
              </w:rPr>
              <w:t>Maorí</w:t>
            </w:r>
          </w:p>
        </w:tc>
        <w:tc>
          <w:tcPr>
            <w:tcW w:w="1043" w:type="dxa"/>
            <w:tcBorders>
              <w:top w:val="single" w:sz="4" w:space="0" w:color="auto"/>
              <w:bottom w:val="single" w:sz="12" w:space="0" w:color="auto"/>
            </w:tcBorders>
            <w:shd w:val="clear" w:color="auto" w:fill="auto"/>
            <w:vAlign w:val="bottom"/>
          </w:tcPr>
          <w:p w:rsidR="00F236D5" w:rsidRPr="00427D90" w:rsidRDefault="00F236D5" w:rsidP="00947046">
            <w:pPr>
              <w:pStyle w:val="SingleTxtG"/>
              <w:spacing w:before="80" w:after="80" w:line="200" w:lineRule="exact"/>
              <w:ind w:left="0" w:right="0"/>
              <w:jc w:val="right"/>
              <w:rPr>
                <w:i/>
                <w:sz w:val="16"/>
              </w:rPr>
            </w:pPr>
            <w:r>
              <w:rPr>
                <w:i/>
                <w:sz w:val="16"/>
              </w:rPr>
              <w:t>Pueblos del Pacífico</w:t>
            </w:r>
          </w:p>
        </w:tc>
        <w:tc>
          <w:tcPr>
            <w:tcW w:w="1043" w:type="dxa"/>
            <w:tcBorders>
              <w:top w:val="single" w:sz="4" w:space="0" w:color="auto"/>
              <w:bottom w:val="single" w:sz="12" w:space="0" w:color="auto"/>
            </w:tcBorders>
            <w:shd w:val="clear" w:color="auto" w:fill="auto"/>
            <w:vAlign w:val="bottom"/>
          </w:tcPr>
          <w:p w:rsidR="00F236D5" w:rsidRPr="00427D90" w:rsidRDefault="00F236D5" w:rsidP="00947046">
            <w:pPr>
              <w:pStyle w:val="SingleTxtG"/>
              <w:spacing w:before="80" w:after="80" w:line="200" w:lineRule="exact"/>
              <w:ind w:left="0" w:right="0"/>
              <w:jc w:val="right"/>
              <w:rPr>
                <w:i/>
                <w:sz w:val="16"/>
              </w:rPr>
            </w:pPr>
            <w:r>
              <w:rPr>
                <w:i/>
                <w:sz w:val="16"/>
              </w:rPr>
              <w:t>Asiático</w:t>
            </w:r>
          </w:p>
        </w:tc>
        <w:tc>
          <w:tcPr>
            <w:tcW w:w="1043" w:type="dxa"/>
            <w:tcBorders>
              <w:top w:val="single" w:sz="4" w:space="0" w:color="auto"/>
              <w:bottom w:val="single" w:sz="12" w:space="0" w:color="auto"/>
            </w:tcBorders>
            <w:shd w:val="clear" w:color="auto" w:fill="auto"/>
            <w:vAlign w:val="bottom"/>
          </w:tcPr>
          <w:p w:rsidR="00F236D5" w:rsidRPr="00427D90" w:rsidRDefault="00F236D5" w:rsidP="00947046">
            <w:pPr>
              <w:pStyle w:val="SingleTxtG"/>
              <w:spacing w:before="80" w:after="80" w:line="200" w:lineRule="exact"/>
              <w:ind w:left="0" w:right="0"/>
              <w:jc w:val="right"/>
              <w:rPr>
                <w:i/>
                <w:sz w:val="16"/>
              </w:rPr>
            </w:pPr>
            <w:r>
              <w:rPr>
                <w:i/>
                <w:sz w:val="16"/>
              </w:rPr>
              <w:t>Otros grupos étnicos</w:t>
            </w:r>
          </w:p>
        </w:tc>
        <w:tc>
          <w:tcPr>
            <w:tcW w:w="1043" w:type="dxa"/>
            <w:tcBorders>
              <w:top w:val="single" w:sz="4" w:space="0" w:color="auto"/>
              <w:bottom w:val="single" w:sz="12" w:space="0" w:color="auto"/>
            </w:tcBorders>
            <w:shd w:val="clear" w:color="auto" w:fill="auto"/>
            <w:vAlign w:val="bottom"/>
          </w:tcPr>
          <w:p w:rsidR="00F236D5" w:rsidRPr="00301C74" w:rsidRDefault="00F236D5" w:rsidP="00947046">
            <w:pPr>
              <w:pStyle w:val="SingleTxtG"/>
              <w:spacing w:before="80" w:after="80" w:line="200" w:lineRule="exact"/>
              <w:ind w:left="0" w:right="0"/>
              <w:jc w:val="right"/>
              <w:rPr>
                <w:i/>
                <w:sz w:val="16"/>
              </w:rPr>
            </w:pPr>
            <w:r w:rsidRPr="00301C74">
              <w:rPr>
                <w:i/>
                <w:sz w:val="16"/>
              </w:rPr>
              <w:t>Total</w:t>
            </w:r>
          </w:p>
        </w:tc>
      </w:tr>
      <w:tr w:rsidR="00F236D5" w:rsidRPr="00427D90" w:rsidTr="00947046">
        <w:tc>
          <w:tcPr>
            <w:tcW w:w="2226" w:type="dxa"/>
            <w:tcBorders>
              <w:top w:val="single" w:sz="12" w:space="0" w:color="auto"/>
            </w:tcBorders>
            <w:shd w:val="clear" w:color="auto" w:fill="auto"/>
            <w:vAlign w:val="bottom"/>
          </w:tcPr>
          <w:p w:rsidR="00F236D5" w:rsidRPr="003F3691" w:rsidRDefault="00F236D5" w:rsidP="00947046">
            <w:pPr>
              <w:spacing w:before="40" w:after="40" w:line="220" w:lineRule="exact"/>
              <w:rPr>
                <w:sz w:val="18"/>
              </w:rPr>
            </w:pPr>
            <w:r w:rsidRPr="003F3691">
              <w:rPr>
                <w:sz w:val="18"/>
              </w:rPr>
              <w:t>Zona urbana principal</w:t>
            </w:r>
            <w:r w:rsidRPr="003F3691">
              <w:rPr>
                <w:sz w:val="18"/>
              </w:rPr>
              <w:br/>
              <w:t>(más de 30.000)</w:t>
            </w:r>
          </w:p>
        </w:tc>
        <w:tc>
          <w:tcPr>
            <w:tcW w:w="1042" w:type="dxa"/>
            <w:tcBorders>
              <w:top w:val="single" w:sz="12" w:space="0" w:color="auto"/>
            </w:tcBorders>
            <w:shd w:val="clear" w:color="auto" w:fill="auto"/>
            <w:vAlign w:val="bottom"/>
          </w:tcPr>
          <w:p w:rsidR="00F236D5" w:rsidRPr="00235886" w:rsidRDefault="00F236D5" w:rsidP="00947046">
            <w:pPr>
              <w:spacing w:before="40" w:after="40" w:line="220" w:lineRule="exact"/>
              <w:jc w:val="right"/>
              <w:rPr>
                <w:sz w:val="18"/>
              </w:rPr>
            </w:pPr>
            <w:r w:rsidRPr="00235886">
              <w:rPr>
                <w:sz w:val="18"/>
              </w:rPr>
              <w:t>69</w:t>
            </w:r>
          </w:p>
        </w:tc>
        <w:tc>
          <w:tcPr>
            <w:tcW w:w="1043" w:type="dxa"/>
            <w:tcBorders>
              <w:top w:val="single" w:sz="12" w:space="0" w:color="auto"/>
            </w:tcBorders>
            <w:shd w:val="clear" w:color="auto" w:fill="auto"/>
            <w:vAlign w:val="bottom"/>
          </w:tcPr>
          <w:p w:rsidR="00F236D5" w:rsidRPr="00235886" w:rsidRDefault="00F236D5" w:rsidP="00947046">
            <w:pPr>
              <w:spacing w:before="40" w:after="40" w:line="220" w:lineRule="exact"/>
              <w:jc w:val="right"/>
              <w:rPr>
                <w:sz w:val="18"/>
              </w:rPr>
            </w:pPr>
            <w:r w:rsidRPr="00235886">
              <w:rPr>
                <w:sz w:val="18"/>
              </w:rPr>
              <w:t>65</w:t>
            </w:r>
          </w:p>
        </w:tc>
        <w:tc>
          <w:tcPr>
            <w:tcW w:w="1043" w:type="dxa"/>
            <w:tcBorders>
              <w:top w:val="single" w:sz="12" w:space="0" w:color="auto"/>
            </w:tcBorders>
            <w:shd w:val="clear" w:color="auto" w:fill="auto"/>
            <w:vAlign w:val="bottom"/>
          </w:tcPr>
          <w:p w:rsidR="00F236D5" w:rsidRPr="00235886" w:rsidRDefault="00F236D5" w:rsidP="00947046">
            <w:pPr>
              <w:spacing w:before="40" w:after="40" w:line="220" w:lineRule="exact"/>
              <w:jc w:val="right"/>
              <w:rPr>
                <w:sz w:val="18"/>
              </w:rPr>
            </w:pPr>
            <w:r w:rsidRPr="00235886">
              <w:rPr>
                <w:sz w:val="18"/>
              </w:rPr>
              <w:t>92</w:t>
            </w:r>
          </w:p>
        </w:tc>
        <w:tc>
          <w:tcPr>
            <w:tcW w:w="1043" w:type="dxa"/>
            <w:tcBorders>
              <w:top w:val="single" w:sz="12" w:space="0" w:color="auto"/>
            </w:tcBorders>
            <w:shd w:val="clear" w:color="auto" w:fill="auto"/>
            <w:vAlign w:val="bottom"/>
          </w:tcPr>
          <w:p w:rsidR="00F236D5" w:rsidRPr="00235886" w:rsidRDefault="00F236D5" w:rsidP="00947046">
            <w:pPr>
              <w:spacing w:before="40" w:after="40" w:line="220" w:lineRule="exact"/>
              <w:jc w:val="right"/>
              <w:rPr>
                <w:sz w:val="18"/>
              </w:rPr>
            </w:pPr>
            <w:r w:rsidRPr="00235886">
              <w:rPr>
                <w:sz w:val="18"/>
              </w:rPr>
              <w:t>94</w:t>
            </w:r>
          </w:p>
        </w:tc>
        <w:tc>
          <w:tcPr>
            <w:tcW w:w="1043" w:type="dxa"/>
            <w:tcBorders>
              <w:top w:val="single" w:sz="12" w:space="0" w:color="auto"/>
            </w:tcBorders>
            <w:shd w:val="clear" w:color="auto" w:fill="auto"/>
            <w:vAlign w:val="bottom"/>
          </w:tcPr>
          <w:p w:rsidR="00F236D5" w:rsidRPr="00235886" w:rsidRDefault="00F236D5" w:rsidP="00947046">
            <w:pPr>
              <w:spacing w:before="40" w:after="40" w:line="220" w:lineRule="exact"/>
              <w:jc w:val="right"/>
              <w:rPr>
                <w:sz w:val="18"/>
              </w:rPr>
            </w:pPr>
            <w:r w:rsidRPr="00235886">
              <w:rPr>
                <w:sz w:val="18"/>
              </w:rPr>
              <w:t>91</w:t>
            </w:r>
          </w:p>
        </w:tc>
        <w:tc>
          <w:tcPr>
            <w:tcW w:w="1043" w:type="dxa"/>
            <w:tcBorders>
              <w:top w:val="single" w:sz="12" w:space="0" w:color="auto"/>
            </w:tcBorders>
            <w:shd w:val="clear" w:color="auto" w:fill="auto"/>
            <w:vAlign w:val="bottom"/>
          </w:tcPr>
          <w:p w:rsidR="00F236D5" w:rsidRPr="00301C74" w:rsidRDefault="00F236D5" w:rsidP="00947046">
            <w:pPr>
              <w:spacing w:before="40" w:after="40" w:line="220" w:lineRule="exact"/>
              <w:jc w:val="right"/>
              <w:rPr>
                <w:sz w:val="18"/>
              </w:rPr>
            </w:pPr>
            <w:r w:rsidRPr="00301C74">
              <w:rPr>
                <w:sz w:val="18"/>
              </w:rPr>
              <w:t>72</w:t>
            </w:r>
          </w:p>
        </w:tc>
      </w:tr>
      <w:tr w:rsidR="00F236D5" w:rsidRPr="00427D90" w:rsidTr="00947046">
        <w:tc>
          <w:tcPr>
            <w:tcW w:w="2226" w:type="dxa"/>
            <w:shd w:val="clear" w:color="auto" w:fill="auto"/>
            <w:vAlign w:val="bottom"/>
          </w:tcPr>
          <w:p w:rsidR="00F236D5" w:rsidRPr="003F3691" w:rsidRDefault="00F236D5" w:rsidP="00947046">
            <w:pPr>
              <w:spacing w:before="40" w:after="40" w:line="220" w:lineRule="exact"/>
              <w:rPr>
                <w:sz w:val="18"/>
              </w:rPr>
            </w:pPr>
            <w:r w:rsidRPr="003F3691">
              <w:rPr>
                <w:sz w:val="18"/>
              </w:rPr>
              <w:t>Zona urbana secundaria (10.000 a 29.999)</w:t>
            </w:r>
          </w:p>
        </w:tc>
        <w:tc>
          <w:tcPr>
            <w:tcW w:w="1042" w:type="dxa"/>
            <w:shd w:val="clear" w:color="auto" w:fill="auto"/>
            <w:vAlign w:val="bottom"/>
          </w:tcPr>
          <w:p w:rsidR="00F236D5" w:rsidRPr="00235886" w:rsidRDefault="00F236D5" w:rsidP="00947046">
            <w:pPr>
              <w:spacing w:before="40" w:after="40" w:line="220" w:lineRule="exact"/>
              <w:jc w:val="right"/>
              <w:rPr>
                <w:sz w:val="18"/>
              </w:rPr>
            </w:pPr>
            <w:r w:rsidRPr="00235886">
              <w:rPr>
                <w:sz w:val="18"/>
              </w:rPr>
              <w:t>7</w:t>
            </w:r>
          </w:p>
        </w:tc>
        <w:tc>
          <w:tcPr>
            <w:tcW w:w="1043" w:type="dxa"/>
            <w:shd w:val="clear" w:color="auto" w:fill="auto"/>
            <w:vAlign w:val="bottom"/>
          </w:tcPr>
          <w:p w:rsidR="00F236D5" w:rsidRPr="00235886" w:rsidRDefault="00F236D5" w:rsidP="00947046">
            <w:pPr>
              <w:spacing w:before="40" w:after="40" w:line="220" w:lineRule="exact"/>
              <w:jc w:val="right"/>
              <w:rPr>
                <w:sz w:val="18"/>
              </w:rPr>
            </w:pPr>
            <w:r w:rsidRPr="00235886">
              <w:rPr>
                <w:sz w:val="18"/>
              </w:rPr>
              <w:t>7</w:t>
            </w:r>
          </w:p>
        </w:tc>
        <w:tc>
          <w:tcPr>
            <w:tcW w:w="1043" w:type="dxa"/>
            <w:shd w:val="clear" w:color="auto" w:fill="auto"/>
            <w:vAlign w:val="bottom"/>
          </w:tcPr>
          <w:p w:rsidR="00F236D5" w:rsidRPr="00235886" w:rsidRDefault="00F236D5" w:rsidP="00947046">
            <w:pPr>
              <w:spacing w:before="40" w:after="40" w:line="220" w:lineRule="exact"/>
              <w:jc w:val="right"/>
              <w:rPr>
                <w:sz w:val="18"/>
              </w:rPr>
            </w:pPr>
            <w:r w:rsidRPr="00235886">
              <w:rPr>
                <w:sz w:val="18"/>
              </w:rPr>
              <w:t>3</w:t>
            </w:r>
          </w:p>
        </w:tc>
        <w:tc>
          <w:tcPr>
            <w:tcW w:w="1043" w:type="dxa"/>
            <w:shd w:val="clear" w:color="auto" w:fill="auto"/>
            <w:vAlign w:val="bottom"/>
          </w:tcPr>
          <w:p w:rsidR="00F236D5" w:rsidRPr="00235886" w:rsidRDefault="00F236D5" w:rsidP="00947046">
            <w:pPr>
              <w:spacing w:before="40" w:after="40" w:line="220" w:lineRule="exact"/>
              <w:jc w:val="right"/>
              <w:rPr>
                <w:sz w:val="18"/>
              </w:rPr>
            </w:pPr>
            <w:r w:rsidRPr="00235886">
              <w:rPr>
                <w:sz w:val="18"/>
              </w:rPr>
              <w:t>2</w:t>
            </w:r>
          </w:p>
        </w:tc>
        <w:tc>
          <w:tcPr>
            <w:tcW w:w="1043" w:type="dxa"/>
            <w:shd w:val="clear" w:color="auto" w:fill="auto"/>
            <w:vAlign w:val="bottom"/>
          </w:tcPr>
          <w:p w:rsidR="00F236D5" w:rsidRPr="00235886" w:rsidRDefault="00F236D5" w:rsidP="00947046">
            <w:pPr>
              <w:spacing w:before="40" w:after="40" w:line="220" w:lineRule="exact"/>
              <w:jc w:val="right"/>
              <w:rPr>
                <w:sz w:val="18"/>
              </w:rPr>
            </w:pPr>
            <w:r w:rsidRPr="00235886">
              <w:rPr>
                <w:sz w:val="18"/>
              </w:rPr>
              <w:t>2</w:t>
            </w:r>
          </w:p>
        </w:tc>
        <w:tc>
          <w:tcPr>
            <w:tcW w:w="1043"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6</w:t>
            </w:r>
          </w:p>
        </w:tc>
      </w:tr>
      <w:tr w:rsidR="00F236D5" w:rsidRPr="00427D90" w:rsidTr="00947046">
        <w:tc>
          <w:tcPr>
            <w:tcW w:w="2226" w:type="dxa"/>
            <w:tcBorders>
              <w:bottom w:val="single" w:sz="4" w:space="0" w:color="auto"/>
            </w:tcBorders>
            <w:shd w:val="clear" w:color="auto" w:fill="auto"/>
            <w:vAlign w:val="bottom"/>
          </w:tcPr>
          <w:p w:rsidR="00F236D5" w:rsidRPr="003F3691" w:rsidRDefault="00F236D5" w:rsidP="00947046">
            <w:pPr>
              <w:spacing w:before="40" w:after="40" w:line="220" w:lineRule="exact"/>
              <w:rPr>
                <w:sz w:val="18"/>
              </w:rPr>
            </w:pPr>
            <w:r w:rsidRPr="003F3691">
              <w:rPr>
                <w:sz w:val="18"/>
              </w:rPr>
              <w:t>Zona urbana menor</w:t>
            </w:r>
            <w:r w:rsidRPr="003F3691">
              <w:rPr>
                <w:sz w:val="18"/>
              </w:rPr>
              <w:br/>
              <w:t>(1.000 a 9.999)</w:t>
            </w:r>
          </w:p>
        </w:tc>
        <w:tc>
          <w:tcPr>
            <w:tcW w:w="1042" w:type="dxa"/>
            <w:tcBorders>
              <w:bottom w:val="single" w:sz="4" w:space="0" w:color="auto"/>
            </w:tcBorders>
            <w:shd w:val="clear" w:color="auto" w:fill="auto"/>
            <w:vAlign w:val="bottom"/>
          </w:tcPr>
          <w:p w:rsidR="00F236D5" w:rsidRPr="00235886" w:rsidRDefault="00F236D5" w:rsidP="00947046">
            <w:pPr>
              <w:spacing w:before="40" w:after="40" w:line="220" w:lineRule="exact"/>
              <w:jc w:val="right"/>
              <w:rPr>
                <w:sz w:val="18"/>
              </w:rPr>
            </w:pPr>
            <w:r w:rsidRPr="00235886">
              <w:rPr>
                <w:sz w:val="18"/>
              </w:rPr>
              <w:t>9</w:t>
            </w:r>
          </w:p>
        </w:tc>
        <w:tc>
          <w:tcPr>
            <w:tcW w:w="1043" w:type="dxa"/>
            <w:tcBorders>
              <w:bottom w:val="single" w:sz="4" w:space="0" w:color="auto"/>
            </w:tcBorders>
            <w:shd w:val="clear" w:color="auto" w:fill="auto"/>
            <w:vAlign w:val="bottom"/>
          </w:tcPr>
          <w:p w:rsidR="00F236D5" w:rsidRPr="00235886" w:rsidRDefault="00F236D5" w:rsidP="00947046">
            <w:pPr>
              <w:spacing w:before="40" w:after="40" w:line="220" w:lineRule="exact"/>
              <w:jc w:val="right"/>
              <w:rPr>
                <w:sz w:val="18"/>
              </w:rPr>
            </w:pPr>
            <w:r w:rsidRPr="00235886">
              <w:rPr>
                <w:sz w:val="18"/>
              </w:rPr>
              <w:t>13</w:t>
            </w:r>
          </w:p>
        </w:tc>
        <w:tc>
          <w:tcPr>
            <w:tcW w:w="1043" w:type="dxa"/>
            <w:tcBorders>
              <w:bottom w:val="single" w:sz="4" w:space="0" w:color="auto"/>
            </w:tcBorders>
            <w:shd w:val="clear" w:color="auto" w:fill="auto"/>
            <w:vAlign w:val="bottom"/>
          </w:tcPr>
          <w:p w:rsidR="00F236D5" w:rsidRPr="00235886" w:rsidRDefault="00F236D5" w:rsidP="00947046">
            <w:pPr>
              <w:spacing w:before="40" w:after="40" w:line="220" w:lineRule="exact"/>
              <w:jc w:val="right"/>
              <w:rPr>
                <w:sz w:val="18"/>
              </w:rPr>
            </w:pPr>
            <w:r w:rsidRPr="00235886">
              <w:rPr>
                <w:sz w:val="18"/>
              </w:rPr>
              <w:t>2</w:t>
            </w:r>
          </w:p>
        </w:tc>
        <w:tc>
          <w:tcPr>
            <w:tcW w:w="1043" w:type="dxa"/>
            <w:tcBorders>
              <w:bottom w:val="single" w:sz="4" w:space="0" w:color="auto"/>
            </w:tcBorders>
            <w:shd w:val="clear" w:color="auto" w:fill="auto"/>
            <w:vAlign w:val="bottom"/>
          </w:tcPr>
          <w:p w:rsidR="00F236D5" w:rsidRPr="00235886" w:rsidRDefault="00F236D5" w:rsidP="00947046">
            <w:pPr>
              <w:spacing w:before="40" w:after="40" w:line="220" w:lineRule="exact"/>
              <w:jc w:val="right"/>
              <w:rPr>
                <w:sz w:val="18"/>
              </w:rPr>
            </w:pPr>
            <w:r w:rsidRPr="00235886">
              <w:rPr>
                <w:sz w:val="18"/>
              </w:rPr>
              <w:t>2</w:t>
            </w:r>
          </w:p>
        </w:tc>
        <w:tc>
          <w:tcPr>
            <w:tcW w:w="1043" w:type="dxa"/>
            <w:tcBorders>
              <w:bottom w:val="single" w:sz="4" w:space="0" w:color="auto"/>
            </w:tcBorders>
            <w:shd w:val="clear" w:color="auto" w:fill="auto"/>
            <w:vAlign w:val="bottom"/>
          </w:tcPr>
          <w:p w:rsidR="00F236D5" w:rsidRPr="00235886" w:rsidRDefault="00F236D5" w:rsidP="00947046">
            <w:pPr>
              <w:spacing w:before="40" w:after="40" w:line="220" w:lineRule="exact"/>
              <w:jc w:val="right"/>
              <w:rPr>
                <w:sz w:val="18"/>
              </w:rPr>
            </w:pPr>
            <w:r w:rsidRPr="00235886">
              <w:rPr>
                <w:sz w:val="18"/>
              </w:rPr>
              <w:t>3</w:t>
            </w:r>
          </w:p>
        </w:tc>
        <w:tc>
          <w:tcPr>
            <w:tcW w:w="1043" w:type="dxa"/>
            <w:tcBorders>
              <w:bottom w:val="single" w:sz="4" w:space="0" w:color="auto"/>
            </w:tcBorders>
            <w:shd w:val="clear" w:color="auto" w:fill="auto"/>
            <w:vAlign w:val="bottom"/>
          </w:tcPr>
          <w:p w:rsidR="00F236D5" w:rsidRPr="00301C74" w:rsidRDefault="00F236D5" w:rsidP="00947046">
            <w:pPr>
              <w:spacing w:before="40" w:after="40" w:line="220" w:lineRule="exact"/>
              <w:jc w:val="right"/>
              <w:rPr>
                <w:sz w:val="18"/>
              </w:rPr>
            </w:pPr>
            <w:r w:rsidRPr="00301C74">
              <w:rPr>
                <w:sz w:val="18"/>
              </w:rPr>
              <w:t>8</w:t>
            </w:r>
          </w:p>
        </w:tc>
      </w:tr>
      <w:tr w:rsidR="00F236D5" w:rsidRPr="00286D96" w:rsidTr="00947046">
        <w:tc>
          <w:tcPr>
            <w:tcW w:w="2226" w:type="dxa"/>
            <w:tcBorders>
              <w:top w:val="single" w:sz="4" w:space="0" w:color="auto"/>
              <w:bottom w:val="single" w:sz="4" w:space="0" w:color="auto"/>
            </w:tcBorders>
            <w:shd w:val="clear" w:color="auto" w:fill="auto"/>
            <w:vAlign w:val="bottom"/>
          </w:tcPr>
          <w:p w:rsidR="00F236D5" w:rsidRPr="003F3691" w:rsidRDefault="00F236D5" w:rsidP="00947046">
            <w:pPr>
              <w:spacing w:before="80" w:after="80" w:line="220" w:lineRule="exact"/>
              <w:ind w:firstLine="284"/>
              <w:rPr>
                <w:b/>
                <w:sz w:val="18"/>
              </w:rPr>
            </w:pPr>
            <w:r w:rsidRPr="003F3691">
              <w:rPr>
                <w:b/>
                <w:sz w:val="18"/>
              </w:rPr>
              <w:t xml:space="preserve">Total </w:t>
            </w:r>
            <w:r>
              <w:rPr>
                <w:b/>
                <w:sz w:val="18"/>
              </w:rPr>
              <w:t xml:space="preserve">zonas </w:t>
            </w:r>
            <w:r w:rsidRPr="003F3691">
              <w:rPr>
                <w:b/>
                <w:sz w:val="18"/>
              </w:rPr>
              <w:t>urban</w:t>
            </w:r>
            <w:r>
              <w:rPr>
                <w:b/>
                <w:sz w:val="18"/>
              </w:rPr>
              <w:t>as</w:t>
            </w:r>
          </w:p>
        </w:tc>
        <w:tc>
          <w:tcPr>
            <w:tcW w:w="1042" w:type="dxa"/>
            <w:tcBorders>
              <w:top w:val="single" w:sz="4" w:space="0" w:color="auto"/>
              <w:bottom w:val="single" w:sz="4" w:space="0" w:color="auto"/>
            </w:tcBorders>
            <w:shd w:val="clear" w:color="auto" w:fill="auto"/>
            <w:vAlign w:val="bottom"/>
          </w:tcPr>
          <w:p w:rsidR="00F236D5" w:rsidRPr="003F3691" w:rsidRDefault="00F236D5" w:rsidP="00947046">
            <w:pPr>
              <w:spacing w:before="80" w:after="80" w:line="220" w:lineRule="exact"/>
              <w:jc w:val="right"/>
              <w:rPr>
                <w:b/>
                <w:sz w:val="18"/>
              </w:rPr>
            </w:pPr>
            <w:r w:rsidRPr="003F3691">
              <w:rPr>
                <w:b/>
                <w:sz w:val="18"/>
              </w:rPr>
              <w:t>84</w:t>
            </w:r>
          </w:p>
        </w:tc>
        <w:tc>
          <w:tcPr>
            <w:tcW w:w="1043" w:type="dxa"/>
            <w:tcBorders>
              <w:top w:val="single" w:sz="4" w:space="0" w:color="auto"/>
              <w:bottom w:val="single" w:sz="4" w:space="0" w:color="auto"/>
            </w:tcBorders>
            <w:shd w:val="clear" w:color="auto" w:fill="auto"/>
            <w:vAlign w:val="bottom"/>
          </w:tcPr>
          <w:p w:rsidR="00F236D5" w:rsidRPr="003F3691" w:rsidRDefault="00F236D5" w:rsidP="00947046">
            <w:pPr>
              <w:spacing w:before="80" w:after="80" w:line="220" w:lineRule="exact"/>
              <w:jc w:val="right"/>
              <w:rPr>
                <w:b/>
                <w:sz w:val="18"/>
              </w:rPr>
            </w:pPr>
            <w:r w:rsidRPr="003F3691">
              <w:rPr>
                <w:b/>
                <w:sz w:val="18"/>
              </w:rPr>
              <w:t>84</w:t>
            </w:r>
          </w:p>
        </w:tc>
        <w:tc>
          <w:tcPr>
            <w:tcW w:w="1043" w:type="dxa"/>
            <w:tcBorders>
              <w:top w:val="single" w:sz="4" w:space="0" w:color="auto"/>
              <w:bottom w:val="single" w:sz="4" w:space="0" w:color="auto"/>
            </w:tcBorders>
            <w:shd w:val="clear" w:color="auto" w:fill="auto"/>
            <w:vAlign w:val="bottom"/>
          </w:tcPr>
          <w:p w:rsidR="00F236D5" w:rsidRPr="003F3691" w:rsidRDefault="00F236D5" w:rsidP="00947046">
            <w:pPr>
              <w:spacing w:before="80" w:after="80" w:line="220" w:lineRule="exact"/>
              <w:jc w:val="right"/>
              <w:rPr>
                <w:b/>
                <w:sz w:val="18"/>
              </w:rPr>
            </w:pPr>
            <w:r w:rsidRPr="003F3691">
              <w:rPr>
                <w:b/>
                <w:sz w:val="18"/>
              </w:rPr>
              <w:t>97</w:t>
            </w:r>
          </w:p>
        </w:tc>
        <w:tc>
          <w:tcPr>
            <w:tcW w:w="1043" w:type="dxa"/>
            <w:tcBorders>
              <w:top w:val="single" w:sz="4" w:space="0" w:color="auto"/>
              <w:bottom w:val="single" w:sz="4" w:space="0" w:color="auto"/>
            </w:tcBorders>
            <w:shd w:val="clear" w:color="auto" w:fill="auto"/>
            <w:vAlign w:val="bottom"/>
          </w:tcPr>
          <w:p w:rsidR="00F236D5" w:rsidRPr="003F3691" w:rsidRDefault="00F236D5" w:rsidP="00947046">
            <w:pPr>
              <w:spacing w:before="80" w:after="80" w:line="220" w:lineRule="exact"/>
              <w:jc w:val="right"/>
              <w:rPr>
                <w:b/>
                <w:sz w:val="18"/>
              </w:rPr>
            </w:pPr>
            <w:r w:rsidRPr="003F3691">
              <w:rPr>
                <w:b/>
                <w:sz w:val="18"/>
              </w:rPr>
              <w:t>98</w:t>
            </w:r>
          </w:p>
        </w:tc>
        <w:tc>
          <w:tcPr>
            <w:tcW w:w="1043" w:type="dxa"/>
            <w:tcBorders>
              <w:top w:val="single" w:sz="4" w:space="0" w:color="auto"/>
              <w:bottom w:val="single" w:sz="4" w:space="0" w:color="auto"/>
            </w:tcBorders>
            <w:shd w:val="clear" w:color="auto" w:fill="auto"/>
            <w:vAlign w:val="bottom"/>
          </w:tcPr>
          <w:p w:rsidR="00F236D5" w:rsidRPr="003F3691" w:rsidRDefault="00F236D5" w:rsidP="00947046">
            <w:pPr>
              <w:spacing w:before="80" w:after="80" w:line="220" w:lineRule="exact"/>
              <w:jc w:val="right"/>
              <w:rPr>
                <w:b/>
                <w:sz w:val="18"/>
              </w:rPr>
            </w:pPr>
            <w:r w:rsidRPr="003F3691">
              <w:rPr>
                <w:b/>
                <w:sz w:val="18"/>
              </w:rPr>
              <w:t>96</w:t>
            </w:r>
          </w:p>
        </w:tc>
        <w:tc>
          <w:tcPr>
            <w:tcW w:w="1043" w:type="dxa"/>
            <w:tcBorders>
              <w:top w:val="single" w:sz="4" w:space="0" w:color="auto"/>
              <w:bottom w:val="single" w:sz="4" w:space="0" w:color="auto"/>
            </w:tcBorders>
            <w:shd w:val="clear" w:color="auto" w:fill="auto"/>
            <w:vAlign w:val="bottom"/>
          </w:tcPr>
          <w:p w:rsidR="00F236D5" w:rsidRPr="00301C74" w:rsidRDefault="00F236D5" w:rsidP="00947046">
            <w:pPr>
              <w:spacing w:before="80" w:after="80" w:line="220" w:lineRule="exact"/>
              <w:jc w:val="right"/>
              <w:rPr>
                <w:sz w:val="18"/>
              </w:rPr>
            </w:pPr>
            <w:r w:rsidRPr="00301C74">
              <w:rPr>
                <w:sz w:val="18"/>
              </w:rPr>
              <w:t>86</w:t>
            </w:r>
          </w:p>
        </w:tc>
      </w:tr>
      <w:tr w:rsidR="00F236D5" w:rsidRPr="00427D90" w:rsidTr="00947046">
        <w:tc>
          <w:tcPr>
            <w:tcW w:w="2226" w:type="dxa"/>
            <w:tcBorders>
              <w:top w:val="single" w:sz="4" w:space="0" w:color="auto"/>
              <w:bottom w:val="single" w:sz="4" w:space="0" w:color="auto"/>
            </w:tcBorders>
            <w:shd w:val="clear" w:color="auto" w:fill="auto"/>
            <w:vAlign w:val="bottom"/>
          </w:tcPr>
          <w:p w:rsidR="00F236D5" w:rsidRPr="00427D90" w:rsidRDefault="00F236D5" w:rsidP="00947046">
            <w:pPr>
              <w:spacing w:before="40" w:after="40" w:line="220" w:lineRule="exact"/>
              <w:rPr>
                <w:sz w:val="18"/>
              </w:rPr>
            </w:pPr>
            <w:r>
              <w:rPr>
                <w:sz w:val="18"/>
              </w:rPr>
              <w:t>Zonas rurales</w:t>
            </w:r>
          </w:p>
        </w:tc>
        <w:tc>
          <w:tcPr>
            <w:tcW w:w="1042" w:type="dxa"/>
            <w:tcBorders>
              <w:top w:val="single" w:sz="4" w:space="0" w:color="auto"/>
              <w:bottom w:val="single" w:sz="4" w:space="0" w:color="auto"/>
            </w:tcBorders>
            <w:shd w:val="clear" w:color="auto" w:fill="auto"/>
            <w:vAlign w:val="bottom"/>
          </w:tcPr>
          <w:p w:rsidR="00F236D5" w:rsidRPr="00235886" w:rsidRDefault="00F236D5" w:rsidP="00947046">
            <w:pPr>
              <w:spacing w:before="40" w:after="40" w:line="220" w:lineRule="exact"/>
              <w:jc w:val="right"/>
              <w:rPr>
                <w:sz w:val="18"/>
              </w:rPr>
            </w:pPr>
            <w:r w:rsidRPr="00235886">
              <w:rPr>
                <w:sz w:val="18"/>
              </w:rPr>
              <w:t>16</w:t>
            </w:r>
          </w:p>
        </w:tc>
        <w:tc>
          <w:tcPr>
            <w:tcW w:w="1043" w:type="dxa"/>
            <w:tcBorders>
              <w:top w:val="single" w:sz="4" w:space="0" w:color="auto"/>
              <w:bottom w:val="single" w:sz="4" w:space="0" w:color="auto"/>
            </w:tcBorders>
            <w:shd w:val="clear" w:color="auto" w:fill="auto"/>
            <w:vAlign w:val="bottom"/>
          </w:tcPr>
          <w:p w:rsidR="00F236D5" w:rsidRPr="00235886" w:rsidRDefault="00F236D5" w:rsidP="00947046">
            <w:pPr>
              <w:spacing w:before="40" w:after="40" w:line="220" w:lineRule="exact"/>
              <w:jc w:val="right"/>
              <w:rPr>
                <w:sz w:val="18"/>
              </w:rPr>
            </w:pPr>
            <w:r w:rsidRPr="00235886">
              <w:rPr>
                <w:sz w:val="18"/>
              </w:rPr>
              <w:t>16</w:t>
            </w:r>
          </w:p>
        </w:tc>
        <w:tc>
          <w:tcPr>
            <w:tcW w:w="1043" w:type="dxa"/>
            <w:tcBorders>
              <w:top w:val="single" w:sz="4" w:space="0" w:color="auto"/>
              <w:bottom w:val="single" w:sz="4" w:space="0" w:color="auto"/>
            </w:tcBorders>
            <w:shd w:val="clear" w:color="auto" w:fill="auto"/>
            <w:vAlign w:val="bottom"/>
          </w:tcPr>
          <w:p w:rsidR="00F236D5" w:rsidRPr="00235886" w:rsidRDefault="00F236D5" w:rsidP="00947046">
            <w:pPr>
              <w:spacing w:before="40" w:after="40" w:line="220" w:lineRule="exact"/>
              <w:jc w:val="right"/>
              <w:rPr>
                <w:sz w:val="18"/>
              </w:rPr>
            </w:pPr>
            <w:r w:rsidRPr="00235886">
              <w:rPr>
                <w:sz w:val="18"/>
              </w:rPr>
              <w:t>2</w:t>
            </w:r>
          </w:p>
        </w:tc>
        <w:tc>
          <w:tcPr>
            <w:tcW w:w="1043" w:type="dxa"/>
            <w:tcBorders>
              <w:top w:val="single" w:sz="4" w:space="0" w:color="auto"/>
              <w:bottom w:val="single" w:sz="4" w:space="0" w:color="auto"/>
            </w:tcBorders>
            <w:shd w:val="clear" w:color="auto" w:fill="auto"/>
            <w:vAlign w:val="bottom"/>
          </w:tcPr>
          <w:p w:rsidR="00F236D5" w:rsidRPr="00235886" w:rsidRDefault="00F236D5" w:rsidP="00947046">
            <w:pPr>
              <w:spacing w:before="40" w:after="40" w:line="220" w:lineRule="exact"/>
              <w:jc w:val="right"/>
              <w:rPr>
                <w:sz w:val="18"/>
              </w:rPr>
            </w:pPr>
            <w:r w:rsidRPr="00235886">
              <w:rPr>
                <w:sz w:val="18"/>
              </w:rPr>
              <w:t>2</w:t>
            </w:r>
          </w:p>
        </w:tc>
        <w:tc>
          <w:tcPr>
            <w:tcW w:w="1043" w:type="dxa"/>
            <w:tcBorders>
              <w:top w:val="single" w:sz="4" w:space="0" w:color="auto"/>
              <w:bottom w:val="single" w:sz="4" w:space="0" w:color="auto"/>
            </w:tcBorders>
            <w:shd w:val="clear" w:color="auto" w:fill="auto"/>
            <w:vAlign w:val="bottom"/>
          </w:tcPr>
          <w:p w:rsidR="00F236D5" w:rsidRPr="00235886" w:rsidRDefault="00F236D5" w:rsidP="00947046">
            <w:pPr>
              <w:spacing w:before="40" w:after="40" w:line="220" w:lineRule="exact"/>
              <w:jc w:val="right"/>
              <w:rPr>
                <w:sz w:val="18"/>
              </w:rPr>
            </w:pPr>
            <w:r w:rsidRPr="00235886">
              <w:rPr>
                <w:sz w:val="18"/>
              </w:rPr>
              <w:t>4</w:t>
            </w:r>
          </w:p>
        </w:tc>
        <w:tc>
          <w:tcPr>
            <w:tcW w:w="1043" w:type="dxa"/>
            <w:tcBorders>
              <w:top w:val="single" w:sz="4" w:space="0" w:color="auto"/>
              <w:bottom w:val="single" w:sz="4" w:space="0" w:color="auto"/>
            </w:tcBorders>
            <w:shd w:val="clear" w:color="auto" w:fill="auto"/>
            <w:vAlign w:val="bottom"/>
          </w:tcPr>
          <w:p w:rsidR="00F236D5" w:rsidRPr="00301C74" w:rsidRDefault="00F236D5" w:rsidP="00947046">
            <w:pPr>
              <w:spacing w:before="40" w:after="40" w:line="220" w:lineRule="exact"/>
              <w:jc w:val="right"/>
              <w:rPr>
                <w:sz w:val="18"/>
              </w:rPr>
            </w:pPr>
            <w:r w:rsidRPr="00301C74">
              <w:rPr>
                <w:sz w:val="18"/>
              </w:rPr>
              <w:t>14</w:t>
            </w:r>
          </w:p>
        </w:tc>
      </w:tr>
      <w:tr w:rsidR="00F236D5" w:rsidRPr="00427D90" w:rsidTr="00947046">
        <w:tc>
          <w:tcPr>
            <w:tcW w:w="2226" w:type="dxa"/>
            <w:tcBorders>
              <w:top w:val="single" w:sz="4" w:space="0" w:color="auto"/>
              <w:bottom w:val="single" w:sz="12" w:space="0" w:color="auto"/>
            </w:tcBorders>
            <w:shd w:val="clear" w:color="auto" w:fill="auto"/>
            <w:vAlign w:val="bottom"/>
          </w:tcPr>
          <w:p w:rsidR="00F236D5" w:rsidRPr="003F3691" w:rsidRDefault="00F236D5" w:rsidP="00947046">
            <w:pPr>
              <w:spacing w:before="80" w:after="80" w:line="220" w:lineRule="exact"/>
              <w:ind w:firstLine="284"/>
              <w:rPr>
                <w:b/>
                <w:sz w:val="18"/>
              </w:rPr>
            </w:pPr>
            <w:r w:rsidRPr="003F3691">
              <w:rPr>
                <w:b/>
                <w:sz w:val="18"/>
              </w:rPr>
              <w:t>Total</w:t>
            </w:r>
            <w:r>
              <w:rPr>
                <w:b/>
                <w:sz w:val="18"/>
              </w:rPr>
              <w:t xml:space="preserve"> </w:t>
            </w:r>
          </w:p>
        </w:tc>
        <w:tc>
          <w:tcPr>
            <w:tcW w:w="1042" w:type="dxa"/>
            <w:tcBorders>
              <w:top w:val="single" w:sz="4" w:space="0" w:color="auto"/>
              <w:bottom w:val="single" w:sz="12" w:space="0" w:color="auto"/>
            </w:tcBorders>
            <w:shd w:val="clear" w:color="auto" w:fill="auto"/>
            <w:vAlign w:val="bottom"/>
          </w:tcPr>
          <w:p w:rsidR="00F236D5" w:rsidRPr="003F3691" w:rsidRDefault="00F236D5" w:rsidP="00947046">
            <w:pPr>
              <w:spacing w:before="80" w:after="80" w:line="220" w:lineRule="exact"/>
              <w:jc w:val="right"/>
              <w:rPr>
                <w:b/>
                <w:sz w:val="18"/>
              </w:rPr>
            </w:pPr>
            <w:r w:rsidRPr="003F3691">
              <w:rPr>
                <w:b/>
                <w:sz w:val="18"/>
              </w:rPr>
              <w:t>100</w:t>
            </w:r>
          </w:p>
        </w:tc>
        <w:tc>
          <w:tcPr>
            <w:tcW w:w="1043" w:type="dxa"/>
            <w:tcBorders>
              <w:top w:val="single" w:sz="4" w:space="0" w:color="auto"/>
              <w:bottom w:val="single" w:sz="12" w:space="0" w:color="auto"/>
            </w:tcBorders>
            <w:shd w:val="clear" w:color="auto" w:fill="auto"/>
            <w:vAlign w:val="bottom"/>
          </w:tcPr>
          <w:p w:rsidR="00F236D5" w:rsidRPr="003F3691" w:rsidRDefault="00F236D5" w:rsidP="00947046">
            <w:pPr>
              <w:spacing w:before="80" w:after="80" w:line="220" w:lineRule="exact"/>
              <w:jc w:val="right"/>
              <w:rPr>
                <w:b/>
                <w:sz w:val="18"/>
              </w:rPr>
            </w:pPr>
            <w:r w:rsidRPr="003F3691">
              <w:rPr>
                <w:b/>
                <w:sz w:val="18"/>
              </w:rPr>
              <w:t>100</w:t>
            </w:r>
          </w:p>
        </w:tc>
        <w:tc>
          <w:tcPr>
            <w:tcW w:w="1043" w:type="dxa"/>
            <w:tcBorders>
              <w:top w:val="single" w:sz="4" w:space="0" w:color="auto"/>
              <w:bottom w:val="single" w:sz="12" w:space="0" w:color="auto"/>
            </w:tcBorders>
            <w:shd w:val="clear" w:color="auto" w:fill="auto"/>
            <w:vAlign w:val="bottom"/>
          </w:tcPr>
          <w:p w:rsidR="00F236D5" w:rsidRPr="003F3691" w:rsidRDefault="00F236D5" w:rsidP="00947046">
            <w:pPr>
              <w:spacing w:before="80" w:after="80" w:line="220" w:lineRule="exact"/>
              <w:jc w:val="right"/>
              <w:rPr>
                <w:b/>
                <w:sz w:val="18"/>
              </w:rPr>
            </w:pPr>
            <w:r w:rsidRPr="003F3691">
              <w:rPr>
                <w:b/>
                <w:sz w:val="18"/>
              </w:rPr>
              <w:t>100</w:t>
            </w:r>
          </w:p>
        </w:tc>
        <w:tc>
          <w:tcPr>
            <w:tcW w:w="1043" w:type="dxa"/>
            <w:tcBorders>
              <w:top w:val="single" w:sz="4" w:space="0" w:color="auto"/>
              <w:bottom w:val="single" w:sz="12" w:space="0" w:color="auto"/>
            </w:tcBorders>
            <w:shd w:val="clear" w:color="auto" w:fill="auto"/>
            <w:vAlign w:val="bottom"/>
          </w:tcPr>
          <w:p w:rsidR="00F236D5" w:rsidRPr="003F3691" w:rsidRDefault="00F236D5" w:rsidP="00947046">
            <w:pPr>
              <w:spacing w:before="80" w:after="80" w:line="220" w:lineRule="exact"/>
              <w:jc w:val="right"/>
              <w:rPr>
                <w:b/>
                <w:sz w:val="18"/>
              </w:rPr>
            </w:pPr>
            <w:r w:rsidRPr="003F3691">
              <w:rPr>
                <w:b/>
                <w:sz w:val="18"/>
              </w:rPr>
              <w:t>100</w:t>
            </w:r>
          </w:p>
        </w:tc>
        <w:tc>
          <w:tcPr>
            <w:tcW w:w="1043" w:type="dxa"/>
            <w:tcBorders>
              <w:top w:val="single" w:sz="4" w:space="0" w:color="auto"/>
              <w:bottom w:val="single" w:sz="12" w:space="0" w:color="auto"/>
            </w:tcBorders>
            <w:shd w:val="clear" w:color="auto" w:fill="auto"/>
            <w:vAlign w:val="bottom"/>
          </w:tcPr>
          <w:p w:rsidR="00F236D5" w:rsidRPr="003F3691" w:rsidRDefault="00F236D5" w:rsidP="00947046">
            <w:pPr>
              <w:spacing w:before="80" w:after="80" w:line="220" w:lineRule="exact"/>
              <w:jc w:val="right"/>
              <w:rPr>
                <w:b/>
                <w:sz w:val="18"/>
              </w:rPr>
            </w:pPr>
            <w:r w:rsidRPr="003F3691">
              <w:rPr>
                <w:b/>
                <w:sz w:val="18"/>
              </w:rPr>
              <w:t>100</w:t>
            </w:r>
          </w:p>
        </w:tc>
        <w:tc>
          <w:tcPr>
            <w:tcW w:w="1043" w:type="dxa"/>
            <w:tcBorders>
              <w:top w:val="single" w:sz="4" w:space="0" w:color="auto"/>
              <w:bottom w:val="single" w:sz="12" w:space="0" w:color="auto"/>
            </w:tcBorders>
            <w:shd w:val="clear" w:color="auto" w:fill="auto"/>
            <w:vAlign w:val="bottom"/>
          </w:tcPr>
          <w:p w:rsidR="00F236D5" w:rsidRPr="00301C74" w:rsidRDefault="00F236D5" w:rsidP="00947046">
            <w:pPr>
              <w:spacing w:before="80" w:after="80" w:line="220" w:lineRule="exact"/>
              <w:jc w:val="right"/>
              <w:rPr>
                <w:b/>
                <w:sz w:val="18"/>
              </w:rPr>
            </w:pPr>
            <w:r w:rsidRPr="00301C74">
              <w:rPr>
                <w:b/>
                <w:sz w:val="18"/>
              </w:rPr>
              <w:t>100</w:t>
            </w:r>
          </w:p>
        </w:tc>
      </w:tr>
    </w:tbl>
    <w:p w:rsidR="00F236D5" w:rsidRPr="00427D90" w:rsidRDefault="00F236D5" w:rsidP="00F236D5">
      <w:pPr>
        <w:pStyle w:val="SingleTxtG"/>
        <w:spacing w:before="120" w:after="0"/>
        <w:ind w:firstLine="170"/>
        <w:rPr>
          <w:sz w:val="18"/>
          <w:szCs w:val="18"/>
        </w:rPr>
      </w:pPr>
      <w:r w:rsidRPr="00427D90">
        <w:rPr>
          <w:i/>
          <w:sz w:val="18"/>
          <w:szCs w:val="18"/>
        </w:rPr>
        <w:t>Fuente:</w:t>
      </w:r>
      <w:r>
        <w:rPr>
          <w:sz w:val="18"/>
          <w:szCs w:val="18"/>
        </w:rPr>
        <w:t xml:space="preserve"> </w:t>
      </w:r>
      <w:r w:rsidRPr="00427D90">
        <w:rPr>
          <w:sz w:val="18"/>
          <w:szCs w:val="18"/>
        </w:rPr>
        <w:t>Oficina de Estadísticas de Nueva Zelandia, censo de 2006, datos inéditos.</w:t>
      </w:r>
    </w:p>
    <w:p w:rsidR="00F236D5" w:rsidRPr="00427D90" w:rsidRDefault="00F236D5" w:rsidP="00F236D5">
      <w:pPr>
        <w:pStyle w:val="SingleTxtG"/>
        <w:spacing w:after="240"/>
        <w:ind w:firstLine="170"/>
        <w:rPr>
          <w:sz w:val="18"/>
          <w:szCs w:val="18"/>
        </w:rPr>
      </w:pPr>
      <w:r w:rsidRPr="00427D90">
        <w:rPr>
          <w:i/>
          <w:sz w:val="18"/>
          <w:szCs w:val="18"/>
        </w:rPr>
        <w:t>Nota:</w:t>
      </w:r>
      <w:r w:rsidRPr="00427D90">
        <w:rPr>
          <w:sz w:val="18"/>
          <w:szCs w:val="18"/>
        </w:rPr>
        <w:t xml:space="preserve"> Los neozelandeses se incluyen en el grupo europeo; los grupos étnicos del Oriente Medio, América Latina y África se incluyen en "Otros grupos étnicos</w:t>
      </w:r>
      <w:r>
        <w:rPr>
          <w:sz w:val="18"/>
          <w:szCs w:val="18"/>
        </w:rPr>
        <w:t>"</w:t>
      </w:r>
      <w:r w:rsidRPr="00427D90">
        <w:rPr>
          <w:sz w:val="18"/>
          <w:szCs w:val="18"/>
        </w:rPr>
        <w:t>.</w:t>
      </w:r>
    </w:p>
    <w:p w:rsidR="00F236D5" w:rsidRPr="00F34D17" w:rsidRDefault="00F236D5" w:rsidP="00F236D5">
      <w:pPr>
        <w:pStyle w:val="SingleTxtG"/>
      </w:pPr>
      <w:r w:rsidRPr="00F34D17">
        <w:t>16.</w:t>
      </w:r>
      <w:r w:rsidRPr="00F34D17">
        <w:tab/>
        <w:t>Se observan notables diferencias étnicas en materia de urbanización. Por ejemplo, la mayor parte de los integrantes del grupo de pueblos del Pacífico, el grupo asiático y otros grupos étnicos vive en zonas urbanas y son muy pocos los que viven en zonas rurales.</w:t>
      </w:r>
    </w:p>
    <w:p w:rsidR="00F236D5" w:rsidRPr="00F34D17" w:rsidRDefault="00F236D5" w:rsidP="00F236D5">
      <w:pPr>
        <w:pStyle w:val="SingleTxtG"/>
      </w:pPr>
      <w:r w:rsidRPr="00F34D17">
        <w:t>17.</w:t>
      </w:r>
      <w:r w:rsidRPr="00F34D17">
        <w:tab/>
        <w:t>Más de las tres cuartas partes (el 76%) de la población vive en la Isla del Norte y una tercera parte (el 33%) en la región de Auckland. La ciudad de Auckland es la ciudad más grande de Nueva Zelandia.</w:t>
      </w:r>
    </w:p>
    <w:p w:rsidR="00F236D5" w:rsidRPr="00F34D17" w:rsidRDefault="00F236D5" w:rsidP="00F236D5">
      <w:pPr>
        <w:pStyle w:val="H23G"/>
      </w:pPr>
      <w:r>
        <w:tab/>
      </w:r>
      <w:r w:rsidRPr="00F34D17">
        <w:t>5.</w:t>
      </w:r>
      <w:r w:rsidRPr="00F34D17">
        <w:tab/>
        <w:t>Fecundidad</w:t>
      </w:r>
    </w:p>
    <w:p w:rsidR="00F236D5" w:rsidRPr="00F34D17" w:rsidRDefault="00F236D5" w:rsidP="00F236D5">
      <w:pPr>
        <w:pStyle w:val="SingleTxtG"/>
      </w:pPr>
      <w:r w:rsidRPr="00F34D17">
        <w:t>18.</w:t>
      </w:r>
      <w:r w:rsidRPr="00F34D17">
        <w:tab/>
        <w:t>Las tasas de fecundidad correspondientes a 2008 indican que la mujer neozelandesa tiene 2,18 alumbramientos como promedio. Esta tasa es algo superior a la registrada en 2007, de 2,17 nacimientos por mujer, y se sitúa apenas por encima del nivel de reemplazo de la población sin ayuda de la migración (2,1 nacimientos por mujer). Pese al reciente aumento, la tasa de fecundidad total de Nueva Zelandia se ha mantenido relativamente estable durante los últimos tres decenios, con una media de 2,01 nacimientos por mujer. En ese período, la tasa de fecundidad total varió de 2,18 nacimientos por mujer en 1990 y 2008 a 1,89 en 1998 y 2002.</w:t>
      </w:r>
    </w:p>
    <w:p w:rsidR="00F236D5" w:rsidRDefault="00F236D5" w:rsidP="00F236D5">
      <w:pPr>
        <w:pStyle w:val="Heading1"/>
      </w:pPr>
      <w:r w:rsidRPr="00F34D17">
        <w:t>Cuadro 4</w:t>
      </w:r>
    </w:p>
    <w:p w:rsidR="00F236D5" w:rsidRPr="002D6F59" w:rsidRDefault="00F236D5" w:rsidP="00F236D5">
      <w:pPr>
        <w:pStyle w:val="SingleTxtG"/>
        <w:keepNext/>
        <w:rPr>
          <w:b/>
        </w:rPr>
      </w:pPr>
      <w:r w:rsidRPr="002D6F59">
        <w:rPr>
          <w:b/>
        </w:rPr>
        <w:t>Tasa de fecundidad total, 1978</w:t>
      </w:r>
      <w:r>
        <w:rPr>
          <w:b/>
        </w:rPr>
        <w:t>-</w:t>
      </w:r>
      <w:r w:rsidRPr="002D6F59">
        <w:rPr>
          <w:b/>
        </w:rPr>
        <w:t>2008</w:t>
      </w:r>
    </w:p>
    <w:bookmarkStart w:id="8" w:name="_MON_1367041392"/>
    <w:bookmarkStart w:id="9" w:name="_MON_1367047698"/>
    <w:bookmarkStart w:id="10" w:name="_MON_1367047921"/>
    <w:bookmarkStart w:id="11" w:name="_MON_1367048154"/>
    <w:bookmarkStart w:id="12" w:name="_MON_1367048972"/>
    <w:bookmarkStart w:id="13" w:name="_MON_1367049069"/>
    <w:bookmarkEnd w:id="8"/>
    <w:bookmarkEnd w:id="9"/>
    <w:bookmarkEnd w:id="10"/>
    <w:bookmarkEnd w:id="11"/>
    <w:bookmarkEnd w:id="12"/>
    <w:bookmarkEnd w:id="13"/>
    <w:p w:rsidR="00F236D5" w:rsidRPr="00F34D17" w:rsidRDefault="00F236D5" w:rsidP="00F236D5">
      <w:pPr>
        <w:pStyle w:val="SingleTxtG"/>
        <w:spacing w:before="120" w:after="240"/>
        <w:ind w:left="1304" w:hanging="170"/>
      </w:pPr>
      <w:r>
        <w:object w:dxaOrig="8608" w:dyaOrig="5411">
          <v:shape id="_x0000_i1027" type="#_x0000_t75" style="width:425.25pt;height:269.25pt" o:ole="">
            <v:imagedata r:id="rId10" o:title="" croptop="-1447f" cropbottom="2076f" cropright="739f"/>
          </v:shape>
          <o:OLEObject Type="Embed" ProgID="Word.Picture.8" ShapeID="_x0000_i1027" DrawAspect="Content" ObjectID="_1395889826" r:id="rId11"/>
        </w:object>
      </w:r>
      <w:r w:rsidRPr="00A1213A">
        <w:rPr>
          <w:i/>
          <w:sz w:val="18"/>
          <w:szCs w:val="18"/>
        </w:rPr>
        <w:t>Fuente:</w:t>
      </w:r>
      <w:r w:rsidRPr="00A1213A">
        <w:rPr>
          <w:sz w:val="18"/>
          <w:szCs w:val="18"/>
        </w:rPr>
        <w:t xml:space="preserve"> Oficina de Estadísticas de Nueva Zelandia.</w:t>
      </w:r>
    </w:p>
    <w:p w:rsidR="00F236D5" w:rsidRPr="00F34D17" w:rsidRDefault="00F236D5" w:rsidP="00F236D5">
      <w:pPr>
        <w:pStyle w:val="SingleTxtG"/>
      </w:pPr>
      <w:r w:rsidRPr="00F34D17">
        <w:t>19.</w:t>
      </w:r>
      <w:r w:rsidRPr="00F34D17">
        <w:tab/>
        <w:t>La tasa de fecundidad relativamente alta de Nueva Zelandia refleja, en parte, las tasas de fecundidad más elevadas que registran las mujeres maoríes (2,95 nacimientos por mujer en 2008) y las mujeres del grupo étnico del Pacífico (2,95 en 2005-2007), así como la mayor proporción de esas mujeres en la población femenina en edad de procrear. En diciembre de 2008, los nacimientos inscritos de hijos de mujeres maoríes representaron el 23% de todos los nacidos vivos inscritos. En el período 2005-2007, el 11% del total de nacidos vivos inscritos correspondió a mujeres del grupo étnico del Pacífico. Durante el mismo período, la tasa de fecundidad total de las mujeres del grupo asiático fue de 1,52 nacimientos por mujer y un 10% del total de nacidos vivos inscritos eran hijos de mujeres de ese grupo.</w:t>
      </w:r>
    </w:p>
    <w:p w:rsidR="00F236D5" w:rsidRPr="00F34D17" w:rsidRDefault="00F236D5" w:rsidP="00F236D5">
      <w:pPr>
        <w:pStyle w:val="SingleTxtG"/>
      </w:pPr>
      <w:r w:rsidRPr="00F34D17">
        <w:t>20.</w:t>
      </w:r>
      <w:r w:rsidRPr="00F34D17">
        <w:tab/>
        <w:t>Nueva Zelandia tiene una tasa relativamente elevada de procreación juvenil en comparación con otros países desarrollados. Con 33,1 nacimientos por cada 1.000 mujeres entre las edades de 15 y 19 años en 2008, la tasa de natalidad entre las adolescentes de Nueva Zelandia supera las de Inglaterra y Gales (26,0 por cada 1.000 en 2007), aunque es considerablemente inferior a la de los Estados Unidos (41,9 por cada 1.000 en 2006).</w:t>
      </w:r>
    </w:p>
    <w:p w:rsidR="00F236D5" w:rsidRPr="00F34D17" w:rsidRDefault="00F236D5" w:rsidP="00F236D5">
      <w:pPr>
        <w:pStyle w:val="SingleTxtG"/>
      </w:pPr>
      <w:r w:rsidRPr="00F34D17">
        <w:t>21.</w:t>
      </w:r>
      <w:r w:rsidRPr="00F34D17">
        <w:tab/>
        <w:t>En 2008, la tasa de fecundidad de las adolescentes (menores de 20 años) fue de 33,1 nacimientos por cada 1.000 mujeres entre las edades de 15 y 19 años, lo que representa un aumento respecto de los 31,6 nacimientos registrados en 2007. Entre 1997 y 2002 esa tasa registró una disminución (de 33,2 a 25,8 nacimientos por cada 1.000 mujeres) pero aumentó en casi la misma proporción entre 2002 y 2008. En ese mismo período, la tasa de fecundidad de las adolescentes de la población maorí se redujo de 84,0 nacimientos por cada 1.000 mujeres en 1997 a 61,8 por cada 1.000 en 2002 y volvió a aumentar a 80,7 por cada 1.000 en 2008.</w:t>
      </w:r>
    </w:p>
    <w:p w:rsidR="00F236D5" w:rsidRPr="00F34D17" w:rsidRDefault="00F236D5" w:rsidP="00F236D5">
      <w:pPr>
        <w:pStyle w:val="SingleTxtG"/>
        <w:keepLines/>
      </w:pPr>
      <w:r w:rsidRPr="00F34D17">
        <w:t>22.</w:t>
      </w:r>
      <w:r w:rsidRPr="00F34D17">
        <w:tab/>
        <w:t>Las mujeres no maoríes menores de 20 años mostraron una evolución similar aunque menos pronunciada: su tasa de fecundidad disminuyó entre 1997 y 2003 (de 19,9 a 15,7 nacimientos por cada 1.000 mujeres) y luego se incrementó en 2008 a 20,3 por cada 1.000. La tasa de natalidad de las mujeres de 15 a 19 años del grupo del Pacífico se redujo de 47</w:t>
      </w:r>
      <w:r>
        <w:t>,</w:t>
      </w:r>
      <w:r w:rsidRPr="00F34D17">
        <w:t>4 nacimientos por cada 1.000 mujeres en el período 2000-2002 a 42,5 por cada 1.000 en 2005-2007. En ese mismo período, la tasa de natalidad entre las adolescentes del grupo asiático disminuyó de 7,4 a 6,9 nacimientos por cada 1.000 mujeres.</w:t>
      </w:r>
    </w:p>
    <w:p w:rsidR="00F236D5" w:rsidRPr="00F34D17" w:rsidRDefault="00F236D5" w:rsidP="00F236D5">
      <w:pPr>
        <w:pStyle w:val="H23G"/>
      </w:pPr>
      <w:r>
        <w:tab/>
      </w:r>
      <w:r w:rsidRPr="00F34D17">
        <w:t>6.</w:t>
      </w:r>
      <w:r w:rsidRPr="00F34D17">
        <w:tab/>
        <w:t>Idiomas oficiales</w:t>
      </w:r>
    </w:p>
    <w:p w:rsidR="00F236D5" w:rsidRPr="00F34D17" w:rsidRDefault="00F236D5" w:rsidP="00F236D5">
      <w:pPr>
        <w:pStyle w:val="SingleTxtG"/>
      </w:pPr>
      <w:r w:rsidRPr="00F34D17">
        <w:t>23.</w:t>
      </w:r>
      <w:r w:rsidRPr="00F34D17">
        <w:tab/>
        <w:t>En Nueva Zelandia existen tres idiomas oficiales: el inglés, el maorí (desde 1987) y el lenguaje por señas neozelandés (desde abril de 2006). Según el censo de 2006, el 96% de la población sabía hablar inglés, el 4% sabía hablar maorí y el 0,6% sabía utilizar el lenguaje por señas neozelandés.</w:t>
      </w:r>
    </w:p>
    <w:p w:rsidR="00F236D5" w:rsidRPr="00F34D17" w:rsidRDefault="00F236D5" w:rsidP="00F236D5">
      <w:pPr>
        <w:pStyle w:val="SingleTxtG"/>
      </w:pPr>
      <w:r w:rsidRPr="00F34D17">
        <w:t>24.</w:t>
      </w:r>
      <w:r w:rsidRPr="00F34D17">
        <w:tab/>
        <w:t xml:space="preserve">En 2006, </w:t>
      </w:r>
      <w:r>
        <w:t>8</w:t>
      </w:r>
      <w:r w:rsidRPr="00F34D17">
        <w:t xml:space="preserve"> de cada 10 personas (el 79%) hablaban inglés como idioma único, proporción a la que se sumaba un 17% que, además del inglés, hablaba al menos otro idioma. Del 4% de neozelandeses que no sabía inglés, casi la mitad (el 49%) eran niños menores de </w:t>
      </w:r>
      <w:r>
        <w:t>5</w:t>
      </w:r>
      <w:r w:rsidRPr="00F34D17">
        <w:t xml:space="preserve"> años, la mayoría de los cuales aún estaría aprendiendo a hablar. Del 2% de personas que hablaba al menos un idioma distinto del inglés, la mayoría (el 80%) había nacido en el extranjero. Los nacidos en países asiáticos (un 17%) y en países del Pacífico (un 12%) representaban la mayor proporción de las personas que hablaban al menos un idioma distinto del inglés.</w:t>
      </w:r>
    </w:p>
    <w:p w:rsidR="00F236D5" w:rsidRPr="00F34D17" w:rsidRDefault="00F236D5" w:rsidP="00F236D5">
      <w:pPr>
        <w:pStyle w:val="H23G"/>
      </w:pPr>
      <w:r>
        <w:tab/>
      </w:r>
      <w:r w:rsidRPr="00F34D17">
        <w:t>7.</w:t>
      </w:r>
      <w:r w:rsidRPr="00F34D17">
        <w:tab/>
        <w:t>Afiliación religiosa</w:t>
      </w:r>
    </w:p>
    <w:p w:rsidR="00F236D5" w:rsidRDefault="00F236D5" w:rsidP="00F236D5">
      <w:pPr>
        <w:pStyle w:val="Heading1"/>
      </w:pPr>
      <w:r w:rsidRPr="00F34D17">
        <w:t>Cuadro 5</w:t>
      </w:r>
    </w:p>
    <w:p w:rsidR="00F236D5" w:rsidRPr="00767664" w:rsidRDefault="00F236D5" w:rsidP="00F236D5">
      <w:pPr>
        <w:pStyle w:val="SingleTxtG"/>
        <w:jc w:val="left"/>
        <w:rPr>
          <w:b/>
        </w:rPr>
      </w:pPr>
      <w:r w:rsidRPr="00767664">
        <w:rPr>
          <w:b/>
        </w:rPr>
        <w:t>Afiliación religiosa (total de respuestas), por zona de residencia habitual</w:t>
      </w:r>
      <w:r>
        <w:rPr>
          <w:b/>
        </w:rPr>
        <w:br/>
      </w:r>
      <w:r w:rsidRPr="00767664">
        <w:rPr>
          <w:b/>
        </w:rPr>
        <w:t>(indicador de zona urbana o rural), según el cómputo demográfico de residentes habituales correspondiente al censo de 2006</w:t>
      </w:r>
    </w:p>
    <w:tbl>
      <w:tblPr>
        <w:tblStyle w:val="TableGrid"/>
        <w:tblW w:w="961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206"/>
        <w:gridCol w:w="1581"/>
        <w:gridCol w:w="1582"/>
        <w:gridCol w:w="2114"/>
        <w:gridCol w:w="1134"/>
      </w:tblGrid>
      <w:tr w:rsidR="00F236D5" w:rsidRPr="00767664" w:rsidTr="00947046">
        <w:trPr>
          <w:tblHeader/>
        </w:trPr>
        <w:tc>
          <w:tcPr>
            <w:tcW w:w="3206" w:type="dxa"/>
            <w:tcBorders>
              <w:top w:val="single" w:sz="4" w:space="0" w:color="auto"/>
              <w:bottom w:val="single" w:sz="12" w:space="0" w:color="auto"/>
            </w:tcBorders>
            <w:shd w:val="clear" w:color="auto" w:fill="auto"/>
            <w:vAlign w:val="bottom"/>
          </w:tcPr>
          <w:p w:rsidR="00F236D5" w:rsidRPr="00767664" w:rsidRDefault="00F236D5" w:rsidP="00947046">
            <w:pPr>
              <w:pStyle w:val="SingleTxtG"/>
              <w:spacing w:before="80" w:after="80" w:line="200" w:lineRule="exact"/>
              <w:ind w:left="0" w:right="0"/>
              <w:jc w:val="left"/>
              <w:rPr>
                <w:i/>
                <w:sz w:val="16"/>
              </w:rPr>
            </w:pPr>
            <w:r>
              <w:rPr>
                <w:i/>
                <w:sz w:val="16"/>
              </w:rPr>
              <w:t>Afiliación religiosa</w:t>
            </w:r>
          </w:p>
        </w:tc>
        <w:tc>
          <w:tcPr>
            <w:tcW w:w="1581" w:type="dxa"/>
            <w:tcBorders>
              <w:top w:val="single" w:sz="4" w:space="0" w:color="auto"/>
              <w:bottom w:val="single" w:sz="12" w:space="0" w:color="auto"/>
            </w:tcBorders>
            <w:shd w:val="clear" w:color="auto" w:fill="auto"/>
            <w:vAlign w:val="bottom"/>
          </w:tcPr>
          <w:p w:rsidR="00F236D5" w:rsidRPr="00767664" w:rsidRDefault="00F236D5" w:rsidP="00947046">
            <w:pPr>
              <w:pStyle w:val="SingleTxtG"/>
              <w:spacing w:before="80" w:after="80" w:line="200" w:lineRule="exact"/>
              <w:ind w:left="0" w:right="0"/>
              <w:jc w:val="right"/>
              <w:rPr>
                <w:i/>
                <w:sz w:val="16"/>
              </w:rPr>
            </w:pPr>
            <w:r>
              <w:rPr>
                <w:i/>
                <w:sz w:val="16"/>
              </w:rPr>
              <w:t>Total de zonas urbanas</w:t>
            </w:r>
          </w:p>
        </w:tc>
        <w:tc>
          <w:tcPr>
            <w:tcW w:w="1582" w:type="dxa"/>
            <w:tcBorders>
              <w:top w:val="single" w:sz="4" w:space="0" w:color="auto"/>
              <w:bottom w:val="single" w:sz="12" w:space="0" w:color="auto"/>
            </w:tcBorders>
            <w:shd w:val="clear" w:color="auto" w:fill="auto"/>
            <w:vAlign w:val="bottom"/>
          </w:tcPr>
          <w:p w:rsidR="00F236D5" w:rsidRPr="00767664" w:rsidRDefault="00F236D5" w:rsidP="00947046">
            <w:pPr>
              <w:pStyle w:val="SingleTxtG"/>
              <w:spacing w:before="80" w:after="80" w:line="200" w:lineRule="exact"/>
              <w:ind w:left="0" w:right="0"/>
              <w:jc w:val="right"/>
              <w:rPr>
                <w:i/>
                <w:sz w:val="16"/>
              </w:rPr>
            </w:pPr>
            <w:r>
              <w:rPr>
                <w:i/>
                <w:sz w:val="16"/>
              </w:rPr>
              <w:t>Total de zonas rurales</w:t>
            </w:r>
          </w:p>
        </w:tc>
        <w:tc>
          <w:tcPr>
            <w:tcW w:w="2114" w:type="dxa"/>
            <w:tcBorders>
              <w:top w:val="single" w:sz="4" w:space="0" w:color="auto"/>
              <w:bottom w:val="single" w:sz="12" w:space="0" w:color="auto"/>
            </w:tcBorders>
            <w:shd w:val="clear" w:color="auto" w:fill="auto"/>
            <w:vAlign w:val="bottom"/>
          </w:tcPr>
          <w:p w:rsidR="00F236D5" w:rsidRPr="00767664" w:rsidRDefault="00F236D5" w:rsidP="00947046">
            <w:pPr>
              <w:pStyle w:val="SingleTxtG"/>
              <w:spacing w:before="80" w:after="80" w:line="200" w:lineRule="exact"/>
              <w:ind w:left="0" w:right="0"/>
              <w:jc w:val="right"/>
              <w:rPr>
                <w:i/>
                <w:sz w:val="16"/>
              </w:rPr>
            </w:pPr>
            <w:r>
              <w:rPr>
                <w:i/>
                <w:sz w:val="16"/>
              </w:rPr>
              <w:t>Otras zonas (aguas interiores,</w:t>
            </w:r>
            <w:r>
              <w:rPr>
                <w:i/>
                <w:sz w:val="16"/>
              </w:rPr>
              <w:br/>
              <w:t>caletas, zonas oceánicas)</w:t>
            </w:r>
          </w:p>
        </w:tc>
        <w:tc>
          <w:tcPr>
            <w:tcW w:w="1134" w:type="dxa"/>
            <w:tcBorders>
              <w:top w:val="single" w:sz="4" w:space="0" w:color="auto"/>
              <w:bottom w:val="single" w:sz="12" w:space="0" w:color="auto"/>
            </w:tcBorders>
            <w:shd w:val="clear" w:color="auto" w:fill="auto"/>
            <w:vAlign w:val="bottom"/>
          </w:tcPr>
          <w:p w:rsidR="00F236D5" w:rsidRPr="00301C74" w:rsidRDefault="00F236D5" w:rsidP="00947046">
            <w:pPr>
              <w:pStyle w:val="SingleTxtG"/>
              <w:spacing w:before="80" w:after="80" w:line="200" w:lineRule="exact"/>
              <w:ind w:left="0" w:right="0"/>
              <w:jc w:val="right"/>
              <w:rPr>
                <w:i/>
                <w:sz w:val="16"/>
              </w:rPr>
            </w:pPr>
            <w:r w:rsidRPr="00301C74">
              <w:rPr>
                <w:i/>
                <w:sz w:val="16"/>
              </w:rPr>
              <w:t>Total</w:t>
            </w:r>
          </w:p>
        </w:tc>
      </w:tr>
      <w:tr w:rsidR="00F236D5" w:rsidRPr="00767664" w:rsidTr="00947046">
        <w:tc>
          <w:tcPr>
            <w:tcW w:w="3206" w:type="dxa"/>
            <w:tcBorders>
              <w:top w:val="single" w:sz="12" w:space="0" w:color="auto"/>
            </w:tcBorders>
            <w:shd w:val="clear" w:color="auto" w:fill="auto"/>
            <w:vAlign w:val="bottom"/>
          </w:tcPr>
          <w:p w:rsidR="00F236D5" w:rsidRPr="00767664" w:rsidRDefault="00F236D5" w:rsidP="00947046">
            <w:pPr>
              <w:spacing w:before="40" w:after="40" w:line="220" w:lineRule="exact"/>
              <w:rPr>
                <w:sz w:val="18"/>
              </w:rPr>
            </w:pPr>
            <w:r>
              <w:rPr>
                <w:sz w:val="18"/>
              </w:rPr>
              <w:t>Anglicana</w:t>
            </w:r>
          </w:p>
        </w:tc>
        <w:tc>
          <w:tcPr>
            <w:tcW w:w="1581" w:type="dxa"/>
            <w:tcBorders>
              <w:top w:val="single" w:sz="12" w:space="0" w:color="auto"/>
            </w:tcBorders>
            <w:shd w:val="clear" w:color="auto" w:fill="auto"/>
            <w:vAlign w:val="bottom"/>
          </w:tcPr>
          <w:p w:rsidR="00F236D5" w:rsidRPr="007F44CC" w:rsidRDefault="00F236D5" w:rsidP="00947046">
            <w:pPr>
              <w:spacing w:before="40" w:after="40" w:line="220" w:lineRule="exact"/>
              <w:jc w:val="right"/>
              <w:rPr>
                <w:sz w:val="18"/>
              </w:rPr>
            </w:pPr>
            <w:r>
              <w:rPr>
                <w:sz w:val="18"/>
              </w:rPr>
              <w:t xml:space="preserve">461 </w:t>
            </w:r>
            <w:r w:rsidRPr="007F44CC">
              <w:rPr>
                <w:sz w:val="18"/>
              </w:rPr>
              <w:t>043</w:t>
            </w:r>
          </w:p>
        </w:tc>
        <w:tc>
          <w:tcPr>
            <w:tcW w:w="1582" w:type="dxa"/>
            <w:tcBorders>
              <w:top w:val="single" w:sz="12" w:space="0" w:color="auto"/>
            </w:tcBorders>
            <w:shd w:val="clear" w:color="auto" w:fill="auto"/>
            <w:vAlign w:val="bottom"/>
          </w:tcPr>
          <w:p w:rsidR="00F236D5" w:rsidRPr="007F44CC" w:rsidRDefault="00F236D5" w:rsidP="00947046">
            <w:pPr>
              <w:spacing w:before="40" w:after="40" w:line="220" w:lineRule="exact"/>
              <w:jc w:val="right"/>
              <w:rPr>
                <w:sz w:val="18"/>
              </w:rPr>
            </w:pPr>
            <w:r>
              <w:rPr>
                <w:sz w:val="18"/>
              </w:rPr>
              <w:t xml:space="preserve">93 </w:t>
            </w:r>
            <w:r w:rsidRPr="007F44CC">
              <w:rPr>
                <w:sz w:val="18"/>
              </w:rPr>
              <w:t>789</w:t>
            </w:r>
          </w:p>
        </w:tc>
        <w:tc>
          <w:tcPr>
            <w:tcW w:w="2114" w:type="dxa"/>
            <w:tcBorders>
              <w:top w:val="single" w:sz="12" w:space="0" w:color="auto"/>
            </w:tcBorders>
            <w:shd w:val="clear" w:color="auto" w:fill="auto"/>
            <w:vAlign w:val="bottom"/>
          </w:tcPr>
          <w:p w:rsidR="00F236D5" w:rsidRPr="007F44CC" w:rsidRDefault="00F236D5" w:rsidP="00947046">
            <w:pPr>
              <w:spacing w:before="40" w:after="40" w:line="220" w:lineRule="exact"/>
              <w:jc w:val="right"/>
              <w:rPr>
                <w:sz w:val="18"/>
              </w:rPr>
            </w:pPr>
            <w:r w:rsidRPr="007F44CC">
              <w:rPr>
                <w:sz w:val="18"/>
              </w:rPr>
              <w:t>93</w:t>
            </w:r>
          </w:p>
        </w:tc>
        <w:tc>
          <w:tcPr>
            <w:tcW w:w="1134" w:type="dxa"/>
            <w:tcBorders>
              <w:top w:val="single" w:sz="12" w:space="0" w:color="auto"/>
            </w:tcBorders>
            <w:shd w:val="clear" w:color="auto" w:fill="auto"/>
            <w:vAlign w:val="bottom"/>
          </w:tcPr>
          <w:p w:rsidR="00F236D5" w:rsidRPr="00301C74" w:rsidRDefault="00F236D5" w:rsidP="00947046">
            <w:pPr>
              <w:spacing w:before="40" w:after="40" w:line="220" w:lineRule="exact"/>
              <w:jc w:val="right"/>
              <w:rPr>
                <w:sz w:val="18"/>
              </w:rPr>
            </w:pPr>
            <w:r w:rsidRPr="00301C74">
              <w:rPr>
                <w:sz w:val="18"/>
              </w:rPr>
              <w:t>554 925</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Bautista</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51 </w:t>
            </w:r>
            <w:r w:rsidRPr="007F44CC">
              <w:rPr>
                <w:sz w:val="18"/>
              </w:rPr>
              <w:t>030</w:t>
            </w:r>
          </w:p>
        </w:tc>
        <w:tc>
          <w:tcPr>
            <w:tcW w:w="1582"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5 </w:t>
            </w:r>
            <w:r w:rsidRPr="007F44CC">
              <w:rPr>
                <w:sz w:val="18"/>
              </w:rPr>
              <w:t>877</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6</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56 913</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Católica</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447 </w:t>
            </w:r>
            <w:r w:rsidRPr="007F44CC">
              <w:rPr>
                <w:sz w:val="18"/>
              </w:rPr>
              <w:t>039</w:t>
            </w:r>
          </w:p>
        </w:tc>
        <w:tc>
          <w:tcPr>
            <w:tcW w:w="1582"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61</w:t>
            </w:r>
            <w:r>
              <w:rPr>
                <w:sz w:val="18"/>
              </w:rPr>
              <w:t xml:space="preserve"> </w:t>
            </w:r>
            <w:r w:rsidRPr="007F44CC">
              <w:rPr>
                <w:sz w:val="18"/>
              </w:rPr>
              <w:t>338</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60</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508 437</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Cristiana (sin otra especificación)</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159 </w:t>
            </w:r>
            <w:r w:rsidRPr="007F44CC">
              <w:rPr>
                <w:sz w:val="18"/>
              </w:rPr>
              <w:t>216</w:t>
            </w:r>
          </w:p>
        </w:tc>
        <w:tc>
          <w:tcPr>
            <w:tcW w:w="1582"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26 </w:t>
            </w:r>
            <w:r w:rsidRPr="007F44CC">
              <w:rPr>
                <w:sz w:val="18"/>
              </w:rPr>
              <w:t>982</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36</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186 234</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Santos de los Últimos Días</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40 </w:t>
            </w:r>
            <w:r w:rsidRPr="007F44CC">
              <w:rPr>
                <w:sz w:val="18"/>
              </w:rPr>
              <w:t>122</w:t>
            </w:r>
          </w:p>
        </w:tc>
        <w:tc>
          <w:tcPr>
            <w:tcW w:w="1582"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3 </w:t>
            </w:r>
            <w:r w:rsidRPr="007F44CC">
              <w:rPr>
                <w:sz w:val="18"/>
              </w:rPr>
              <w:t>414</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0</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43 536</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Metodista</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108 </w:t>
            </w:r>
            <w:r w:rsidRPr="007F44CC">
              <w:rPr>
                <w:sz w:val="18"/>
              </w:rPr>
              <w:t>234</w:t>
            </w:r>
          </w:p>
        </w:tc>
        <w:tc>
          <w:tcPr>
            <w:tcW w:w="1582"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13 </w:t>
            </w:r>
            <w:r w:rsidRPr="007F44CC">
              <w:rPr>
                <w:sz w:val="18"/>
              </w:rPr>
              <w:t>557</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12</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121 806</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Pentecostal</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72 </w:t>
            </w:r>
            <w:r w:rsidRPr="007F44CC">
              <w:rPr>
                <w:sz w:val="18"/>
              </w:rPr>
              <w:t>717</w:t>
            </w:r>
          </w:p>
        </w:tc>
        <w:tc>
          <w:tcPr>
            <w:tcW w:w="1582"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6 </w:t>
            </w:r>
            <w:r w:rsidRPr="007F44CC">
              <w:rPr>
                <w:sz w:val="18"/>
              </w:rPr>
              <w:t>432</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3</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79 155</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Presbiteriana, Congregacional y Reformada</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335 </w:t>
            </w:r>
            <w:r w:rsidRPr="007F44CC">
              <w:rPr>
                <w:sz w:val="18"/>
              </w:rPr>
              <w:t>421</w:t>
            </w:r>
          </w:p>
        </w:tc>
        <w:tc>
          <w:tcPr>
            <w:tcW w:w="1582"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65</w:t>
            </w:r>
            <w:r>
              <w:rPr>
                <w:sz w:val="18"/>
              </w:rPr>
              <w:t xml:space="preserve"> </w:t>
            </w:r>
            <w:r w:rsidRPr="007F44CC">
              <w:rPr>
                <w:sz w:val="18"/>
              </w:rPr>
              <w:t>367</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54</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400 839</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Otras religiones cristianas</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98 </w:t>
            </w:r>
            <w:r w:rsidRPr="007F44CC">
              <w:rPr>
                <w:sz w:val="18"/>
              </w:rPr>
              <w:t>250</w:t>
            </w:r>
          </w:p>
        </w:tc>
        <w:tc>
          <w:tcPr>
            <w:tcW w:w="1582"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10 </w:t>
            </w:r>
            <w:r w:rsidRPr="007F44CC">
              <w:rPr>
                <w:sz w:val="18"/>
              </w:rPr>
              <w:t>653</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18</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108 924</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Ratana</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42 </w:t>
            </w:r>
            <w:r w:rsidRPr="007F44CC">
              <w:rPr>
                <w:sz w:val="18"/>
              </w:rPr>
              <w:t>141</w:t>
            </w:r>
          </w:p>
        </w:tc>
        <w:tc>
          <w:tcPr>
            <w:tcW w:w="1582"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8 </w:t>
            </w:r>
            <w:r w:rsidRPr="007F44CC">
              <w:rPr>
                <w:sz w:val="18"/>
              </w:rPr>
              <w:t>421</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0</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50 565</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Ringatu</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12 </w:t>
            </w:r>
            <w:r w:rsidRPr="007F44CC">
              <w:rPr>
                <w:sz w:val="18"/>
              </w:rPr>
              <w:t>213</w:t>
            </w:r>
          </w:p>
        </w:tc>
        <w:tc>
          <w:tcPr>
            <w:tcW w:w="1582"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4 </w:t>
            </w:r>
            <w:r w:rsidRPr="007F44CC">
              <w:rPr>
                <w:sz w:val="18"/>
              </w:rPr>
              <w:t>206</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0</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16 419</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Otras religiones cristianas maoríes</w:t>
            </w:r>
          </w:p>
        </w:tc>
        <w:tc>
          <w:tcPr>
            <w:tcW w:w="1581"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456</w:t>
            </w:r>
          </w:p>
        </w:tc>
        <w:tc>
          <w:tcPr>
            <w:tcW w:w="1582"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123</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0</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576</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Budista</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49 </w:t>
            </w:r>
            <w:r w:rsidRPr="007F44CC">
              <w:rPr>
                <w:sz w:val="18"/>
              </w:rPr>
              <w:t>785</w:t>
            </w:r>
          </w:p>
        </w:tc>
        <w:tc>
          <w:tcPr>
            <w:tcW w:w="1582"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2 </w:t>
            </w:r>
            <w:r w:rsidRPr="007F44CC">
              <w:rPr>
                <w:sz w:val="18"/>
              </w:rPr>
              <w:t>574</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6</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52 362</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Hindú</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63 </w:t>
            </w:r>
            <w:r w:rsidRPr="007F44CC">
              <w:rPr>
                <w:sz w:val="18"/>
              </w:rPr>
              <w:t>396</w:t>
            </w:r>
          </w:p>
        </w:tc>
        <w:tc>
          <w:tcPr>
            <w:tcW w:w="1582"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993</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0</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64 389</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Islámica/musulmana</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35 </w:t>
            </w:r>
            <w:r w:rsidRPr="007F44CC">
              <w:rPr>
                <w:sz w:val="18"/>
              </w:rPr>
              <w:t>364</w:t>
            </w:r>
          </w:p>
        </w:tc>
        <w:tc>
          <w:tcPr>
            <w:tcW w:w="1582"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705</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0</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36 072</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Judía</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6 </w:t>
            </w:r>
            <w:r w:rsidRPr="007F44CC">
              <w:rPr>
                <w:sz w:val="18"/>
              </w:rPr>
              <w:t>312</w:t>
            </w:r>
          </w:p>
        </w:tc>
        <w:tc>
          <w:tcPr>
            <w:tcW w:w="1582"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543</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0</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6 855</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Espiritualismo y religiones de la Nueva Era</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16 </w:t>
            </w:r>
            <w:r w:rsidRPr="007F44CC">
              <w:rPr>
                <w:sz w:val="18"/>
              </w:rPr>
              <w:t>869</w:t>
            </w:r>
          </w:p>
        </w:tc>
        <w:tc>
          <w:tcPr>
            <w:tcW w:w="1582"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2 </w:t>
            </w:r>
            <w:r w:rsidRPr="007F44CC">
              <w:rPr>
                <w:sz w:val="18"/>
              </w:rPr>
              <w:t>928</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6</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19 797</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Otras religiones</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22 </w:t>
            </w:r>
            <w:r w:rsidRPr="007F44CC">
              <w:rPr>
                <w:sz w:val="18"/>
              </w:rPr>
              <w:t>128</w:t>
            </w:r>
          </w:p>
        </w:tc>
        <w:tc>
          <w:tcPr>
            <w:tcW w:w="1582"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2 </w:t>
            </w:r>
            <w:r w:rsidRPr="007F44CC">
              <w:rPr>
                <w:sz w:val="18"/>
              </w:rPr>
              <w:t>319</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3</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24 450</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Sin religión</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1 104 </w:t>
            </w:r>
            <w:r w:rsidRPr="007F44CC">
              <w:rPr>
                <w:sz w:val="18"/>
              </w:rPr>
              <w:t>588</w:t>
            </w:r>
          </w:p>
        </w:tc>
        <w:tc>
          <w:tcPr>
            <w:tcW w:w="1582"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192 </w:t>
            </w:r>
            <w:r w:rsidRPr="007F44CC">
              <w:rPr>
                <w:sz w:val="18"/>
              </w:rPr>
              <w:t>270</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249</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1 297 104</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Con objeción a responder</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202 </w:t>
            </w:r>
            <w:r w:rsidRPr="007F44CC">
              <w:rPr>
                <w:sz w:val="18"/>
              </w:rPr>
              <w:t>020</w:t>
            </w:r>
          </w:p>
        </w:tc>
        <w:tc>
          <w:tcPr>
            <w:tcW w:w="1582"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40 </w:t>
            </w:r>
            <w:r w:rsidRPr="007F44CC">
              <w:rPr>
                <w:sz w:val="18"/>
              </w:rPr>
              <w:t>518</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69</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242 607</w:t>
            </w:r>
          </w:p>
        </w:tc>
      </w:tr>
      <w:tr w:rsidR="00F236D5" w:rsidRPr="00767664" w:rsidTr="00947046">
        <w:tc>
          <w:tcPr>
            <w:tcW w:w="3206" w:type="dxa"/>
            <w:shd w:val="clear" w:color="auto" w:fill="auto"/>
            <w:vAlign w:val="bottom"/>
          </w:tcPr>
          <w:p w:rsidR="00F236D5" w:rsidRPr="00767664" w:rsidRDefault="00F236D5" w:rsidP="00947046">
            <w:pPr>
              <w:spacing w:before="40" w:after="40" w:line="220" w:lineRule="exact"/>
              <w:rPr>
                <w:sz w:val="18"/>
              </w:rPr>
            </w:pPr>
            <w:r>
              <w:rPr>
                <w:sz w:val="18"/>
              </w:rPr>
              <w:t>Total de personas que expresaron una o varias afiliaciones religiosas (incluidas</w:t>
            </w:r>
            <w:r>
              <w:rPr>
                <w:sz w:val="18"/>
              </w:rPr>
              <w:br/>
              <w:t>las indicadas como "Sin religión" y</w:t>
            </w:r>
            <w:r>
              <w:rPr>
                <w:sz w:val="18"/>
              </w:rPr>
              <w:br/>
              <w:t xml:space="preserve"> "Con objeción a responder")</w:t>
            </w:r>
          </w:p>
        </w:tc>
        <w:tc>
          <w:tcPr>
            <w:tcW w:w="1581" w:type="dxa"/>
            <w:shd w:val="clear" w:color="auto" w:fill="auto"/>
            <w:vAlign w:val="bottom"/>
          </w:tcPr>
          <w:p w:rsidR="00F236D5" w:rsidRPr="007F44CC" w:rsidRDefault="00F236D5" w:rsidP="00947046">
            <w:pPr>
              <w:spacing w:before="40" w:after="40" w:line="220" w:lineRule="exact"/>
              <w:jc w:val="right"/>
              <w:rPr>
                <w:sz w:val="18"/>
              </w:rPr>
            </w:pPr>
            <w:r>
              <w:rPr>
                <w:sz w:val="18"/>
              </w:rPr>
              <w:t xml:space="preserve">3 221 </w:t>
            </w:r>
            <w:r w:rsidRPr="007F44CC">
              <w:rPr>
                <w:sz w:val="18"/>
              </w:rPr>
              <w:t>286</w:t>
            </w:r>
          </w:p>
        </w:tc>
        <w:tc>
          <w:tcPr>
            <w:tcW w:w="1582"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52</w:t>
            </w:r>
            <w:r>
              <w:rPr>
                <w:sz w:val="18"/>
              </w:rPr>
              <w:t xml:space="preserve">1 </w:t>
            </w:r>
            <w:r w:rsidRPr="007F44CC">
              <w:rPr>
                <w:sz w:val="18"/>
              </w:rPr>
              <w:t>772</w:t>
            </w:r>
          </w:p>
        </w:tc>
        <w:tc>
          <w:tcPr>
            <w:tcW w:w="2114" w:type="dxa"/>
            <w:shd w:val="clear" w:color="auto" w:fill="auto"/>
            <w:vAlign w:val="bottom"/>
          </w:tcPr>
          <w:p w:rsidR="00F236D5" w:rsidRPr="007F44CC" w:rsidRDefault="00F236D5" w:rsidP="00947046">
            <w:pPr>
              <w:spacing w:before="40" w:after="40" w:line="220" w:lineRule="exact"/>
              <w:jc w:val="right"/>
              <w:rPr>
                <w:sz w:val="18"/>
              </w:rPr>
            </w:pPr>
            <w:r w:rsidRPr="007F44CC">
              <w:rPr>
                <w:sz w:val="18"/>
              </w:rPr>
              <w:t>600</w:t>
            </w:r>
          </w:p>
        </w:tc>
        <w:tc>
          <w:tcPr>
            <w:tcW w:w="1134"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3 743 652</w:t>
            </w:r>
          </w:p>
        </w:tc>
      </w:tr>
      <w:tr w:rsidR="00F236D5" w:rsidRPr="00767664" w:rsidTr="00947046">
        <w:tc>
          <w:tcPr>
            <w:tcW w:w="3206" w:type="dxa"/>
            <w:tcBorders>
              <w:bottom w:val="single" w:sz="4" w:space="0" w:color="auto"/>
            </w:tcBorders>
            <w:shd w:val="clear" w:color="auto" w:fill="auto"/>
            <w:vAlign w:val="bottom"/>
          </w:tcPr>
          <w:p w:rsidR="00F236D5" w:rsidRPr="00767664" w:rsidRDefault="00F236D5" w:rsidP="00947046">
            <w:pPr>
              <w:spacing w:before="40" w:after="40" w:line="220" w:lineRule="exact"/>
              <w:rPr>
                <w:sz w:val="18"/>
              </w:rPr>
            </w:pPr>
            <w:r>
              <w:rPr>
                <w:sz w:val="18"/>
              </w:rPr>
              <w:t>No incluida en otro grupo</w:t>
            </w:r>
            <w:r w:rsidRPr="00433BE8">
              <w:rPr>
                <w:i/>
                <w:sz w:val="18"/>
                <w:vertAlign w:val="superscript"/>
              </w:rPr>
              <w:t>2</w:t>
            </w:r>
            <w:r>
              <w:rPr>
                <w:sz w:val="18"/>
              </w:rPr>
              <w:t xml:space="preserve"> </w:t>
            </w:r>
          </w:p>
        </w:tc>
        <w:tc>
          <w:tcPr>
            <w:tcW w:w="1581" w:type="dxa"/>
            <w:tcBorders>
              <w:bottom w:val="single" w:sz="4" w:space="0" w:color="auto"/>
            </w:tcBorders>
            <w:shd w:val="clear" w:color="auto" w:fill="auto"/>
            <w:vAlign w:val="bottom"/>
          </w:tcPr>
          <w:p w:rsidR="00F236D5" w:rsidRPr="007F44CC" w:rsidRDefault="00F236D5" w:rsidP="00947046">
            <w:pPr>
              <w:keepNext/>
              <w:spacing w:before="40" w:after="40" w:line="220" w:lineRule="exact"/>
              <w:jc w:val="right"/>
              <w:rPr>
                <w:sz w:val="18"/>
              </w:rPr>
            </w:pPr>
            <w:r>
              <w:rPr>
                <w:sz w:val="18"/>
              </w:rPr>
              <w:t xml:space="preserve">249 </w:t>
            </w:r>
            <w:r w:rsidRPr="007F44CC">
              <w:rPr>
                <w:sz w:val="18"/>
              </w:rPr>
              <w:t>435</w:t>
            </w:r>
          </w:p>
        </w:tc>
        <w:tc>
          <w:tcPr>
            <w:tcW w:w="1582" w:type="dxa"/>
            <w:tcBorders>
              <w:bottom w:val="single" w:sz="4" w:space="0" w:color="auto"/>
            </w:tcBorders>
            <w:shd w:val="clear" w:color="auto" w:fill="auto"/>
            <w:vAlign w:val="bottom"/>
          </w:tcPr>
          <w:p w:rsidR="00F236D5" w:rsidRPr="007F44CC" w:rsidRDefault="00F236D5" w:rsidP="00947046">
            <w:pPr>
              <w:keepNext/>
              <w:spacing w:before="40" w:after="40" w:line="220" w:lineRule="exact"/>
              <w:jc w:val="right"/>
              <w:rPr>
                <w:sz w:val="18"/>
              </w:rPr>
            </w:pPr>
            <w:r>
              <w:rPr>
                <w:sz w:val="18"/>
              </w:rPr>
              <w:t xml:space="preserve">43 </w:t>
            </w:r>
            <w:r w:rsidRPr="007F44CC">
              <w:rPr>
                <w:sz w:val="18"/>
              </w:rPr>
              <w:t>302</w:t>
            </w:r>
          </w:p>
        </w:tc>
        <w:tc>
          <w:tcPr>
            <w:tcW w:w="2114" w:type="dxa"/>
            <w:tcBorders>
              <w:bottom w:val="single" w:sz="4" w:space="0" w:color="auto"/>
            </w:tcBorders>
            <w:shd w:val="clear" w:color="auto" w:fill="auto"/>
            <w:vAlign w:val="bottom"/>
          </w:tcPr>
          <w:p w:rsidR="00F236D5" w:rsidRPr="007F44CC" w:rsidRDefault="00F236D5" w:rsidP="00947046">
            <w:pPr>
              <w:keepNext/>
              <w:spacing w:before="40" w:after="40" w:line="220" w:lineRule="exact"/>
              <w:jc w:val="right"/>
              <w:rPr>
                <w:sz w:val="18"/>
              </w:rPr>
            </w:pPr>
            <w:r w:rsidRPr="007F44CC">
              <w:rPr>
                <w:sz w:val="18"/>
              </w:rPr>
              <w:t>234</w:t>
            </w:r>
          </w:p>
        </w:tc>
        <w:tc>
          <w:tcPr>
            <w:tcW w:w="1134" w:type="dxa"/>
            <w:tcBorders>
              <w:bottom w:val="single" w:sz="4" w:space="0" w:color="auto"/>
            </w:tcBorders>
            <w:shd w:val="clear" w:color="auto" w:fill="auto"/>
            <w:vAlign w:val="bottom"/>
          </w:tcPr>
          <w:p w:rsidR="00F236D5" w:rsidRPr="00301C74" w:rsidRDefault="00F236D5" w:rsidP="00947046">
            <w:pPr>
              <w:keepNext/>
              <w:spacing w:before="40" w:after="40" w:line="220" w:lineRule="exact"/>
              <w:jc w:val="right"/>
              <w:rPr>
                <w:sz w:val="18"/>
              </w:rPr>
            </w:pPr>
            <w:r w:rsidRPr="00301C74">
              <w:rPr>
                <w:sz w:val="18"/>
              </w:rPr>
              <w:t>292 971</w:t>
            </w:r>
          </w:p>
        </w:tc>
      </w:tr>
      <w:tr w:rsidR="00F236D5" w:rsidRPr="00767664" w:rsidTr="00947046">
        <w:tc>
          <w:tcPr>
            <w:tcW w:w="3206" w:type="dxa"/>
            <w:tcBorders>
              <w:top w:val="single" w:sz="4" w:space="0" w:color="auto"/>
              <w:bottom w:val="single" w:sz="12" w:space="0" w:color="auto"/>
            </w:tcBorders>
            <w:shd w:val="clear" w:color="auto" w:fill="auto"/>
            <w:vAlign w:val="bottom"/>
          </w:tcPr>
          <w:p w:rsidR="00F236D5" w:rsidRPr="00F92BE2" w:rsidRDefault="00F236D5" w:rsidP="00947046">
            <w:pPr>
              <w:spacing w:before="80" w:after="80" w:line="220" w:lineRule="exact"/>
              <w:ind w:firstLine="284"/>
              <w:rPr>
                <w:b/>
                <w:sz w:val="18"/>
              </w:rPr>
            </w:pPr>
            <w:r w:rsidRPr="00F92BE2">
              <w:rPr>
                <w:b/>
                <w:sz w:val="18"/>
              </w:rPr>
              <w:t>Total</w:t>
            </w:r>
          </w:p>
        </w:tc>
        <w:tc>
          <w:tcPr>
            <w:tcW w:w="1581" w:type="dxa"/>
            <w:tcBorders>
              <w:top w:val="single" w:sz="4" w:space="0" w:color="auto"/>
              <w:bottom w:val="single" w:sz="12" w:space="0" w:color="auto"/>
            </w:tcBorders>
            <w:shd w:val="clear" w:color="auto" w:fill="auto"/>
            <w:vAlign w:val="bottom"/>
          </w:tcPr>
          <w:p w:rsidR="00F236D5" w:rsidRPr="00F92BE2" w:rsidRDefault="00F236D5" w:rsidP="00947046">
            <w:pPr>
              <w:spacing w:before="80" w:after="80" w:line="220" w:lineRule="exact"/>
              <w:jc w:val="right"/>
              <w:rPr>
                <w:b/>
                <w:sz w:val="18"/>
              </w:rPr>
            </w:pPr>
            <w:r w:rsidRPr="00F92BE2">
              <w:rPr>
                <w:b/>
                <w:sz w:val="18"/>
              </w:rPr>
              <w:t>3 463 185</w:t>
            </w:r>
          </w:p>
        </w:tc>
        <w:tc>
          <w:tcPr>
            <w:tcW w:w="1582" w:type="dxa"/>
            <w:tcBorders>
              <w:top w:val="single" w:sz="4" w:space="0" w:color="auto"/>
              <w:bottom w:val="single" w:sz="12" w:space="0" w:color="auto"/>
            </w:tcBorders>
            <w:shd w:val="clear" w:color="auto" w:fill="auto"/>
            <w:vAlign w:val="bottom"/>
          </w:tcPr>
          <w:p w:rsidR="00F236D5" w:rsidRPr="00F92BE2" w:rsidRDefault="00F236D5" w:rsidP="00947046">
            <w:pPr>
              <w:spacing w:before="80" w:after="80" w:line="220" w:lineRule="exact"/>
              <w:jc w:val="right"/>
              <w:rPr>
                <w:b/>
                <w:sz w:val="18"/>
              </w:rPr>
            </w:pPr>
            <w:r w:rsidRPr="00F92BE2">
              <w:rPr>
                <w:b/>
                <w:sz w:val="18"/>
              </w:rPr>
              <w:t>563 931</w:t>
            </w:r>
          </w:p>
        </w:tc>
        <w:tc>
          <w:tcPr>
            <w:tcW w:w="2114" w:type="dxa"/>
            <w:tcBorders>
              <w:top w:val="single" w:sz="4" w:space="0" w:color="auto"/>
              <w:bottom w:val="single" w:sz="12" w:space="0" w:color="auto"/>
            </w:tcBorders>
            <w:shd w:val="clear" w:color="auto" w:fill="auto"/>
            <w:vAlign w:val="bottom"/>
          </w:tcPr>
          <w:p w:rsidR="00F236D5" w:rsidRPr="00F92BE2" w:rsidRDefault="00F236D5" w:rsidP="00947046">
            <w:pPr>
              <w:spacing w:before="80" w:after="80" w:line="220" w:lineRule="exact"/>
              <w:jc w:val="right"/>
              <w:rPr>
                <w:b/>
                <w:sz w:val="18"/>
              </w:rPr>
            </w:pPr>
            <w:r w:rsidRPr="00F92BE2">
              <w:rPr>
                <w:b/>
                <w:sz w:val="18"/>
              </w:rPr>
              <w:t>831</w:t>
            </w:r>
          </w:p>
        </w:tc>
        <w:tc>
          <w:tcPr>
            <w:tcW w:w="1134" w:type="dxa"/>
            <w:tcBorders>
              <w:top w:val="single" w:sz="4" w:space="0" w:color="auto"/>
              <w:bottom w:val="single" w:sz="12" w:space="0" w:color="auto"/>
            </w:tcBorders>
            <w:shd w:val="clear" w:color="auto" w:fill="auto"/>
            <w:vAlign w:val="bottom"/>
          </w:tcPr>
          <w:p w:rsidR="00F236D5" w:rsidRPr="00301C74" w:rsidRDefault="00F236D5" w:rsidP="00947046">
            <w:pPr>
              <w:spacing w:before="80" w:after="80" w:line="220" w:lineRule="exact"/>
              <w:jc w:val="right"/>
              <w:rPr>
                <w:b/>
                <w:sz w:val="18"/>
              </w:rPr>
            </w:pPr>
            <w:r w:rsidRPr="00301C74">
              <w:rPr>
                <w:b/>
                <w:sz w:val="18"/>
              </w:rPr>
              <w:t>4 027 947</w:t>
            </w:r>
          </w:p>
        </w:tc>
      </w:tr>
    </w:tbl>
    <w:p w:rsidR="00F236D5" w:rsidRPr="00294158" w:rsidRDefault="00F236D5" w:rsidP="00F236D5">
      <w:pPr>
        <w:pStyle w:val="SingleTxtG"/>
        <w:spacing w:before="120" w:after="0"/>
        <w:ind w:left="0" w:right="0" w:firstLine="170"/>
        <w:rPr>
          <w:sz w:val="18"/>
          <w:szCs w:val="18"/>
        </w:rPr>
      </w:pPr>
      <w:r w:rsidRPr="00294158">
        <w:rPr>
          <w:i/>
          <w:sz w:val="18"/>
          <w:szCs w:val="18"/>
        </w:rPr>
        <w:t>Fuente:</w:t>
      </w:r>
      <w:r w:rsidRPr="00294158">
        <w:rPr>
          <w:sz w:val="18"/>
          <w:szCs w:val="18"/>
        </w:rPr>
        <w:t xml:space="preserve"> Oficina de Estadísticas de Nueva Zelandia.</w:t>
      </w:r>
    </w:p>
    <w:p w:rsidR="00F236D5" w:rsidRPr="00294158" w:rsidRDefault="00F236D5" w:rsidP="00F236D5">
      <w:pPr>
        <w:pStyle w:val="SingleTxtG"/>
        <w:spacing w:after="0"/>
        <w:ind w:left="0" w:right="0" w:firstLine="170"/>
        <w:rPr>
          <w:sz w:val="18"/>
          <w:szCs w:val="18"/>
        </w:rPr>
      </w:pPr>
      <w:r w:rsidRPr="00294158">
        <w:rPr>
          <w:i/>
          <w:sz w:val="18"/>
          <w:szCs w:val="18"/>
          <w:vertAlign w:val="superscript"/>
        </w:rPr>
        <w:t>1</w:t>
      </w:r>
      <w:r w:rsidRPr="00294158">
        <w:rPr>
          <w:sz w:val="18"/>
          <w:szCs w:val="18"/>
        </w:rPr>
        <w:t xml:space="preserve">  En el rubro "Afiliaciones religiosas (total de respuestas)" se incluye a todas las personas que indicaron una afiliación religiosa, ya sea como única afiliación religiosa o una de varias. Las personas que especificaron más de una afiliación religiosa se incluyeron en los grupos correspondientes.</w:t>
      </w:r>
    </w:p>
    <w:p w:rsidR="00F236D5" w:rsidRPr="00294158" w:rsidRDefault="00F236D5" w:rsidP="00F236D5">
      <w:pPr>
        <w:pStyle w:val="SingleTxtG"/>
        <w:ind w:left="0" w:right="0" w:firstLine="170"/>
        <w:rPr>
          <w:sz w:val="18"/>
          <w:szCs w:val="18"/>
        </w:rPr>
      </w:pPr>
      <w:r w:rsidRPr="00294158">
        <w:rPr>
          <w:i/>
          <w:sz w:val="18"/>
          <w:szCs w:val="18"/>
          <w:vertAlign w:val="superscript"/>
        </w:rPr>
        <w:t>2</w:t>
      </w:r>
      <w:r w:rsidRPr="00294158">
        <w:rPr>
          <w:sz w:val="18"/>
          <w:szCs w:val="18"/>
        </w:rPr>
        <w:t xml:space="preserve">  Las respuestas no identificables, fuera de contexto o en blanco se incluyeron en el rubro "No incluida en otro grupo".</w:t>
      </w:r>
    </w:p>
    <w:p w:rsidR="00F236D5" w:rsidRPr="00F34D17" w:rsidRDefault="00F236D5" w:rsidP="00F236D5">
      <w:pPr>
        <w:pStyle w:val="H23G"/>
      </w:pPr>
      <w:r>
        <w:tab/>
      </w:r>
      <w:r w:rsidRPr="00F34D17">
        <w:t>8.</w:t>
      </w:r>
      <w:r w:rsidRPr="00F34D17">
        <w:tab/>
        <w:t>Características de las familias</w:t>
      </w:r>
    </w:p>
    <w:p w:rsidR="00F236D5" w:rsidRPr="00F34D17" w:rsidRDefault="00F236D5" w:rsidP="00F236D5">
      <w:pPr>
        <w:pStyle w:val="SingleTxtG"/>
      </w:pPr>
      <w:r w:rsidRPr="00F34D17">
        <w:t>25.</w:t>
      </w:r>
      <w:r w:rsidRPr="00F34D17">
        <w:tab/>
        <w:t xml:space="preserve">Según datos del censo de 2006, existían 1,45 millones de hogares de familia en Nueva Zelandia, lo que representaba un aumento del 8% respecto de la cifra registrada en 2001 y del 34% respecto de la cifra de 1986. En 2006, el 28% de esos hogares estaba integrado por parejas sin hijos, el 30% consistía </w:t>
      </w:r>
      <w:r>
        <w:t>en</w:t>
      </w:r>
      <w:r w:rsidRPr="00F34D17">
        <w:t xml:space="preserve"> familias biparentales con hijos, el 12% eran hogares monoparentales, el 3% constaba de más de una familia, el 5% comprendía a un grupo de personas sin vínculo familiar y el 23% eran hogares constituidos por una sola persona.</w:t>
      </w:r>
    </w:p>
    <w:p w:rsidR="00F236D5" w:rsidRDefault="00F236D5" w:rsidP="00F236D5">
      <w:pPr>
        <w:pStyle w:val="Heading1"/>
      </w:pPr>
      <w:r w:rsidRPr="00F34D17">
        <w:t>Cuadro 6</w:t>
      </w:r>
    </w:p>
    <w:p w:rsidR="00F236D5" w:rsidRPr="0075577F" w:rsidRDefault="00F236D5" w:rsidP="00F236D5">
      <w:pPr>
        <w:pStyle w:val="SingleTxtG"/>
        <w:jc w:val="left"/>
        <w:rPr>
          <w:b/>
        </w:rPr>
      </w:pPr>
      <w:r w:rsidRPr="0075577F">
        <w:rPr>
          <w:b/>
        </w:rPr>
        <w:t>Sexo del progenitor en las familias monoparentales residentes en viviendas</w:t>
      </w:r>
      <w:r>
        <w:rPr>
          <w:b/>
        </w:rPr>
        <w:br/>
      </w:r>
      <w:r w:rsidRPr="0075577F">
        <w:rPr>
          <w:b/>
        </w:rPr>
        <w:t xml:space="preserve">privadas con uno o varios hijos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685"/>
        <w:gridCol w:w="3685"/>
      </w:tblGrid>
      <w:tr w:rsidR="00F236D5" w:rsidRPr="00A34961" w:rsidTr="00947046">
        <w:tc>
          <w:tcPr>
            <w:tcW w:w="4889" w:type="dxa"/>
            <w:tcBorders>
              <w:top w:val="single" w:sz="4" w:space="0" w:color="auto"/>
              <w:bottom w:val="single" w:sz="12" w:space="0" w:color="auto"/>
            </w:tcBorders>
            <w:shd w:val="clear" w:color="auto" w:fill="auto"/>
            <w:vAlign w:val="bottom"/>
          </w:tcPr>
          <w:p w:rsidR="00F236D5" w:rsidRPr="00A34961" w:rsidRDefault="00F236D5" w:rsidP="00947046">
            <w:pPr>
              <w:pStyle w:val="SingleTxtG"/>
              <w:spacing w:before="80" w:after="80" w:line="200" w:lineRule="exact"/>
              <w:ind w:left="0" w:right="0"/>
              <w:jc w:val="left"/>
              <w:rPr>
                <w:i/>
                <w:sz w:val="16"/>
              </w:rPr>
            </w:pPr>
            <w:r>
              <w:rPr>
                <w:i/>
                <w:sz w:val="16"/>
              </w:rPr>
              <w:t>Sexo del progenitor</w:t>
            </w:r>
          </w:p>
        </w:tc>
        <w:tc>
          <w:tcPr>
            <w:tcW w:w="4889" w:type="dxa"/>
            <w:tcBorders>
              <w:top w:val="single" w:sz="4" w:space="0" w:color="auto"/>
              <w:bottom w:val="single" w:sz="12" w:space="0" w:color="auto"/>
            </w:tcBorders>
            <w:shd w:val="clear" w:color="auto" w:fill="auto"/>
            <w:vAlign w:val="bottom"/>
          </w:tcPr>
          <w:p w:rsidR="00F236D5" w:rsidRPr="00A34961" w:rsidRDefault="00F236D5" w:rsidP="00947046">
            <w:pPr>
              <w:pStyle w:val="SingleTxtG"/>
              <w:spacing w:before="80" w:after="80" w:line="200" w:lineRule="exact"/>
              <w:ind w:left="0" w:right="0"/>
              <w:jc w:val="right"/>
              <w:rPr>
                <w:i/>
                <w:sz w:val="16"/>
              </w:rPr>
            </w:pPr>
            <w:r>
              <w:rPr>
                <w:i/>
                <w:sz w:val="16"/>
              </w:rPr>
              <w:t>Número</w:t>
            </w:r>
          </w:p>
        </w:tc>
      </w:tr>
      <w:tr w:rsidR="00F236D5" w:rsidRPr="00A34961" w:rsidTr="00947046">
        <w:tc>
          <w:tcPr>
            <w:tcW w:w="4889" w:type="dxa"/>
            <w:tcBorders>
              <w:top w:val="single" w:sz="12" w:space="0" w:color="auto"/>
            </w:tcBorders>
            <w:shd w:val="clear" w:color="auto" w:fill="auto"/>
            <w:vAlign w:val="bottom"/>
          </w:tcPr>
          <w:p w:rsidR="00F236D5" w:rsidRPr="00A34961" w:rsidRDefault="00F236D5" w:rsidP="00947046">
            <w:pPr>
              <w:spacing w:before="40" w:after="40" w:line="220" w:lineRule="exact"/>
              <w:rPr>
                <w:sz w:val="18"/>
              </w:rPr>
            </w:pPr>
            <w:r>
              <w:rPr>
                <w:sz w:val="18"/>
              </w:rPr>
              <w:t>Masculino</w:t>
            </w:r>
          </w:p>
        </w:tc>
        <w:tc>
          <w:tcPr>
            <w:tcW w:w="4889" w:type="dxa"/>
            <w:tcBorders>
              <w:top w:val="single" w:sz="12" w:space="0" w:color="auto"/>
            </w:tcBorders>
            <w:shd w:val="clear" w:color="auto" w:fill="auto"/>
            <w:vAlign w:val="bottom"/>
          </w:tcPr>
          <w:p w:rsidR="00F236D5" w:rsidRPr="00A34961" w:rsidRDefault="00F236D5" w:rsidP="00947046">
            <w:pPr>
              <w:pStyle w:val="SingleTxtG"/>
              <w:spacing w:before="40" w:after="40" w:line="220" w:lineRule="exact"/>
              <w:ind w:left="0" w:right="0"/>
              <w:jc w:val="right"/>
              <w:rPr>
                <w:sz w:val="18"/>
              </w:rPr>
            </w:pPr>
            <w:r>
              <w:rPr>
                <w:sz w:val="18"/>
              </w:rPr>
              <w:t>35 721</w:t>
            </w:r>
          </w:p>
        </w:tc>
      </w:tr>
      <w:tr w:rsidR="00F236D5" w:rsidRPr="00A34961" w:rsidTr="00947046">
        <w:tc>
          <w:tcPr>
            <w:tcW w:w="4889" w:type="dxa"/>
            <w:tcBorders>
              <w:bottom w:val="single" w:sz="4" w:space="0" w:color="auto"/>
            </w:tcBorders>
            <w:shd w:val="clear" w:color="auto" w:fill="auto"/>
            <w:vAlign w:val="bottom"/>
          </w:tcPr>
          <w:p w:rsidR="00F236D5" w:rsidRPr="00A34961" w:rsidRDefault="00F236D5" w:rsidP="00947046">
            <w:pPr>
              <w:spacing w:before="40" w:after="40" w:line="220" w:lineRule="exact"/>
              <w:rPr>
                <w:sz w:val="18"/>
              </w:rPr>
            </w:pPr>
            <w:r>
              <w:rPr>
                <w:sz w:val="18"/>
              </w:rPr>
              <w:t>Femenino</w:t>
            </w:r>
          </w:p>
        </w:tc>
        <w:tc>
          <w:tcPr>
            <w:tcW w:w="4889" w:type="dxa"/>
            <w:tcBorders>
              <w:bottom w:val="single" w:sz="4" w:space="0" w:color="auto"/>
            </w:tcBorders>
            <w:shd w:val="clear" w:color="auto" w:fill="auto"/>
            <w:vAlign w:val="bottom"/>
          </w:tcPr>
          <w:p w:rsidR="00F236D5" w:rsidRPr="00A34961" w:rsidRDefault="00F236D5" w:rsidP="00947046">
            <w:pPr>
              <w:pStyle w:val="SingleTxtG"/>
              <w:spacing w:before="40" w:after="40" w:line="220" w:lineRule="exact"/>
              <w:ind w:left="0" w:right="0"/>
              <w:jc w:val="right"/>
              <w:rPr>
                <w:sz w:val="18"/>
              </w:rPr>
            </w:pPr>
            <w:r>
              <w:rPr>
                <w:sz w:val="18"/>
              </w:rPr>
              <w:t>157 914</w:t>
            </w:r>
          </w:p>
        </w:tc>
      </w:tr>
      <w:tr w:rsidR="00F236D5" w:rsidRPr="00A34961" w:rsidTr="00947046">
        <w:tc>
          <w:tcPr>
            <w:tcW w:w="4889" w:type="dxa"/>
            <w:tcBorders>
              <w:top w:val="single" w:sz="4" w:space="0" w:color="auto"/>
              <w:bottom w:val="single" w:sz="12" w:space="0" w:color="auto"/>
            </w:tcBorders>
            <w:shd w:val="clear" w:color="auto" w:fill="auto"/>
            <w:vAlign w:val="bottom"/>
          </w:tcPr>
          <w:p w:rsidR="00F236D5" w:rsidRPr="00E12F66" w:rsidRDefault="00F236D5" w:rsidP="00947046">
            <w:pPr>
              <w:spacing w:before="80" w:after="80" w:line="220" w:lineRule="exact"/>
              <w:ind w:firstLine="284"/>
              <w:rPr>
                <w:b/>
                <w:sz w:val="18"/>
              </w:rPr>
            </w:pPr>
            <w:r w:rsidRPr="00E12F66">
              <w:rPr>
                <w:b/>
                <w:sz w:val="18"/>
              </w:rPr>
              <w:t>Total</w:t>
            </w:r>
          </w:p>
        </w:tc>
        <w:tc>
          <w:tcPr>
            <w:tcW w:w="4889" w:type="dxa"/>
            <w:tcBorders>
              <w:top w:val="single" w:sz="4" w:space="0" w:color="auto"/>
              <w:bottom w:val="single" w:sz="12" w:space="0" w:color="auto"/>
            </w:tcBorders>
            <w:shd w:val="clear" w:color="auto" w:fill="auto"/>
            <w:vAlign w:val="bottom"/>
          </w:tcPr>
          <w:p w:rsidR="00F236D5" w:rsidRPr="00E12F66" w:rsidRDefault="00F236D5" w:rsidP="00947046">
            <w:pPr>
              <w:pStyle w:val="SingleTxtG"/>
              <w:spacing w:before="80" w:after="80" w:line="220" w:lineRule="exact"/>
              <w:ind w:left="0" w:right="0"/>
              <w:jc w:val="right"/>
              <w:rPr>
                <w:b/>
                <w:sz w:val="18"/>
              </w:rPr>
            </w:pPr>
            <w:r>
              <w:rPr>
                <w:b/>
                <w:sz w:val="18"/>
              </w:rPr>
              <w:t>193 635</w:t>
            </w:r>
          </w:p>
        </w:tc>
      </w:tr>
    </w:tbl>
    <w:p w:rsidR="00F236D5" w:rsidRPr="006D5217" w:rsidRDefault="00F236D5" w:rsidP="00F236D5">
      <w:pPr>
        <w:pStyle w:val="SingleTxtG"/>
        <w:spacing w:before="120" w:after="240"/>
        <w:ind w:firstLine="170"/>
        <w:rPr>
          <w:sz w:val="18"/>
          <w:szCs w:val="18"/>
        </w:rPr>
      </w:pPr>
      <w:r w:rsidRPr="006D5217">
        <w:rPr>
          <w:i/>
          <w:sz w:val="18"/>
          <w:szCs w:val="18"/>
        </w:rPr>
        <w:t>Fuente:</w:t>
      </w:r>
      <w:r w:rsidRPr="006D5217">
        <w:rPr>
          <w:sz w:val="18"/>
          <w:szCs w:val="18"/>
        </w:rPr>
        <w:t xml:space="preserve"> Oficina de Estadísticas de Nueva Zelandia, censo de 2006</w:t>
      </w:r>
      <w:r>
        <w:rPr>
          <w:sz w:val="18"/>
          <w:szCs w:val="18"/>
        </w:rPr>
        <w:t>.</w:t>
      </w:r>
    </w:p>
    <w:p w:rsidR="00F236D5" w:rsidRPr="00F34D17" w:rsidRDefault="00F236D5" w:rsidP="00F236D5">
      <w:pPr>
        <w:pStyle w:val="H23G"/>
      </w:pPr>
      <w:r>
        <w:tab/>
      </w:r>
      <w:r w:rsidRPr="00F34D17">
        <w:t>9.</w:t>
      </w:r>
      <w:r w:rsidRPr="00F34D17">
        <w:tab/>
        <w:t>Neozelandeses con discapacidad</w:t>
      </w:r>
    </w:p>
    <w:p w:rsidR="00F236D5" w:rsidRPr="00F34D17" w:rsidRDefault="00F236D5" w:rsidP="00F236D5">
      <w:pPr>
        <w:pStyle w:val="SingleTxtG"/>
      </w:pPr>
      <w:r w:rsidRPr="00F34D17">
        <w:t>26.</w:t>
      </w:r>
      <w:r w:rsidRPr="00F34D17">
        <w:tab/>
        <w:t>En 2006 había aproximadamente 660.300 neozelandeses con discapacidad, o un 17% de la población total. La discapacidad aumenta con la edad. En 2006, la prevalencia de la discapacidad osciló de un 10% entre los niños (de 0 a 14 años) a un 45% entre las personas mayores de 65 años.</w:t>
      </w:r>
    </w:p>
    <w:p w:rsidR="00F236D5" w:rsidRPr="00F34D17" w:rsidRDefault="00F236D5" w:rsidP="00F236D5">
      <w:pPr>
        <w:pStyle w:val="SingleTxtG"/>
      </w:pPr>
      <w:r w:rsidRPr="00F34D17">
        <w:t>27.</w:t>
      </w:r>
      <w:r w:rsidRPr="00F34D17">
        <w:tab/>
        <w:t>Las causas más comunes de discapacidad en los niños eran dolencias o problemas de salud presentes desde el nacimiento o enfermedades. En cuanto a los adultos, las enfermedades, los accidentes o lesiones y el envejecimiento eran las causas más frecuentes de discapacidad.</w:t>
      </w:r>
    </w:p>
    <w:p w:rsidR="00F236D5" w:rsidRDefault="00F236D5" w:rsidP="00F236D5">
      <w:pPr>
        <w:pStyle w:val="Heading1"/>
      </w:pPr>
      <w:r w:rsidRPr="00F34D17">
        <w:t>Cuadro 7</w:t>
      </w:r>
    </w:p>
    <w:p w:rsidR="00F236D5" w:rsidRPr="006D5217" w:rsidRDefault="00F236D5" w:rsidP="00F236D5">
      <w:pPr>
        <w:pStyle w:val="SingleTxtG"/>
        <w:jc w:val="left"/>
        <w:rPr>
          <w:b/>
        </w:rPr>
      </w:pPr>
      <w:r w:rsidRPr="006D5217">
        <w:rPr>
          <w:b/>
        </w:rPr>
        <w:t>Número y proporción de personas con discapacidad (en la población total</w:t>
      </w:r>
      <w:r>
        <w:rPr>
          <w:b/>
        </w:rPr>
        <w:br/>
      </w:r>
      <w:r w:rsidRPr="006D5217">
        <w:rPr>
          <w:b/>
        </w:rPr>
        <w:t>residente en casas de familia u otras instalaciones residenciales), por grupo</w:t>
      </w:r>
      <w:r>
        <w:rPr>
          <w:b/>
        </w:rPr>
        <w:br/>
      </w:r>
      <w:r w:rsidRPr="006D5217">
        <w:rPr>
          <w:b/>
        </w:rPr>
        <w:t>de edad y sexo, 2006</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052"/>
        <w:gridCol w:w="1053"/>
        <w:gridCol w:w="1053"/>
        <w:gridCol w:w="1053"/>
        <w:gridCol w:w="1053"/>
        <w:gridCol w:w="1053"/>
        <w:gridCol w:w="1053"/>
      </w:tblGrid>
      <w:tr w:rsidR="00F236D5" w:rsidRPr="00E87F9C" w:rsidTr="00947046">
        <w:tc>
          <w:tcPr>
            <w:tcW w:w="1052" w:type="dxa"/>
            <w:vMerge w:val="restart"/>
            <w:tcBorders>
              <w:top w:val="single" w:sz="4" w:space="0" w:color="auto"/>
            </w:tcBorders>
            <w:shd w:val="clear" w:color="auto" w:fill="auto"/>
            <w:vAlign w:val="bottom"/>
          </w:tcPr>
          <w:p w:rsidR="00F236D5" w:rsidRPr="00E87F9C" w:rsidRDefault="00F236D5" w:rsidP="00947046">
            <w:pPr>
              <w:pStyle w:val="SingleTxtG"/>
              <w:spacing w:before="80" w:after="80" w:line="200" w:lineRule="exact"/>
              <w:ind w:left="0" w:right="0"/>
              <w:jc w:val="left"/>
              <w:rPr>
                <w:i/>
                <w:sz w:val="16"/>
              </w:rPr>
            </w:pPr>
            <w:r>
              <w:rPr>
                <w:i/>
                <w:sz w:val="16"/>
              </w:rPr>
              <w:t>Grupo de edad (años)</w:t>
            </w:r>
          </w:p>
        </w:tc>
        <w:tc>
          <w:tcPr>
            <w:tcW w:w="2106" w:type="dxa"/>
            <w:gridSpan w:val="2"/>
            <w:tcBorders>
              <w:top w:val="single" w:sz="4" w:space="0" w:color="auto"/>
              <w:bottom w:val="single" w:sz="4" w:space="0" w:color="auto"/>
              <w:right w:val="single" w:sz="24" w:space="0" w:color="FFFFFF"/>
            </w:tcBorders>
            <w:shd w:val="clear" w:color="auto" w:fill="auto"/>
            <w:vAlign w:val="bottom"/>
          </w:tcPr>
          <w:p w:rsidR="00F236D5" w:rsidRPr="00E87F9C" w:rsidRDefault="00F236D5" w:rsidP="00947046">
            <w:pPr>
              <w:pStyle w:val="SingleTxtG"/>
              <w:spacing w:before="80" w:after="80" w:line="200" w:lineRule="exact"/>
              <w:ind w:left="0" w:right="0"/>
              <w:jc w:val="center"/>
              <w:rPr>
                <w:i/>
                <w:sz w:val="16"/>
              </w:rPr>
            </w:pPr>
            <w:r>
              <w:rPr>
                <w:i/>
                <w:sz w:val="16"/>
              </w:rPr>
              <w:t>Hombres</w:t>
            </w:r>
          </w:p>
        </w:tc>
        <w:tc>
          <w:tcPr>
            <w:tcW w:w="2106" w:type="dxa"/>
            <w:gridSpan w:val="2"/>
            <w:tcBorders>
              <w:top w:val="single" w:sz="4" w:space="0" w:color="auto"/>
              <w:left w:val="single" w:sz="24" w:space="0" w:color="FFFFFF"/>
              <w:bottom w:val="single" w:sz="4" w:space="0" w:color="auto"/>
              <w:right w:val="single" w:sz="24" w:space="0" w:color="FFFFFF"/>
            </w:tcBorders>
            <w:shd w:val="clear" w:color="auto" w:fill="auto"/>
            <w:vAlign w:val="bottom"/>
          </w:tcPr>
          <w:p w:rsidR="00F236D5" w:rsidRPr="00E87F9C" w:rsidRDefault="00F236D5" w:rsidP="00947046">
            <w:pPr>
              <w:pStyle w:val="SingleTxtG"/>
              <w:spacing w:before="80" w:after="80" w:line="200" w:lineRule="exact"/>
              <w:ind w:left="0" w:right="0"/>
              <w:jc w:val="center"/>
              <w:rPr>
                <w:i/>
                <w:sz w:val="16"/>
              </w:rPr>
            </w:pPr>
            <w:r>
              <w:rPr>
                <w:i/>
                <w:sz w:val="16"/>
              </w:rPr>
              <w:t>Mujeres</w:t>
            </w:r>
          </w:p>
        </w:tc>
        <w:tc>
          <w:tcPr>
            <w:tcW w:w="2106" w:type="dxa"/>
            <w:gridSpan w:val="2"/>
            <w:tcBorders>
              <w:top w:val="single" w:sz="4" w:space="0" w:color="auto"/>
              <w:left w:val="single" w:sz="24" w:space="0" w:color="FFFFFF"/>
              <w:bottom w:val="single" w:sz="4" w:space="0" w:color="auto"/>
            </w:tcBorders>
            <w:shd w:val="clear" w:color="auto" w:fill="auto"/>
            <w:vAlign w:val="bottom"/>
          </w:tcPr>
          <w:p w:rsidR="00F236D5" w:rsidRPr="00E87F9C" w:rsidRDefault="00F236D5" w:rsidP="00947046">
            <w:pPr>
              <w:pStyle w:val="SingleTxtG"/>
              <w:spacing w:before="80" w:after="80" w:line="200" w:lineRule="exact"/>
              <w:ind w:left="0" w:right="0"/>
              <w:jc w:val="center"/>
              <w:rPr>
                <w:i/>
                <w:sz w:val="16"/>
              </w:rPr>
            </w:pPr>
            <w:r>
              <w:rPr>
                <w:i/>
                <w:sz w:val="16"/>
              </w:rPr>
              <w:t>Total</w:t>
            </w:r>
          </w:p>
        </w:tc>
      </w:tr>
      <w:tr w:rsidR="00F236D5" w:rsidRPr="00E87F9C" w:rsidTr="00947046">
        <w:tc>
          <w:tcPr>
            <w:tcW w:w="1052" w:type="dxa"/>
            <w:vMerge/>
            <w:shd w:val="clear" w:color="auto" w:fill="auto"/>
            <w:vAlign w:val="bottom"/>
          </w:tcPr>
          <w:p w:rsidR="00F236D5" w:rsidRPr="00E87F9C" w:rsidRDefault="00F236D5" w:rsidP="00947046">
            <w:pPr>
              <w:pStyle w:val="SingleTxtG"/>
              <w:spacing w:before="80" w:after="80" w:line="200" w:lineRule="exact"/>
              <w:ind w:left="0" w:right="0"/>
              <w:jc w:val="left"/>
              <w:rPr>
                <w:i/>
                <w:sz w:val="16"/>
              </w:rPr>
            </w:pPr>
          </w:p>
        </w:tc>
        <w:tc>
          <w:tcPr>
            <w:tcW w:w="1053" w:type="dxa"/>
            <w:tcBorders>
              <w:top w:val="single" w:sz="4" w:space="0" w:color="auto"/>
            </w:tcBorders>
            <w:shd w:val="clear" w:color="auto" w:fill="auto"/>
            <w:vAlign w:val="bottom"/>
          </w:tcPr>
          <w:p w:rsidR="00F236D5" w:rsidRPr="00E87F9C" w:rsidRDefault="00F236D5" w:rsidP="00947046">
            <w:pPr>
              <w:pStyle w:val="SingleTxtG"/>
              <w:spacing w:before="80" w:after="80" w:line="200" w:lineRule="exact"/>
              <w:ind w:left="0" w:right="0"/>
              <w:jc w:val="right"/>
              <w:rPr>
                <w:i/>
                <w:sz w:val="16"/>
              </w:rPr>
            </w:pPr>
            <w:r>
              <w:rPr>
                <w:i/>
                <w:sz w:val="16"/>
              </w:rPr>
              <w:t>Número</w:t>
            </w:r>
          </w:p>
        </w:tc>
        <w:tc>
          <w:tcPr>
            <w:tcW w:w="1053" w:type="dxa"/>
            <w:tcBorders>
              <w:top w:val="single" w:sz="4" w:space="0" w:color="auto"/>
              <w:right w:val="single" w:sz="24" w:space="0" w:color="FFFFFF"/>
            </w:tcBorders>
            <w:shd w:val="clear" w:color="auto" w:fill="auto"/>
            <w:vAlign w:val="bottom"/>
          </w:tcPr>
          <w:p w:rsidR="00F236D5" w:rsidRPr="00E87F9C" w:rsidRDefault="00F236D5" w:rsidP="00947046">
            <w:pPr>
              <w:pStyle w:val="SingleTxtG"/>
              <w:spacing w:before="80" w:after="80" w:line="200" w:lineRule="exact"/>
              <w:ind w:left="0" w:right="0"/>
              <w:jc w:val="right"/>
              <w:rPr>
                <w:i/>
                <w:sz w:val="16"/>
              </w:rPr>
            </w:pPr>
            <w:r>
              <w:rPr>
                <w:i/>
                <w:sz w:val="16"/>
              </w:rPr>
              <w:t>Proporción</w:t>
            </w:r>
            <w:r>
              <w:rPr>
                <w:i/>
                <w:sz w:val="16"/>
              </w:rPr>
              <w:br/>
              <w:t>(porcentaje)</w:t>
            </w:r>
          </w:p>
        </w:tc>
        <w:tc>
          <w:tcPr>
            <w:tcW w:w="1053" w:type="dxa"/>
            <w:tcBorders>
              <w:top w:val="single" w:sz="4" w:space="0" w:color="auto"/>
              <w:left w:val="single" w:sz="24" w:space="0" w:color="FFFFFF"/>
            </w:tcBorders>
            <w:shd w:val="clear" w:color="auto" w:fill="auto"/>
            <w:vAlign w:val="bottom"/>
          </w:tcPr>
          <w:p w:rsidR="00F236D5" w:rsidRPr="00E87F9C" w:rsidRDefault="00F236D5" w:rsidP="00947046">
            <w:pPr>
              <w:pStyle w:val="SingleTxtG"/>
              <w:spacing w:before="80" w:after="80" w:line="200" w:lineRule="exact"/>
              <w:ind w:left="0" w:right="0"/>
              <w:jc w:val="right"/>
              <w:rPr>
                <w:i/>
                <w:sz w:val="16"/>
              </w:rPr>
            </w:pPr>
            <w:r>
              <w:rPr>
                <w:i/>
                <w:sz w:val="16"/>
              </w:rPr>
              <w:t>Número</w:t>
            </w:r>
          </w:p>
        </w:tc>
        <w:tc>
          <w:tcPr>
            <w:tcW w:w="1053" w:type="dxa"/>
            <w:tcBorders>
              <w:top w:val="single" w:sz="4" w:space="0" w:color="auto"/>
              <w:right w:val="single" w:sz="24" w:space="0" w:color="FFFFFF"/>
            </w:tcBorders>
            <w:shd w:val="clear" w:color="auto" w:fill="auto"/>
            <w:vAlign w:val="bottom"/>
          </w:tcPr>
          <w:p w:rsidR="00F236D5" w:rsidRPr="00E87F9C" w:rsidRDefault="00F236D5" w:rsidP="00947046">
            <w:pPr>
              <w:pStyle w:val="SingleTxtG"/>
              <w:spacing w:before="80" w:after="80" w:line="200" w:lineRule="exact"/>
              <w:ind w:left="0" w:right="0"/>
              <w:jc w:val="right"/>
              <w:rPr>
                <w:i/>
                <w:sz w:val="16"/>
              </w:rPr>
            </w:pPr>
            <w:r>
              <w:rPr>
                <w:i/>
                <w:sz w:val="16"/>
              </w:rPr>
              <w:t>Proporción</w:t>
            </w:r>
            <w:r>
              <w:rPr>
                <w:i/>
                <w:sz w:val="16"/>
              </w:rPr>
              <w:br/>
              <w:t>(porcentaje)</w:t>
            </w:r>
          </w:p>
        </w:tc>
        <w:tc>
          <w:tcPr>
            <w:tcW w:w="1053" w:type="dxa"/>
            <w:tcBorders>
              <w:top w:val="single" w:sz="4" w:space="0" w:color="auto"/>
              <w:left w:val="single" w:sz="24" w:space="0" w:color="FFFFFF"/>
            </w:tcBorders>
            <w:shd w:val="clear" w:color="auto" w:fill="auto"/>
            <w:vAlign w:val="bottom"/>
          </w:tcPr>
          <w:p w:rsidR="00F236D5" w:rsidRPr="00E87F9C" w:rsidRDefault="00F236D5" w:rsidP="00947046">
            <w:pPr>
              <w:pStyle w:val="SingleTxtG"/>
              <w:spacing w:before="80" w:after="80" w:line="200" w:lineRule="exact"/>
              <w:ind w:left="0" w:right="0"/>
              <w:jc w:val="right"/>
              <w:rPr>
                <w:i/>
                <w:sz w:val="16"/>
              </w:rPr>
            </w:pPr>
            <w:r>
              <w:rPr>
                <w:i/>
                <w:sz w:val="16"/>
              </w:rPr>
              <w:t>Número</w:t>
            </w:r>
          </w:p>
        </w:tc>
        <w:tc>
          <w:tcPr>
            <w:tcW w:w="1053" w:type="dxa"/>
            <w:tcBorders>
              <w:top w:val="single" w:sz="4" w:space="0" w:color="auto"/>
            </w:tcBorders>
            <w:shd w:val="clear" w:color="auto" w:fill="auto"/>
            <w:vAlign w:val="bottom"/>
          </w:tcPr>
          <w:p w:rsidR="00F236D5" w:rsidRPr="00E87F9C" w:rsidRDefault="00F236D5" w:rsidP="00947046">
            <w:pPr>
              <w:pStyle w:val="SingleTxtG"/>
              <w:spacing w:before="80" w:after="80" w:line="200" w:lineRule="exact"/>
              <w:ind w:left="0" w:right="0"/>
              <w:jc w:val="right"/>
              <w:rPr>
                <w:i/>
                <w:sz w:val="16"/>
              </w:rPr>
            </w:pPr>
            <w:r>
              <w:rPr>
                <w:i/>
                <w:sz w:val="16"/>
              </w:rPr>
              <w:t>Proporción</w:t>
            </w:r>
            <w:r>
              <w:rPr>
                <w:i/>
                <w:sz w:val="16"/>
              </w:rPr>
              <w:br/>
              <w:t>(porcentaje)</w:t>
            </w:r>
          </w:p>
        </w:tc>
      </w:tr>
      <w:tr w:rsidR="00F236D5" w:rsidRPr="00E87F9C" w:rsidTr="00947046">
        <w:tc>
          <w:tcPr>
            <w:tcW w:w="1052" w:type="dxa"/>
            <w:tcBorders>
              <w:top w:val="single" w:sz="12" w:space="0" w:color="auto"/>
            </w:tcBorders>
            <w:shd w:val="clear" w:color="auto" w:fill="auto"/>
            <w:vAlign w:val="bottom"/>
          </w:tcPr>
          <w:p w:rsidR="00F236D5" w:rsidRPr="00E87F9C" w:rsidRDefault="00F236D5" w:rsidP="00947046">
            <w:pPr>
              <w:spacing w:before="40" w:after="40" w:line="220" w:lineRule="exact"/>
              <w:rPr>
                <w:sz w:val="18"/>
              </w:rPr>
            </w:pPr>
            <w:r>
              <w:rPr>
                <w:sz w:val="18"/>
              </w:rPr>
              <w:t xml:space="preserve">0 a 14 </w:t>
            </w:r>
          </w:p>
        </w:tc>
        <w:tc>
          <w:tcPr>
            <w:tcW w:w="1053" w:type="dxa"/>
            <w:tcBorders>
              <w:top w:val="single" w:sz="12" w:space="0" w:color="auto"/>
            </w:tcBorders>
            <w:shd w:val="clear" w:color="auto" w:fill="auto"/>
            <w:vAlign w:val="bottom"/>
          </w:tcPr>
          <w:p w:rsidR="00F236D5" w:rsidRPr="00CE54C0" w:rsidRDefault="00F236D5" w:rsidP="00947046">
            <w:pPr>
              <w:spacing w:before="40" w:after="40" w:line="220" w:lineRule="exact"/>
              <w:jc w:val="right"/>
              <w:rPr>
                <w:sz w:val="18"/>
              </w:rPr>
            </w:pPr>
            <w:r>
              <w:rPr>
                <w:sz w:val="18"/>
              </w:rPr>
              <w:t xml:space="preserve">53 </w:t>
            </w:r>
            <w:r w:rsidRPr="00CE54C0">
              <w:rPr>
                <w:sz w:val="18"/>
              </w:rPr>
              <w:t>500</w:t>
            </w:r>
          </w:p>
        </w:tc>
        <w:tc>
          <w:tcPr>
            <w:tcW w:w="1053" w:type="dxa"/>
            <w:tcBorders>
              <w:top w:val="single" w:sz="12" w:space="0" w:color="auto"/>
            </w:tcBorders>
            <w:shd w:val="clear" w:color="auto" w:fill="auto"/>
            <w:vAlign w:val="bottom"/>
          </w:tcPr>
          <w:p w:rsidR="00F236D5" w:rsidRPr="00CE54C0" w:rsidRDefault="00F236D5" w:rsidP="00947046">
            <w:pPr>
              <w:spacing w:before="40" w:after="40" w:line="220" w:lineRule="exact"/>
              <w:jc w:val="right"/>
              <w:rPr>
                <w:sz w:val="18"/>
              </w:rPr>
            </w:pPr>
            <w:r w:rsidRPr="00CE54C0">
              <w:rPr>
                <w:sz w:val="18"/>
              </w:rPr>
              <w:t>12</w:t>
            </w:r>
          </w:p>
        </w:tc>
        <w:tc>
          <w:tcPr>
            <w:tcW w:w="1053" w:type="dxa"/>
            <w:tcBorders>
              <w:top w:val="single" w:sz="12" w:space="0" w:color="auto"/>
            </w:tcBorders>
            <w:shd w:val="clear" w:color="auto" w:fill="auto"/>
            <w:vAlign w:val="bottom"/>
          </w:tcPr>
          <w:p w:rsidR="00F236D5" w:rsidRPr="00CE54C0" w:rsidRDefault="00F236D5" w:rsidP="00947046">
            <w:pPr>
              <w:spacing w:before="40" w:after="40" w:line="220" w:lineRule="exact"/>
              <w:jc w:val="right"/>
              <w:rPr>
                <w:sz w:val="18"/>
              </w:rPr>
            </w:pPr>
            <w:r>
              <w:rPr>
                <w:sz w:val="18"/>
              </w:rPr>
              <w:t xml:space="preserve">36 </w:t>
            </w:r>
            <w:r w:rsidRPr="00CE54C0">
              <w:rPr>
                <w:sz w:val="18"/>
              </w:rPr>
              <w:t>500</w:t>
            </w:r>
          </w:p>
        </w:tc>
        <w:tc>
          <w:tcPr>
            <w:tcW w:w="1053" w:type="dxa"/>
            <w:tcBorders>
              <w:top w:val="single" w:sz="12" w:space="0" w:color="auto"/>
            </w:tcBorders>
            <w:shd w:val="clear" w:color="auto" w:fill="auto"/>
            <w:vAlign w:val="bottom"/>
          </w:tcPr>
          <w:p w:rsidR="00F236D5" w:rsidRPr="00CE54C0" w:rsidRDefault="00F236D5" w:rsidP="00947046">
            <w:pPr>
              <w:spacing w:before="40" w:after="40" w:line="220" w:lineRule="exact"/>
              <w:jc w:val="right"/>
              <w:rPr>
                <w:sz w:val="18"/>
              </w:rPr>
            </w:pPr>
            <w:r w:rsidRPr="00CE54C0">
              <w:rPr>
                <w:sz w:val="18"/>
              </w:rPr>
              <w:t>9</w:t>
            </w:r>
          </w:p>
        </w:tc>
        <w:tc>
          <w:tcPr>
            <w:tcW w:w="1053" w:type="dxa"/>
            <w:tcBorders>
              <w:top w:val="single" w:sz="12" w:space="0" w:color="auto"/>
            </w:tcBorders>
            <w:shd w:val="clear" w:color="auto" w:fill="auto"/>
            <w:vAlign w:val="bottom"/>
          </w:tcPr>
          <w:p w:rsidR="00F236D5" w:rsidRPr="00301C74" w:rsidRDefault="00F236D5" w:rsidP="00947046">
            <w:pPr>
              <w:spacing w:before="40" w:after="40" w:line="220" w:lineRule="exact"/>
              <w:jc w:val="right"/>
              <w:rPr>
                <w:sz w:val="18"/>
              </w:rPr>
            </w:pPr>
            <w:r w:rsidRPr="00301C74">
              <w:rPr>
                <w:sz w:val="18"/>
              </w:rPr>
              <w:t>90 000</w:t>
            </w:r>
          </w:p>
        </w:tc>
        <w:tc>
          <w:tcPr>
            <w:tcW w:w="1053" w:type="dxa"/>
            <w:tcBorders>
              <w:top w:val="single" w:sz="12" w:space="0" w:color="auto"/>
            </w:tcBorders>
            <w:shd w:val="clear" w:color="auto" w:fill="auto"/>
            <w:vAlign w:val="bottom"/>
          </w:tcPr>
          <w:p w:rsidR="00F236D5" w:rsidRPr="00301C74" w:rsidRDefault="00F236D5" w:rsidP="00947046">
            <w:pPr>
              <w:spacing w:before="40" w:after="40" w:line="220" w:lineRule="exact"/>
              <w:jc w:val="right"/>
              <w:rPr>
                <w:sz w:val="18"/>
              </w:rPr>
            </w:pPr>
            <w:r w:rsidRPr="00301C74">
              <w:rPr>
                <w:sz w:val="18"/>
              </w:rPr>
              <w:t>10</w:t>
            </w:r>
          </w:p>
        </w:tc>
      </w:tr>
      <w:tr w:rsidR="00F236D5" w:rsidRPr="00E87F9C" w:rsidTr="00947046">
        <w:tc>
          <w:tcPr>
            <w:tcW w:w="1052" w:type="dxa"/>
            <w:shd w:val="clear" w:color="auto" w:fill="auto"/>
            <w:vAlign w:val="bottom"/>
          </w:tcPr>
          <w:p w:rsidR="00F236D5" w:rsidRPr="00E87F9C" w:rsidRDefault="00F236D5" w:rsidP="00947046">
            <w:pPr>
              <w:spacing w:before="40" w:after="40" w:line="220" w:lineRule="exact"/>
              <w:rPr>
                <w:sz w:val="18"/>
              </w:rPr>
            </w:pPr>
            <w:r>
              <w:rPr>
                <w:sz w:val="18"/>
              </w:rPr>
              <w:t xml:space="preserve">15 a 44 </w:t>
            </w:r>
          </w:p>
        </w:tc>
        <w:tc>
          <w:tcPr>
            <w:tcW w:w="1053" w:type="dxa"/>
            <w:shd w:val="clear" w:color="auto" w:fill="auto"/>
            <w:vAlign w:val="bottom"/>
          </w:tcPr>
          <w:p w:rsidR="00F236D5" w:rsidRPr="00CE54C0" w:rsidRDefault="00F236D5" w:rsidP="00947046">
            <w:pPr>
              <w:spacing w:before="40" w:after="40" w:line="220" w:lineRule="exact"/>
              <w:jc w:val="right"/>
              <w:rPr>
                <w:sz w:val="18"/>
              </w:rPr>
            </w:pPr>
            <w:r>
              <w:rPr>
                <w:sz w:val="18"/>
              </w:rPr>
              <w:t xml:space="preserve">73 </w:t>
            </w:r>
            <w:r w:rsidRPr="00CE54C0">
              <w:rPr>
                <w:sz w:val="18"/>
              </w:rPr>
              <w:t>800</w:t>
            </w:r>
          </w:p>
        </w:tc>
        <w:tc>
          <w:tcPr>
            <w:tcW w:w="1053" w:type="dxa"/>
            <w:shd w:val="clear" w:color="auto" w:fill="auto"/>
            <w:vAlign w:val="bottom"/>
          </w:tcPr>
          <w:p w:rsidR="00F236D5" w:rsidRPr="00CE54C0" w:rsidRDefault="00F236D5" w:rsidP="00947046">
            <w:pPr>
              <w:spacing w:before="40" w:after="40" w:line="220" w:lineRule="exact"/>
              <w:jc w:val="right"/>
              <w:rPr>
                <w:sz w:val="18"/>
              </w:rPr>
            </w:pPr>
            <w:r w:rsidRPr="00CE54C0">
              <w:rPr>
                <w:sz w:val="18"/>
              </w:rPr>
              <w:t>9</w:t>
            </w:r>
          </w:p>
        </w:tc>
        <w:tc>
          <w:tcPr>
            <w:tcW w:w="1053" w:type="dxa"/>
            <w:shd w:val="clear" w:color="auto" w:fill="auto"/>
            <w:vAlign w:val="bottom"/>
          </w:tcPr>
          <w:p w:rsidR="00F236D5" w:rsidRPr="00CE54C0" w:rsidRDefault="00F236D5" w:rsidP="00947046">
            <w:pPr>
              <w:spacing w:before="40" w:after="40" w:line="220" w:lineRule="exact"/>
              <w:jc w:val="right"/>
              <w:rPr>
                <w:sz w:val="18"/>
              </w:rPr>
            </w:pPr>
            <w:r>
              <w:rPr>
                <w:sz w:val="18"/>
              </w:rPr>
              <w:t xml:space="preserve">67 </w:t>
            </w:r>
            <w:r w:rsidRPr="00CE54C0">
              <w:rPr>
                <w:sz w:val="18"/>
              </w:rPr>
              <w:t>600</w:t>
            </w:r>
          </w:p>
        </w:tc>
        <w:tc>
          <w:tcPr>
            <w:tcW w:w="1053" w:type="dxa"/>
            <w:shd w:val="clear" w:color="auto" w:fill="auto"/>
            <w:vAlign w:val="bottom"/>
          </w:tcPr>
          <w:p w:rsidR="00F236D5" w:rsidRPr="00CE54C0" w:rsidRDefault="00F236D5" w:rsidP="00947046">
            <w:pPr>
              <w:spacing w:before="40" w:after="40" w:line="220" w:lineRule="exact"/>
              <w:jc w:val="right"/>
              <w:rPr>
                <w:sz w:val="18"/>
              </w:rPr>
            </w:pPr>
            <w:r w:rsidRPr="00CE54C0">
              <w:rPr>
                <w:sz w:val="18"/>
              </w:rPr>
              <w:t>8</w:t>
            </w:r>
          </w:p>
        </w:tc>
        <w:tc>
          <w:tcPr>
            <w:tcW w:w="1053"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141 500</w:t>
            </w:r>
          </w:p>
        </w:tc>
        <w:tc>
          <w:tcPr>
            <w:tcW w:w="1053"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9</w:t>
            </w:r>
          </w:p>
        </w:tc>
      </w:tr>
      <w:tr w:rsidR="00F236D5" w:rsidRPr="00E87F9C" w:rsidTr="00947046">
        <w:tc>
          <w:tcPr>
            <w:tcW w:w="1052" w:type="dxa"/>
            <w:shd w:val="clear" w:color="auto" w:fill="auto"/>
            <w:vAlign w:val="bottom"/>
          </w:tcPr>
          <w:p w:rsidR="00F236D5" w:rsidRPr="00E87F9C" w:rsidRDefault="00F236D5" w:rsidP="00947046">
            <w:pPr>
              <w:spacing w:before="40" w:after="40" w:line="220" w:lineRule="exact"/>
              <w:rPr>
                <w:sz w:val="18"/>
              </w:rPr>
            </w:pPr>
            <w:r>
              <w:rPr>
                <w:sz w:val="18"/>
              </w:rPr>
              <w:t xml:space="preserve">45 a 54 </w:t>
            </w:r>
          </w:p>
        </w:tc>
        <w:tc>
          <w:tcPr>
            <w:tcW w:w="1053" w:type="dxa"/>
            <w:shd w:val="clear" w:color="auto" w:fill="auto"/>
            <w:vAlign w:val="bottom"/>
          </w:tcPr>
          <w:p w:rsidR="00F236D5" w:rsidRPr="00CE54C0" w:rsidRDefault="00F236D5" w:rsidP="00947046">
            <w:pPr>
              <w:spacing w:before="40" w:after="40" w:line="220" w:lineRule="exact"/>
              <w:jc w:val="right"/>
              <w:rPr>
                <w:sz w:val="18"/>
              </w:rPr>
            </w:pPr>
            <w:r>
              <w:rPr>
                <w:sz w:val="18"/>
              </w:rPr>
              <w:t xml:space="preserve">104 </w:t>
            </w:r>
            <w:r w:rsidRPr="00CE54C0">
              <w:rPr>
                <w:sz w:val="18"/>
              </w:rPr>
              <w:t>700</w:t>
            </w:r>
          </w:p>
        </w:tc>
        <w:tc>
          <w:tcPr>
            <w:tcW w:w="1053" w:type="dxa"/>
            <w:shd w:val="clear" w:color="auto" w:fill="auto"/>
            <w:vAlign w:val="bottom"/>
          </w:tcPr>
          <w:p w:rsidR="00F236D5" w:rsidRPr="00CE54C0" w:rsidRDefault="00F236D5" w:rsidP="00947046">
            <w:pPr>
              <w:spacing w:before="40" w:after="40" w:line="220" w:lineRule="exact"/>
              <w:jc w:val="right"/>
              <w:rPr>
                <w:sz w:val="18"/>
              </w:rPr>
            </w:pPr>
            <w:r w:rsidRPr="00CE54C0">
              <w:rPr>
                <w:sz w:val="18"/>
              </w:rPr>
              <w:t>21</w:t>
            </w:r>
          </w:p>
        </w:tc>
        <w:tc>
          <w:tcPr>
            <w:tcW w:w="1053" w:type="dxa"/>
            <w:shd w:val="clear" w:color="auto" w:fill="auto"/>
            <w:vAlign w:val="bottom"/>
          </w:tcPr>
          <w:p w:rsidR="00F236D5" w:rsidRPr="00CE54C0" w:rsidRDefault="00F236D5" w:rsidP="00947046">
            <w:pPr>
              <w:spacing w:before="40" w:after="40" w:line="220" w:lineRule="exact"/>
              <w:jc w:val="right"/>
              <w:rPr>
                <w:sz w:val="18"/>
              </w:rPr>
            </w:pPr>
            <w:r>
              <w:rPr>
                <w:sz w:val="18"/>
              </w:rPr>
              <w:t xml:space="preserve">103 </w:t>
            </w:r>
            <w:r w:rsidRPr="00CE54C0">
              <w:rPr>
                <w:sz w:val="18"/>
              </w:rPr>
              <w:t>800</w:t>
            </w:r>
          </w:p>
        </w:tc>
        <w:tc>
          <w:tcPr>
            <w:tcW w:w="1053" w:type="dxa"/>
            <w:shd w:val="clear" w:color="auto" w:fill="auto"/>
            <w:vAlign w:val="bottom"/>
          </w:tcPr>
          <w:p w:rsidR="00F236D5" w:rsidRPr="00CE54C0" w:rsidRDefault="00F236D5" w:rsidP="00947046">
            <w:pPr>
              <w:spacing w:before="40" w:after="40" w:line="220" w:lineRule="exact"/>
              <w:jc w:val="right"/>
              <w:rPr>
                <w:sz w:val="18"/>
              </w:rPr>
            </w:pPr>
            <w:r w:rsidRPr="00CE54C0">
              <w:rPr>
                <w:sz w:val="18"/>
              </w:rPr>
              <w:t>19</w:t>
            </w:r>
          </w:p>
        </w:tc>
        <w:tc>
          <w:tcPr>
            <w:tcW w:w="1053"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208 500</w:t>
            </w:r>
          </w:p>
        </w:tc>
        <w:tc>
          <w:tcPr>
            <w:tcW w:w="1053" w:type="dxa"/>
            <w:shd w:val="clear" w:color="auto" w:fill="auto"/>
            <w:vAlign w:val="bottom"/>
          </w:tcPr>
          <w:p w:rsidR="00F236D5" w:rsidRPr="00301C74" w:rsidRDefault="00F236D5" w:rsidP="00947046">
            <w:pPr>
              <w:spacing w:before="40" w:after="40" w:line="220" w:lineRule="exact"/>
              <w:jc w:val="right"/>
              <w:rPr>
                <w:sz w:val="18"/>
              </w:rPr>
            </w:pPr>
            <w:r w:rsidRPr="00301C74">
              <w:rPr>
                <w:sz w:val="18"/>
              </w:rPr>
              <w:t>20</w:t>
            </w:r>
          </w:p>
        </w:tc>
      </w:tr>
      <w:tr w:rsidR="00F236D5" w:rsidRPr="00E87F9C" w:rsidTr="00947046">
        <w:tc>
          <w:tcPr>
            <w:tcW w:w="1052" w:type="dxa"/>
            <w:tcBorders>
              <w:bottom w:val="single" w:sz="4" w:space="0" w:color="auto"/>
            </w:tcBorders>
            <w:shd w:val="clear" w:color="auto" w:fill="auto"/>
            <w:vAlign w:val="bottom"/>
          </w:tcPr>
          <w:p w:rsidR="00F236D5" w:rsidRPr="00E87F9C" w:rsidRDefault="00F236D5" w:rsidP="00947046">
            <w:pPr>
              <w:spacing w:before="40" w:after="40" w:line="220" w:lineRule="exact"/>
              <w:rPr>
                <w:sz w:val="18"/>
              </w:rPr>
            </w:pPr>
            <w:r>
              <w:rPr>
                <w:sz w:val="18"/>
              </w:rPr>
              <w:t>65 o más</w:t>
            </w:r>
          </w:p>
        </w:tc>
        <w:tc>
          <w:tcPr>
            <w:tcW w:w="1053" w:type="dxa"/>
            <w:tcBorders>
              <w:bottom w:val="single" w:sz="4" w:space="0" w:color="auto"/>
            </w:tcBorders>
            <w:shd w:val="clear" w:color="auto" w:fill="auto"/>
            <w:vAlign w:val="bottom"/>
          </w:tcPr>
          <w:p w:rsidR="00F236D5" w:rsidRPr="00CE54C0" w:rsidRDefault="00F236D5" w:rsidP="00947046">
            <w:pPr>
              <w:spacing w:before="40" w:after="40" w:line="220" w:lineRule="exact"/>
              <w:jc w:val="right"/>
              <w:rPr>
                <w:sz w:val="18"/>
              </w:rPr>
            </w:pPr>
            <w:r>
              <w:rPr>
                <w:sz w:val="18"/>
              </w:rPr>
              <w:t xml:space="preserve">95 </w:t>
            </w:r>
            <w:r w:rsidRPr="00CE54C0">
              <w:rPr>
                <w:sz w:val="18"/>
              </w:rPr>
              <w:t>600</w:t>
            </w:r>
          </w:p>
        </w:tc>
        <w:tc>
          <w:tcPr>
            <w:tcW w:w="1053" w:type="dxa"/>
            <w:tcBorders>
              <w:bottom w:val="single" w:sz="4" w:space="0" w:color="auto"/>
            </w:tcBorders>
            <w:shd w:val="clear" w:color="auto" w:fill="auto"/>
            <w:vAlign w:val="bottom"/>
          </w:tcPr>
          <w:p w:rsidR="00F236D5" w:rsidRPr="00CE54C0" w:rsidRDefault="00F236D5" w:rsidP="00947046">
            <w:pPr>
              <w:spacing w:before="40" w:after="40" w:line="220" w:lineRule="exact"/>
              <w:jc w:val="right"/>
              <w:rPr>
                <w:sz w:val="18"/>
              </w:rPr>
            </w:pPr>
            <w:r w:rsidRPr="00CE54C0">
              <w:rPr>
                <w:sz w:val="18"/>
              </w:rPr>
              <w:t>43</w:t>
            </w:r>
          </w:p>
        </w:tc>
        <w:tc>
          <w:tcPr>
            <w:tcW w:w="1053" w:type="dxa"/>
            <w:tcBorders>
              <w:bottom w:val="single" w:sz="4" w:space="0" w:color="auto"/>
            </w:tcBorders>
            <w:shd w:val="clear" w:color="auto" w:fill="auto"/>
            <w:vAlign w:val="bottom"/>
          </w:tcPr>
          <w:p w:rsidR="00F236D5" w:rsidRPr="00CE54C0" w:rsidRDefault="00F236D5" w:rsidP="00947046">
            <w:pPr>
              <w:spacing w:before="40" w:after="40" w:line="220" w:lineRule="exact"/>
              <w:jc w:val="right"/>
              <w:rPr>
                <w:sz w:val="18"/>
              </w:rPr>
            </w:pPr>
            <w:r>
              <w:rPr>
                <w:sz w:val="18"/>
              </w:rPr>
              <w:t xml:space="preserve">124 </w:t>
            </w:r>
            <w:r w:rsidRPr="00CE54C0">
              <w:rPr>
                <w:sz w:val="18"/>
              </w:rPr>
              <w:t>700</w:t>
            </w:r>
          </w:p>
        </w:tc>
        <w:tc>
          <w:tcPr>
            <w:tcW w:w="1053" w:type="dxa"/>
            <w:tcBorders>
              <w:bottom w:val="single" w:sz="4" w:space="0" w:color="auto"/>
            </w:tcBorders>
            <w:shd w:val="clear" w:color="auto" w:fill="auto"/>
            <w:vAlign w:val="bottom"/>
          </w:tcPr>
          <w:p w:rsidR="00F236D5" w:rsidRPr="00CE54C0" w:rsidRDefault="00F236D5" w:rsidP="00947046">
            <w:pPr>
              <w:spacing w:before="40" w:after="40" w:line="220" w:lineRule="exact"/>
              <w:jc w:val="right"/>
              <w:rPr>
                <w:sz w:val="18"/>
              </w:rPr>
            </w:pPr>
            <w:r w:rsidRPr="00CE54C0">
              <w:rPr>
                <w:sz w:val="18"/>
              </w:rPr>
              <w:t>46</w:t>
            </w:r>
          </w:p>
        </w:tc>
        <w:tc>
          <w:tcPr>
            <w:tcW w:w="1053" w:type="dxa"/>
            <w:tcBorders>
              <w:bottom w:val="single" w:sz="4" w:space="0" w:color="auto"/>
            </w:tcBorders>
            <w:shd w:val="clear" w:color="auto" w:fill="auto"/>
            <w:vAlign w:val="bottom"/>
          </w:tcPr>
          <w:p w:rsidR="00F236D5" w:rsidRPr="00301C74" w:rsidRDefault="00F236D5" w:rsidP="00947046">
            <w:pPr>
              <w:spacing w:before="40" w:after="40" w:line="220" w:lineRule="exact"/>
              <w:jc w:val="right"/>
              <w:rPr>
                <w:sz w:val="18"/>
              </w:rPr>
            </w:pPr>
            <w:r w:rsidRPr="00301C74">
              <w:rPr>
                <w:sz w:val="18"/>
              </w:rPr>
              <w:t>220 300</w:t>
            </w:r>
          </w:p>
        </w:tc>
        <w:tc>
          <w:tcPr>
            <w:tcW w:w="1053" w:type="dxa"/>
            <w:tcBorders>
              <w:bottom w:val="single" w:sz="4" w:space="0" w:color="auto"/>
            </w:tcBorders>
            <w:shd w:val="clear" w:color="auto" w:fill="auto"/>
            <w:vAlign w:val="bottom"/>
          </w:tcPr>
          <w:p w:rsidR="00F236D5" w:rsidRPr="00301C74" w:rsidRDefault="00F236D5" w:rsidP="00947046">
            <w:pPr>
              <w:spacing w:before="40" w:after="40" w:line="220" w:lineRule="exact"/>
              <w:jc w:val="right"/>
              <w:rPr>
                <w:sz w:val="18"/>
              </w:rPr>
            </w:pPr>
            <w:r w:rsidRPr="00301C74">
              <w:rPr>
                <w:sz w:val="18"/>
              </w:rPr>
              <w:t>45</w:t>
            </w:r>
          </w:p>
        </w:tc>
      </w:tr>
      <w:tr w:rsidR="00F236D5" w:rsidRPr="00E87F9C" w:rsidTr="00947046">
        <w:tc>
          <w:tcPr>
            <w:tcW w:w="1052" w:type="dxa"/>
            <w:tcBorders>
              <w:top w:val="single" w:sz="4" w:space="0" w:color="auto"/>
              <w:bottom w:val="single" w:sz="12" w:space="0" w:color="auto"/>
            </w:tcBorders>
            <w:shd w:val="clear" w:color="auto" w:fill="auto"/>
            <w:vAlign w:val="bottom"/>
          </w:tcPr>
          <w:p w:rsidR="00F236D5" w:rsidRPr="00E12F66" w:rsidRDefault="00F236D5" w:rsidP="00947046">
            <w:pPr>
              <w:spacing w:before="80" w:after="80" w:line="220" w:lineRule="exact"/>
              <w:ind w:firstLine="284"/>
              <w:rPr>
                <w:b/>
                <w:sz w:val="18"/>
              </w:rPr>
            </w:pPr>
            <w:r w:rsidRPr="00E12F66">
              <w:rPr>
                <w:b/>
                <w:sz w:val="18"/>
              </w:rPr>
              <w:t>Total</w:t>
            </w:r>
          </w:p>
        </w:tc>
        <w:tc>
          <w:tcPr>
            <w:tcW w:w="1053" w:type="dxa"/>
            <w:tcBorders>
              <w:top w:val="single" w:sz="4" w:space="0" w:color="auto"/>
              <w:bottom w:val="single" w:sz="12" w:space="0" w:color="auto"/>
            </w:tcBorders>
            <w:shd w:val="clear" w:color="auto" w:fill="auto"/>
            <w:vAlign w:val="bottom"/>
          </w:tcPr>
          <w:p w:rsidR="00F236D5" w:rsidRPr="00E12F66" w:rsidRDefault="00F236D5" w:rsidP="00947046">
            <w:pPr>
              <w:spacing w:before="80" w:after="80" w:line="220" w:lineRule="exact"/>
              <w:jc w:val="right"/>
              <w:rPr>
                <w:b/>
                <w:sz w:val="18"/>
              </w:rPr>
            </w:pPr>
            <w:r w:rsidRPr="00E12F66">
              <w:rPr>
                <w:b/>
                <w:sz w:val="18"/>
              </w:rPr>
              <w:t>327 700</w:t>
            </w:r>
          </w:p>
        </w:tc>
        <w:tc>
          <w:tcPr>
            <w:tcW w:w="1053" w:type="dxa"/>
            <w:tcBorders>
              <w:top w:val="single" w:sz="4" w:space="0" w:color="auto"/>
              <w:bottom w:val="single" w:sz="12" w:space="0" w:color="auto"/>
            </w:tcBorders>
            <w:shd w:val="clear" w:color="auto" w:fill="auto"/>
            <w:vAlign w:val="bottom"/>
          </w:tcPr>
          <w:p w:rsidR="00F236D5" w:rsidRPr="00E12F66" w:rsidRDefault="00F236D5" w:rsidP="00947046">
            <w:pPr>
              <w:spacing w:before="80" w:after="80" w:line="220" w:lineRule="exact"/>
              <w:jc w:val="right"/>
              <w:rPr>
                <w:b/>
                <w:sz w:val="18"/>
              </w:rPr>
            </w:pPr>
            <w:r w:rsidRPr="00E12F66">
              <w:rPr>
                <w:b/>
                <w:sz w:val="18"/>
              </w:rPr>
              <w:t>17</w:t>
            </w:r>
          </w:p>
        </w:tc>
        <w:tc>
          <w:tcPr>
            <w:tcW w:w="1053" w:type="dxa"/>
            <w:tcBorders>
              <w:top w:val="single" w:sz="4" w:space="0" w:color="auto"/>
              <w:bottom w:val="single" w:sz="12" w:space="0" w:color="auto"/>
            </w:tcBorders>
            <w:shd w:val="clear" w:color="auto" w:fill="auto"/>
            <w:vAlign w:val="bottom"/>
          </w:tcPr>
          <w:p w:rsidR="00F236D5" w:rsidRPr="00E12F66" w:rsidRDefault="00F236D5" w:rsidP="00947046">
            <w:pPr>
              <w:spacing w:before="80" w:after="80" w:line="220" w:lineRule="exact"/>
              <w:jc w:val="right"/>
              <w:rPr>
                <w:b/>
                <w:sz w:val="18"/>
              </w:rPr>
            </w:pPr>
            <w:r w:rsidRPr="00E12F66">
              <w:rPr>
                <w:b/>
                <w:sz w:val="18"/>
              </w:rPr>
              <w:t>332 600</w:t>
            </w:r>
          </w:p>
        </w:tc>
        <w:tc>
          <w:tcPr>
            <w:tcW w:w="1053" w:type="dxa"/>
            <w:tcBorders>
              <w:top w:val="single" w:sz="4" w:space="0" w:color="auto"/>
              <w:bottom w:val="single" w:sz="12" w:space="0" w:color="auto"/>
            </w:tcBorders>
            <w:shd w:val="clear" w:color="auto" w:fill="auto"/>
            <w:vAlign w:val="bottom"/>
          </w:tcPr>
          <w:p w:rsidR="00F236D5" w:rsidRPr="00E12F66" w:rsidRDefault="00F236D5" w:rsidP="00947046">
            <w:pPr>
              <w:spacing w:before="80" w:after="80" w:line="220" w:lineRule="exact"/>
              <w:jc w:val="right"/>
              <w:rPr>
                <w:b/>
                <w:sz w:val="18"/>
              </w:rPr>
            </w:pPr>
            <w:r w:rsidRPr="00E12F66">
              <w:rPr>
                <w:b/>
                <w:sz w:val="18"/>
              </w:rPr>
              <w:t>16</w:t>
            </w:r>
          </w:p>
        </w:tc>
        <w:tc>
          <w:tcPr>
            <w:tcW w:w="1053" w:type="dxa"/>
            <w:tcBorders>
              <w:top w:val="single" w:sz="4" w:space="0" w:color="auto"/>
              <w:bottom w:val="single" w:sz="12" w:space="0" w:color="auto"/>
            </w:tcBorders>
            <w:shd w:val="clear" w:color="auto" w:fill="auto"/>
            <w:vAlign w:val="bottom"/>
          </w:tcPr>
          <w:p w:rsidR="00F236D5" w:rsidRPr="00E12F66" w:rsidRDefault="00F236D5" w:rsidP="00947046">
            <w:pPr>
              <w:spacing w:before="80" w:after="80" w:line="220" w:lineRule="exact"/>
              <w:jc w:val="right"/>
              <w:rPr>
                <w:b/>
                <w:sz w:val="18"/>
              </w:rPr>
            </w:pPr>
            <w:r w:rsidRPr="00E12F66">
              <w:rPr>
                <w:b/>
                <w:sz w:val="18"/>
              </w:rPr>
              <w:t>660 300</w:t>
            </w:r>
          </w:p>
        </w:tc>
        <w:tc>
          <w:tcPr>
            <w:tcW w:w="1053" w:type="dxa"/>
            <w:tcBorders>
              <w:top w:val="single" w:sz="4" w:space="0" w:color="auto"/>
              <w:bottom w:val="single" w:sz="12" w:space="0" w:color="auto"/>
            </w:tcBorders>
            <w:shd w:val="clear" w:color="auto" w:fill="auto"/>
            <w:vAlign w:val="bottom"/>
          </w:tcPr>
          <w:p w:rsidR="00F236D5" w:rsidRPr="00E12F66" w:rsidRDefault="00F236D5" w:rsidP="00947046">
            <w:pPr>
              <w:spacing w:before="80" w:after="80" w:line="220" w:lineRule="exact"/>
              <w:jc w:val="right"/>
              <w:rPr>
                <w:b/>
                <w:sz w:val="18"/>
              </w:rPr>
            </w:pPr>
            <w:r w:rsidRPr="00E12F66">
              <w:rPr>
                <w:b/>
                <w:sz w:val="18"/>
              </w:rPr>
              <w:t>17</w:t>
            </w:r>
          </w:p>
        </w:tc>
      </w:tr>
    </w:tbl>
    <w:p w:rsidR="00F236D5" w:rsidRPr="00506FD7" w:rsidRDefault="00F236D5" w:rsidP="00F236D5">
      <w:pPr>
        <w:pStyle w:val="SingleTxtG"/>
        <w:spacing w:before="120" w:after="240"/>
        <w:ind w:firstLine="170"/>
        <w:rPr>
          <w:sz w:val="18"/>
          <w:szCs w:val="18"/>
        </w:rPr>
      </w:pPr>
      <w:r w:rsidRPr="00506FD7">
        <w:rPr>
          <w:i/>
          <w:sz w:val="18"/>
          <w:szCs w:val="18"/>
        </w:rPr>
        <w:t>Fuente:</w:t>
      </w:r>
      <w:r w:rsidRPr="0089014F">
        <w:rPr>
          <w:sz w:val="18"/>
          <w:szCs w:val="18"/>
        </w:rPr>
        <w:t xml:space="preserve"> </w:t>
      </w:r>
      <w:r w:rsidRPr="00506FD7">
        <w:rPr>
          <w:sz w:val="18"/>
          <w:szCs w:val="18"/>
        </w:rPr>
        <w:t>Oficina de Estadísticas de Nueva Zelandia, encuesta sobre la discapacidad, 2006</w:t>
      </w:r>
      <w:r>
        <w:rPr>
          <w:sz w:val="18"/>
          <w:szCs w:val="18"/>
        </w:rPr>
        <w:t>.</w:t>
      </w:r>
    </w:p>
    <w:p w:rsidR="00F236D5" w:rsidRPr="00F34D17" w:rsidRDefault="00F236D5" w:rsidP="00F236D5">
      <w:pPr>
        <w:pStyle w:val="SingleTxtG"/>
      </w:pPr>
      <w:r w:rsidRPr="00F34D17">
        <w:t>28.</w:t>
      </w:r>
      <w:r w:rsidRPr="00F34D17">
        <w:tab/>
        <w:t>La tasa total de discapacidad correspondiente a la población maorí (17%) era superior a la del grupo de los pueblos del Pacífico (11%) pero inferior a la observada en el grupo europeo (18%). La población asiática registró la tasa más baja (5%). Los pueblos maoríes y del Pacífico muestran una estructura de edad más joven que los europeos, lo que indica que toda comparación de las tasas de discapacidad debe hacerse sobre la base de grupos de edad. En todos los grupos de edad, los maoríes registraron una tasa de discapacidad más elevada que los otros grupos étnicos.</w:t>
      </w:r>
    </w:p>
    <w:p w:rsidR="00F236D5" w:rsidRPr="00F34D17" w:rsidRDefault="00F236D5" w:rsidP="00F236D5">
      <w:pPr>
        <w:pStyle w:val="SingleTxtG"/>
      </w:pPr>
      <w:r w:rsidRPr="00F34D17">
        <w:t>29.</w:t>
      </w:r>
      <w:r w:rsidRPr="00F34D17">
        <w:tab/>
        <w:t>En 2006, s</w:t>
      </w:r>
      <w:r>
        <w:t>o</w:t>
      </w:r>
      <w:r w:rsidRPr="00F34D17">
        <w:t>lo el 60% de las personas con discapacidad pertenecientes al grupo de edad de 15 a 64 años tenía empleo, en comparación con un 80% de las personas sin discapacidad del mismo grupo de edad.</w:t>
      </w:r>
    </w:p>
    <w:p w:rsidR="00F236D5" w:rsidRPr="00F34D17" w:rsidRDefault="00F236D5" w:rsidP="00F236D5">
      <w:pPr>
        <w:pStyle w:val="H23G"/>
      </w:pPr>
      <w:r>
        <w:tab/>
      </w:r>
      <w:r w:rsidRPr="00F34D17">
        <w:t>10.</w:t>
      </w:r>
      <w:r w:rsidRPr="00F34D17">
        <w:tab/>
        <w:t>Economía</w:t>
      </w:r>
    </w:p>
    <w:p w:rsidR="00F236D5" w:rsidRPr="00F34D17" w:rsidRDefault="00F236D5" w:rsidP="00F236D5">
      <w:pPr>
        <w:pStyle w:val="SingleTxtG"/>
      </w:pPr>
      <w:r w:rsidRPr="00F34D17">
        <w:t>30.</w:t>
      </w:r>
      <w:r w:rsidRPr="00F34D17">
        <w:tab/>
        <w:t>Nueva</w:t>
      </w:r>
      <w:r>
        <w:t xml:space="preserve"> </w:t>
      </w:r>
      <w:r w:rsidRPr="00F34D17">
        <w:t>Zelandia es un país desarrollado con economía de mercado. En los años ochenta y principios de los noventa, al igual que muchos otros países, tuvo un largo período de crecimiento económico más bien bajo. Desde 2000, el crecimiento económico de Nueva</w:t>
      </w:r>
      <w:r>
        <w:t xml:space="preserve"> </w:t>
      </w:r>
      <w:r w:rsidRPr="00F34D17">
        <w:t>Zelandia ha registrado un promedio anual del 3,1%. Recientemente el crecimiento se ha visto afectado por la recesión mundial, con un promedio del 1,0% durante los últimos cinco años. Aunque el nivel de vida se mantiene relativamente alto según los niveles internacionales, Nueva</w:t>
      </w:r>
      <w:r>
        <w:t xml:space="preserve"> </w:t>
      </w:r>
      <w:r w:rsidRPr="00F34D17">
        <w:t xml:space="preserve">Zelandia ha caído en la clasificación de renta </w:t>
      </w:r>
      <w:r w:rsidRPr="001D4545">
        <w:rPr>
          <w:i/>
        </w:rPr>
        <w:t>per c</w:t>
      </w:r>
      <w:r>
        <w:rPr>
          <w:i/>
        </w:rPr>
        <w:t>a</w:t>
      </w:r>
      <w:r w:rsidRPr="001D4545">
        <w:rPr>
          <w:i/>
        </w:rPr>
        <w:t>pita</w:t>
      </w:r>
      <w:r w:rsidRPr="00F34D17">
        <w:t xml:space="preserve"> de la Organización de Cooperación y Desarrollo Económicos (OCDE), principalmente debido al rápido aumento de la renta ocurrido en otras economías de la OCDE.</w:t>
      </w:r>
    </w:p>
    <w:p w:rsidR="00F236D5" w:rsidRPr="00DC45A7" w:rsidRDefault="00F236D5" w:rsidP="00F236D5">
      <w:pPr>
        <w:pStyle w:val="SingleTxtG"/>
      </w:pPr>
      <w:r w:rsidRPr="00DC45A7">
        <w:t>31.</w:t>
      </w:r>
      <w:r w:rsidRPr="00DC45A7">
        <w:tab/>
        <w:t>La pequeña economía de Nueva</w:t>
      </w:r>
      <w:r>
        <w:t xml:space="preserve"> </w:t>
      </w:r>
      <w:r w:rsidRPr="00DC45A7">
        <w:t>Zelandia depende relativamente del comercio exterior si se la compara con la de otras economías de mayor envergadura.</w:t>
      </w:r>
      <w:r>
        <w:t xml:space="preserve"> </w:t>
      </w:r>
      <w:r w:rsidRPr="00DC45A7">
        <w:t>Tradicionalmente, una gran parte de las exportaciones de Nueva</w:t>
      </w:r>
      <w:r>
        <w:t xml:space="preserve"> </w:t>
      </w:r>
      <w:r w:rsidRPr="00DC45A7">
        <w:t>Zelandia, sobre todo los productos agrícolas, se destinaba al Reino Unido.</w:t>
      </w:r>
      <w:r>
        <w:t xml:space="preserve"> </w:t>
      </w:r>
      <w:r w:rsidRPr="00DC45A7">
        <w:t>Sin embargo, en los últimos 20 años Nueva</w:t>
      </w:r>
      <w:r>
        <w:t xml:space="preserve"> </w:t>
      </w:r>
      <w:r w:rsidRPr="00DC45A7">
        <w:t>Zelandia se ha adaptado a los cambios ocurridos en un contexto mundial en el que la región de Asia y el Pacífico ha adquirido más preponderancia.</w:t>
      </w:r>
      <w:r>
        <w:t xml:space="preserve"> </w:t>
      </w:r>
      <w:r w:rsidRPr="00DC45A7">
        <w:t>Los mayores mercados de exportación son Australia, China, los Estados Unidos de América, el Japón, Singapur y el Reino Unido.</w:t>
      </w:r>
      <w:r>
        <w:t xml:space="preserve"> </w:t>
      </w:r>
      <w:r w:rsidRPr="00DC45A7">
        <w:t>Nueva</w:t>
      </w:r>
      <w:r>
        <w:t xml:space="preserve"> </w:t>
      </w:r>
      <w:r w:rsidRPr="00DC45A7">
        <w:t>Zelandia ha desarrollado sus industrias agropecuaria y manufacturera para atender las necesidades de mercados especializados.</w:t>
      </w:r>
      <w:r>
        <w:t xml:space="preserve"> </w:t>
      </w:r>
      <w:r w:rsidRPr="00DC45A7">
        <w:t>Los principales productos de exportación de Nueva Zelandia son los productos lácteos y cárnicos, la silvicultura, la horticultura, la pesca y las manufacturas especializadas.</w:t>
      </w:r>
      <w:r>
        <w:t xml:space="preserve"> </w:t>
      </w:r>
      <w:r w:rsidRPr="00DC45A7">
        <w:t>Nueva Zelandia exporta un volumen importante de servicios en los sectores del turismo internacional, la educación y otros sectores comerciales.</w:t>
      </w:r>
    </w:p>
    <w:p w:rsidR="00F236D5" w:rsidRPr="00DC45A7" w:rsidRDefault="00F236D5" w:rsidP="00F236D5">
      <w:pPr>
        <w:pStyle w:val="H4G"/>
      </w:pPr>
      <w:r>
        <w:tab/>
      </w:r>
      <w:r w:rsidRPr="00DC45A7">
        <w:t>a)</w:t>
      </w:r>
      <w:r w:rsidRPr="00DC45A7">
        <w:tab/>
        <w:t>Población por sector industrial amplio</w:t>
      </w:r>
    </w:p>
    <w:p w:rsidR="00F236D5" w:rsidRPr="00DC45A7" w:rsidRDefault="00F236D5" w:rsidP="00F236D5">
      <w:pPr>
        <w:pStyle w:val="SingleTxtG"/>
      </w:pPr>
      <w:r w:rsidRPr="00DC45A7">
        <w:t>32.</w:t>
      </w:r>
      <w:r w:rsidRPr="00DC45A7">
        <w:tab/>
        <w:t xml:space="preserve">El sector primario incluye la agricultura, la silvicultura, la pesca y la minería. El sector secundario abarca la manufactura, la electricidad, el gas, el agua, los suministros y la construcción. Los servicios prestados </w:t>
      </w:r>
      <w:r>
        <w:t>"</w:t>
      </w:r>
      <w:r w:rsidRPr="00DC45A7">
        <w:t>principalmente a empresas</w:t>
      </w:r>
      <w:r>
        <w:t>"</w:t>
      </w:r>
      <w:r w:rsidRPr="00DC45A7">
        <w:t xml:space="preserve"> se refieren al comercio mayorista, el tra</w:t>
      </w:r>
      <w:r>
        <w:t>n</w:t>
      </w:r>
      <w:r w:rsidRPr="00DC45A7">
        <w:t xml:space="preserve">sporte, el almacenamiento, las comunicaciones, las finanzas, los seguros, los bienes raíces y el sector empresarial. Los servicios prestados </w:t>
      </w:r>
      <w:r>
        <w:t>"</w:t>
      </w:r>
      <w:r w:rsidRPr="00DC45A7">
        <w:t>principalmente a familias</w:t>
      </w:r>
      <w:r>
        <w:t>"</w:t>
      </w:r>
      <w:r w:rsidRPr="00DC45A7">
        <w:t xml:space="preserve"> guardan relación con el comercio minorista, el alojamiento, los cafés y restaurantes, la administración pública, la defensa, la educación, la salud, la comunidad, la cultura y el ocio y la atención de carácter personal, entre otros.</w:t>
      </w:r>
    </w:p>
    <w:p w:rsidR="00F236D5" w:rsidRDefault="00F236D5" w:rsidP="00F236D5">
      <w:pPr>
        <w:pStyle w:val="Heading1"/>
      </w:pPr>
      <w:r>
        <w:t>Cuadro 8</w:t>
      </w:r>
    </w:p>
    <w:p w:rsidR="00F236D5" w:rsidRDefault="00F236D5" w:rsidP="00F236D5">
      <w:pPr>
        <w:pStyle w:val="SingleTxtG"/>
        <w:rPr>
          <w:b/>
        </w:rPr>
      </w:pPr>
      <w:r w:rsidRPr="007A5E6F">
        <w:rPr>
          <w:b/>
        </w:rPr>
        <w:t>Población por sector industrial amplio y sexo, en miles de habitantes, 2009</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0BF" w:firstRow="1" w:lastRow="0" w:firstColumn="1" w:lastColumn="0" w:noHBand="0" w:noVBand="0"/>
      </w:tblPr>
      <w:tblGrid>
        <w:gridCol w:w="3894"/>
        <w:gridCol w:w="1673"/>
        <w:gridCol w:w="1803"/>
      </w:tblGrid>
      <w:tr w:rsidR="00F236D5" w:rsidRPr="00220E6B" w:rsidTr="00947046">
        <w:trPr>
          <w:trHeight w:val="240"/>
          <w:tblHeader/>
        </w:trPr>
        <w:tc>
          <w:tcPr>
            <w:tcW w:w="2642" w:type="pct"/>
            <w:tcBorders>
              <w:top w:val="single" w:sz="4" w:space="0" w:color="auto"/>
              <w:bottom w:val="single" w:sz="12" w:space="0" w:color="auto"/>
            </w:tcBorders>
            <w:shd w:val="clear" w:color="auto" w:fill="auto"/>
            <w:vAlign w:val="bottom"/>
          </w:tcPr>
          <w:p w:rsidR="00F236D5" w:rsidRPr="00220E6B" w:rsidRDefault="00F236D5" w:rsidP="00947046">
            <w:pPr>
              <w:spacing w:before="80" w:after="80" w:line="200" w:lineRule="exact"/>
              <w:ind w:right="113"/>
              <w:rPr>
                <w:i/>
                <w:sz w:val="16"/>
              </w:rPr>
            </w:pPr>
            <w:r w:rsidRPr="00220E6B">
              <w:rPr>
                <w:i/>
                <w:sz w:val="16"/>
              </w:rPr>
              <w:t>Sector</w:t>
            </w:r>
            <w:r>
              <w:rPr>
                <w:i/>
                <w:sz w:val="16"/>
              </w:rPr>
              <w:t xml:space="preserve"> y diferencias de sexo</w:t>
            </w:r>
          </w:p>
        </w:tc>
        <w:tc>
          <w:tcPr>
            <w:tcW w:w="1135" w:type="pct"/>
            <w:tcBorders>
              <w:top w:val="single" w:sz="4" w:space="0" w:color="auto"/>
              <w:bottom w:val="single" w:sz="12" w:space="0" w:color="auto"/>
            </w:tcBorders>
            <w:shd w:val="clear" w:color="auto" w:fill="auto"/>
            <w:vAlign w:val="bottom"/>
          </w:tcPr>
          <w:p w:rsidR="00F236D5" w:rsidRPr="00220E6B" w:rsidRDefault="00F236D5" w:rsidP="00947046">
            <w:pPr>
              <w:spacing w:before="80" w:after="80" w:line="200" w:lineRule="exact"/>
              <w:jc w:val="right"/>
              <w:rPr>
                <w:i/>
                <w:sz w:val="16"/>
              </w:rPr>
            </w:pPr>
            <w:r>
              <w:rPr>
                <w:i/>
                <w:sz w:val="16"/>
              </w:rPr>
              <w:t>Hombres</w:t>
            </w:r>
          </w:p>
        </w:tc>
        <w:tc>
          <w:tcPr>
            <w:tcW w:w="1223" w:type="pct"/>
            <w:tcBorders>
              <w:top w:val="single" w:sz="4" w:space="0" w:color="auto"/>
              <w:bottom w:val="single" w:sz="12" w:space="0" w:color="auto"/>
            </w:tcBorders>
            <w:shd w:val="clear" w:color="auto" w:fill="auto"/>
            <w:vAlign w:val="bottom"/>
          </w:tcPr>
          <w:p w:rsidR="00F236D5" w:rsidRPr="00220E6B" w:rsidRDefault="00F236D5" w:rsidP="00947046">
            <w:pPr>
              <w:spacing w:before="80" w:after="80" w:line="200" w:lineRule="exact"/>
              <w:jc w:val="right"/>
              <w:rPr>
                <w:i/>
                <w:sz w:val="16"/>
              </w:rPr>
            </w:pPr>
            <w:r>
              <w:rPr>
                <w:i/>
                <w:sz w:val="16"/>
              </w:rPr>
              <w:t>Mujeres</w:t>
            </w:r>
          </w:p>
        </w:tc>
      </w:tr>
      <w:tr w:rsidR="00F236D5" w:rsidRPr="00220E6B" w:rsidTr="00947046">
        <w:trPr>
          <w:trHeight w:val="240"/>
        </w:trPr>
        <w:tc>
          <w:tcPr>
            <w:tcW w:w="2642" w:type="pct"/>
            <w:tcBorders>
              <w:top w:val="single" w:sz="12" w:space="0" w:color="auto"/>
              <w:bottom w:val="nil"/>
            </w:tcBorders>
            <w:shd w:val="clear" w:color="auto" w:fill="auto"/>
          </w:tcPr>
          <w:p w:rsidR="00F236D5" w:rsidRPr="00220E6B" w:rsidRDefault="00F236D5" w:rsidP="00947046">
            <w:pPr>
              <w:spacing w:before="40" w:after="40" w:line="220" w:lineRule="exact"/>
              <w:ind w:right="113"/>
              <w:rPr>
                <w:sz w:val="18"/>
              </w:rPr>
            </w:pPr>
            <w:r w:rsidRPr="00220E6B">
              <w:rPr>
                <w:sz w:val="18"/>
              </w:rPr>
              <w:t>Industr</w:t>
            </w:r>
            <w:r>
              <w:rPr>
                <w:sz w:val="18"/>
              </w:rPr>
              <w:t>ia primaria</w:t>
            </w:r>
          </w:p>
        </w:tc>
        <w:tc>
          <w:tcPr>
            <w:tcW w:w="1135" w:type="pct"/>
            <w:tcBorders>
              <w:top w:val="single" w:sz="12" w:space="0" w:color="auto"/>
              <w:bottom w:val="nil"/>
            </w:tcBorders>
            <w:shd w:val="clear" w:color="auto" w:fill="auto"/>
            <w:vAlign w:val="bottom"/>
          </w:tcPr>
          <w:p w:rsidR="00F236D5" w:rsidRPr="00220E6B" w:rsidRDefault="00F236D5" w:rsidP="00947046">
            <w:pPr>
              <w:spacing w:before="40" w:after="40" w:line="220" w:lineRule="exact"/>
              <w:jc w:val="right"/>
              <w:rPr>
                <w:sz w:val="18"/>
              </w:rPr>
            </w:pPr>
            <w:r>
              <w:rPr>
                <w:sz w:val="18"/>
              </w:rPr>
              <w:t>106,</w:t>
            </w:r>
            <w:r w:rsidRPr="00220E6B">
              <w:rPr>
                <w:sz w:val="18"/>
              </w:rPr>
              <w:t>1</w:t>
            </w:r>
          </w:p>
        </w:tc>
        <w:tc>
          <w:tcPr>
            <w:tcW w:w="1223" w:type="pct"/>
            <w:tcBorders>
              <w:top w:val="single" w:sz="12" w:space="0" w:color="auto"/>
              <w:bottom w:val="nil"/>
            </w:tcBorders>
            <w:shd w:val="clear" w:color="auto" w:fill="auto"/>
            <w:vAlign w:val="bottom"/>
          </w:tcPr>
          <w:p w:rsidR="00F236D5" w:rsidRPr="00220E6B" w:rsidRDefault="00F236D5" w:rsidP="00947046">
            <w:pPr>
              <w:spacing w:before="40" w:after="40" w:line="220" w:lineRule="exact"/>
              <w:jc w:val="right"/>
              <w:rPr>
                <w:sz w:val="18"/>
              </w:rPr>
            </w:pPr>
            <w:r>
              <w:rPr>
                <w:sz w:val="18"/>
              </w:rPr>
              <w:t>47,</w:t>
            </w:r>
            <w:r w:rsidRPr="00220E6B">
              <w:rPr>
                <w:sz w:val="18"/>
              </w:rPr>
              <w:t>1</w:t>
            </w:r>
          </w:p>
        </w:tc>
      </w:tr>
      <w:tr w:rsidR="00F236D5" w:rsidRPr="00220E6B" w:rsidTr="00947046">
        <w:trPr>
          <w:trHeight w:val="240"/>
        </w:trPr>
        <w:tc>
          <w:tcPr>
            <w:tcW w:w="2642" w:type="pct"/>
            <w:tcBorders>
              <w:top w:val="nil"/>
            </w:tcBorders>
            <w:shd w:val="clear" w:color="auto" w:fill="auto"/>
          </w:tcPr>
          <w:p w:rsidR="00F236D5" w:rsidRPr="00220E6B" w:rsidRDefault="00F236D5" w:rsidP="00947046">
            <w:pPr>
              <w:spacing w:before="40" w:after="40" w:line="220" w:lineRule="exact"/>
              <w:ind w:right="113"/>
              <w:rPr>
                <w:sz w:val="18"/>
              </w:rPr>
            </w:pPr>
            <w:r w:rsidRPr="00220E6B">
              <w:rPr>
                <w:sz w:val="18"/>
              </w:rPr>
              <w:t>Industr</w:t>
            </w:r>
            <w:r>
              <w:rPr>
                <w:sz w:val="18"/>
              </w:rPr>
              <w:t>ia secundaria</w:t>
            </w:r>
          </w:p>
        </w:tc>
        <w:tc>
          <w:tcPr>
            <w:tcW w:w="1135" w:type="pct"/>
            <w:tcBorders>
              <w:top w:val="nil"/>
            </w:tcBorders>
            <w:shd w:val="clear" w:color="auto" w:fill="auto"/>
            <w:vAlign w:val="bottom"/>
          </w:tcPr>
          <w:p w:rsidR="00F236D5" w:rsidRPr="00220E6B" w:rsidRDefault="00F236D5" w:rsidP="00947046">
            <w:pPr>
              <w:spacing w:before="40" w:after="40" w:line="220" w:lineRule="exact"/>
              <w:jc w:val="right"/>
              <w:rPr>
                <w:sz w:val="18"/>
              </w:rPr>
            </w:pPr>
            <w:r>
              <w:rPr>
                <w:sz w:val="18"/>
              </w:rPr>
              <w:t>347,</w:t>
            </w:r>
            <w:r w:rsidRPr="00220E6B">
              <w:rPr>
                <w:sz w:val="18"/>
              </w:rPr>
              <w:t>6</w:t>
            </w:r>
          </w:p>
        </w:tc>
        <w:tc>
          <w:tcPr>
            <w:tcW w:w="1223" w:type="pct"/>
            <w:tcBorders>
              <w:top w:val="nil"/>
            </w:tcBorders>
            <w:shd w:val="clear" w:color="auto" w:fill="auto"/>
            <w:vAlign w:val="bottom"/>
          </w:tcPr>
          <w:p w:rsidR="00F236D5" w:rsidRPr="00220E6B" w:rsidRDefault="00F236D5" w:rsidP="00947046">
            <w:pPr>
              <w:spacing w:before="40" w:after="40" w:line="220" w:lineRule="exact"/>
              <w:jc w:val="right"/>
              <w:rPr>
                <w:sz w:val="18"/>
              </w:rPr>
            </w:pPr>
            <w:r>
              <w:rPr>
                <w:sz w:val="18"/>
              </w:rPr>
              <w:t>98,</w:t>
            </w:r>
            <w:r w:rsidRPr="00220E6B">
              <w:rPr>
                <w:sz w:val="18"/>
              </w:rPr>
              <w:t>9</w:t>
            </w:r>
          </w:p>
        </w:tc>
      </w:tr>
      <w:tr w:rsidR="00F236D5" w:rsidRPr="00220E6B" w:rsidTr="00947046">
        <w:trPr>
          <w:trHeight w:val="240"/>
        </w:trPr>
        <w:tc>
          <w:tcPr>
            <w:tcW w:w="2642" w:type="pct"/>
            <w:shd w:val="clear" w:color="auto" w:fill="auto"/>
          </w:tcPr>
          <w:p w:rsidR="00F236D5" w:rsidRPr="00220E6B" w:rsidRDefault="00F236D5" w:rsidP="00947046">
            <w:pPr>
              <w:spacing w:before="40" w:after="40" w:line="220" w:lineRule="exact"/>
              <w:ind w:right="113"/>
              <w:rPr>
                <w:sz w:val="18"/>
              </w:rPr>
            </w:pPr>
            <w:r>
              <w:rPr>
                <w:sz w:val="18"/>
              </w:rPr>
              <w:t>Servicios prestados principalmente a empresas</w:t>
            </w:r>
          </w:p>
        </w:tc>
        <w:tc>
          <w:tcPr>
            <w:tcW w:w="1135" w:type="pct"/>
            <w:shd w:val="clear" w:color="auto" w:fill="auto"/>
            <w:vAlign w:val="bottom"/>
          </w:tcPr>
          <w:p w:rsidR="00F236D5" w:rsidRPr="00220E6B" w:rsidRDefault="00F236D5" w:rsidP="00947046">
            <w:pPr>
              <w:spacing w:before="40" w:after="40" w:line="220" w:lineRule="exact"/>
              <w:jc w:val="right"/>
              <w:rPr>
                <w:sz w:val="18"/>
              </w:rPr>
            </w:pPr>
            <w:r>
              <w:rPr>
                <w:sz w:val="18"/>
              </w:rPr>
              <w:t>320,</w:t>
            </w:r>
            <w:r w:rsidRPr="00220E6B">
              <w:rPr>
                <w:sz w:val="18"/>
              </w:rPr>
              <w:t>8</w:t>
            </w:r>
          </w:p>
        </w:tc>
        <w:tc>
          <w:tcPr>
            <w:tcW w:w="1223" w:type="pct"/>
            <w:shd w:val="clear" w:color="auto" w:fill="auto"/>
            <w:vAlign w:val="bottom"/>
          </w:tcPr>
          <w:p w:rsidR="00F236D5" w:rsidRPr="00220E6B" w:rsidRDefault="00F236D5" w:rsidP="00947046">
            <w:pPr>
              <w:spacing w:before="40" w:after="40" w:line="220" w:lineRule="exact"/>
              <w:jc w:val="right"/>
              <w:rPr>
                <w:sz w:val="18"/>
              </w:rPr>
            </w:pPr>
            <w:r>
              <w:rPr>
                <w:sz w:val="18"/>
              </w:rPr>
              <w:t>224,</w:t>
            </w:r>
            <w:r w:rsidRPr="00220E6B">
              <w:rPr>
                <w:sz w:val="18"/>
              </w:rPr>
              <w:t>3</w:t>
            </w:r>
          </w:p>
        </w:tc>
      </w:tr>
      <w:tr w:rsidR="00F236D5" w:rsidRPr="00220E6B" w:rsidTr="00947046">
        <w:trPr>
          <w:trHeight w:val="240"/>
        </w:trPr>
        <w:tc>
          <w:tcPr>
            <w:tcW w:w="2642" w:type="pct"/>
            <w:shd w:val="clear" w:color="auto" w:fill="auto"/>
          </w:tcPr>
          <w:p w:rsidR="00F236D5" w:rsidRPr="00220E6B" w:rsidRDefault="00F236D5" w:rsidP="00947046">
            <w:pPr>
              <w:spacing w:before="40" w:after="40" w:line="220" w:lineRule="exact"/>
              <w:ind w:right="113"/>
              <w:rPr>
                <w:sz w:val="18"/>
              </w:rPr>
            </w:pPr>
            <w:r w:rsidRPr="00220E6B">
              <w:rPr>
                <w:sz w:val="18"/>
              </w:rPr>
              <w:t>Servic</w:t>
            </w:r>
            <w:r>
              <w:rPr>
                <w:sz w:val="18"/>
              </w:rPr>
              <w:t>ios prestados principalmente a familias</w:t>
            </w:r>
          </w:p>
        </w:tc>
        <w:tc>
          <w:tcPr>
            <w:tcW w:w="1135" w:type="pct"/>
            <w:shd w:val="clear" w:color="auto" w:fill="auto"/>
            <w:vAlign w:val="bottom"/>
          </w:tcPr>
          <w:p w:rsidR="00F236D5" w:rsidRPr="00220E6B" w:rsidRDefault="00F236D5" w:rsidP="00947046">
            <w:pPr>
              <w:spacing w:before="40" w:after="40" w:line="220" w:lineRule="exact"/>
              <w:jc w:val="right"/>
              <w:rPr>
                <w:sz w:val="18"/>
              </w:rPr>
            </w:pPr>
            <w:r>
              <w:rPr>
                <w:sz w:val="18"/>
              </w:rPr>
              <w:t>368,</w:t>
            </w:r>
            <w:r w:rsidRPr="00220E6B">
              <w:rPr>
                <w:sz w:val="18"/>
              </w:rPr>
              <w:t>6</w:t>
            </w:r>
          </w:p>
        </w:tc>
        <w:tc>
          <w:tcPr>
            <w:tcW w:w="1223" w:type="pct"/>
            <w:shd w:val="clear" w:color="auto" w:fill="auto"/>
            <w:vAlign w:val="bottom"/>
          </w:tcPr>
          <w:p w:rsidR="00F236D5" w:rsidRPr="00220E6B" w:rsidRDefault="00F236D5" w:rsidP="00947046">
            <w:pPr>
              <w:spacing w:before="40" w:after="40" w:line="220" w:lineRule="exact"/>
              <w:jc w:val="right"/>
              <w:rPr>
                <w:sz w:val="18"/>
              </w:rPr>
            </w:pPr>
            <w:r>
              <w:rPr>
                <w:sz w:val="18"/>
              </w:rPr>
              <w:t>642,</w:t>
            </w:r>
            <w:r w:rsidRPr="00220E6B">
              <w:rPr>
                <w:sz w:val="18"/>
              </w:rPr>
              <w:t>3</w:t>
            </w:r>
          </w:p>
        </w:tc>
      </w:tr>
    </w:tbl>
    <w:p w:rsidR="00F236D5" w:rsidRPr="00E330B8" w:rsidRDefault="00F236D5" w:rsidP="00F236D5">
      <w:pPr>
        <w:pStyle w:val="SingleTxtG"/>
        <w:spacing w:before="120" w:after="240"/>
        <w:ind w:left="1304" w:hanging="170"/>
        <w:rPr>
          <w:sz w:val="18"/>
          <w:szCs w:val="18"/>
        </w:rPr>
      </w:pPr>
      <w:r w:rsidRPr="00E330B8">
        <w:rPr>
          <w:i/>
          <w:sz w:val="18"/>
          <w:szCs w:val="18"/>
        </w:rPr>
        <w:tab/>
        <w:t>Fuente:</w:t>
      </w:r>
      <w:r w:rsidRPr="00E330B8">
        <w:rPr>
          <w:sz w:val="18"/>
          <w:szCs w:val="18"/>
        </w:rPr>
        <w:t xml:space="preserve"> Oficina de Estadísticas de Nueva Zelandia.</w:t>
      </w:r>
    </w:p>
    <w:p w:rsidR="00F236D5" w:rsidRDefault="00F236D5" w:rsidP="00F236D5">
      <w:pPr>
        <w:pStyle w:val="Heading1"/>
      </w:pPr>
      <w:r>
        <w:t>Cuadro 9</w:t>
      </w:r>
    </w:p>
    <w:p w:rsidR="00F236D5" w:rsidRDefault="00F236D5" w:rsidP="00F236D5">
      <w:pPr>
        <w:pStyle w:val="SingleTxtG"/>
        <w:rPr>
          <w:b/>
        </w:rPr>
      </w:pPr>
      <w:r w:rsidRPr="007A5E6F">
        <w:rPr>
          <w:b/>
        </w:rPr>
        <w:t xml:space="preserve">Población por sector industrial amplio </w:t>
      </w:r>
      <w:r>
        <w:rPr>
          <w:b/>
        </w:rPr>
        <w:t xml:space="preserve">y </w:t>
      </w:r>
      <w:r w:rsidRPr="00DC45A7">
        <w:rPr>
          <w:b/>
        </w:rPr>
        <w:t>origen étnico, en miles de habitantes, 2009</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0BF" w:firstRow="1" w:lastRow="0" w:firstColumn="1" w:lastColumn="0" w:noHBand="0" w:noVBand="0"/>
      </w:tblPr>
      <w:tblGrid>
        <w:gridCol w:w="1836"/>
        <w:gridCol w:w="863"/>
        <w:gridCol w:w="863"/>
        <w:gridCol w:w="862"/>
        <w:gridCol w:w="769"/>
        <w:gridCol w:w="1377"/>
        <w:gridCol w:w="800"/>
      </w:tblGrid>
      <w:tr w:rsidR="00F236D5" w:rsidRPr="00220E6B" w:rsidTr="00947046">
        <w:trPr>
          <w:trHeight w:val="240"/>
          <w:tblHeader/>
        </w:trPr>
        <w:tc>
          <w:tcPr>
            <w:tcW w:w="1245" w:type="pct"/>
            <w:tcBorders>
              <w:top w:val="single" w:sz="4" w:space="0" w:color="auto"/>
              <w:bottom w:val="single" w:sz="12" w:space="0" w:color="auto"/>
            </w:tcBorders>
            <w:shd w:val="clear" w:color="auto" w:fill="auto"/>
            <w:vAlign w:val="bottom"/>
          </w:tcPr>
          <w:p w:rsidR="00F236D5" w:rsidRPr="00220E6B" w:rsidRDefault="00F236D5" w:rsidP="00947046">
            <w:pPr>
              <w:spacing w:before="80" w:after="80" w:line="200" w:lineRule="exact"/>
              <w:ind w:right="113"/>
              <w:rPr>
                <w:i/>
                <w:sz w:val="16"/>
              </w:rPr>
            </w:pPr>
            <w:r w:rsidRPr="00220E6B">
              <w:rPr>
                <w:i/>
                <w:sz w:val="16"/>
              </w:rPr>
              <w:t>Sector</w:t>
            </w:r>
            <w:r>
              <w:rPr>
                <w:i/>
                <w:sz w:val="16"/>
              </w:rPr>
              <w:t xml:space="preserve"> y origen étnico</w:t>
            </w:r>
          </w:p>
        </w:tc>
        <w:tc>
          <w:tcPr>
            <w:tcW w:w="585" w:type="pct"/>
            <w:tcBorders>
              <w:top w:val="single" w:sz="4" w:space="0" w:color="auto"/>
              <w:bottom w:val="single" w:sz="12" w:space="0" w:color="auto"/>
            </w:tcBorders>
            <w:shd w:val="clear" w:color="auto" w:fill="auto"/>
            <w:vAlign w:val="bottom"/>
          </w:tcPr>
          <w:p w:rsidR="00F236D5" w:rsidRPr="00220E6B" w:rsidRDefault="00F236D5" w:rsidP="00947046">
            <w:pPr>
              <w:spacing w:before="80" w:after="80" w:line="200" w:lineRule="exact"/>
              <w:jc w:val="right"/>
              <w:rPr>
                <w:i/>
                <w:sz w:val="16"/>
              </w:rPr>
            </w:pPr>
            <w:r w:rsidRPr="00220E6B">
              <w:rPr>
                <w:i/>
                <w:sz w:val="16"/>
              </w:rPr>
              <w:t>Europe</w:t>
            </w:r>
            <w:r>
              <w:rPr>
                <w:i/>
                <w:sz w:val="16"/>
              </w:rPr>
              <w:t>o</w:t>
            </w:r>
          </w:p>
        </w:tc>
        <w:tc>
          <w:tcPr>
            <w:tcW w:w="585" w:type="pct"/>
            <w:tcBorders>
              <w:top w:val="single" w:sz="4" w:space="0" w:color="auto"/>
              <w:bottom w:val="single" w:sz="12" w:space="0" w:color="auto"/>
            </w:tcBorders>
            <w:shd w:val="clear" w:color="auto" w:fill="auto"/>
            <w:vAlign w:val="bottom"/>
          </w:tcPr>
          <w:p w:rsidR="00F236D5" w:rsidRPr="00220E6B" w:rsidRDefault="00F236D5" w:rsidP="00947046">
            <w:pPr>
              <w:spacing w:before="80" w:after="80" w:line="200" w:lineRule="exact"/>
              <w:jc w:val="right"/>
              <w:rPr>
                <w:i/>
                <w:sz w:val="16"/>
              </w:rPr>
            </w:pPr>
            <w:r w:rsidRPr="00220E6B">
              <w:rPr>
                <w:i/>
                <w:sz w:val="16"/>
              </w:rPr>
              <w:t>M</w:t>
            </w:r>
            <w:r>
              <w:rPr>
                <w:i/>
                <w:sz w:val="16"/>
              </w:rPr>
              <w:t>aorí</w:t>
            </w:r>
          </w:p>
        </w:tc>
        <w:tc>
          <w:tcPr>
            <w:tcW w:w="585" w:type="pct"/>
            <w:tcBorders>
              <w:top w:val="single" w:sz="4" w:space="0" w:color="auto"/>
              <w:bottom w:val="single" w:sz="12" w:space="0" w:color="auto"/>
            </w:tcBorders>
            <w:shd w:val="clear" w:color="auto" w:fill="auto"/>
            <w:vAlign w:val="bottom"/>
          </w:tcPr>
          <w:p w:rsidR="00F236D5" w:rsidRPr="00220E6B" w:rsidRDefault="00F236D5" w:rsidP="00947046">
            <w:pPr>
              <w:spacing w:before="80" w:after="80" w:line="200" w:lineRule="exact"/>
              <w:jc w:val="right"/>
              <w:rPr>
                <w:i/>
                <w:sz w:val="16"/>
              </w:rPr>
            </w:pPr>
            <w:r>
              <w:rPr>
                <w:i/>
                <w:sz w:val="16"/>
              </w:rPr>
              <w:t>Pueblo del Pacífico</w:t>
            </w:r>
          </w:p>
        </w:tc>
        <w:tc>
          <w:tcPr>
            <w:tcW w:w="522" w:type="pct"/>
            <w:tcBorders>
              <w:top w:val="single" w:sz="4" w:space="0" w:color="auto"/>
              <w:bottom w:val="single" w:sz="12" w:space="0" w:color="auto"/>
            </w:tcBorders>
            <w:shd w:val="clear" w:color="auto" w:fill="auto"/>
            <w:vAlign w:val="bottom"/>
          </w:tcPr>
          <w:p w:rsidR="00F236D5" w:rsidRPr="00220E6B" w:rsidRDefault="00F236D5" w:rsidP="00947046">
            <w:pPr>
              <w:spacing w:before="80" w:after="80" w:line="200" w:lineRule="exact"/>
              <w:jc w:val="right"/>
              <w:rPr>
                <w:i/>
                <w:sz w:val="16"/>
              </w:rPr>
            </w:pPr>
            <w:r w:rsidRPr="00220E6B">
              <w:rPr>
                <w:i/>
                <w:sz w:val="16"/>
              </w:rPr>
              <w:t>Asi</w:t>
            </w:r>
            <w:r>
              <w:rPr>
                <w:i/>
                <w:sz w:val="16"/>
              </w:rPr>
              <w:t>ático</w:t>
            </w:r>
          </w:p>
        </w:tc>
        <w:tc>
          <w:tcPr>
            <w:tcW w:w="934" w:type="pct"/>
            <w:tcBorders>
              <w:top w:val="single" w:sz="4" w:space="0" w:color="auto"/>
              <w:bottom w:val="single" w:sz="12" w:space="0" w:color="auto"/>
            </w:tcBorders>
            <w:shd w:val="clear" w:color="auto" w:fill="auto"/>
            <w:vAlign w:val="bottom"/>
          </w:tcPr>
          <w:p w:rsidR="00F236D5" w:rsidRPr="008B1F77" w:rsidRDefault="00F236D5" w:rsidP="00947046">
            <w:pPr>
              <w:spacing w:before="80" w:after="80" w:line="200" w:lineRule="exact"/>
              <w:jc w:val="right"/>
              <w:rPr>
                <w:i/>
                <w:sz w:val="16"/>
              </w:rPr>
            </w:pPr>
            <w:r w:rsidRPr="008B1F77">
              <w:rPr>
                <w:i/>
                <w:sz w:val="16"/>
              </w:rPr>
              <w:t>Total de personas que especific</w:t>
            </w:r>
            <w:r>
              <w:rPr>
                <w:i/>
                <w:sz w:val="16"/>
              </w:rPr>
              <w:t>ó un</w:t>
            </w:r>
            <w:r>
              <w:rPr>
                <w:i/>
                <w:sz w:val="16"/>
              </w:rPr>
              <w:br/>
              <w:t>origen étnico</w:t>
            </w:r>
          </w:p>
        </w:tc>
        <w:tc>
          <w:tcPr>
            <w:tcW w:w="543" w:type="pct"/>
            <w:tcBorders>
              <w:top w:val="single" w:sz="4" w:space="0" w:color="auto"/>
              <w:bottom w:val="single" w:sz="12" w:space="0" w:color="auto"/>
            </w:tcBorders>
            <w:shd w:val="clear" w:color="auto" w:fill="auto"/>
            <w:vAlign w:val="bottom"/>
          </w:tcPr>
          <w:p w:rsidR="00F236D5" w:rsidRPr="00864C81" w:rsidRDefault="00F236D5" w:rsidP="00947046">
            <w:pPr>
              <w:spacing w:before="80" w:after="80" w:line="200" w:lineRule="exact"/>
              <w:jc w:val="right"/>
              <w:rPr>
                <w:i/>
                <w:sz w:val="16"/>
              </w:rPr>
            </w:pPr>
            <w:r w:rsidRPr="00864C81">
              <w:rPr>
                <w:i/>
                <w:sz w:val="16"/>
              </w:rPr>
              <w:t>Total</w:t>
            </w:r>
          </w:p>
        </w:tc>
      </w:tr>
      <w:tr w:rsidR="00F236D5" w:rsidRPr="00220E6B" w:rsidTr="00947046">
        <w:trPr>
          <w:trHeight w:val="240"/>
        </w:trPr>
        <w:tc>
          <w:tcPr>
            <w:tcW w:w="1245" w:type="pct"/>
            <w:tcBorders>
              <w:top w:val="single" w:sz="12" w:space="0" w:color="auto"/>
            </w:tcBorders>
            <w:shd w:val="clear" w:color="auto" w:fill="auto"/>
          </w:tcPr>
          <w:p w:rsidR="00F236D5" w:rsidRPr="00220E6B" w:rsidRDefault="00F236D5" w:rsidP="00947046">
            <w:pPr>
              <w:spacing w:before="40" w:after="40" w:line="220" w:lineRule="exact"/>
              <w:ind w:right="113"/>
              <w:rPr>
                <w:sz w:val="18"/>
              </w:rPr>
            </w:pPr>
            <w:r w:rsidRPr="00220E6B">
              <w:rPr>
                <w:sz w:val="18"/>
              </w:rPr>
              <w:t>Industr</w:t>
            </w:r>
            <w:r>
              <w:rPr>
                <w:sz w:val="18"/>
              </w:rPr>
              <w:t>ia primaria</w:t>
            </w:r>
          </w:p>
        </w:tc>
        <w:tc>
          <w:tcPr>
            <w:tcW w:w="585" w:type="pct"/>
            <w:tcBorders>
              <w:top w:val="single" w:sz="12" w:space="0" w:color="auto"/>
            </w:tcBorders>
            <w:shd w:val="clear" w:color="auto" w:fill="auto"/>
            <w:vAlign w:val="bottom"/>
          </w:tcPr>
          <w:p w:rsidR="00F236D5" w:rsidRPr="00220E6B" w:rsidRDefault="00F236D5" w:rsidP="00947046">
            <w:pPr>
              <w:spacing w:before="40" w:after="40" w:line="220" w:lineRule="exact"/>
              <w:jc w:val="right"/>
              <w:rPr>
                <w:sz w:val="18"/>
              </w:rPr>
            </w:pPr>
            <w:r w:rsidRPr="00220E6B">
              <w:rPr>
                <w:sz w:val="18"/>
              </w:rPr>
              <w:t>128</w:t>
            </w:r>
            <w:r>
              <w:rPr>
                <w:sz w:val="18"/>
              </w:rPr>
              <w:t>,</w:t>
            </w:r>
            <w:r w:rsidRPr="00220E6B">
              <w:rPr>
                <w:sz w:val="18"/>
              </w:rPr>
              <w:t>0</w:t>
            </w:r>
          </w:p>
        </w:tc>
        <w:tc>
          <w:tcPr>
            <w:tcW w:w="585" w:type="pct"/>
            <w:tcBorders>
              <w:top w:val="single" w:sz="12" w:space="0" w:color="auto"/>
            </w:tcBorders>
            <w:shd w:val="clear" w:color="auto" w:fill="auto"/>
            <w:vAlign w:val="bottom"/>
          </w:tcPr>
          <w:p w:rsidR="00F236D5" w:rsidRPr="00220E6B" w:rsidRDefault="00F236D5" w:rsidP="00947046">
            <w:pPr>
              <w:spacing w:before="40" w:after="40" w:line="220" w:lineRule="exact"/>
              <w:jc w:val="right"/>
              <w:rPr>
                <w:sz w:val="18"/>
              </w:rPr>
            </w:pPr>
            <w:r w:rsidRPr="00220E6B">
              <w:rPr>
                <w:sz w:val="18"/>
              </w:rPr>
              <w:t>19</w:t>
            </w:r>
            <w:r>
              <w:rPr>
                <w:sz w:val="18"/>
              </w:rPr>
              <w:t>,</w:t>
            </w:r>
            <w:r w:rsidRPr="00220E6B">
              <w:rPr>
                <w:sz w:val="18"/>
              </w:rPr>
              <w:t>7</w:t>
            </w:r>
          </w:p>
        </w:tc>
        <w:tc>
          <w:tcPr>
            <w:tcW w:w="585" w:type="pct"/>
            <w:tcBorders>
              <w:top w:val="single" w:sz="12" w:space="0" w:color="auto"/>
            </w:tcBorders>
            <w:shd w:val="clear" w:color="auto" w:fill="auto"/>
            <w:vAlign w:val="bottom"/>
          </w:tcPr>
          <w:p w:rsidR="00F236D5" w:rsidRPr="00220E6B" w:rsidRDefault="00F236D5" w:rsidP="00947046">
            <w:pPr>
              <w:spacing w:before="40" w:after="40" w:line="220" w:lineRule="exact"/>
              <w:jc w:val="right"/>
              <w:rPr>
                <w:sz w:val="18"/>
              </w:rPr>
            </w:pPr>
            <w:r w:rsidRPr="00220E6B">
              <w:rPr>
                <w:sz w:val="18"/>
              </w:rPr>
              <w:t>2</w:t>
            </w:r>
            <w:r>
              <w:rPr>
                <w:sz w:val="18"/>
              </w:rPr>
              <w:t>,</w:t>
            </w:r>
            <w:r w:rsidRPr="00220E6B">
              <w:rPr>
                <w:sz w:val="18"/>
              </w:rPr>
              <w:t>6</w:t>
            </w:r>
          </w:p>
        </w:tc>
        <w:tc>
          <w:tcPr>
            <w:tcW w:w="522" w:type="pct"/>
            <w:tcBorders>
              <w:top w:val="single" w:sz="12" w:space="0" w:color="auto"/>
            </w:tcBorders>
            <w:shd w:val="clear" w:color="auto" w:fill="auto"/>
            <w:vAlign w:val="bottom"/>
          </w:tcPr>
          <w:p w:rsidR="00F236D5" w:rsidRPr="00220E6B" w:rsidRDefault="00F236D5" w:rsidP="00947046">
            <w:pPr>
              <w:spacing w:before="40" w:after="40" w:line="220" w:lineRule="exact"/>
              <w:jc w:val="right"/>
              <w:rPr>
                <w:sz w:val="18"/>
              </w:rPr>
            </w:pPr>
            <w:r w:rsidRPr="00220E6B">
              <w:rPr>
                <w:sz w:val="18"/>
              </w:rPr>
              <w:t>11</w:t>
            </w:r>
            <w:r>
              <w:rPr>
                <w:sz w:val="18"/>
              </w:rPr>
              <w:t>,</w:t>
            </w:r>
            <w:r w:rsidRPr="00220E6B">
              <w:rPr>
                <w:sz w:val="18"/>
              </w:rPr>
              <w:t>4</w:t>
            </w:r>
          </w:p>
        </w:tc>
        <w:tc>
          <w:tcPr>
            <w:tcW w:w="934" w:type="pct"/>
            <w:tcBorders>
              <w:top w:val="single" w:sz="12" w:space="0" w:color="auto"/>
            </w:tcBorders>
            <w:shd w:val="clear" w:color="auto" w:fill="auto"/>
            <w:vAlign w:val="bottom"/>
          </w:tcPr>
          <w:p w:rsidR="00F236D5" w:rsidRPr="00220E6B" w:rsidRDefault="00F236D5" w:rsidP="00947046">
            <w:pPr>
              <w:spacing w:before="40" w:after="40" w:line="220" w:lineRule="exact"/>
              <w:jc w:val="right"/>
              <w:rPr>
                <w:sz w:val="18"/>
              </w:rPr>
            </w:pPr>
            <w:r w:rsidRPr="00220E6B">
              <w:rPr>
                <w:sz w:val="18"/>
              </w:rPr>
              <w:t>153</w:t>
            </w:r>
            <w:r>
              <w:rPr>
                <w:sz w:val="18"/>
              </w:rPr>
              <w:t>,</w:t>
            </w:r>
            <w:r w:rsidRPr="00220E6B">
              <w:rPr>
                <w:sz w:val="18"/>
              </w:rPr>
              <w:t>0</w:t>
            </w:r>
          </w:p>
        </w:tc>
        <w:tc>
          <w:tcPr>
            <w:tcW w:w="543" w:type="pct"/>
            <w:tcBorders>
              <w:top w:val="single" w:sz="12" w:space="0" w:color="auto"/>
            </w:tcBorders>
            <w:shd w:val="clear" w:color="auto" w:fill="auto"/>
            <w:vAlign w:val="bottom"/>
          </w:tcPr>
          <w:p w:rsidR="00F236D5" w:rsidRPr="00864C81" w:rsidRDefault="00F236D5" w:rsidP="00947046">
            <w:pPr>
              <w:spacing w:before="40" w:after="40" w:line="220" w:lineRule="exact"/>
              <w:jc w:val="right"/>
              <w:rPr>
                <w:sz w:val="18"/>
              </w:rPr>
            </w:pPr>
            <w:r w:rsidRPr="00864C81">
              <w:rPr>
                <w:sz w:val="18"/>
              </w:rPr>
              <w:t>153,2</w:t>
            </w:r>
          </w:p>
        </w:tc>
      </w:tr>
      <w:tr w:rsidR="00F236D5" w:rsidRPr="00220E6B" w:rsidTr="00947046">
        <w:trPr>
          <w:trHeight w:val="240"/>
        </w:trPr>
        <w:tc>
          <w:tcPr>
            <w:tcW w:w="1245" w:type="pct"/>
            <w:shd w:val="clear" w:color="auto" w:fill="auto"/>
          </w:tcPr>
          <w:p w:rsidR="00F236D5" w:rsidRPr="00220E6B" w:rsidRDefault="00F236D5" w:rsidP="00947046">
            <w:pPr>
              <w:spacing w:before="40" w:after="40" w:line="220" w:lineRule="exact"/>
              <w:ind w:right="113"/>
              <w:rPr>
                <w:sz w:val="18"/>
              </w:rPr>
            </w:pPr>
            <w:r w:rsidRPr="00220E6B">
              <w:rPr>
                <w:sz w:val="18"/>
              </w:rPr>
              <w:t>Industr</w:t>
            </w:r>
            <w:r>
              <w:rPr>
                <w:sz w:val="18"/>
              </w:rPr>
              <w:t>ia secundaria</w:t>
            </w:r>
          </w:p>
        </w:tc>
        <w:tc>
          <w:tcPr>
            <w:tcW w:w="585" w:type="pct"/>
            <w:shd w:val="clear" w:color="auto" w:fill="auto"/>
            <w:vAlign w:val="bottom"/>
          </w:tcPr>
          <w:p w:rsidR="00F236D5" w:rsidRPr="00220E6B" w:rsidRDefault="00F236D5" w:rsidP="00947046">
            <w:pPr>
              <w:spacing w:before="40" w:after="40" w:line="220" w:lineRule="exact"/>
              <w:jc w:val="right"/>
              <w:rPr>
                <w:sz w:val="18"/>
              </w:rPr>
            </w:pPr>
            <w:r w:rsidRPr="00220E6B">
              <w:rPr>
                <w:sz w:val="18"/>
              </w:rPr>
              <w:t>344</w:t>
            </w:r>
            <w:r>
              <w:rPr>
                <w:sz w:val="18"/>
              </w:rPr>
              <w:t>,</w:t>
            </w:r>
            <w:r w:rsidRPr="00220E6B">
              <w:rPr>
                <w:sz w:val="18"/>
              </w:rPr>
              <w:t>2</w:t>
            </w:r>
          </w:p>
        </w:tc>
        <w:tc>
          <w:tcPr>
            <w:tcW w:w="585" w:type="pct"/>
            <w:shd w:val="clear" w:color="auto" w:fill="auto"/>
            <w:vAlign w:val="bottom"/>
          </w:tcPr>
          <w:p w:rsidR="00F236D5" w:rsidRPr="00220E6B" w:rsidRDefault="00F236D5" w:rsidP="00947046">
            <w:pPr>
              <w:spacing w:before="40" w:after="40" w:line="220" w:lineRule="exact"/>
              <w:jc w:val="right"/>
              <w:rPr>
                <w:sz w:val="18"/>
              </w:rPr>
            </w:pPr>
            <w:r w:rsidRPr="00220E6B">
              <w:rPr>
                <w:sz w:val="18"/>
              </w:rPr>
              <w:t>62</w:t>
            </w:r>
            <w:r>
              <w:rPr>
                <w:sz w:val="18"/>
              </w:rPr>
              <w:t>,</w:t>
            </w:r>
            <w:r w:rsidRPr="00220E6B">
              <w:rPr>
                <w:sz w:val="18"/>
              </w:rPr>
              <w:t>7</w:t>
            </w:r>
          </w:p>
        </w:tc>
        <w:tc>
          <w:tcPr>
            <w:tcW w:w="585" w:type="pct"/>
            <w:shd w:val="clear" w:color="auto" w:fill="auto"/>
            <w:vAlign w:val="bottom"/>
          </w:tcPr>
          <w:p w:rsidR="00F236D5" w:rsidRPr="00220E6B" w:rsidRDefault="00F236D5" w:rsidP="00947046">
            <w:pPr>
              <w:spacing w:before="40" w:after="40" w:line="220" w:lineRule="exact"/>
              <w:jc w:val="right"/>
              <w:rPr>
                <w:sz w:val="18"/>
              </w:rPr>
            </w:pPr>
            <w:r w:rsidRPr="00220E6B">
              <w:rPr>
                <w:sz w:val="18"/>
              </w:rPr>
              <w:t>29</w:t>
            </w:r>
            <w:r>
              <w:rPr>
                <w:sz w:val="18"/>
              </w:rPr>
              <w:t>,</w:t>
            </w:r>
            <w:r w:rsidRPr="00220E6B">
              <w:rPr>
                <w:sz w:val="18"/>
              </w:rPr>
              <w:t>5</w:t>
            </w:r>
          </w:p>
        </w:tc>
        <w:tc>
          <w:tcPr>
            <w:tcW w:w="522" w:type="pct"/>
            <w:shd w:val="clear" w:color="auto" w:fill="auto"/>
            <w:vAlign w:val="bottom"/>
          </w:tcPr>
          <w:p w:rsidR="00F236D5" w:rsidRPr="00220E6B" w:rsidRDefault="00F236D5" w:rsidP="00947046">
            <w:pPr>
              <w:spacing w:before="40" w:after="40" w:line="220" w:lineRule="exact"/>
              <w:jc w:val="right"/>
              <w:rPr>
                <w:sz w:val="18"/>
              </w:rPr>
            </w:pPr>
            <w:r w:rsidRPr="00220E6B">
              <w:rPr>
                <w:sz w:val="18"/>
              </w:rPr>
              <w:t>41</w:t>
            </w:r>
            <w:r>
              <w:rPr>
                <w:sz w:val="18"/>
              </w:rPr>
              <w:t>,</w:t>
            </w:r>
            <w:r w:rsidRPr="00220E6B">
              <w:rPr>
                <w:sz w:val="18"/>
              </w:rPr>
              <w:t>7</w:t>
            </w:r>
          </w:p>
        </w:tc>
        <w:tc>
          <w:tcPr>
            <w:tcW w:w="934" w:type="pct"/>
            <w:shd w:val="clear" w:color="auto" w:fill="auto"/>
            <w:vAlign w:val="bottom"/>
          </w:tcPr>
          <w:p w:rsidR="00F236D5" w:rsidRPr="00220E6B" w:rsidRDefault="00F236D5" w:rsidP="00947046">
            <w:pPr>
              <w:spacing w:before="40" w:after="40" w:line="220" w:lineRule="exact"/>
              <w:jc w:val="right"/>
              <w:rPr>
                <w:sz w:val="18"/>
              </w:rPr>
            </w:pPr>
            <w:r w:rsidRPr="00220E6B">
              <w:rPr>
                <w:sz w:val="18"/>
              </w:rPr>
              <w:t>446</w:t>
            </w:r>
            <w:r>
              <w:rPr>
                <w:sz w:val="18"/>
              </w:rPr>
              <w:t>,</w:t>
            </w:r>
            <w:r w:rsidRPr="00220E6B">
              <w:rPr>
                <w:sz w:val="18"/>
              </w:rPr>
              <w:t>0</w:t>
            </w:r>
          </w:p>
        </w:tc>
        <w:tc>
          <w:tcPr>
            <w:tcW w:w="543" w:type="pct"/>
            <w:shd w:val="clear" w:color="auto" w:fill="auto"/>
            <w:vAlign w:val="bottom"/>
          </w:tcPr>
          <w:p w:rsidR="00F236D5" w:rsidRPr="00864C81" w:rsidRDefault="00F236D5" w:rsidP="00947046">
            <w:pPr>
              <w:spacing w:before="40" w:after="40" w:line="220" w:lineRule="exact"/>
              <w:jc w:val="right"/>
              <w:rPr>
                <w:sz w:val="18"/>
              </w:rPr>
            </w:pPr>
            <w:r w:rsidRPr="00864C81">
              <w:rPr>
                <w:sz w:val="18"/>
              </w:rPr>
              <w:t>446,5</w:t>
            </w:r>
          </w:p>
        </w:tc>
      </w:tr>
      <w:tr w:rsidR="00F236D5" w:rsidRPr="00220E6B" w:rsidTr="00947046">
        <w:trPr>
          <w:trHeight w:val="240"/>
        </w:trPr>
        <w:tc>
          <w:tcPr>
            <w:tcW w:w="1245" w:type="pct"/>
            <w:shd w:val="clear" w:color="auto" w:fill="auto"/>
          </w:tcPr>
          <w:p w:rsidR="00F236D5" w:rsidRPr="00220E6B" w:rsidRDefault="00F236D5" w:rsidP="00947046">
            <w:pPr>
              <w:spacing w:before="40" w:after="40" w:line="220" w:lineRule="exact"/>
              <w:ind w:right="113"/>
              <w:rPr>
                <w:sz w:val="18"/>
              </w:rPr>
            </w:pPr>
            <w:r>
              <w:rPr>
                <w:sz w:val="18"/>
              </w:rPr>
              <w:t>Servicios prestados principalmente a empresas</w:t>
            </w:r>
          </w:p>
        </w:tc>
        <w:tc>
          <w:tcPr>
            <w:tcW w:w="585" w:type="pct"/>
            <w:shd w:val="clear" w:color="auto" w:fill="auto"/>
            <w:vAlign w:val="bottom"/>
          </w:tcPr>
          <w:p w:rsidR="00F236D5" w:rsidRPr="00220E6B" w:rsidRDefault="00F236D5" w:rsidP="00947046">
            <w:pPr>
              <w:spacing w:before="40" w:after="40" w:line="220" w:lineRule="exact"/>
              <w:jc w:val="right"/>
              <w:rPr>
                <w:sz w:val="18"/>
              </w:rPr>
            </w:pPr>
            <w:r w:rsidRPr="00220E6B">
              <w:rPr>
                <w:sz w:val="18"/>
              </w:rPr>
              <w:t>427</w:t>
            </w:r>
            <w:r>
              <w:rPr>
                <w:sz w:val="18"/>
              </w:rPr>
              <w:t>,</w:t>
            </w:r>
            <w:r w:rsidRPr="00220E6B">
              <w:rPr>
                <w:sz w:val="18"/>
              </w:rPr>
              <w:t>6</w:t>
            </w:r>
          </w:p>
        </w:tc>
        <w:tc>
          <w:tcPr>
            <w:tcW w:w="585" w:type="pct"/>
            <w:shd w:val="clear" w:color="auto" w:fill="auto"/>
            <w:vAlign w:val="bottom"/>
          </w:tcPr>
          <w:p w:rsidR="00F236D5" w:rsidRPr="00220E6B" w:rsidRDefault="00F236D5" w:rsidP="00947046">
            <w:pPr>
              <w:spacing w:before="40" w:after="40" w:line="220" w:lineRule="exact"/>
              <w:jc w:val="right"/>
              <w:rPr>
                <w:sz w:val="18"/>
              </w:rPr>
            </w:pPr>
            <w:r w:rsidRPr="00220E6B">
              <w:rPr>
                <w:sz w:val="18"/>
              </w:rPr>
              <w:t>49</w:t>
            </w:r>
            <w:r>
              <w:rPr>
                <w:sz w:val="18"/>
              </w:rPr>
              <w:t>,</w:t>
            </w:r>
            <w:r w:rsidRPr="00220E6B">
              <w:rPr>
                <w:sz w:val="18"/>
              </w:rPr>
              <w:t>3</w:t>
            </w:r>
          </w:p>
        </w:tc>
        <w:tc>
          <w:tcPr>
            <w:tcW w:w="585" w:type="pct"/>
            <w:shd w:val="clear" w:color="auto" w:fill="auto"/>
            <w:vAlign w:val="bottom"/>
          </w:tcPr>
          <w:p w:rsidR="00F236D5" w:rsidRPr="00220E6B" w:rsidRDefault="00F236D5" w:rsidP="00947046">
            <w:pPr>
              <w:spacing w:before="40" w:after="40" w:line="220" w:lineRule="exact"/>
              <w:jc w:val="right"/>
              <w:rPr>
                <w:sz w:val="18"/>
              </w:rPr>
            </w:pPr>
            <w:r w:rsidRPr="00220E6B">
              <w:rPr>
                <w:sz w:val="18"/>
              </w:rPr>
              <w:t>25</w:t>
            </w:r>
            <w:r>
              <w:rPr>
                <w:sz w:val="18"/>
              </w:rPr>
              <w:t>,</w:t>
            </w:r>
            <w:r w:rsidRPr="00220E6B">
              <w:rPr>
                <w:sz w:val="18"/>
              </w:rPr>
              <w:t>5</w:t>
            </w:r>
          </w:p>
        </w:tc>
        <w:tc>
          <w:tcPr>
            <w:tcW w:w="522" w:type="pct"/>
            <w:shd w:val="clear" w:color="auto" w:fill="auto"/>
            <w:vAlign w:val="bottom"/>
          </w:tcPr>
          <w:p w:rsidR="00F236D5" w:rsidRPr="00220E6B" w:rsidRDefault="00F236D5" w:rsidP="00947046">
            <w:pPr>
              <w:spacing w:before="40" w:after="40" w:line="220" w:lineRule="exact"/>
              <w:jc w:val="right"/>
              <w:rPr>
                <w:sz w:val="18"/>
              </w:rPr>
            </w:pPr>
            <w:r w:rsidRPr="00220E6B">
              <w:rPr>
                <w:sz w:val="18"/>
              </w:rPr>
              <w:t>73</w:t>
            </w:r>
            <w:r>
              <w:rPr>
                <w:sz w:val="18"/>
              </w:rPr>
              <w:t>,</w:t>
            </w:r>
            <w:r w:rsidRPr="00220E6B">
              <w:rPr>
                <w:sz w:val="18"/>
              </w:rPr>
              <w:t>2</w:t>
            </w:r>
          </w:p>
        </w:tc>
        <w:tc>
          <w:tcPr>
            <w:tcW w:w="934" w:type="pct"/>
            <w:shd w:val="clear" w:color="auto" w:fill="auto"/>
            <w:vAlign w:val="bottom"/>
          </w:tcPr>
          <w:p w:rsidR="00F236D5" w:rsidRPr="00220E6B" w:rsidRDefault="00F236D5" w:rsidP="00947046">
            <w:pPr>
              <w:spacing w:before="40" w:after="40" w:line="220" w:lineRule="exact"/>
              <w:jc w:val="right"/>
              <w:rPr>
                <w:sz w:val="18"/>
              </w:rPr>
            </w:pPr>
            <w:r w:rsidRPr="00220E6B">
              <w:rPr>
                <w:sz w:val="18"/>
              </w:rPr>
              <w:t>544</w:t>
            </w:r>
            <w:r>
              <w:rPr>
                <w:sz w:val="18"/>
              </w:rPr>
              <w:t>,</w:t>
            </w:r>
            <w:r w:rsidRPr="00220E6B">
              <w:rPr>
                <w:sz w:val="18"/>
              </w:rPr>
              <w:t>6</w:t>
            </w:r>
          </w:p>
        </w:tc>
        <w:tc>
          <w:tcPr>
            <w:tcW w:w="543" w:type="pct"/>
            <w:shd w:val="clear" w:color="auto" w:fill="auto"/>
            <w:vAlign w:val="bottom"/>
          </w:tcPr>
          <w:p w:rsidR="00F236D5" w:rsidRPr="00864C81" w:rsidRDefault="00F236D5" w:rsidP="00947046">
            <w:pPr>
              <w:spacing w:before="40" w:after="40" w:line="220" w:lineRule="exact"/>
              <w:jc w:val="right"/>
              <w:rPr>
                <w:sz w:val="18"/>
              </w:rPr>
            </w:pPr>
            <w:r w:rsidRPr="00864C81">
              <w:rPr>
                <w:sz w:val="18"/>
              </w:rPr>
              <w:t>545,1</w:t>
            </w:r>
          </w:p>
        </w:tc>
      </w:tr>
      <w:tr w:rsidR="00F236D5" w:rsidRPr="00220E6B" w:rsidTr="00947046">
        <w:trPr>
          <w:trHeight w:val="240"/>
        </w:trPr>
        <w:tc>
          <w:tcPr>
            <w:tcW w:w="1245" w:type="pct"/>
            <w:shd w:val="clear" w:color="auto" w:fill="auto"/>
          </w:tcPr>
          <w:p w:rsidR="00F236D5" w:rsidRPr="00220E6B" w:rsidRDefault="00F236D5" w:rsidP="00947046">
            <w:pPr>
              <w:spacing w:before="40" w:after="40" w:line="220" w:lineRule="exact"/>
              <w:ind w:right="113"/>
              <w:rPr>
                <w:sz w:val="18"/>
              </w:rPr>
            </w:pPr>
            <w:r>
              <w:rPr>
                <w:sz w:val="18"/>
              </w:rPr>
              <w:t>Servicios prestados principalmente a familias</w:t>
            </w:r>
          </w:p>
        </w:tc>
        <w:tc>
          <w:tcPr>
            <w:tcW w:w="585" w:type="pct"/>
            <w:shd w:val="clear" w:color="auto" w:fill="auto"/>
            <w:vAlign w:val="bottom"/>
          </w:tcPr>
          <w:p w:rsidR="00F236D5" w:rsidRPr="00220E6B" w:rsidRDefault="00F236D5" w:rsidP="00947046">
            <w:pPr>
              <w:spacing w:before="40" w:after="40" w:line="220" w:lineRule="exact"/>
              <w:jc w:val="right"/>
              <w:rPr>
                <w:sz w:val="18"/>
              </w:rPr>
            </w:pPr>
            <w:r w:rsidRPr="00220E6B">
              <w:rPr>
                <w:sz w:val="18"/>
              </w:rPr>
              <w:t>786</w:t>
            </w:r>
            <w:r>
              <w:rPr>
                <w:sz w:val="18"/>
              </w:rPr>
              <w:t>,</w:t>
            </w:r>
            <w:r w:rsidRPr="00220E6B">
              <w:rPr>
                <w:sz w:val="18"/>
              </w:rPr>
              <w:t>1</w:t>
            </w:r>
          </w:p>
        </w:tc>
        <w:tc>
          <w:tcPr>
            <w:tcW w:w="585" w:type="pct"/>
            <w:shd w:val="clear" w:color="auto" w:fill="auto"/>
            <w:vAlign w:val="bottom"/>
          </w:tcPr>
          <w:p w:rsidR="00F236D5" w:rsidRPr="00220E6B" w:rsidRDefault="00F236D5" w:rsidP="00947046">
            <w:pPr>
              <w:spacing w:before="40" w:after="40" w:line="220" w:lineRule="exact"/>
              <w:jc w:val="right"/>
              <w:rPr>
                <w:sz w:val="18"/>
              </w:rPr>
            </w:pPr>
            <w:r w:rsidRPr="00220E6B">
              <w:rPr>
                <w:sz w:val="18"/>
              </w:rPr>
              <w:t>114</w:t>
            </w:r>
            <w:r>
              <w:rPr>
                <w:sz w:val="18"/>
              </w:rPr>
              <w:t>,</w:t>
            </w:r>
            <w:r w:rsidRPr="00220E6B">
              <w:rPr>
                <w:sz w:val="18"/>
              </w:rPr>
              <w:t>3</w:t>
            </w:r>
          </w:p>
        </w:tc>
        <w:tc>
          <w:tcPr>
            <w:tcW w:w="585" w:type="pct"/>
            <w:shd w:val="clear" w:color="auto" w:fill="auto"/>
            <w:vAlign w:val="bottom"/>
          </w:tcPr>
          <w:p w:rsidR="00F236D5" w:rsidRPr="00220E6B" w:rsidRDefault="00F236D5" w:rsidP="00947046">
            <w:pPr>
              <w:spacing w:before="40" w:after="40" w:line="220" w:lineRule="exact"/>
              <w:jc w:val="right"/>
              <w:rPr>
                <w:sz w:val="18"/>
              </w:rPr>
            </w:pPr>
            <w:r w:rsidRPr="00220E6B">
              <w:rPr>
                <w:sz w:val="18"/>
              </w:rPr>
              <w:t>42</w:t>
            </w:r>
            <w:r>
              <w:rPr>
                <w:sz w:val="18"/>
              </w:rPr>
              <w:t>,</w:t>
            </w:r>
            <w:r w:rsidRPr="00220E6B">
              <w:rPr>
                <w:sz w:val="18"/>
              </w:rPr>
              <w:t>5</w:t>
            </w:r>
          </w:p>
        </w:tc>
        <w:tc>
          <w:tcPr>
            <w:tcW w:w="522" w:type="pct"/>
            <w:shd w:val="clear" w:color="auto" w:fill="auto"/>
            <w:vAlign w:val="bottom"/>
          </w:tcPr>
          <w:p w:rsidR="00F236D5" w:rsidRPr="00220E6B" w:rsidRDefault="00F236D5" w:rsidP="00947046">
            <w:pPr>
              <w:spacing w:before="40" w:after="40" w:line="220" w:lineRule="exact"/>
              <w:jc w:val="right"/>
              <w:rPr>
                <w:sz w:val="18"/>
              </w:rPr>
            </w:pPr>
            <w:r w:rsidRPr="00220E6B">
              <w:rPr>
                <w:sz w:val="18"/>
              </w:rPr>
              <w:t>133</w:t>
            </w:r>
            <w:r>
              <w:rPr>
                <w:sz w:val="18"/>
              </w:rPr>
              <w:t>,</w:t>
            </w:r>
            <w:r w:rsidRPr="00220E6B">
              <w:rPr>
                <w:sz w:val="18"/>
              </w:rPr>
              <w:t>7</w:t>
            </w:r>
          </w:p>
        </w:tc>
        <w:tc>
          <w:tcPr>
            <w:tcW w:w="934" w:type="pct"/>
            <w:shd w:val="clear" w:color="auto" w:fill="auto"/>
            <w:vAlign w:val="bottom"/>
          </w:tcPr>
          <w:p w:rsidR="00F236D5" w:rsidRPr="00220E6B" w:rsidRDefault="00F236D5" w:rsidP="00947046">
            <w:pPr>
              <w:spacing w:before="40" w:after="40" w:line="220" w:lineRule="exact"/>
              <w:jc w:val="right"/>
              <w:rPr>
                <w:sz w:val="18"/>
              </w:rPr>
            </w:pPr>
            <w:r>
              <w:rPr>
                <w:sz w:val="18"/>
              </w:rPr>
              <w:t xml:space="preserve">1 </w:t>
            </w:r>
            <w:r w:rsidRPr="00220E6B">
              <w:rPr>
                <w:sz w:val="18"/>
              </w:rPr>
              <w:t>009</w:t>
            </w:r>
            <w:r>
              <w:rPr>
                <w:sz w:val="18"/>
              </w:rPr>
              <w:t>,</w:t>
            </w:r>
            <w:r w:rsidRPr="00220E6B">
              <w:rPr>
                <w:sz w:val="18"/>
              </w:rPr>
              <w:t>2</w:t>
            </w:r>
          </w:p>
        </w:tc>
        <w:tc>
          <w:tcPr>
            <w:tcW w:w="543" w:type="pct"/>
            <w:shd w:val="clear" w:color="auto" w:fill="auto"/>
            <w:vAlign w:val="bottom"/>
          </w:tcPr>
          <w:p w:rsidR="00F236D5" w:rsidRPr="00864C81" w:rsidRDefault="00F236D5" w:rsidP="00947046">
            <w:pPr>
              <w:spacing w:before="40" w:after="40" w:line="220" w:lineRule="exact"/>
              <w:jc w:val="right"/>
              <w:rPr>
                <w:sz w:val="18"/>
              </w:rPr>
            </w:pPr>
            <w:r w:rsidRPr="00864C81">
              <w:rPr>
                <w:sz w:val="18"/>
              </w:rPr>
              <w:t>1 010,8</w:t>
            </w:r>
          </w:p>
        </w:tc>
      </w:tr>
    </w:tbl>
    <w:p w:rsidR="00F236D5" w:rsidRPr="00E330B8" w:rsidRDefault="00F236D5" w:rsidP="00F236D5">
      <w:pPr>
        <w:pStyle w:val="SingleTxtG"/>
        <w:spacing w:before="120" w:after="240"/>
        <w:ind w:left="1304" w:hanging="170"/>
        <w:rPr>
          <w:sz w:val="18"/>
          <w:szCs w:val="18"/>
        </w:rPr>
      </w:pPr>
      <w:r w:rsidRPr="002D0C6D">
        <w:tab/>
      </w:r>
      <w:r w:rsidRPr="00E330B8">
        <w:rPr>
          <w:i/>
          <w:sz w:val="18"/>
          <w:szCs w:val="18"/>
        </w:rPr>
        <w:t>Fuente:</w:t>
      </w:r>
      <w:r w:rsidRPr="00E330B8">
        <w:rPr>
          <w:sz w:val="18"/>
          <w:szCs w:val="18"/>
        </w:rPr>
        <w:t xml:space="preserve"> Oficina de Estadísticas de Nueva Zelandia.</w:t>
      </w:r>
    </w:p>
    <w:p w:rsidR="00F236D5" w:rsidRPr="002D0C6D" w:rsidRDefault="00F236D5" w:rsidP="00F236D5">
      <w:pPr>
        <w:pStyle w:val="H4G"/>
      </w:pPr>
      <w:r>
        <w:tab/>
      </w:r>
      <w:r w:rsidRPr="002D0C6D">
        <w:t>b)</w:t>
      </w:r>
      <w:r w:rsidRPr="002D0C6D">
        <w:tab/>
        <w:t>Producto interno bruto</w:t>
      </w:r>
    </w:p>
    <w:p w:rsidR="00F236D5" w:rsidRPr="002D0C6D" w:rsidRDefault="00F236D5" w:rsidP="00F236D5">
      <w:pPr>
        <w:pStyle w:val="SingleTxtG"/>
      </w:pPr>
      <w:r w:rsidRPr="002D0C6D">
        <w:t>33.</w:t>
      </w:r>
      <w:r w:rsidRPr="002D0C6D">
        <w:tab/>
        <w:t>El producto interno bruto (PIB) a precios corrientes del año que finalizó en marzo de 2010 ascendió a</w:t>
      </w:r>
      <w:r>
        <w:t xml:space="preserve"> </w:t>
      </w:r>
      <w:r w:rsidRPr="002D0C6D">
        <w:t>187.362</w:t>
      </w:r>
      <w:r>
        <w:t xml:space="preserve"> </w:t>
      </w:r>
      <w:r w:rsidRPr="002D0C6D">
        <w:t>millones de dólares neozelandeses y a valores reales del PIB (precios de 1995-1996) la cifra fue</w:t>
      </w:r>
      <w:r>
        <w:t xml:space="preserve"> de 132.737 millones de dólares</w:t>
      </w:r>
      <w:r>
        <w:rPr>
          <w:rStyle w:val="FootnoteReference"/>
        </w:rPr>
        <w:footnoteReference w:id="3"/>
      </w:r>
      <w:r>
        <w:t>.</w:t>
      </w:r>
      <w:r w:rsidRPr="002D0C6D">
        <w:t xml:space="preserve"> La economía neozelandesa, que ya estaba en recesión debido a factores internos, sufrió una fuerte contracción de su actividad económica como consecuencia de la crisis financiera mundial. Nueva Zelandia está comenzando a experimentar una recuperación gradual de la crisis conforme a las previsiones de la Tesorería. El sector de las exportaciones logró un mejor rendimiento que muchas otras economías desarrolladas tras la crisis gracias a la influencia positiva de las boyantes economías australiana y asiáticas. Aunque la recuperación ha sido impulsada sobre todo por las exportaciones, se requiere una mayor expansión de este sector para restablecer el equilibrio económico.</w:t>
      </w:r>
    </w:p>
    <w:p w:rsidR="00F236D5" w:rsidRPr="002D0C6D" w:rsidRDefault="00F236D5" w:rsidP="00F236D5">
      <w:pPr>
        <w:pStyle w:val="H4G"/>
      </w:pPr>
      <w:r>
        <w:tab/>
      </w:r>
      <w:r w:rsidRPr="002D0C6D">
        <w:t>c)</w:t>
      </w:r>
      <w:r w:rsidRPr="002D0C6D">
        <w:tab/>
        <w:t>Tasa de inflación</w:t>
      </w:r>
    </w:p>
    <w:p w:rsidR="00F236D5" w:rsidRPr="002D0C6D" w:rsidRDefault="00F236D5" w:rsidP="00F236D5">
      <w:pPr>
        <w:pStyle w:val="SingleTxtG"/>
      </w:pPr>
      <w:r w:rsidRPr="002D0C6D">
        <w:t>34.</w:t>
      </w:r>
      <w:r w:rsidRPr="002D0C6D">
        <w:tab/>
        <w:t>El índice de precios al consumidor (IPC) aumentó en un 2,0% entre el trimestre finalizado en marzo de 2009 y el finalizado en marzo de 2010. Debido a incrementos de los precios de venta al por menor del petróleo y los alimentos, se estima que la inflación se mantendrá cerca del límite superior de la franja establecida para Nueva Zelandia (una media del 1% al 3% a mediano plazo). En los últimos cinco años, la fluctuación anual del IPC de Nueva Zelandia se ha situado en el límite superior de la franja, salvo en 2008, en que se excedió del límite.</w:t>
      </w:r>
    </w:p>
    <w:p w:rsidR="00F236D5" w:rsidRPr="002D0C6D" w:rsidRDefault="00F236D5" w:rsidP="00F236D5">
      <w:pPr>
        <w:pStyle w:val="H4G"/>
      </w:pPr>
      <w:r>
        <w:tab/>
      </w:r>
      <w:r w:rsidRPr="002D0C6D">
        <w:t>d)</w:t>
      </w:r>
      <w:r w:rsidRPr="002D0C6D">
        <w:tab/>
        <w:t xml:space="preserve">Ingreso nacional </w:t>
      </w:r>
      <w:r w:rsidRPr="006F295A">
        <w:t xml:space="preserve">bruto </w:t>
      </w:r>
      <w:r w:rsidRPr="00212C8F">
        <w:rPr>
          <w:i w:val="0"/>
        </w:rPr>
        <w:t>per c</w:t>
      </w:r>
      <w:r>
        <w:rPr>
          <w:i w:val="0"/>
        </w:rPr>
        <w:t>a</w:t>
      </w:r>
      <w:r w:rsidRPr="00212C8F">
        <w:rPr>
          <w:i w:val="0"/>
        </w:rPr>
        <w:t>pita</w:t>
      </w:r>
    </w:p>
    <w:p w:rsidR="00F236D5" w:rsidRPr="002D0C6D" w:rsidRDefault="00F236D5" w:rsidP="00F236D5">
      <w:pPr>
        <w:pStyle w:val="SingleTxtG"/>
      </w:pPr>
      <w:r w:rsidRPr="002D0C6D">
        <w:t>35.</w:t>
      </w:r>
      <w:r w:rsidRPr="002D0C6D">
        <w:tab/>
        <w:t xml:space="preserve">El ingreso nacional bruto (INB) </w:t>
      </w:r>
      <w:r w:rsidRPr="00212C8F">
        <w:rPr>
          <w:i/>
        </w:rPr>
        <w:t>per c</w:t>
      </w:r>
      <w:r>
        <w:rPr>
          <w:i/>
        </w:rPr>
        <w:t>a</w:t>
      </w:r>
      <w:r w:rsidRPr="00212C8F">
        <w:rPr>
          <w:i/>
        </w:rPr>
        <w:t>pita</w:t>
      </w:r>
      <w:r w:rsidRPr="002D0C6D">
        <w:t xml:space="preserve"> ascendió a 34.700 dólares en marzo de</w:t>
      </w:r>
      <w:r>
        <w:t xml:space="preserve"> 2005, </w:t>
      </w:r>
      <w:r w:rsidRPr="002D0C6D">
        <w:t>35.971 dólares en 2006, 37.259 dólares en 2007, 39.593 dólares en 2008 y 40.121 dólares en 2009.</w:t>
      </w:r>
    </w:p>
    <w:p w:rsidR="00F236D5" w:rsidRPr="002D0C6D" w:rsidRDefault="00F236D5" w:rsidP="00F236D5">
      <w:pPr>
        <w:pStyle w:val="H4G"/>
      </w:pPr>
      <w:r>
        <w:tab/>
      </w:r>
      <w:r w:rsidRPr="002D0C6D">
        <w:t>e)</w:t>
      </w:r>
      <w:r w:rsidRPr="002D0C6D">
        <w:tab/>
        <w:t>Remuneración media por hora</w:t>
      </w:r>
    </w:p>
    <w:p w:rsidR="00F236D5" w:rsidRPr="002D0C6D" w:rsidRDefault="00F236D5" w:rsidP="00F236D5">
      <w:pPr>
        <w:pStyle w:val="SingleTxtG"/>
      </w:pPr>
      <w:r w:rsidRPr="002D0C6D">
        <w:t>36.</w:t>
      </w:r>
      <w:r w:rsidRPr="002D0C6D">
        <w:tab/>
        <w:t>En junio de 2008, el ingreso medio por hora de los empleados varones era de 20,00 dólares, mientras que el de las mujeres era de 17,50 dólares. El ingreso medio por hora en los</w:t>
      </w:r>
      <w:r>
        <w:t xml:space="preserve"> </w:t>
      </w:r>
      <w:r w:rsidRPr="002D0C6D">
        <w:t>empleos asalariados alcanzaba su nivel más alto en los grupos de edad de 30 a 34 años y de 35 a 39 años. El grupo étnico europeo tenía el ingreso</w:t>
      </w:r>
      <w:r>
        <w:t xml:space="preserve"> medio por hora más elevado, de </w:t>
      </w:r>
      <w:r w:rsidRPr="002D0C6D">
        <w:t xml:space="preserve">19,50 dólares. En contraste, los integrantes de la categoría </w:t>
      </w:r>
      <w:r>
        <w:t>"</w:t>
      </w:r>
      <w:r w:rsidRPr="002D0C6D">
        <w:t>Otros grupos étnicos</w:t>
      </w:r>
      <w:r>
        <w:t>"</w:t>
      </w:r>
      <w:r w:rsidRPr="002D0C6D">
        <w:t xml:space="preserve"> (incluido el asiático) percibían 17,00 dólares por hora. El ingreso medio por hora de los grupos maorí y de pueblos del Pacífico, respectivamente de 16,74 dólares y 15,40 dólares, se situaba en el nivel más bajo.</w:t>
      </w:r>
    </w:p>
    <w:p w:rsidR="00F236D5" w:rsidRPr="002D0C6D" w:rsidRDefault="00F236D5" w:rsidP="00F236D5">
      <w:pPr>
        <w:pStyle w:val="SingleTxtG"/>
      </w:pPr>
      <w:r w:rsidRPr="002D0C6D">
        <w:t>37.</w:t>
      </w:r>
      <w:r w:rsidRPr="002D0C6D">
        <w:tab/>
        <w:t>En los 11 años transcurridos hasta junio de 2008, los mayores aumentos del ingreso medio por hora en empleos asalariados, ajustado para tener en cuenta la inflación, se registraron en el grupo maorí (20%), seguido de los grupos europeo (17%) y de pueblos del Pacífico (14%).</w:t>
      </w:r>
    </w:p>
    <w:p w:rsidR="00F236D5" w:rsidRPr="002D0C6D" w:rsidRDefault="00F236D5" w:rsidP="00F236D5">
      <w:pPr>
        <w:pStyle w:val="H4G"/>
      </w:pPr>
      <w:r>
        <w:tab/>
      </w:r>
      <w:r w:rsidRPr="002D0C6D">
        <w:t>f)</w:t>
      </w:r>
      <w:r w:rsidRPr="002D0C6D">
        <w:tab/>
        <w:t>Ingreso de mercado</w:t>
      </w:r>
      <w:r w:rsidRPr="006F295A">
        <w:rPr>
          <w:i w:val="0"/>
        </w:rPr>
        <w:t xml:space="preserve"> </w:t>
      </w:r>
      <w:r w:rsidRPr="00212C8F">
        <w:rPr>
          <w:i w:val="0"/>
        </w:rPr>
        <w:t>per c</w:t>
      </w:r>
      <w:r>
        <w:rPr>
          <w:i w:val="0"/>
        </w:rPr>
        <w:t>a</w:t>
      </w:r>
      <w:r w:rsidRPr="00212C8F">
        <w:rPr>
          <w:i w:val="0"/>
        </w:rPr>
        <w:t>pita</w:t>
      </w:r>
    </w:p>
    <w:p w:rsidR="00F236D5" w:rsidRPr="002D0C6D" w:rsidRDefault="00F236D5" w:rsidP="00F236D5">
      <w:pPr>
        <w:pStyle w:val="SingleTxtG"/>
      </w:pPr>
      <w:r w:rsidRPr="002D0C6D">
        <w:t>38.</w:t>
      </w:r>
      <w:r w:rsidRPr="002D0C6D">
        <w:tab/>
        <w:t xml:space="preserve">El valor total de los bienes y servicios disponibles a los neozelandeses, expresado en dólares ajustados para tener en cuenta la inflación, por habitante, se conoce asimismo como ingreso nacional disponible bruto real </w:t>
      </w:r>
      <w:r w:rsidRPr="00212C8F">
        <w:rPr>
          <w:i/>
        </w:rPr>
        <w:t>per c</w:t>
      </w:r>
      <w:r>
        <w:rPr>
          <w:i/>
        </w:rPr>
        <w:t>a</w:t>
      </w:r>
      <w:r w:rsidRPr="00212C8F">
        <w:rPr>
          <w:i/>
        </w:rPr>
        <w:t>pita</w:t>
      </w:r>
      <w:r w:rsidRPr="002D0C6D">
        <w:t>. Este indi</w:t>
      </w:r>
      <w:r>
        <w:t xml:space="preserve">cador mide el ingreso medio </w:t>
      </w:r>
      <w:r w:rsidRPr="00212C8F">
        <w:rPr>
          <w:i/>
        </w:rPr>
        <w:t>per capita</w:t>
      </w:r>
      <w:r w:rsidRPr="002D0C6D">
        <w:t xml:space="preserve"> disponible a los neozelandeses.</w:t>
      </w:r>
    </w:p>
    <w:p w:rsidR="00F236D5" w:rsidRPr="002D0C6D" w:rsidRDefault="00F236D5" w:rsidP="00F236D5">
      <w:pPr>
        <w:pStyle w:val="SingleTxtG"/>
      </w:pPr>
      <w:r w:rsidRPr="002D0C6D">
        <w:t>39.</w:t>
      </w:r>
      <w:r w:rsidRPr="002D0C6D">
        <w:tab/>
        <w:t xml:space="preserve">En el ejercicio terminado en marzo de 2009, el ingreso nacional disponible bruto real </w:t>
      </w:r>
      <w:r w:rsidRPr="00212C8F">
        <w:rPr>
          <w:i/>
        </w:rPr>
        <w:t xml:space="preserve">per </w:t>
      </w:r>
      <w:r>
        <w:rPr>
          <w:i/>
        </w:rPr>
        <w:t>ca</w:t>
      </w:r>
      <w:r w:rsidRPr="00212C8F">
        <w:rPr>
          <w:i/>
        </w:rPr>
        <w:t>pita</w:t>
      </w:r>
      <w:r w:rsidRPr="002D0C6D">
        <w:t xml:space="preserve"> fue de 30.179 dólares en valores de 1995-1996. Esta cifra se situaba un 1,7% por debajo del ingreso nacional disponible bruto real </w:t>
      </w:r>
      <w:r w:rsidRPr="00212C8F">
        <w:rPr>
          <w:i/>
        </w:rPr>
        <w:t>per c</w:t>
      </w:r>
      <w:r>
        <w:rPr>
          <w:i/>
        </w:rPr>
        <w:t>a</w:t>
      </w:r>
      <w:r w:rsidRPr="00212C8F">
        <w:rPr>
          <w:i/>
        </w:rPr>
        <w:t>pita</w:t>
      </w:r>
      <w:r w:rsidRPr="002D0C6D">
        <w:t xml:space="preserve"> correspondiente al ejercicio terminado en marzo de 2008 (30.708 dólares), lo que se debió al crecimiento económico negativo registrado durante el ejercicio terminado en marzo de 2009. Entre 1988 y 1991, el ingreso nacional disponible bruto real </w:t>
      </w:r>
      <w:r w:rsidRPr="00212C8F">
        <w:rPr>
          <w:i/>
        </w:rPr>
        <w:t>per capita</w:t>
      </w:r>
      <w:r w:rsidRPr="002D0C6D">
        <w:t xml:space="preserve"> ascendió a cerca de 23.000 dólares y en 1992 re</w:t>
      </w:r>
      <w:r>
        <w:t>gistró una aguda reducción a 20.</w:t>
      </w:r>
      <w:r w:rsidRPr="002D0C6D">
        <w:t>940 dólares. A partir de 1992, su nivel se incrementó constantemente hasta experimentar una disminución en 2009. La tasa media de crecimiento anual durante todo el período comprendido entre 1988 y 2009 fue del 1,4%.</w:t>
      </w:r>
    </w:p>
    <w:p w:rsidR="00F236D5" w:rsidRPr="002D0C6D" w:rsidRDefault="00F236D5" w:rsidP="00F236D5">
      <w:pPr>
        <w:pStyle w:val="SingleTxtG"/>
      </w:pPr>
      <w:r w:rsidRPr="002D0C6D">
        <w:t>40.</w:t>
      </w:r>
      <w:r w:rsidRPr="002D0C6D">
        <w:tab/>
        <w:t xml:space="preserve">En 2007 Nueva Zelandia se situó en el 22º lugar entre los 30 países de la OCDE en relación con el PIB </w:t>
      </w:r>
      <w:r w:rsidRPr="00212C8F">
        <w:rPr>
          <w:i/>
        </w:rPr>
        <w:t>per c</w:t>
      </w:r>
      <w:r>
        <w:rPr>
          <w:i/>
        </w:rPr>
        <w:t>a</w:t>
      </w:r>
      <w:r w:rsidRPr="00212C8F">
        <w:rPr>
          <w:i/>
        </w:rPr>
        <w:t>pita</w:t>
      </w:r>
      <w:r w:rsidRPr="002D0C6D">
        <w:t xml:space="preserve"> (la</w:t>
      </w:r>
      <w:r>
        <w:t xml:space="preserve"> </w:t>
      </w:r>
      <w:r w:rsidRPr="002D0C6D">
        <w:t xml:space="preserve">misma clasificación que obtuvo en los seis años anteriores) y ocupó asimismo el 22º lugar entre 29 países en cuanto al INB </w:t>
      </w:r>
      <w:r w:rsidRPr="00212C8F">
        <w:rPr>
          <w:i/>
        </w:rPr>
        <w:t>per c</w:t>
      </w:r>
      <w:r>
        <w:rPr>
          <w:i/>
        </w:rPr>
        <w:t>a</w:t>
      </w:r>
      <w:r w:rsidRPr="00212C8F">
        <w:rPr>
          <w:i/>
        </w:rPr>
        <w:t>pita</w:t>
      </w:r>
      <w:r w:rsidRPr="002D0C6D">
        <w:t xml:space="preserve"> en 2006. Sobre la base del PIB </w:t>
      </w:r>
      <w:r w:rsidRPr="00212C8F">
        <w:rPr>
          <w:i/>
        </w:rPr>
        <w:t>per capita</w:t>
      </w:r>
      <w:r w:rsidRPr="002D0C6D">
        <w:t xml:space="preserve">, Nueva Zelandia fue clasificada como el 18º país más próspero de 26 países en 1986 y el </w:t>
      </w:r>
      <w:r>
        <w:t>9º</w:t>
      </w:r>
      <w:r w:rsidRPr="002D0C6D">
        <w:t xml:space="preserve"> más prospero en 1970. Sobre la base del INB </w:t>
      </w:r>
      <w:r w:rsidRPr="00212C8F">
        <w:rPr>
          <w:i/>
        </w:rPr>
        <w:t>per capita</w:t>
      </w:r>
      <w:r w:rsidRPr="002D0C6D">
        <w:t xml:space="preserve">, Nueva Zelandia ocupó el 19º lugar en 1986 y el </w:t>
      </w:r>
      <w:r>
        <w:t>8º</w:t>
      </w:r>
      <w:r w:rsidRPr="002D0C6D">
        <w:t xml:space="preserve"> en 1970.</w:t>
      </w:r>
    </w:p>
    <w:p w:rsidR="00F236D5" w:rsidRPr="002D0C6D" w:rsidRDefault="00F236D5" w:rsidP="00F236D5">
      <w:pPr>
        <w:pStyle w:val="SingleTxtG"/>
        <w:shd w:val="clear" w:color="auto" w:fill="FFFFFF"/>
      </w:pPr>
      <w:r w:rsidRPr="002D0C6D">
        <w:t>41.</w:t>
      </w:r>
      <w:r w:rsidRPr="002D0C6D">
        <w:tab/>
        <w:t xml:space="preserve">Entre 1986 y 2007, el PIB </w:t>
      </w:r>
      <w:r w:rsidRPr="00212C8F">
        <w:rPr>
          <w:i/>
        </w:rPr>
        <w:t>per c</w:t>
      </w:r>
      <w:r>
        <w:rPr>
          <w:i/>
        </w:rPr>
        <w:t>a</w:t>
      </w:r>
      <w:r w:rsidRPr="00212C8F">
        <w:rPr>
          <w:i/>
        </w:rPr>
        <w:t>pita</w:t>
      </w:r>
      <w:r w:rsidRPr="002D0C6D">
        <w:t xml:space="preserve"> en valores reales (utilizando los valores del dólar de los Estados Unidos y de las paridades del poder adquisitivo vigentes en 2000) aumentó en un 32% en Nueva Zelandia, en comparación con la media del 51% de la OCD</w:t>
      </w:r>
      <w:r>
        <w:t>E</w:t>
      </w:r>
      <w:r w:rsidRPr="002D0C6D">
        <w:t>.</w:t>
      </w:r>
    </w:p>
    <w:p w:rsidR="00F236D5" w:rsidRDefault="00F236D5" w:rsidP="00F236D5">
      <w:pPr>
        <w:pStyle w:val="Heading1"/>
      </w:pPr>
      <w:r>
        <w:t>Cuadro 10</w:t>
      </w:r>
    </w:p>
    <w:p w:rsidR="00F236D5" w:rsidRDefault="00F236D5" w:rsidP="00F236D5">
      <w:pPr>
        <w:pStyle w:val="SingleTxtG"/>
        <w:rPr>
          <w:b/>
        </w:rPr>
      </w:pPr>
      <w:r w:rsidRPr="00CF1D5C">
        <w:rPr>
          <w:b/>
        </w:rPr>
        <w:t>Presupuesto estatal de Nueva Zelandia, por sector</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297"/>
        <w:gridCol w:w="1000"/>
        <w:gridCol w:w="467"/>
        <w:gridCol w:w="1026"/>
        <w:gridCol w:w="6"/>
        <w:gridCol w:w="435"/>
        <w:gridCol w:w="1064"/>
        <w:gridCol w:w="404"/>
        <w:gridCol w:w="1001"/>
        <w:gridCol w:w="471"/>
        <w:gridCol w:w="1028"/>
        <w:gridCol w:w="440"/>
      </w:tblGrid>
      <w:tr w:rsidR="00F236D5" w:rsidRPr="006F7CDF" w:rsidTr="00947046">
        <w:trPr>
          <w:tblHeader/>
        </w:trPr>
        <w:tc>
          <w:tcPr>
            <w:tcW w:w="2298" w:type="dxa"/>
            <w:tcBorders>
              <w:top w:val="single" w:sz="4" w:space="0" w:color="auto"/>
              <w:bottom w:val="single" w:sz="4" w:space="0" w:color="auto"/>
            </w:tcBorders>
            <w:shd w:val="clear" w:color="auto" w:fill="auto"/>
            <w:vAlign w:val="bottom"/>
          </w:tcPr>
          <w:p w:rsidR="00F236D5" w:rsidRPr="0077711B" w:rsidRDefault="00F236D5" w:rsidP="00947046">
            <w:pPr>
              <w:spacing w:before="80" w:after="80" w:line="200" w:lineRule="exact"/>
              <w:ind w:right="113"/>
              <w:rPr>
                <w:i/>
                <w:sz w:val="16"/>
                <w:szCs w:val="16"/>
              </w:rPr>
            </w:pPr>
            <w:r w:rsidRPr="0077711B">
              <w:rPr>
                <w:i/>
                <w:sz w:val="16"/>
                <w:szCs w:val="16"/>
              </w:rPr>
              <w:t>Presupuesto estatal de Nueva Zelandia por sector</w:t>
            </w:r>
          </w:p>
        </w:tc>
        <w:tc>
          <w:tcPr>
            <w:tcW w:w="1000" w:type="dxa"/>
            <w:tcBorders>
              <w:top w:val="single" w:sz="4" w:space="0" w:color="auto"/>
              <w:bottom w:val="single" w:sz="4" w:space="0" w:color="auto"/>
            </w:tcBorders>
            <w:shd w:val="clear" w:color="auto" w:fill="auto"/>
            <w:vAlign w:val="bottom"/>
          </w:tcPr>
          <w:p w:rsidR="00F236D5" w:rsidRPr="0077711B" w:rsidRDefault="00F236D5" w:rsidP="00947046">
            <w:pPr>
              <w:spacing w:before="80" w:after="80" w:line="200" w:lineRule="exact"/>
              <w:ind w:right="113"/>
              <w:jc w:val="right"/>
              <w:rPr>
                <w:i/>
                <w:sz w:val="16"/>
                <w:szCs w:val="16"/>
              </w:rPr>
            </w:pPr>
            <w:r w:rsidRPr="0077711B">
              <w:rPr>
                <w:i/>
                <w:sz w:val="16"/>
                <w:szCs w:val="16"/>
              </w:rPr>
              <w:t>2005-2006</w:t>
            </w:r>
          </w:p>
        </w:tc>
        <w:tc>
          <w:tcPr>
            <w:tcW w:w="467" w:type="dxa"/>
            <w:tcBorders>
              <w:top w:val="single" w:sz="4" w:space="0" w:color="auto"/>
              <w:left w:val="nil"/>
              <w:bottom w:val="single" w:sz="4" w:space="0" w:color="auto"/>
              <w:right w:val="single" w:sz="24" w:space="0" w:color="FFFFFF"/>
            </w:tcBorders>
            <w:shd w:val="clear" w:color="auto" w:fill="auto"/>
            <w:vAlign w:val="bottom"/>
          </w:tcPr>
          <w:p w:rsidR="00F236D5" w:rsidRPr="0077711B" w:rsidRDefault="00F236D5" w:rsidP="00947046">
            <w:pPr>
              <w:spacing w:before="80" w:after="80" w:line="200" w:lineRule="exact"/>
              <w:ind w:right="113"/>
              <w:jc w:val="center"/>
              <w:rPr>
                <w:i/>
                <w:sz w:val="16"/>
                <w:szCs w:val="16"/>
              </w:rPr>
            </w:pPr>
          </w:p>
        </w:tc>
        <w:tc>
          <w:tcPr>
            <w:tcW w:w="1026" w:type="dxa"/>
            <w:tcBorders>
              <w:top w:val="single" w:sz="4" w:space="0" w:color="auto"/>
              <w:left w:val="single" w:sz="24" w:space="0" w:color="FFFFFF"/>
              <w:bottom w:val="single" w:sz="4" w:space="0" w:color="auto"/>
            </w:tcBorders>
            <w:shd w:val="clear" w:color="auto" w:fill="auto"/>
            <w:vAlign w:val="bottom"/>
          </w:tcPr>
          <w:p w:rsidR="00F236D5" w:rsidRPr="0077711B" w:rsidRDefault="00F236D5" w:rsidP="00947046">
            <w:pPr>
              <w:tabs>
                <w:tab w:val="right" w:pos="133"/>
              </w:tabs>
              <w:spacing w:before="80" w:after="80" w:line="200" w:lineRule="exact"/>
              <w:ind w:right="113"/>
              <w:jc w:val="center"/>
              <w:rPr>
                <w:i/>
                <w:sz w:val="16"/>
                <w:szCs w:val="16"/>
              </w:rPr>
            </w:pPr>
            <w:r w:rsidRPr="0077711B">
              <w:rPr>
                <w:i/>
                <w:sz w:val="16"/>
                <w:szCs w:val="16"/>
              </w:rPr>
              <w:t>2006-2007</w:t>
            </w:r>
          </w:p>
        </w:tc>
        <w:tc>
          <w:tcPr>
            <w:tcW w:w="441" w:type="dxa"/>
            <w:gridSpan w:val="2"/>
            <w:tcBorders>
              <w:top w:val="single" w:sz="4" w:space="0" w:color="auto"/>
              <w:left w:val="nil"/>
              <w:bottom w:val="single" w:sz="4" w:space="0" w:color="auto"/>
              <w:right w:val="single" w:sz="24" w:space="0" w:color="FFFFFF"/>
            </w:tcBorders>
            <w:shd w:val="clear" w:color="auto" w:fill="auto"/>
            <w:vAlign w:val="bottom"/>
          </w:tcPr>
          <w:p w:rsidR="00F236D5" w:rsidRPr="0077711B" w:rsidRDefault="00F236D5" w:rsidP="00947046">
            <w:pPr>
              <w:tabs>
                <w:tab w:val="right" w:pos="133"/>
              </w:tabs>
              <w:spacing w:before="80" w:after="80" w:line="200" w:lineRule="exact"/>
              <w:ind w:right="113"/>
              <w:rPr>
                <w:i/>
                <w:sz w:val="16"/>
                <w:szCs w:val="16"/>
              </w:rPr>
            </w:pPr>
          </w:p>
        </w:tc>
        <w:tc>
          <w:tcPr>
            <w:tcW w:w="1064" w:type="dxa"/>
            <w:tcBorders>
              <w:top w:val="single" w:sz="4" w:space="0" w:color="auto"/>
              <w:left w:val="single" w:sz="24" w:space="0" w:color="FFFFFF"/>
              <w:bottom w:val="single" w:sz="4" w:space="0" w:color="auto"/>
            </w:tcBorders>
            <w:shd w:val="clear" w:color="auto" w:fill="auto"/>
            <w:vAlign w:val="bottom"/>
          </w:tcPr>
          <w:p w:rsidR="00F236D5" w:rsidRPr="0077711B" w:rsidRDefault="00F236D5" w:rsidP="00947046">
            <w:pPr>
              <w:spacing w:before="80" w:after="80" w:line="200" w:lineRule="exact"/>
              <w:ind w:right="113"/>
              <w:jc w:val="center"/>
              <w:rPr>
                <w:i/>
                <w:sz w:val="16"/>
                <w:szCs w:val="16"/>
              </w:rPr>
            </w:pPr>
            <w:r w:rsidRPr="0077711B">
              <w:rPr>
                <w:i/>
                <w:sz w:val="16"/>
                <w:szCs w:val="16"/>
              </w:rPr>
              <w:t>20007-2008</w:t>
            </w:r>
          </w:p>
        </w:tc>
        <w:tc>
          <w:tcPr>
            <w:tcW w:w="404" w:type="dxa"/>
            <w:tcBorders>
              <w:top w:val="single" w:sz="4" w:space="0" w:color="auto"/>
              <w:left w:val="nil"/>
              <w:bottom w:val="single" w:sz="4" w:space="0" w:color="auto"/>
              <w:right w:val="single" w:sz="24" w:space="0" w:color="FFFFFF"/>
            </w:tcBorders>
            <w:shd w:val="clear" w:color="auto" w:fill="auto"/>
            <w:vAlign w:val="bottom"/>
          </w:tcPr>
          <w:p w:rsidR="00F236D5" w:rsidRPr="0077711B" w:rsidRDefault="00F236D5" w:rsidP="00947046">
            <w:pPr>
              <w:spacing w:before="80" w:after="80" w:line="200" w:lineRule="exact"/>
              <w:ind w:right="113"/>
              <w:jc w:val="right"/>
              <w:rPr>
                <w:i/>
                <w:sz w:val="16"/>
                <w:szCs w:val="16"/>
              </w:rPr>
            </w:pPr>
          </w:p>
        </w:tc>
        <w:tc>
          <w:tcPr>
            <w:tcW w:w="1001" w:type="dxa"/>
            <w:tcBorders>
              <w:top w:val="single" w:sz="4" w:space="0" w:color="auto"/>
              <w:left w:val="single" w:sz="24" w:space="0" w:color="FFFFFF"/>
              <w:bottom w:val="single" w:sz="4" w:space="0" w:color="auto"/>
            </w:tcBorders>
            <w:shd w:val="clear" w:color="auto" w:fill="auto"/>
            <w:vAlign w:val="bottom"/>
          </w:tcPr>
          <w:p w:rsidR="00F236D5" w:rsidRPr="0077711B" w:rsidRDefault="00F236D5" w:rsidP="00947046">
            <w:pPr>
              <w:spacing w:before="80" w:after="80" w:line="200" w:lineRule="exact"/>
              <w:ind w:right="113"/>
              <w:jc w:val="center"/>
              <w:rPr>
                <w:i/>
                <w:sz w:val="16"/>
                <w:szCs w:val="16"/>
              </w:rPr>
            </w:pPr>
            <w:r w:rsidRPr="0077711B">
              <w:rPr>
                <w:i/>
                <w:sz w:val="16"/>
                <w:szCs w:val="16"/>
              </w:rPr>
              <w:t>2008-2009</w:t>
            </w:r>
          </w:p>
        </w:tc>
        <w:tc>
          <w:tcPr>
            <w:tcW w:w="471" w:type="dxa"/>
            <w:tcBorders>
              <w:top w:val="single" w:sz="4" w:space="0" w:color="auto"/>
              <w:left w:val="nil"/>
              <w:bottom w:val="single" w:sz="4" w:space="0" w:color="auto"/>
              <w:right w:val="single" w:sz="24" w:space="0" w:color="FFFFFF"/>
            </w:tcBorders>
            <w:shd w:val="clear" w:color="auto" w:fill="auto"/>
            <w:vAlign w:val="bottom"/>
          </w:tcPr>
          <w:p w:rsidR="00F236D5" w:rsidRPr="0077711B" w:rsidRDefault="00F236D5" w:rsidP="00947046">
            <w:pPr>
              <w:spacing w:before="80" w:after="80" w:line="200" w:lineRule="exact"/>
              <w:ind w:right="113"/>
              <w:rPr>
                <w:i/>
                <w:sz w:val="16"/>
                <w:szCs w:val="16"/>
              </w:rPr>
            </w:pPr>
          </w:p>
        </w:tc>
        <w:tc>
          <w:tcPr>
            <w:tcW w:w="1027" w:type="dxa"/>
            <w:tcBorders>
              <w:top w:val="single" w:sz="4" w:space="0" w:color="auto"/>
              <w:left w:val="single" w:sz="24" w:space="0" w:color="FFFFFF"/>
              <w:bottom w:val="single" w:sz="4" w:space="0" w:color="auto"/>
            </w:tcBorders>
            <w:shd w:val="clear" w:color="auto" w:fill="auto"/>
            <w:vAlign w:val="bottom"/>
          </w:tcPr>
          <w:p w:rsidR="00F236D5" w:rsidRPr="0077711B" w:rsidRDefault="00F236D5" w:rsidP="00947046">
            <w:pPr>
              <w:spacing w:before="80" w:after="80" w:line="200" w:lineRule="exact"/>
              <w:ind w:right="113"/>
              <w:jc w:val="center"/>
              <w:rPr>
                <w:i/>
                <w:sz w:val="16"/>
                <w:szCs w:val="16"/>
              </w:rPr>
            </w:pPr>
            <w:r w:rsidRPr="0077711B">
              <w:rPr>
                <w:i/>
                <w:sz w:val="16"/>
                <w:szCs w:val="16"/>
              </w:rPr>
              <w:t>2009-2010</w:t>
            </w:r>
          </w:p>
        </w:tc>
        <w:tc>
          <w:tcPr>
            <w:tcW w:w="440" w:type="dxa"/>
            <w:tcBorders>
              <w:top w:val="single" w:sz="4" w:space="0" w:color="auto"/>
              <w:left w:val="nil"/>
              <w:bottom w:val="single" w:sz="4" w:space="0" w:color="auto"/>
            </w:tcBorders>
            <w:shd w:val="clear" w:color="auto" w:fill="auto"/>
            <w:vAlign w:val="bottom"/>
          </w:tcPr>
          <w:p w:rsidR="00F236D5" w:rsidRPr="0077711B" w:rsidRDefault="00F236D5" w:rsidP="00947046">
            <w:pPr>
              <w:spacing w:before="80" w:after="80" w:line="200" w:lineRule="exact"/>
              <w:ind w:right="113"/>
              <w:rPr>
                <w:i/>
                <w:sz w:val="16"/>
                <w:szCs w:val="16"/>
              </w:rPr>
            </w:pPr>
          </w:p>
        </w:tc>
      </w:tr>
      <w:tr w:rsidR="00F236D5" w:rsidRPr="006F7CDF" w:rsidTr="00947046">
        <w:trPr>
          <w:tblHeader/>
        </w:trPr>
        <w:tc>
          <w:tcPr>
            <w:tcW w:w="2298" w:type="dxa"/>
            <w:tcBorders>
              <w:top w:val="single" w:sz="4" w:space="0" w:color="auto"/>
              <w:bottom w:val="single" w:sz="12" w:space="0" w:color="auto"/>
              <w:right w:val="single" w:sz="24" w:space="0" w:color="FFFFFF"/>
            </w:tcBorders>
            <w:shd w:val="clear" w:color="auto" w:fill="auto"/>
            <w:vAlign w:val="bottom"/>
          </w:tcPr>
          <w:p w:rsidR="00F236D5" w:rsidRPr="0077711B" w:rsidRDefault="00F236D5" w:rsidP="00947046">
            <w:pPr>
              <w:spacing w:before="80" w:after="80" w:line="200" w:lineRule="exact"/>
              <w:ind w:right="113"/>
              <w:rPr>
                <w:i/>
                <w:sz w:val="16"/>
                <w:szCs w:val="16"/>
              </w:rPr>
            </w:pPr>
            <w:r w:rsidRPr="0077711B">
              <w:rPr>
                <w:i/>
                <w:sz w:val="16"/>
                <w:szCs w:val="16"/>
              </w:rPr>
              <w:t>Sector</w:t>
            </w:r>
          </w:p>
        </w:tc>
        <w:tc>
          <w:tcPr>
            <w:tcW w:w="1000" w:type="dxa"/>
            <w:tcBorders>
              <w:top w:val="single" w:sz="4" w:space="0" w:color="auto"/>
              <w:left w:val="single" w:sz="24" w:space="0" w:color="FFFFFF"/>
              <w:bottom w:val="single" w:sz="12" w:space="0" w:color="auto"/>
            </w:tcBorders>
            <w:shd w:val="clear" w:color="auto" w:fill="auto"/>
            <w:vAlign w:val="bottom"/>
          </w:tcPr>
          <w:p w:rsidR="00F236D5" w:rsidRPr="0077711B" w:rsidRDefault="00F236D5" w:rsidP="00947046">
            <w:pPr>
              <w:spacing w:before="80" w:after="80" w:line="200" w:lineRule="exact"/>
              <w:jc w:val="right"/>
              <w:rPr>
                <w:i/>
                <w:sz w:val="16"/>
                <w:szCs w:val="16"/>
              </w:rPr>
            </w:pPr>
            <w:r w:rsidRPr="0077711B">
              <w:rPr>
                <w:i/>
                <w:sz w:val="16"/>
                <w:szCs w:val="16"/>
              </w:rPr>
              <w:t>En miles de dólares</w:t>
            </w:r>
          </w:p>
        </w:tc>
        <w:tc>
          <w:tcPr>
            <w:tcW w:w="467" w:type="dxa"/>
            <w:tcBorders>
              <w:top w:val="single" w:sz="4" w:space="0" w:color="auto"/>
              <w:bottom w:val="single" w:sz="12" w:space="0" w:color="auto"/>
              <w:right w:val="single" w:sz="24" w:space="0" w:color="FFFFFF"/>
            </w:tcBorders>
            <w:shd w:val="clear" w:color="auto" w:fill="auto"/>
            <w:vAlign w:val="bottom"/>
          </w:tcPr>
          <w:p w:rsidR="00F236D5" w:rsidRPr="0077711B" w:rsidRDefault="00F236D5" w:rsidP="00947046">
            <w:pPr>
              <w:spacing w:before="80" w:after="80" w:line="200" w:lineRule="exact"/>
              <w:jc w:val="right"/>
              <w:rPr>
                <w:i/>
                <w:sz w:val="16"/>
                <w:szCs w:val="16"/>
              </w:rPr>
            </w:pPr>
            <w:r w:rsidRPr="0077711B">
              <w:rPr>
                <w:i/>
                <w:sz w:val="16"/>
                <w:szCs w:val="16"/>
              </w:rPr>
              <w:t>%</w:t>
            </w:r>
          </w:p>
        </w:tc>
        <w:tc>
          <w:tcPr>
            <w:tcW w:w="1032" w:type="dxa"/>
            <w:gridSpan w:val="2"/>
            <w:tcBorders>
              <w:top w:val="single" w:sz="4" w:space="0" w:color="auto"/>
              <w:left w:val="single" w:sz="24" w:space="0" w:color="FFFFFF"/>
              <w:bottom w:val="single" w:sz="12" w:space="0" w:color="auto"/>
            </w:tcBorders>
            <w:shd w:val="clear" w:color="auto" w:fill="auto"/>
            <w:vAlign w:val="bottom"/>
          </w:tcPr>
          <w:p w:rsidR="00F236D5" w:rsidRPr="0077711B" w:rsidRDefault="00F236D5" w:rsidP="00947046">
            <w:pPr>
              <w:spacing w:before="80" w:after="80" w:line="200" w:lineRule="exact"/>
              <w:jc w:val="right"/>
              <w:rPr>
                <w:i/>
                <w:sz w:val="16"/>
                <w:szCs w:val="16"/>
              </w:rPr>
            </w:pPr>
            <w:r w:rsidRPr="0077711B">
              <w:rPr>
                <w:i/>
                <w:sz w:val="16"/>
                <w:szCs w:val="16"/>
              </w:rPr>
              <w:t>En miles de dólares</w:t>
            </w:r>
          </w:p>
        </w:tc>
        <w:tc>
          <w:tcPr>
            <w:tcW w:w="435" w:type="dxa"/>
            <w:tcBorders>
              <w:top w:val="single" w:sz="4" w:space="0" w:color="auto"/>
              <w:bottom w:val="single" w:sz="12" w:space="0" w:color="auto"/>
              <w:right w:val="single" w:sz="24" w:space="0" w:color="FFFFFF"/>
            </w:tcBorders>
            <w:shd w:val="clear" w:color="auto" w:fill="auto"/>
            <w:vAlign w:val="bottom"/>
          </w:tcPr>
          <w:p w:rsidR="00F236D5" w:rsidRPr="0077711B" w:rsidRDefault="00F236D5" w:rsidP="00947046">
            <w:pPr>
              <w:spacing w:before="80" w:after="80" w:line="200" w:lineRule="exact"/>
              <w:jc w:val="right"/>
              <w:rPr>
                <w:i/>
                <w:sz w:val="16"/>
                <w:szCs w:val="16"/>
              </w:rPr>
            </w:pPr>
            <w:r w:rsidRPr="0077711B">
              <w:rPr>
                <w:i/>
                <w:sz w:val="16"/>
                <w:szCs w:val="16"/>
              </w:rPr>
              <w:t>%</w:t>
            </w:r>
          </w:p>
        </w:tc>
        <w:tc>
          <w:tcPr>
            <w:tcW w:w="1064" w:type="dxa"/>
            <w:tcBorders>
              <w:top w:val="single" w:sz="4" w:space="0" w:color="auto"/>
              <w:left w:val="single" w:sz="24" w:space="0" w:color="FFFFFF"/>
              <w:bottom w:val="single" w:sz="12" w:space="0" w:color="auto"/>
            </w:tcBorders>
            <w:shd w:val="clear" w:color="auto" w:fill="auto"/>
            <w:vAlign w:val="bottom"/>
          </w:tcPr>
          <w:p w:rsidR="00F236D5" w:rsidRPr="0077711B" w:rsidRDefault="00F236D5" w:rsidP="00947046">
            <w:pPr>
              <w:spacing w:before="80" w:after="80" w:line="200" w:lineRule="exact"/>
              <w:jc w:val="right"/>
              <w:rPr>
                <w:i/>
                <w:sz w:val="16"/>
                <w:szCs w:val="16"/>
              </w:rPr>
            </w:pPr>
            <w:r w:rsidRPr="0077711B">
              <w:rPr>
                <w:i/>
                <w:sz w:val="16"/>
                <w:szCs w:val="16"/>
              </w:rPr>
              <w:t>En miles de dólares</w:t>
            </w:r>
          </w:p>
        </w:tc>
        <w:tc>
          <w:tcPr>
            <w:tcW w:w="404" w:type="dxa"/>
            <w:tcBorders>
              <w:top w:val="single" w:sz="4" w:space="0" w:color="auto"/>
              <w:bottom w:val="single" w:sz="12" w:space="0" w:color="auto"/>
              <w:right w:val="single" w:sz="24" w:space="0" w:color="FFFFFF"/>
            </w:tcBorders>
            <w:shd w:val="clear" w:color="auto" w:fill="auto"/>
            <w:vAlign w:val="bottom"/>
          </w:tcPr>
          <w:p w:rsidR="00F236D5" w:rsidRPr="0077711B" w:rsidRDefault="00F236D5" w:rsidP="00947046">
            <w:pPr>
              <w:spacing w:before="80" w:after="80" w:line="200" w:lineRule="exact"/>
              <w:jc w:val="right"/>
              <w:rPr>
                <w:i/>
                <w:sz w:val="16"/>
                <w:szCs w:val="16"/>
              </w:rPr>
            </w:pPr>
            <w:r w:rsidRPr="0077711B">
              <w:rPr>
                <w:i/>
                <w:sz w:val="16"/>
                <w:szCs w:val="16"/>
              </w:rPr>
              <w:t>%</w:t>
            </w:r>
          </w:p>
        </w:tc>
        <w:tc>
          <w:tcPr>
            <w:tcW w:w="1001" w:type="dxa"/>
            <w:tcBorders>
              <w:top w:val="single" w:sz="4" w:space="0" w:color="auto"/>
              <w:left w:val="single" w:sz="24" w:space="0" w:color="FFFFFF"/>
              <w:bottom w:val="single" w:sz="12" w:space="0" w:color="auto"/>
            </w:tcBorders>
            <w:shd w:val="clear" w:color="auto" w:fill="auto"/>
            <w:vAlign w:val="bottom"/>
          </w:tcPr>
          <w:p w:rsidR="00F236D5" w:rsidRPr="0077711B" w:rsidRDefault="00F236D5" w:rsidP="00947046">
            <w:pPr>
              <w:spacing w:before="80" w:after="80" w:line="200" w:lineRule="exact"/>
              <w:jc w:val="right"/>
              <w:rPr>
                <w:i/>
                <w:sz w:val="16"/>
                <w:szCs w:val="16"/>
              </w:rPr>
            </w:pPr>
            <w:r w:rsidRPr="0077711B">
              <w:rPr>
                <w:i/>
                <w:sz w:val="16"/>
                <w:szCs w:val="16"/>
              </w:rPr>
              <w:t>En miles de dólares</w:t>
            </w:r>
          </w:p>
        </w:tc>
        <w:tc>
          <w:tcPr>
            <w:tcW w:w="471" w:type="dxa"/>
            <w:tcBorders>
              <w:top w:val="single" w:sz="4" w:space="0" w:color="auto"/>
              <w:bottom w:val="single" w:sz="12" w:space="0" w:color="auto"/>
              <w:right w:val="single" w:sz="24" w:space="0" w:color="FFFFFF"/>
            </w:tcBorders>
            <w:shd w:val="clear" w:color="auto" w:fill="auto"/>
            <w:vAlign w:val="bottom"/>
          </w:tcPr>
          <w:p w:rsidR="00F236D5" w:rsidRPr="0077711B" w:rsidRDefault="00F236D5" w:rsidP="00947046">
            <w:pPr>
              <w:spacing w:before="80" w:after="80" w:line="200" w:lineRule="exact"/>
              <w:jc w:val="right"/>
              <w:rPr>
                <w:i/>
                <w:sz w:val="16"/>
                <w:szCs w:val="16"/>
              </w:rPr>
            </w:pPr>
            <w:r w:rsidRPr="0077711B">
              <w:rPr>
                <w:i/>
                <w:sz w:val="16"/>
                <w:szCs w:val="16"/>
              </w:rPr>
              <w:t>%</w:t>
            </w:r>
          </w:p>
        </w:tc>
        <w:tc>
          <w:tcPr>
            <w:tcW w:w="1028" w:type="dxa"/>
            <w:tcBorders>
              <w:top w:val="single" w:sz="4" w:space="0" w:color="auto"/>
              <w:left w:val="single" w:sz="24" w:space="0" w:color="FFFFFF"/>
              <w:bottom w:val="single" w:sz="12" w:space="0" w:color="auto"/>
            </w:tcBorders>
            <w:shd w:val="clear" w:color="auto" w:fill="auto"/>
            <w:vAlign w:val="bottom"/>
          </w:tcPr>
          <w:p w:rsidR="00F236D5" w:rsidRPr="0077711B" w:rsidRDefault="00F236D5" w:rsidP="00947046">
            <w:pPr>
              <w:spacing w:before="80" w:after="80" w:line="200" w:lineRule="exact"/>
              <w:jc w:val="right"/>
              <w:rPr>
                <w:i/>
                <w:sz w:val="16"/>
                <w:szCs w:val="16"/>
              </w:rPr>
            </w:pPr>
            <w:r w:rsidRPr="0077711B">
              <w:rPr>
                <w:i/>
                <w:sz w:val="16"/>
                <w:szCs w:val="16"/>
              </w:rPr>
              <w:t>En miles de dólares</w:t>
            </w:r>
          </w:p>
        </w:tc>
        <w:tc>
          <w:tcPr>
            <w:tcW w:w="439" w:type="dxa"/>
            <w:tcBorders>
              <w:top w:val="single" w:sz="4" w:space="0" w:color="auto"/>
              <w:bottom w:val="single" w:sz="12" w:space="0" w:color="auto"/>
            </w:tcBorders>
            <w:shd w:val="clear" w:color="auto" w:fill="auto"/>
            <w:vAlign w:val="bottom"/>
          </w:tcPr>
          <w:p w:rsidR="00F236D5" w:rsidRPr="0077711B" w:rsidRDefault="00F236D5" w:rsidP="00947046">
            <w:pPr>
              <w:spacing w:before="80" w:after="80" w:line="200" w:lineRule="exact"/>
              <w:jc w:val="right"/>
              <w:rPr>
                <w:i/>
                <w:sz w:val="16"/>
                <w:szCs w:val="16"/>
              </w:rPr>
            </w:pPr>
            <w:r w:rsidRPr="0077711B">
              <w:rPr>
                <w:i/>
                <w:sz w:val="16"/>
                <w:szCs w:val="16"/>
              </w:rPr>
              <w:t>%</w:t>
            </w:r>
          </w:p>
        </w:tc>
      </w:tr>
      <w:tr w:rsidR="00F236D5" w:rsidRPr="006F7CDF" w:rsidTr="00947046">
        <w:tc>
          <w:tcPr>
            <w:tcW w:w="2298" w:type="dxa"/>
            <w:tcBorders>
              <w:top w:val="single" w:sz="12" w:space="0" w:color="auto"/>
            </w:tcBorders>
            <w:shd w:val="clear" w:color="auto" w:fill="auto"/>
          </w:tcPr>
          <w:p w:rsidR="00F236D5" w:rsidRPr="006F7CDF" w:rsidRDefault="00F236D5" w:rsidP="00947046">
            <w:pPr>
              <w:spacing w:before="40" w:after="40" w:line="220" w:lineRule="exact"/>
              <w:ind w:right="113"/>
              <w:rPr>
                <w:sz w:val="18"/>
              </w:rPr>
            </w:pPr>
            <w:r>
              <w:rPr>
                <w:sz w:val="18"/>
              </w:rPr>
              <w:t>Desarrollo económico e infraestructura</w:t>
            </w:r>
          </w:p>
        </w:tc>
        <w:tc>
          <w:tcPr>
            <w:tcW w:w="1000" w:type="dxa"/>
            <w:tcBorders>
              <w:top w:val="single" w:sz="12" w:space="0" w:color="auto"/>
            </w:tcBorders>
            <w:shd w:val="clear" w:color="auto" w:fill="auto"/>
            <w:vAlign w:val="bottom"/>
          </w:tcPr>
          <w:p w:rsidR="00F236D5" w:rsidRPr="006F7CDF" w:rsidRDefault="00F236D5" w:rsidP="00947046">
            <w:pPr>
              <w:spacing w:before="40" w:after="40" w:line="220" w:lineRule="exact"/>
              <w:jc w:val="right"/>
              <w:rPr>
                <w:sz w:val="18"/>
              </w:rPr>
            </w:pPr>
            <w:r>
              <w:rPr>
                <w:sz w:val="18"/>
              </w:rPr>
              <w:t xml:space="preserve">3 </w:t>
            </w:r>
            <w:r w:rsidRPr="006F7CDF">
              <w:rPr>
                <w:sz w:val="18"/>
              </w:rPr>
              <w:t>207</w:t>
            </w:r>
            <w:r>
              <w:rPr>
                <w:sz w:val="18"/>
              </w:rPr>
              <w:t xml:space="preserve"> </w:t>
            </w:r>
            <w:r w:rsidRPr="006F7CDF">
              <w:rPr>
                <w:sz w:val="18"/>
              </w:rPr>
              <w:t>055</w:t>
            </w:r>
          </w:p>
        </w:tc>
        <w:tc>
          <w:tcPr>
            <w:tcW w:w="467" w:type="dxa"/>
            <w:tcBorders>
              <w:top w:val="single" w:sz="12" w:space="0" w:color="auto"/>
            </w:tcBorders>
            <w:shd w:val="clear" w:color="auto" w:fill="auto"/>
            <w:vAlign w:val="bottom"/>
          </w:tcPr>
          <w:p w:rsidR="00F236D5" w:rsidRPr="006F7CDF" w:rsidRDefault="00F236D5" w:rsidP="00947046">
            <w:pPr>
              <w:spacing w:before="40" w:after="40" w:line="220" w:lineRule="exact"/>
              <w:jc w:val="right"/>
              <w:rPr>
                <w:sz w:val="18"/>
              </w:rPr>
            </w:pPr>
            <w:r w:rsidRPr="006F7CDF">
              <w:rPr>
                <w:sz w:val="18"/>
              </w:rPr>
              <w:t>6</w:t>
            </w:r>
          </w:p>
        </w:tc>
        <w:tc>
          <w:tcPr>
            <w:tcW w:w="1032" w:type="dxa"/>
            <w:gridSpan w:val="2"/>
            <w:tcBorders>
              <w:top w:val="single" w:sz="12" w:space="0" w:color="auto"/>
            </w:tcBorders>
            <w:shd w:val="clear" w:color="auto" w:fill="auto"/>
            <w:vAlign w:val="bottom"/>
          </w:tcPr>
          <w:p w:rsidR="00F236D5" w:rsidRPr="006F7CDF" w:rsidRDefault="00F236D5" w:rsidP="00947046">
            <w:pPr>
              <w:spacing w:before="40" w:after="40" w:line="220" w:lineRule="exact"/>
              <w:jc w:val="right"/>
              <w:rPr>
                <w:sz w:val="18"/>
              </w:rPr>
            </w:pPr>
            <w:r>
              <w:rPr>
                <w:sz w:val="18"/>
              </w:rPr>
              <w:t xml:space="preserve">3 784 </w:t>
            </w:r>
            <w:r w:rsidRPr="006F7CDF">
              <w:rPr>
                <w:sz w:val="18"/>
              </w:rPr>
              <w:t>684</w:t>
            </w:r>
          </w:p>
        </w:tc>
        <w:tc>
          <w:tcPr>
            <w:tcW w:w="435" w:type="dxa"/>
            <w:tcBorders>
              <w:top w:val="single" w:sz="12" w:space="0" w:color="auto"/>
            </w:tcBorders>
            <w:shd w:val="clear" w:color="auto" w:fill="auto"/>
            <w:vAlign w:val="bottom"/>
          </w:tcPr>
          <w:p w:rsidR="00F236D5" w:rsidRPr="006F7CDF" w:rsidRDefault="00F236D5" w:rsidP="00947046">
            <w:pPr>
              <w:spacing w:before="40" w:after="40" w:line="220" w:lineRule="exact"/>
              <w:jc w:val="right"/>
              <w:rPr>
                <w:sz w:val="18"/>
              </w:rPr>
            </w:pPr>
            <w:r w:rsidRPr="006F7CDF">
              <w:rPr>
                <w:sz w:val="18"/>
              </w:rPr>
              <w:t>6</w:t>
            </w:r>
          </w:p>
        </w:tc>
        <w:tc>
          <w:tcPr>
            <w:tcW w:w="1064" w:type="dxa"/>
            <w:tcBorders>
              <w:top w:val="single" w:sz="12" w:space="0" w:color="auto"/>
            </w:tcBorders>
            <w:shd w:val="clear" w:color="auto" w:fill="auto"/>
            <w:vAlign w:val="bottom"/>
          </w:tcPr>
          <w:p w:rsidR="00F236D5" w:rsidRPr="006F7CDF" w:rsidRDefault="00F236D5" w:rsidP="00947046">
            <w:pPr>
              <w:spacing w:before="40" w:after="40" w:line="220" w:lineRule="exact"/>
              <w:jc w:val="right"/>
              <w:rPr>
                <w:sz w:val="18"/>
              </w:rPr>
            </w:pPr>
            <w:r>
              <w:rPr>
                <w:sz w:val="18"/>
              </w:rPr>
              <w:t xml:space="preserve">4 358 </w:t>
            </w:r>
            <w:r w:rsidRPr="006F7CDF">
              <w:rPr>
                <w:sz w:val="18"/>
              </w:rPr>
              <w:t>356</w:t>
            </w:r>
          </w:p>
        </w:tc>
        <w:tc>
          <w:tcPr>
            <w:tcW w:w="404" w:type="dxa"/>
            <w:tcBorders>
              <w:top w:val="single" w:sz="12" w:space="0" w:color="auto"/>
            </w:tcBorders>
            <w:shd w:val="clear" w:color="auto" w:fill="auto"/>
            <w:vAlign w:val="bottom"/>
          </w:tcPr>
          <w:p w:rsidR="00F236D5" w:rsidRPr="006F7CDF" w:rsidRDefault="00F236D5" w:rsidP="00947046">
            <w:pPr>
              <w:spacing w:before="40" w:after="40" w:line="220" w:lineRule="exact"/>
              <w:jc w:val="right"/>
              <w:rPr>
                <w:sz w:val="18"/>
              </w:rPr>
            </w:pPr>
            <w:r w:rsidRPr="006F7CDF">
              <w:rPr>
                <w:sz w:val="18"/>
              </w:rPr>
              <w:t>7</w:t>
            </w:r>
          </w:p>
        </w:tc>
        <w:tc>
          <w:tcPr>
            <w:tcW w:w="1001" w:type="dxa"/>
            <w:tcBorders>
              <w:top w:val="single" w:sz="12" w:space="0" w:color="auto"/>
            </w:tcBorders>
            <w:shd w:val="clear" w:color="auto" w:fill="auto"/>
            <w:vAlign w:val="bottom"/>
          </w:tcPr>
          <w:p w:rsidR="00F236D5" w:rsidRPr="006F7CDF" w:rsidRDefault="00F236D5" w:rsidP="00947046">
            <w:pPr>
              <w:spacing w:before="40" w:after="40" w:line="220" w:lineRule="exact"/>
              <w:jc w:val="right"/>
              <w:rPr>
                <w:sz w:val="18"/>
              </w:rPr>
            </w:pPr>
            <w:r>
              <w:rPr>
                <w:sz w:val="18"/>
              </w:rPr>
              <w:t xml:space="preserve">26 033 </w:t>
            </w:r>
            <w:r w:rsidRPr="006F7CDF">
              <w:rPr>
                <w:sz w:val="18"/>
              </w:rPr>
              <w:t>391</w:t>
            </w:r>
          </w:p>
        </w:tc>
        <w:tc>
          <w:tcPr>
            <w:tcW w:w="471" w:type="dxa"/>
            <w:tcBorders>
              <w:top w:val="single" w:sz="12" w:space="0" w:color="auto"/>
            </w:tcBorders>
            <w:shd w:val="clear" w:color="auto" w:fill="auto"/>
            <w:vAlign w:val="bottom"/>
          </w:tcPr>
          <w:p w:rsidR="00F236D5" w:rsidRPr="006F7CDF" w:rsidRDefault="00F236D5" w:rsidP="00947046">
            <w:pPr>
              <w:spacing w:before="40" w:after="40" w:line="220" w:lineRule="exact"/>
              <w:jc w:val="right"/>
              <w:rPr>
                <w:sz w:val="18"/>
              </w:rPr>
            </w:pPr>
            <w:r w:rsidRPr="006F7CDF">
              <w:rPr>
                <w:sz w:val="18"/>
              </w:rPr>
              <w:t>27</w:t>
            </w:r>
          </w:p>
        </w:tc>
        <w:tc>
          <w:tcPr>
            <w:tcW w:w="1028" w:type="dxa"/>
            <w:tcBorders>
              <w:top w:val="single" w:sz="12" w:space="0" w:color="auto"/>
            </w:tcBorders>
            <w:shd w:val="clear" w:color="auto" w:fill="auto"/>
            <w:vAlign w:val="bottom"/>
          </w:tcPr>
          <w:p w:rsidR="00F236D5" w:rsidRPr="006F7CDF" w:rsidRDefault="00F236D5" w:rsidP="00947046">
            <w:pPr>
              <w:spacing w:before="40" w:after="40" w:line="220" w:lineRule="exact"/>
              <w:jc w:val="right"/>
              <w:rPr>
                <w:sz w:val="18"/>
              </w:rPr>
            </w:pPr>
            <w:r>
              <w:rPr>
                <w:sz w:val="18"/>
              </w:rPr>
              <w:t xml:space="preserve">6 087 </w:t>
            </w:r>
            <w:r w:rsidRPr="006F7CDF">
              <w:rPr>
                <w:sz w:val="18"/>
              </w:rPr>
              <w:t>932</w:t>
            </w:r>
          </w:p>
        </w:tc>
        <w:tc>
          <w:tcPr>
            <w:tcW w:w="439" w:type="dxa"/>
            <w:tcBorders>
              <w:top w:val="single" w:sz="12" w:space="0" w:color="auto"/>
            </w:tcBorders>
            <w:shd w:val="clear" w:color="auto" w:fill="auto"/>
            <w:vAlign w:val="bottom"/>
          </w:tcPr>
          <w:p w:rsidR="00F236D5" w:rsidRPr="006F7CDF" w:rsidRDefault="00F236D5" w:rsidP="00947046">
            <w:pPr>
              <w:spacing w:before="40" w:after="40" w:line="220" w:lineRule="exact"/>
              <w:jc w:val="right"/>
              <w:rPr>
                <w:sz w:val="18"/>
              </w:rPr>
            </w:pPr>
            <w:r w:rsidRPr="006F7CDF">
              <w:rPr>
                <w:sz w:val="18"/>
              </w:rPr>
              <w:t>8</w:t>
            </w:r>
          </w:p>
        </w:tc>
      </w:tr>
      <w:tr w:rsidR="00F236D5" w:rsidRPr="006F7CDF" w:rsidTr="00947046">
        <w:tc>
          <w:tcPr>
            <w:tcW w:w="2298" w:type="dxa"/>
            <w:shd w:val="clear" w:color="auto" w:fill="auto"/>
          </w:tcPr>
          <w:p w:rsidR="00F236D5" w:rsidRPr="006F7CDF" w:rsidRDefault="00F236D5" w:rsidP="00947046">
            <w:pPr>
              <w:spacing w:before="40" w:after="40" w:line="220" w:lineRule="exact"/>
              <w:ind w:right="113"/>
              <w:rPr>
                <w:sz w:val="18"/>
              </w:rPr>
            </w:pPr>
            <w:r>
              <w:rPr>
                <w:sz w:val="18"/>
              </w:rPr>
              <w:t>Educació</w:t>
            </w:r>
            <w:r w:rsidRPr="006F7CDF">
              <w:rPr>
                <w:sz w:val="18"/>
              </w:rPr>
              <w:t>n/</w:t>
            </w:r>
            <w:r>
              <w:rPr>
                <w:sz w:val="18"/>
              </w:rPr>
              <w:t>C</w:t>
            </w:r>
            <w:r w:rsidRPr="006F7CDF">
              <w:rPr>
                <w:sz w:val="18"/>
              </w:rPr>
              <w:t>ienc</w:t>
            </w:r>
            <w:r>
              <w:rPr>
                <w:sz w:val="18"/>
              </w:rPr>
              <w:t>ia</w:t>
            </w:r>
          </w:p>
        </w:tc>
        <w:tc>
          <w:tcPr>
            <w:tcW w:w="1000"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9 183 </w:t>
            </w:r>
            <w:r w:rsidRPr="006F7CDF">
              <w:rPr>
                <w:sz w:val="18"/>
              </w:rPr>
              <w:t>903</w:t>
            </w:r>
          </w:p>
        </w:tc>
        <w:tc>
          <w:tcPr>
            <w:tcW w:w="467"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17</w:t>
            </w:r>
          </w:p>
        </w:tc>
        <w:tc>
          <w:tcPr>
            <w:tcW w:w="1032" w:type="dxa"/>
            <w:gridSpan w:val="2"/>
            <w:shd w:val="clear" w:color="auto" w:fill="auto"/>
            <w:vAlign w:val="bottom"/>
          </w:tcPr>
          <w:p w:rsidR="00F236D5" w:rsidRPr="006F7CDF" w:rsidRDefault="00F236D5" w:rsidP="00947046">
            <w:pPr>
              <w:spacing w:before="40" w:after="40" w:line="220" w:lineRule="exact"/>
              <w:jc w:val="right"/>
              <w:rPr>
                <w:sz w:val="18"/>
              </w:rPr>
            </w:pPr>
            <w:r>
              <w:rPr>
                <w:sz w:val="18"/>
              </w:rPr>
              <w:t xml:space="preserve">9 766 </w:t>
            </w:r>
            <w:r w:rsidRPr="006F7CDF">
              <w:rPr>
                <w:sz w:val="18"/>
              </w:rPr>
              <w:t>203</w:t>
            </w:r>
          </w:p>
        </w:tc>
        <w:tc>
          <w:tcPr>
            <w:tcW w:w="435"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16</w:t>
            </w:r>
          </w:p>
        </w:tc>
        <w:tc>
          <w:tcPr>
            <w:tcW w:w="1064"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10 213 </w:t>
            </w:r>
            <w:r w:rsidRPr="006F7CDF">
              <w:rPr>
                <w:sz w:val="18"/>
              </w:rPr>
              <w:t>777</w:t>
            </w:r>
          </w:p>
        </w:tc>
        <w:tc>
          <w:tcPr>
            <w:tcW w:w="404"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16</w:t>
            </w:r>
          </w:p>
        </w:tc>
        <w:tc>
          <w:tcPr>
            <w:tcW w:w="1001"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11 944 </w:t>
            </w:r>
            <w:r w:rsidRPr="006F7CDF">
              <w:rPr>
                <w:sz w:val="18"/>
              </w:rPr>
              <w:t>551</w:t>
            </w:r>
          </w:p>
        </w:tc>
        <w:tc>
          <w:tcPr>
            <w:tcW w:w="471"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12</w:t>
            </w:r>
          </w:p>
        </w:tc>
        <w:tc>
          <w:tcPr>
            <w:tcW w:w="1028"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12 284 </w:t>
            </w:r>
            <w:r w:rsidRPr="006F7CDF">
              <w:rPr>
                <w:sz w:val="18"/>
              </w:rPr>
              <w:t>700</w:t>
            </w:r>
          </w:p>
        </w:tc>
        <w:tc>
          <w:tcPr>
            <w:tcW w:w="439"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17</w:t>
            </w:r>
          </w:p>
        </w:tc>
      </w:tr>
      <w:tr w:rsidR="00F236D5" w:rsidRPr="006F7CDF" w:rsidTr="00947046">
        <w:tc>
          <w:tcPr>
            <w:tcW w:w="2298" w:type="dxa"/>
            <w:shd w:val="clear" w:color="auto" w:fill="auto"/>
          </w:tcPr>
          <w:p w:rsidR="00F236D5" w:rsidRPr="006F7CDF" w:rsidRDefault="00F236D5" w:rsidP="00947046">
            <w:pPr>
              <w:spacing w:before="40" w:after="40" w:line="220" w:lineRule="exact"/>
              <w:ind w:right="113"/>
              <w:rPr>
                <w:sz w:val="18"/>
              </w:rPr>
            </w:pPr>
            <w:r>
              <w:rPr>
                <w:sz w:val="18"/>
              </w:rPr>
              <w:t>Medio ambiente</w:t>
            </w:r>
          </w:p>
        </w:tc>
        <w:tc>
          <w:tcPr>
            <w:tcW w:w="1000"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422 </w:t>
            </w:r>
            <w:r w:rsidRPr="006F7CDF">
              <w:rPr>
                <w:sz w:val="18"/>
              </w:rPr>
              <w:t>729</w:t>
            </w:r>
          </w:p>
        </w:tc>
        <w:tc>
          <w:tcPr>
            <w:tcW w:w="467"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w:t>
            </w:r>
          </w:p>
        </w:tc>
        <w:tc>
          <w:tcPr>
            <w:tcW w:w="1032" w:type="dxa"/>
            <w:gridSpan w:val="2"/>
            <w:shd w:val="clear" w:color="auto" w:fill="auto"/>
            <w:vAlign w:val="bottom"/>
          </w:tcPr>
          <w:p w:rsidR="00F236D5" w:rsidRPr="006F7CDF" w:rsidRDefault="00F236D5" w:rsidP="00947046">
            <w:pPr>
              <w:spacing w:before="40" w:after="40" w:line="220" w:lineRule="exact"/>
              <w:jc w:val="right"/>
              <w:rPr>
                <w:sz w:val="18"/>
              </w:rPr>
            </w:pPr>
            <w:r>
              <w:rPr>
                <w:sz w:val="18"/>
              </w:rPr>
              <w:t xml:space="preserve">533 </w:t>
            </w:r>
            <w:r w:rsidRPr="006F7CDF">
              <w:rPr>
                <w:sz w:val="18"/>
              </w:rPr>
              <w:t>495</w:t>
            </w:r>
          </w:p>
        </w:tc>
        <w:tc>
          <w:tcPr>
            <w:tcW w:w="435"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w:t>
            </w:r>
          </w:p>
        </w:tc>
        <w:tc>
          <w:tcPr>
            <w:tcW w:w="1064"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524</w:t>
            </w:r>
            <w:r>
              <w:rPr>
                <w:sz w:val="18"/>
              </w:rPr>
              <w:t xml:space="preserve"> </w:t>
            </w:r>
            <w:r w:rsidRPr="006F7CDF">
              <w:rPr>
                <w:sz w:val="18"/>
              </w:rPr>
              <w:t>269</w:t>
            </w:r>
          </w:p>
        </w:tc>
        <w:tc>
          <w:tcPr>
            <w:tcW w:w="404"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w:t>
            </w:r>
          </w:p>
        </w:tc>
        <w:tc>
          <w:tcPr>
            <w:tcW w:w="1001"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697 </w:t>
            </w:r>
            <w:r w:rsidRPr="006F7CDF">
              <w:rPr>
                <w:sz w:val="18"/>
              </w:rPr>
              <w:t>744</w:t>
            </w:r>
          </w:p>
        </w:tc>
        <w:tc>
          <w:tcPr>
            <w:tcW w:w="471"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w:t>
            </w:r>
          </w:p>
        </w:tc>
        <w:tc>
          <w:tcPr>
            <w:tcW w:w="1028"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1 184 </w:t>
            </w:r>
            <w:r w:rsidRPr="006F7CDF">
              <w:rPr>
                <w:sz w:val="18"/>
              </w:rPr>
              <w:t>425</w:t>
            </w:r>
          </w:p>
        </w:tc>
        <w:tc>
          <w:tcPr>
            <w:tcW w:w="439"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2</w:t>
            </w:r>
          </w:p>
        </w:tc>
      </w:tr>
      <w:tr w:rsidR="00F236D5" w:rsidRPr="006F7CDF" w:rsidTr="00947046">
        <w:tc>
          <w:tcPr>
            <w:tcW w:w="2298" w:type="dxa"/>
            <w:shd w:val="clear" w:color="auto" w:fill="auto"/>
          </w:tcPr>
          <w:p w:rsidR="00F236D5" w:rsidRPr="006F7CDF" w:rsidRDefault="00F236D5" w:rsidP="00947046">
            <w:pPr>
              <w:spacing w:before="40" w:after="40" w:line="220" w:lineRule="exact"/>
              <w:ind w:right="113"/>
              <w:rPr>
                <w:sz w:val="18"/>
              </w:rPr>
            </w:pPr>
            <w:r>
              <w:rPr>
                <w:sz w:val="18"/>
              </w:rPr>
              <w:t>Relaciones e</w:t>
            </w:r>
            <w:r w:rsidRPr="006F7CDF">
              <w:rPr>
                <w:sz w:val="18"/>
              </w:rPr>
              <w:t>xter</w:t>
            </w:r>
            <w:r>
              <w:rPr>
                <w:sz w:val="18"/>
              </w:rPr>
              <w:t>iores</w:t>
            </w:r>
          </w:p>
        </w:tc>
        <w:tc>
          <w:tcPr>
            <w:tcW w:w="1000"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3 007 </w:t>
            </w:r>
            <w:r w:rsidRPr="006F7CDF">
              <w:rPr>
                <w:sz w:val="18"/>
              </w:rPr>
              <w:t>518</w:t>
            </w:r>
          </w:p>
        </w:tc>
        <w:tc>
          <w:tcPr>
            <w:tcW w:w="467"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6</w:t>
            </w:r>
          </w:p>
        </w:tc>
        <w:tc>
          <w:tcPr>
            <w:tcW w:w="1032" w:type="dxa"/>
            <w:gridSpan w:val="2"/>
            <w:shd w:val="clear" w:color="auto" w:fill="auto"/>
            <w:vAlign w:val="bottom"/>
          </w:tcPr>
          <w:p w:rsidR="00F236D5" w:rsidRPr="006F7CDF" w:rsidRDefault="00F236D5" w:rsidP="00947046">
            <w:pPr>
              <w:spacing w:before="40" w:after="40" w:line="220" w:lineRule="exact"/>
              <w:jc w:val="right"/>
              <w:rPr>
                <w:sz w:val="18"/>
              </w:rPr>
            </w:pPr>
            <w:r>
              <w:rPr>
                <w:sz w:val="18"/>
              </w:rPr>
              <w:t xml:space="preserve">3 487 </w:t>
            </w:r>
            <w:r w:rsidRPr="006F7CDF">
              <w:rPr>
                <w:sz w:val="18"/>
              </w:rPr>
              <w:t>442</w:t>
            </w:r>
          </w:p>
        </w:tc>
        <w:tc>
          <w:tcPr>
            <w:tcW w:w="435"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6</w:t>
            </w:r>
          </w:p>
        </w:tc>
        <w:tc>
          <w:tcPr>
            <w:tcW w:w="1064"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3 450 </w:t>
            </w:r>
            <w:r w:rsidRPr="006F7CDF">
              <w:rPr>
                <w:sz w:val="18"/>
              </w:rPr>
              <w:t>959</w:t>
            </w:r>
          </w:p>
        </w:tc>
        <w:tc>
          <w:tcPr>
            <w:tcW w:w="404"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5</w:t>
            </w:r>
          </w:p>
        </w:tc>
        <w:tc>
          <w:tcPr>
            <w:tcW w:w="1001"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4 031 </w:t>
            </w:r>
            <w:r w:rsidRPr="006F7CDF">
              <w:rPr>
                <w:sz w:val="18"/>
              </w:rPr>
              <w:t>818</w:t>
            </w:r>
          </w:p>
        </w:tc>
        <w:tc>
          <w:tcPr>
            <w:tcW w:w="471"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4</w:t>
            </w:r>
          </w:p>
        </w:tc>
        <w:tc>
          <w:tcPr>
            <w:tcW w:w="1028"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4 532 </w:t>
            </w:r>
            <w:r w:rsidRPr="006F7CDF">
              <w:rPr>
                <w:sz w:val="18"/>
              </w:rPr>
              <w:t>038</w:t>
            </w:r>
          </w:p>
        </w:tc>
        <w:tc>
          <w:tcPr>
            <w:tcW w:w="439"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6</w:t>
            </w:r>
          </w:p>
        </w:tc>
      </w:tr>
      <w:tr w:rsidR="00F236D5" w:rsidRPr="006F7CDF" w:rsidTr="00947046">
        <w:tc>
          <w:tcPr>
            <w:tcW w:w="2298" w:type="dxa"/>
            <w:shd w:val="clear" w:color="auto" w:fill="auto"/>
          </w:tcPr>
          <w:p w:rsidR="00F236D5" w:rsidRPr="006F7CDF" w:rsidRDefault="00F236D5" w:rsidP="00947046">
            <w:pPr>
              <w:spacing w:before="40" w:after="40" w:line="220" w:lineRule="exact"/>
              <w:ind w:right="113"/>
              <w:rPr>
                <w:sz w:val="18"/>
              </w:rPr>
            </w:pPr>
            <w:r>
              <w:rPr>
                <w:sz w:val="18"/>
              </w:rPr>
              <w:t>Administración financiera y pública</w:t>
            </w:r>
          </w:p>
        </w:tc>
        <w:tc>
          <w:tcPr>
            <w:tcW w:w="1000"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9 161 </w:t>
            </w:r>
            <w:r w:rsidRPr="006F7CDF">
              <w:rPr>
                <w:sz w:val="18"/>
              </w:rPr>
              <w:t>116</w:t>
            </w:r>
          </w:p>
        </w:tc>
        <w:tc>
          <w:tcPr>
            <w:tcW w:w="467"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17</w:t>
            </w:r>
          </w:p>
        </w:tc>
        <w:tc>
          <w:tcPr>
            <w:tcW w:w="1032" w:type="dxa"/>
            <w:gridSpan w:val="2"/>
            <w:shd w:val="clear" w:color="auto" w:fill="auto"/>
            <w:vAlign w:val="bottom"/>
          </w:tcPr>
          <w:p w:rsidR="00F236D5" w:rsidRPr="006F7CDF" w:rsidRDefault="00F236D5" w:rsidP="00947046">
            <w:pPr>
              <w:spacing w:before="40" w:after="40" w:line="220" w:lineRule="exact"/>
              <w:jc w:val="right"/>
              <w:rPr>
                <w:sz w:val="18"/>
              </w:rPr>
            </w:pPr>
            <w:r>
              <w:rPr>
                <w:sz w:val="18"/>
              </w:rPr>
              <w:t xml:space="preserve">10 058 </w:t>
            </w:r>
            <w:r w:rsidRPr="006F7CDF">
              <w:rPr>
                <w:sz w:val="18"/>
              </w:rPr>
              <w:t>023</w:t>
            </w:r>
          </w:p>
        </w:tc>
        <w:tc>
          <w:tcPr>
            <w:tcW w:w="435"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17</w:t>
            </w:r>
          </w:p>
        </w:tc>
        <w:tc>
          <w:tcPr>
            <w:tcW w:w="1064"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10 447 </w:t>
            </w:r>
            <w:r w:rsidRPr="006F7CDF">
              <w:rPr>
                <w:sz w:val="18"/>
              </w:rPr>
              <w:t>981</w:t>
            </w:r>
          </w:p>
        </w:tc>
        <w:tc>
          <w:tcPr>
            <w:tcW w:w="404"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16</w:t>
            </w:r>
          </w:p>
        </w:tc>
        <w:tc>
          <w:tcPr>
            <w:tcW w:w="1001"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16 965 </w:t>
            </w:r>
            <w:r w:rsidRPr="006F7CDF">
              <w:rPr>
                <w:sz w:val="18"/>
              </w:rPr>
              <w:t>215</w:t>
            </w:r>
          </w:p>
        </w:tc>
        <w:tc>
          <w:tcPr>
            <w:tcW w:w="471"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17</w:t>
            </w:r>
          </w:p>
        </w:tc>
        <w:tc>
          <w:tcPr>
            <w:tcW w:w="1028"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9 764 </w:t>
            </w:r>
            <w:r w:rsidRPr="006F7CDF">
              <w:rPr>
                <w:sz w:val="18"/>
              </w:rPr>
              <w:t>947</w:t>
            </w:r>
          </w:p>
        </w:tc>
        <w:tc>
          <w:tcPr>
            <w:tcW w:w="439"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13</w:t>
            </w:r>
          </w:p>
        </w:tc>
      </w:tr>
      <w:tr w:rsidR="00F236D5" w:rsidRPr="006F7CDF" w:rsidTr="00947046">
        <w:tc>
          <w:tcPr>
            <w:tcW w:w="2298" w:type="dxa"/>
            <w:shd w:val="clear" w:color="auto" w:fill="auto"/>
          </w:tcPr>
          <w:p w:rsidR="00F236D5" w:rsidRPr="006F7CDF" w:rsidRDefault="00F236D5" w:rsidP="00947046">
            <w:pPr>
              <w:spacing w:before="40" w:after="40" w:line="220" w:lineRule="exact"/>
              <w:ind w:right="113"/>
              <w:rPr>
                <w:sz w:val="18"/>
              </w:rPr>
            </w:pPr>
            <w:r>
              <w:rPr>
                <w:sz w:val="18"/>
              </w:rPr>
              <w:t>Salud</w:t>
            </w:r>
          </w:p>
        </w:tc>
        <w:tc>
          <w:tcPr>
            <w:tcW w:w="1000"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9 680 </w:t>
            </w:r>
            <w:r w:rsidRPr="006F7CDF">
              <w:rPr>
                <w:sz w:val="18"/>
              </w:rPr>
              <w:t>965</w:t>
            </w:r>
          </w:p>
        </w:tc>
        <w:tc>
          <w:tcPr>
            <w:tcW w:w="467"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18</w:t>
            </w:r>
          </w:p>
        </w:tc>
        <w:tc>
          <w:tcPr>
            <w:tcW w:w="1032" w:type="dxa"/>
            <w:gridSpan w:val="2"/>
            <w:shd w:val="clear" w:color="auto" w:fill="auto"/>
            <w:vAlign w:val="bottom"/>
          </w:tcPr>
          <w:p w:rsidR="00F236D5" w:rsidRPr="006F7CDF" w:rsidRDefault="00F236D5" w:rsidP="00947046">
            <w:pPr>
              <w:spacing w:before="40" w:after="40" w:line="220" w:lineRule="exact"/>
              <w:jc w:val="right"/>
              <w:rPr>
                <w:sz w:val="18"/>
              </w:rPr>
            </w:pPr>
            <w:r>
              <w:rPr>
                <w:sz w:val="18"/>
              </w:rPr>
              <w:t xml:space="preserve">10 412 </w:t>
            </w:r>
            <w:r w:rsidRPr="006F7CDF">
              <w:rPr>
                <w:sz w:val="18"/>
              </w:rPr>
              <w:t>845</w:t>
            </w:r>
          </w:p>
        </w:tc>
        <w:tc>
          <w:tcPr>
            <w:tcW w:w="435"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17</w:t>
            </w:r>
          </w:p>
        </w:tc>
        <w:tc>
          <w:tcPr>
            <w:tcW w:w="1064"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11 928 </w:t>
            </w:r>
            <w:r w:rsidRPr="006F7CDF">
              <w:rPr>
                <w:sz w:val="18"/>
              </w:rPr>
              <w:t>703</w:t>
            </w:r>
          </w:p>
        </w:tc>
        <w:tc>
          <w:tcPr>
            <w:tcW w:w="404"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19</w:t>
            </w:r>
          </w:p>
        </w:tc>
        <w:tc>
          <w:tcPr>
            <w:tcW w:w="1001"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12 078 </w:t>
            </w:r>
            <w:r w:rsidRPr="006F7CDF">
              <w:rPr>
                <w:sz w:val="18"/>
              </w:rPr>
              <w:t>610</w:t>
            </w:r>
          </w:p>
        </w:tc>
        <w:tc>
          <w:tcPr>
            <w:tcW w:w="471"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12</w:t>
            </w:r>
          </w:p>
        </w:tc>
        <w:tc>
          <w:tcPr>
            <w:tcW w:w="1028"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12 977 </w:t>
            </w:r>
            <w:r w:rsidRPr="006F7CDF">
              <w:rPr>
                <w:sz w:val="18"/>
              </w:rPr>
              <w:t>715</w:t>
            </w:r>
          </w:p>
        </w:tc>
        <w:tc>
          <w:tcPr>
            <w:tcW w:w="439"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17</w:t>
            </w:r>
          </w:p>
        </w:tc>
      </w:tr>
      <w:tr w:rsidR="00F236D5" w:rsidRPr="006F7CDF" w:rsidTr="00947046">
        <w:tc>
          <w:tcPr>
            <w:tcW w:w="2298" w:type="dxa"/>
            <w:shd w:val="clear" w:color="auto" w:fill="auto"/>
          </w:tcPr>
          <w:p w:rsidR="00F236D5" w:rsidRPr="006F7CDF" w:rsidRDefault="00F236D5" w:rsidP="00947046">
            <w:pPr>
              <w:spacing w:before="40" w:after="40" w:line="220" w:lineRule="exact"/>
              <w:ind w:right="113"/>
              <w:rPr>
                <w:sz w:val="18"/>
              </w:rPr>
            </w:pPr>
            <w:r w:rsidRPr="006F7CDF">
              <w:rPr>
                <w:sz w:val="18"/>
              </w:rPr>
              <w:t>Justic</w:t>
            </w:r>
            <w:r>
              <w:rPr>
                <w:sz w:val="18"/>
              </w:rPr>
              <w:t>ia</w:t>
            </w:r>
          </w:p>
        </w:tc>
        <w:tc>
          <w:tcPr>
            <w:tcW w:w="1000"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2 401 </w:t>
            </w:r>
            <w:r w:rsidRPr="006F7CDF">
              <w:rPr>
                <w:sz w:val="18"/>
              </w:rPr>
              <w:t>476</w:t>
            </w:r>
          </w:p>
        </w:tc>
        <w:tc>
          <w:tcPr>
            <w:tcW w:w="467"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4</w:t>
            </w:r>
          </w:p>
        </w:tc>
        <w:tc>
          <w:tcPr>
            <w:tcW w:w="1032" w:type="dxa"/>
            <w:gridSpan w:val="2"/>
            <w:shd w:val="clear" w:color="auto" w:fill="auto"/>
            <w:vAlign w:val="bottom"/>
          </w:tcPr>
          <w:p w:rsidR="00F236D5" w:rsidRPr="006F7CDF" w:rsidRDefault="00F236D5" w:rsidP="00947046">
            <w:pPr>
              <w:spacing w:before="40" w:after="40" w:line="220" w:lineRule="exact"/>
              <w:jc w:val="right"/>
              <w:rPr>
                <w:sz w:val="18"/>
              </w:rPr>
            </w:pPr>
            <w:r>
              <w:rPr>
                <w:sz w:val="18"/>
              </w:rPr>
              <w:t xml:space="preserve">2 </w:t>
            </w:r>
            <w:r w:rsidRPr="006F7CDF">
              <w:rPr>
                <w:sz w:val="18"/>
              </w:rPr>
              <w:t>753</w:t>
            </w:r>
            <w:r>
              <w:rPr>
                <w:sz w:val="18"/>
              </w:rPr>
              <w:t xml:space="preserve"> </w:t>
            </w:r>
            <w:r w:rsidRPr="006F7CDF">
              <w:rPr>
                <w:sz w:val="18"/>
              </w:rPr>
              <w:t>976</w:t>
            </w:r>
          </w:p>
        </w:tc>
        <w:tc>
          <w:tcPr>
            <w:tcW w:w="435"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5</w:t>
            </w:r>
          </w:p>
        </w:tc>
        <w:tc>
          <w:tcPr>
            <w:tcW w:w="1064"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3 </w:t>
            </w:r>
            <w:r w:rsidRPr="006F7CDF">
              <w:rPr>
                <w:sz w:val="18"/>
              </w:rPr>
              <w:t>097</w:t>
            </w:r>
            <w:r>
              <w:rPr>
                <w:sz w:val="18"/>
              </w:rPr>
              <w:t xml:space="preserve"> </w:t>
            </w:r>
            <w:r w:rsidRPr="006F7CDF">
              <w:rPr>
                <w:sz w:val="18"/>
              </w:rPr>
              <w:t>452</w:t>
            </w:r>
          </w:p>
        </w:tc>
        <w:tc>
          <w:tcPr>
            <w:tcW w:w="404"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5</w:t>
            </w:r>
          </w:p>
        </w:tc>
        <w:tc>
          <w:tcPr>
            <w:tcW w:w="1001"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3 793 </w:t>
            </w:r>
            <w:r w:rsidRPr="006F7CDF">
              <w:rPr>
                <w:sz w:val="18"/>
              </w:rPr>
              <w:t>795</w:t>
            </w:r>
          </w:p>
        </w:tc>
        <w:tc>
          <w:tcPr>
            <w:tcW w:w="471"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4</w:t>
            </w:r>
          </w:p>
        </w:tc>
        <w:tc>
          <w:tcPr>
            <w:tcW w:w="1028"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4 172 </w:t>
            </w:r>
            <w:r w:rsidRPr="006F7CDF">
              <w:rPr>
                <w:sz w:val="18"/>
              </w:rPr>
              <w:t>249</w:t>
            </w:r>
          </w:p>
        </w:tc>
        <w:tc>
          <w:tcPr>
            <w:tcW w:w="439"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6</w:t>
            </w:r>
          </w:p>
        </w:tc>
      </w:tr>
      <w:tr w:rsidR="00F236D5" w:rsidRPr="006F7CDF" w:rsidTr="00947046">
        <w:tc>
          <w:tcPr>
            <w:tcW w:w="2298" w:type="dxa"/>
            <w:shd w:val="clear" w:color="auto" w:fill="auto"/>
          </w:tcPr>
          <w:p w:rsidR="00F236D5" w:rsidRPr="006F7CDF" w:rsidRDefault="00F236D5" w:rsidP="00947046">
            <w:pPr>
              <w:spacing w:before="40" w:after="40" w:line="220" w:lineRule="exact"/>
              <w:ind w:right="113"/>
              <w:rPr>
                <w:sz w:val="18"/>
              </w:rPr>
            </w:pPr>
            <w:r>
              <w:rPr>
                <w:sz w:val="18"/>
              </w:rPr>
              <w:t>Asuntos relativos a los maoríes y otras poblaciones y asuntos culturales</w:t>
            </w:r>
          </w:p>
        </w:tc>
        <w:tc>
          <w:tcPr>
            <w:tcW w:w="1000"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89</w:t>
            </w:r>
            <w:r>
              <w:rPr>
                <w:sz w:val="18"/>
              </w:rPr>
              <w:t xml:space="preserve">5 </w:t>
            </w:r>
            <w:r w:rsidRPr="006F7CDF">
              <w:rPr>
                <w:sz w:val="18"/>
              </w:rPr>
              <w:t>832</w:t>
            </w:r>
          </w:p>
        </w:tc>
        <w:tc>
          <w:tcPr>
            <w:tcW w:w="467"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2</w:t>
            </w:r>
          </w:p>
        </w:tc>
        <w:tc>
          <w:tcPr>
            <w:tcW w:w="1032" w:type="dxa"/>
            <w:gridSpan w:val="2"/>
            <w:shd w:val="clear" w:color="auto" w:fill="auto"/>
            <w:vAlign w:val="bottom"/>
          </w:tcPr>
          <w:p w:rsidR="00F236D5" w:rsidRPr="006F7CDF" w:rsidRDefault="00F236D5" w:rsidP="00947046">
            <w:pPr>
              <w:spacing w:before="40" w:after="40" w:line="220" w:lineRule="exact"/>
              <w:jc w:val="right"/>
              <w:rPr>
                <w:sz w:val="18"/>
              </w:rPr>
            </w:pPr>
            <w:r>
              <w:rPr>
                <w:sz w:val="18"/>
              </w:rPr>
              <w:t xml:space="preserve">892 </w:t>
            </w:r>
            <w:r w:rsidRPr="006F7CDF">
              <w:rPr>
                <w:sz w:val="18"/>
              </w:rPr>
              <w:t>014</w:t>
            </w:r>
          </w:p>
        </w:tc>
        <w:tc>
          <w:tcPr>
            <w:tcW w:w="435"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w:t>
            </w:r>
          </w:p>
        </w:tc>
        <w:tc>
          <w:tcPr>
            <w:tcW w:w="1064"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987 </w:t>
            </w:r>
            <w:r w:rsidRPr="006F7CDF">
              <w:rPr>
                <w:sz w:val="18"/>
              </w:rPr>
              <w:t>625</w:t>
            </w:r>
          </w:p>
        </w:tc>
        <w:tc>
          <w:tcPr>
            <w:tcW w:w="404"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2</w:t>
            </w:r>
          </w:p>
        </w:tc>
        <w:tc>
          <w:tcPr>
            <w:tcW w:w="1001"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1 170 </w:t>
            </w:r>
            <w:r w:rsidRPr="006F7CDF">
              <w:rPr>
                <w:sz w:val="18"/>
              </w:rPr>
              <w:t>367</w:t>
            </w:r>
          </w:p>
        </w:tc>
        <w:tc>
          <w:tcPr>
            <w:tcW w:w="471"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w:t>
            </w:r>
          </w:p>
        </w:tc>
        <w:tc>
          <w:tcPr>
            <w:tcW w:w="1028"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1 289 </w:t>
            </w:r>
            <w:r w:rsidRPr="006F7CDF">
              <w:rPr>
                <w:sz w:val="18"/>
              </w:rPr>
              <w:t>299</w:t>
            </w:r>
          </w:p>
        </w:tc>
        <w:tc>
          <w:tcPr>
            <w:tcW w:w="439"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2</w:t>
            </w:r>
          </w:p>
        </w:tc>
      </w:tr>
      <w:tr w:rsidR="00F236D5" w:rsidRPr="006F7CDF" w:rsidTr="00947046">
        <w:tc>
          <w:tcPr>
            <w:tcW w:w="2298" w:type="dxa"/>
            <w:shd w:val="clear" w:color="auto" w:fill="auto"/>
          </w:tcPr>
          <w:p w:rsidR="00F236D5" w:rsidRPr="006F7CDF" w:rsidRDefault="00F236D5" w:rsidP="00947046">
            <w:pPr>
              <w:spacing w:before="40" w:after="40" w:line="220" w:lineRule="exact"/>
              <w:ind w:right="113"/>
              <w:rPr>
                <w:sz w:val="18"/>
              </w:rPr>
            </w:pPr>
            <w:r>
              <w:rPr>
                <w:sz w:val="18"/>
              </w:rPr>
              <w:t>Sector primario</w:t>
            </w:r>
          </w:p>
        </w:tc>
        <w:tc>
          <w:tcPr>
            <w:tcW w:w="1000"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585 </w:t>
            </w:r>
            <w:r w:rsidRPr="006F7CDF">
              <w:rPr>
                <w:sz w:val="18"/>
              </w:rPr>
              <w:t>625</w:t>
            </w:r>
          </w:p>
        </w:tc>
        <w:tc>
          <w:tcPr>
            <w:tcW w:w="467"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w:t>
            </w:r>
          </w:p>
        </w:tc>
        <w:tc>
          <w:tcPr>
            <w:tcW w:w="1032" w:type="dxa"/>
            <w:gridSpan w:val="2"/>
            <w:shd w:val="clear" w:color="auto" w:fill="auto"/>
            <w:vAlign w:val="bottom"/>
          </w:tcPr>
          <w:p w:rsidR="00F236D5" w:rsidRPr="006F7CDF" w:rsidRDefault="00F236D5" w:rsidP="00947046">
            <w:pPr>
              <w:spacing w:before="40" w:after="40" w:line="220" w:lineRule="exact"/>
              <w:jc w:val="right"/>
              <w:rPr>
                <w:sz w:val="18"/>
              </w:rPr>
            </w:pPr>
            <w:r>
              <w:rPr>
                <w:sz w:val="18"/>
              </w:rPr>
              <w:t xml:space="preserve">638 </w:t>
            </w:r>
            <w:r w:rsidRPr="006F7CDF">
              <w:rPr>
                <w:sz w:val="18"/>
              </w:rPr>
              <w:t>938</w:t>
            </w:r>
          </w:p>
        </w:tc>
        <w:tc>
          <w:tcPr>
            <w:tcW w:w="435"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w:t>
            </w:r>
          </w:p>
        </w:tc>
        <w:tc>
          <w:tcPr>
            <w:tcW w:w="1064"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749 </w:t>
            </w:r>
            <w:r w:rsidRPr="006F7CDF">
              <w:rPr>
                <w:sz w:val="18"/>
              </w:rPr>
              <w:t>137</w:t>
            </w:r>
          </w:p>
        </w:tc>
        <w:tc>
          <w:tcPr>
            <w:tcW w:w="404"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w:t>
            </w:r>
          </w:p>
        </w:tc>
        <w:tc>
          <w:tcPr>
            <w:tcW w:w="1001"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1 562 </w:t>
            </w:r>
            <w:r w:rsidRPr="006F7CDF">
              <w:rPr>
                <w:sz w:val="18"/>
              </w:rPr>
              <w:t>971</w:t>
            </w:r>
          </w:p>
        </w:tc>
        <w:tc>
          <w:tcPr>
            <w:tcW w:w="471"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2</w:t>
            </w:r>
          </w:p>
        </w:tc>
        <w:tc>
          <w:tcPr>
            <w:tcW w:w="1028" w:type="dxa"/>
            <w:shd w:val="clear" w:color="auto" w:fill="auto"/>
            <w:vAlign w:val="bottom"/>
          </w:tcPr>
          <w:p w:rsidR="00F236D5" w:rsidRPr="006F7CDF" w:rsidRDefault="00F236D5" w:rsidP="00947046">
            <w:pPr>
              <w:spacing w:before="40" w:after="40" w:line="220" w:lineRule="exact"/>
              <w:jc w:val="right"/>
              <w:rPr>
                <w:sz w:val="18"/>
              </w:rPr>
            </w:pPr>
            <w:r>
              <w:rPr>
                <w:sz w:val="18"/>
              </w:rPr>
              <w:t xml:space="preserve">803 </w:t>
            </w:r>
            <w:r w:rsidRPr="006F7CDF">
              <w:rPr>
                <w:sz w:val="18"/>
              </w:rPr>
              <w:t>529</w:t>
            </w:r>
          </w:p>
        </w:tc>
        <w:tc>
          <w:tcPr>
            <w:tcW w:w="439" w:type="dxa"/>
            <w:shd w:val="clear" w:color="auto" w:fill="auto"/>
            <w:vAlign w:val="bottom"/>
          </w:tcPr>
          <w:p w:rsidR="00F236D5" w:rsidRPr="006F7CDF" w:rsidRDefault="00F236D5" w:rsidP="00947046">
            <w:pPr>
              <w:spacing w:before="40" w:after="40" w:line="220" w:lineRule="exact"/>
              <w:jc w:val="right"/>
              <w:rPr>
                <w:sz w:val="18"/>
              </w:rPr>
            </w:pPr>
            <w:r w:rsidRPr="006F7CDF">
              <w:rPr>
                <w:sz w:val="18"/>
              </w:rPr>
              <w:t>1</w:t>
            </w:r>
          </w:p>
        </w:tc>
      </w:tr>
      <w:tr w:rsidR="00F236D5" w:rsidRPr="006F7CDF" w:rsidTr="00947046">
        <w:tc>
          <w:tcPr>
            <w:tcW w:w="2298" w:type="dxa"/>
            <w:tcBorders>
              <w:bottom w:val="single" w:sz="4" w:space="0" w:color="auto"/>
            </w:tcBorders>
            <w:shd w:val="clear" w:color="auto" w:fill="auto"/>
          </w:tcPr>
          <w:p w:rsidR="00F236D5" w:rsidRPr="006F7CDF" w:rsidRDefault="00F236D5" w:rsidP="00947046">
            <w:pPr>
              <w:spacing w:before="40" w:after="40" w:line="220" w:lineRule="exact"/>
              <w:ind w:right="113"/>
              <w:rPr>
                <w:sz w:val="18"/>
              </w:rPr>
            </w:pPr>
            <w:r>
              <w:rPr>
                <w:sz w:val="18"/>
              </w:rPr>
              <w:t>Desarrollo social y vivienda</w:t>
            </w:r>
          </w:p>
        </w:tc>
        <w:tc>
          <w:tcPr>
            <w:tcW w:w="1000" w:type="dxa"/>
            <w:tcBorders>
              <w:bottom w:val="single" w:sz="4" w:space="0" w:color="auto"/>
            </w:tcBorders>
            <w:shd w:val="clear" w:color="auto" w:fill="auto"/>
            <w:vAlign w:val="bottom"/>
          </w:tcPr>
          <w:p w:rsidR="00F236D5" w:rsidRPr="006F7CDF" w:rsidRDefault="00F236D5" w:rsidP="00947046">
            <w:pPr>
              <w:spacing w:before="40" w:after="40" w:line="220" w:lineRule="exact"/>
              <w:jc w:val="right"/>
              <w:rPr>
                <w:sz w:val="18"/>
              </w:rPr>
            </w:pPr>
            <w:r>
              <w:rPr>
                <w:sz w:val="18"/>
              </w:rPr>
              <w:t xml:space="preserve">15 981 </w:t>
            </w:r>
            <w:r w:rsidRPr="006F7CDF">
              <w:rPr>
                <w:sz w:val="18"/>
              </w:rPr>
              <w:t>810</w:t>
            </w:r>
          </w:p>
        </w:tc>
        <w:tc>
          <w:tcPr>
            <w:tcW w:w="467" w:type="dxa"/>
            <w:tcBorders>
              <w:bottom w:val="single" w:sz="4" w:space="0" w:color="auto"/>
            </w:tcBorders>
            <w:shd w:val="clear" w:color="auto" w:fill="auto"/>
            <w:vAlign w:val="bottom"/>
          </w:tcPr>
          <w:p w:rsidR="00F236D5" w:rsidRPr="006F7CDF" w:rsidRDefault="00F236D5" w:rsidP="00947046">
            <w:pPr>
              <w:spacing w:before="40" w:after="40" w:line="220" w:lineRule="exact"/>
              <w:jc w:val="right"/>
              <w:rPr>
                <w:sz w:val="18"/>
              </w:rPr>
            </w:pPr>
            <w:r w:rsidRPr="006F7CDF">
              <w:rPr>
                <w:sz w:val="18"/>
              </w:rPr>
              <w:t>29</w:t>
            </w:r>
          </w:p>
        </w:tc>
        <w:tc>
          <w:tcPr>
            <w:tcW w:w="1032" w:type="dxa"/>
            <w:gridSpan w:val="2"/>
            <w:tcBorders>
              <w:bottom w:val="single" w:sz="4" w:space="0" w:color="auto"/>
            </w:tcBorders>
            <w:shd w:val="clear" w:color="auto" w:fill="auto"/>
            <w:vAlign w:val="bottom"/>
          </w:tcPr>
          <w:p w:rsidR="00F236D5" w:rsidRPr="006F7CDF" w:rsidRDefault="00F236D5" w:rsidP="00947046">
            <w:pPr>
              <w:spacing w:before="40" w:after="40" w:line="220" w:lineRule="exact"/>
              <w:jc w:val="right"/>
              <w:rPr>
                <w:sz w:val="18"/>
              </w:rPr>
            </w:pPr>
            <w:r>
              <w:rPr>
                <w:sz w:val="18"/>
              </w:rPr>
              <w:t xml:space="preserve">17 340 </w:t>
            </w:r>
            <w:r w:rsidRPr="006F7CDF">
              <w:rPr>
                <w:sz w:val="18"/>
              </w:rPr>
              <w:t>021</w:t>
            </w:r>
          </w:p>
        </w:tc>
        <w:tc>
          <w:tcPr>
            <w:tcW w:w="435" w:type="dxa"/>
            <w:tcBorders>
              <w:bottom w:val="single" w:sz="4" w:space="0" w:color="auto"/>
            </w:tcBorders>
            <w:shd w:val="clear" w:color="auto" w:fill="auto"/>
            <w:vAlign w:val="bottom"/>
          </w:tcPr>
          <w:p w:rsidR="00F236D5" w:rsidRPr="006F7CDF" w:rsidRDefault="00F236D5" w:rsidP="00947046">
            <w:pPr>
              <w:spacing w:before="40" w:after="40" w:line="220" w:lineRule="exact"/>
              <w:jc w:val="right"/>
              <w:rPr>
                <w:sz w:val="18"/>
              </w:rPr>
            </w:pPr>
            <w:r w:rsidRPr="006F7CDF">
              <w:rPr>
                <w:sz w:val="18"/>
              </w:rPr>
              <w:t>29</w:t>
            </w:r>
          </w:p>
        </w:tc>
        <w:tc>
          <w:tcPr>
            <w:tcW w:w="1064" w:type="dxa"/>
            <w:tcBorders>
              <w:bottom w:val="single" w:sz="4" w:space="0" w:color="auto"/>
            </w:tcBorders>
            <w:shd w:val="clear" w:color="auto" w:fill="auto"/>
            <w:vAlign w:val="bottom"/>
          </w:tcPr>
          <w:p w:rsidR="00F236D5" w:rsidRPr="006F7CDF" w:rsidRDefault="00F236D5" w:rsidP="00947046">
            <w:pPr>
              <w:spacing w:before="40" w:after="40" w:line="220" w:lineRule="exact"/>
              <w:jc w:val="right"/>
              <w:rPr>
                <w:sz w:val="18"/>
              </w:rPr>
            </w:pPr>
            <w:r>
              <w:rPr>
                <w:sz w:val="18"/>
              </w:rPr>
              <w:t xml:space="preserve">17 748 </w:t>
            </w:r>
            <w:r w:rsidRPr="006F7CDF">
              <w:rPr>
                <w:sz w:val="18"/>
              </w:rPr>
              <w:t>188</w:t>
            </w:r>
          </w:p>
        </w:tc>
        <w:tc>
          <w:tcPr>
            <w:tcW w:w="404" w:type="dxa"/>
            <w:tcBorders>
              <w:bottom w:val="single" w:sz="4" w:space="0" w:color="auto"/>
            </w:tcBorders>
            <w:shd w:val="clear" w:color="auto" w:fill="auto"/>
            <w:vAlign w:val="bottom"/>
          </w:tcPr>
          <w:p w:rsidR="00F236D5" w:rsidRPr="006F7CDF" w:rsidRDefault="00F236D5" w:rsidP="00947046">
            <w:pPr>
              <w:spacing w:before="40" w:after="40" w:line="220" w:lineRule="exact"/>
              <w:jc w:val="right"/>
              <w:rPr>
                <w:sz w:val="18"/>
              </w:rPr>
            </w:pPr>
            <w:r w:rsidRPr="006F7CDF">
              <w:rPr>
                <w:sz w:val="18"/>
              </w:rPr>
              <w:t>28</w:t>
            </w:r>
          </w:p>
        </w:tc>
        <w:tc>
          <w:tcPr>
            <w:tcW w:w="1001" w:type="dxa"/>
            <w:tcBorders>
              <w:bottom w:val="single" w:sz="4" w:space="0" w:color="auto"/>
            </w:tcBorders>
            <w:shd w:val="clear" w:color="auto" w:fill="auto"/>
            <w:vAlign w:val="bottom"/>
          </w:tcPr>
          <w:p w:rsidR="00F236D5" w:rsidRPr="006F7CDF" w:rsidRDefault="00F236D5" w:rsidP="00947046">
            <w:pPr>
              <w:spacing w:before="40" w:after="40" w:line="220" w:lineRule="exact"/>
              <w:jc w:val="right"/>
              <w:rPr>
                <w:sz w:val="18"/>
              </w:rPr>
            </w:pPr>
            <w:r>
              <w:rPr>
                <w:sz w:val="18"/>
              </w:rPr>
              <w:t xml:space="preserve">19 346 </w:t>
            </w:r>
            <w:r w:rsidRPr="006F7CDF">
              <w:rPr>
                <w:sz w:val="18"/>
              </w:rPr>
              <w:t>188</w:t>
            </w:r>
          </w:p>
        </w:tc>
        <w:tc>
          <w:tcPr>
            <w:tcW w:w="471" w:type="dxa"/>
            <w:tcBorders>
              <w:bottom w:val="single" w:sz="4" w:space="0" w:color="auto"/>
            </w:tcBorders>
            <w:shd w:val="clear" w:color="auto" w:fill="auto"/>
            <w:vAlign w:val="bottom"/>
          </w:tcPr>
          <w:p w:rsidR="00F236D5" w:rsidRPr="006F7CDF" w:rsidRDefault="00F236D5" w:rsidP="00947046">
            <w:pPr>
              <w:spacing w:before="40" w:after="40" w:line="220" w:lineRule="exact"/>
              <w:jc w:val="right"/>
              <w:rPr>
                <w:sz w:val="18"/>
              </w:rPr>
            </w:pPr>
            <w:r w:rsidRPr="006F7CDF">
              <w:rPr>
                <w:sz w:val="18"/>
              </w:rPr>
              <w:t>20</w:t>
            </w:r>
          </w:p>
        </w:tc>
        <w:tc>
          <w:tcPr>
            <w:tcW w:w="1028" w:type="dxa"/>
            <w:tcBorders>
              <w:bottom w:val="single" w:sz="4" w:space="0" w:color="auto"/>
            </w:tcBorders>
            <w:shd w:val="clear" w:color="auto" w:fill="auto"/>
            <w:vAlign w:val="bottom"/>
          </w:tcPr>
          <w:p w:rsidR="00F236D5" w:rsidRPr="006F7CDF" w:rsidRDefault="00F236D5" w:rsidP="00947046">
            <w:pPr>
              <w:spacing w:before="40" w:after="40" w:line="220" w:lineRule="exact"/>
              <w:jc w:val="right"/>
              <w:rPr>
                <w:sz w:val="18"/>
              </w:rPr>
            </w:pPr>
            <w:r>
              <w:rPr>
                <w:sz w:val="18"/>
              </w:rPr>
              <w:t xml:space="preserve">21 143 </w:t>
            </w:r>
            <w:r w:rsidRPr="006F7CDF">
              <w:rPr>
                <w:sz w:val="18"/>
              </w:rPr>
              <w:t>303</w:t>
            </w:r>
          </w:p>
        </w:tc>
        <w:tc>
          <w:tcPr>
            <w:tcW w:w="439" w:type="dxa"/>
            <w:tcBorders>
              <w:bottom w:val="single" w:sz="4" w:space="0" w:color="auto"/>
            </w:tcBorders>
            <w:shd w:val="clear" w:color="auto" w:fill="auto"/>
            <w:vAlign w:val="bottom"/>
          </w:tcPr>
          <w:p w:rsidR="00F236D5" w:rsidRPr="006F7CDF" w:rsidRDefault="00F236D5" w:rsidP="00947046">
            <w:pPr>
              <w:spacing w:before="40" w:after="40" w:line="220" w:lineRule="exact"/>
              <w:jc w:val="right"/>
              <w:rPr>
                <w:sz w:val="18"/>
              </w:rPr>
            </w:pPr>
            <w:r w:rsidRPr="006F7CDF">
              <w:rPr>
                <w:sz w:val="18"/>
              </w:rPr>
              <w:t>28</w:t>
            </w:r>
          </w:p>
        </w:tc>
      </w:tr>
      <w:tr w:rsidR="00F236D5" w:rsidRPr="00477AB2" w:rsidTr="00947046">
        <w:tc>
          <w:tcPr>
            <w:tcW w:w="2298" w:type="dxa"/>
            <w:tcBorders>
              <w:top w:val="single" w:sz="4" w:space="0" w:color="auto"/>
              <w:bottom w:val="single" w:sz="12" w:space="0" w:color="auto"/>
            </w:tcBorders>
            <w:shd w:val="clear" w:color="auto" w:fill="auto"/>
          </w:tcPr>
          <w:p w:rsidR="00F236D5" w:rsidRPr="00477AB2" w:rsidRDefault="00F236D5" w:rsidP="00947046">
            <w:pPr>
              <w:spacing w:before="80" w:after="80" w:line="220" w:lineRule="exact"/>
              <w:ind w:left="284" w:right="113"/>
              <w:rPr>
                <w:b/>
                <w:sz w:val="18"/>
              </w:rPr>
            </w:pPr>
            <w:r w:rsidRPr="00477AB2">
              <w:rPr>
                <w:b/>
                <w:sz w:val="18"/>
              </w:rPr>
              <w:t>Total</w:t>
            </w:r>
          </w:p>
        </w:tc>
        <w:tc>
          <w:tcPr>
            <w:tcW w:w="1000" w:type="dxa"/>
            <w:tcBorders>
              <w:top w:val="single" w:sz="4" w:space="0" w:color="auto"/>
              <w:bottom w:val="single" w:sz="12" w:space="0" w:color="auto"/>
            </w:tcBorders>
            <w:shd w:val="clear" w:color="auto" w:fill="auto"/>
            <w:vAlign w:val="bottom"/>
          </w:tcPr>
          <w:p w:rsidR="00F236D5" w:rsidRPr="00477AB2" w:rsidRDefault="00F236D5" w:rsidP="00947046">
            <w:pPr>
              <w:spacing w:before="80" w:after="80" w:line="220" w:lineRule="exact"/>
              <w:jc w:val="right"/>
              <w:rPr>
                <w:b/>
                <w:sz w:val="18"/>
              </w:rPr>
            </w:pPr>
            <w:r>
              <w:rPr>
                <w:b/>
                <w:sz w:val="18"/>
              </w:rPr>
              <w:t xml:space="preserve">54 528 </w:t>
            </w:r>
            <w:r w:rsidRPr="00477AB2">
              <w:rPr>
                <w:b/>
                <w:sz w:val="18"/>
              </w:rPr>
              <w:t>029</w:t>
            </w:r>
          </w:p>
        </w:tc>
        <w:tc>
          <w:tcPr>
            <w:tcW w:w="467" w:type="dxa"/>
            <w:tcBorders>
              <w:top w:val="single" w:sz="4" w:space="0" w:color="auto"/>
              <w:bottom w:val="single" w:sz="12" w:space="0" w:color="auto"/>
            </w:tcBorders>
            <w:shd w:val="clear" w:color="auto" w:fill="auto"/>
            <w:vAlign w:val="bottom"/>
          </w:tcPr>
          <w:p w:rsidR="00F236D5" w:rsidRPr="00477AB2" w:rsidRDefault="00F236D5" w:rsidP="00947046">
            <w:pPr>
              <w:spacing w:before="80" w:after="80" w:line="220" w:lineRule="exact"/>
              <w:jc w:val="right"/>
              <w:rPr>
                <w:b/>
                <w:sz w:val="18"/>
              </w:rPr>
            </w:pPr>
          </w:p>
        </w:tc>
        <w:tc>
          <w:tcPr>
            <w:tcW w:w="1032" w:type="dxa"/>
            <w:gridSpan w:val="2"/>
            <w:tcBorders>
              <w:top w:val="single" w:sz="4" w:space="0" w:color="auto"/>
              <w:bottom w:val="single" w:sz="12" w:space="0" w:color="auto"/>
            </w:tcBorders>
            <w:shd w:val="clear" w:color="auto" w:fill="auto"/>
            <w:vAlign w:val="bottom"/>
          </w:tcPr>
          <w:p w:rsidR="00F236D5" w:rsidRPr="00477AB2" w:rsidRDefault="00F236D5" w:rsidP="00947046">
            <w:pPr>
              <w:spacing w:before="80" w:after="80" w:line="220" w:lineRule="exact"/>
              <w:jc w:val="right"/>
              <w:rPr>
                <w:b/>
                <w:sz w:val="18"/>
              </w:rPr>
            </w:pPr>
            <w:r>
              <w:rPr>
                <w:b/>
                <w:sz w:val="18"/>
              </w:rPr>
              <w:t xml:space="preserve">59 667 </w:t>
            </w:r>
            <w:r w:rsidRPr="00477AB2">
              <w:rPr>
                <w:b/>
                <w:sz w:val="18"/>
              </w:rPr>
              <w:t>641</w:t>
            </w:r>
          </w:p>
        </w:tc>
        <w:tc>
          <w:tcPr>
            <w:tcW w:w="435" w:type="dxa"/>
            <w:tcBorders>
              <w:top w:val="single" w:sz="4" w:space="0" w:color="auto"/>
              <w:bottom w:val="single" w:sz="12" w:space="0" w:color="auto"/>
            </w:tcBorders>
            <w:shd w:val="clear" w:color="auto" w:fill="auto"/>
            <w:vAlign w:val="bottom"/>
          </w:tcPr>
          <w:p w:rsidR="00F236D5" w:rsidRPr="00477AB2" w:rsidRDefault="00F236D5" w:rsidP="00947046">
            <w:pPr>
              <w:spacing w:before="80" w:after="80" w:line="220" w:lineRule="exact"/>
              <w:jc w:val="right"/>
              <w:rPr>
                <w:b/>
                <w:sz w:val="18"/>
              </w:rPr>
            </w:pPr>
          </w:p>
        </w:tc>
        <w:tc>
          <w:tcPr>
            <w:tcW w:w="1064" w:type="dxa"/>
            <w:tcBorders>
              <w:top w:val="single" w:sz="4" w:space="0" w:color="auto"/>
              <w:bottom w:val="single" w:sz="12" w:space="0" w:color="auto"/>
            </w:tcBorders>
            <w:shd w:val="clear" w:color="auto" w:fill="auto"/>
            <w:vAlign w:val="bottom"/>
          </w:tcPr>
          <w:p w:rsidR="00F236D5" w:rsidRPr="00477AB2" w:rsidRDefault="00F236D5" w:rsidP="00947046">
            <w:pPr>
              <w:spacing w:before="80" w:after="80" w:line="220" w:lineRule="exact"/>
              <w:jc w:val="right"/>
              <w:rPr>
                <w:b/>
                <w:sz w:val="18"/>
              </w:rPr>
            </w:pPr>
            <w:r>
              <w:rPr>
                <w:b/>
                <w:sz w:val="18"/>
              </w:rPr>
              <w:t xml:space="preserve">63 506 </w:t>
            </w:r>
            <w:r w:rsidRPr="00477AB2">
              <w:rPr>
                <w:b/>
                <w:sz w:val="18"/>
              </w:rPr>
              <w:t>447</w:t>
            </w:r>
          </w:p>
        </w:tc>
        <w:tc>
          <w:tcPr>
            <w:tcW w:w="404" w:type="dxa"/>
            <w:tcBorders>
              <w:top w:val="single" w:sz="4" w:space="0" w:color="auto"/>
              <w:bottom w:val="single" w:sz="12" w:space="0" w:color="auto"/>
            </w:tcBorders>
            <w:shd w:val="clear" w:color="auto" w:fill="auto"/>
            <w:vAlign w:val="bottom"/>
          </w:tcPr>
          <w:p w:rsidR="00F236D5" w:rsidRPr="00477AB2" w:rsidRDefault="00F236D5" w:rsidP="00947046">
            <w:pPr>
              <w:spacing w:before="80" w:after="80" w:line="220" w:lineRule="exact"/>
              <w:jc w:val="right"/>
              <w:rPr>
                <w:b/>
                <w:sz w:val="18"/>
              </w:rPr>
            </w:pPr>
          </w:p>
        </w:tc>
        <w:tc>
          <w:tcPr>
            <w:tcW w:w="1001" w:type="dxa"/>
            <w:tcBorders>
              <w:top w:val="single" w:sz="4" w:space="0" w:color="auto"/>
              <w:bottom w:val="single" w:sz="12" w:space="0" w:color="auto"/>
            </w:tcBorders>
            <w:shd w:val="clear" w:color="auto" w:fill="auto"/>
            <w:vAlign w:val="bottom"/>
          </w:tcPr>
          <w:p w:rsidR="00F236D5" w:rsidRPr="00477AB2" w:rsidRDefault="00F236D5" w:rsidP="00947046">
            <w:pPr>
              <w:spacing w:before="80" w:after="80" w:line="220" w:lineRule="exact"/>
              <w:jc w:val="right"/>
              <w:rPr>
                <w:b/>
                <w:sz w:val="18"/>
              </w:rPr>
            </w:pPr>
            <w:r>
              <w:rPr>
                <w:b/>
                <w:sz w:val="18"/>
              </w:rPr>
              <w:t xml:space="preserve">97 624 </w:t>
            </w:r>
            <w:r w:rsidRPr="00477AB2">
              <w:rPr>
                <w:b/>
                <w:sz w:val="18"/>
              </w:rPr>
              <w:t>650</w:t>
            </w:r>
          </w:p>
        </w:tc>
        <w:tc>
          <w:tcPr>
            <w:tcW w:w="471" w:type="dxa"/>
            <w:tcBorders>
              <w:top w:val="single" w:sz="4" w:space="0" w:color="auto"/>
              <w:bottom w:val="single" w:sz="12" w:space="0" w:color="auto"/>
            </w:tcBorders>
            <w:shd w:val="clear" w:color="auto" w:fill="auto"/>
            <w:vAlign w:val="bottom"/>
          </w:tcPr>
          <w:p w:rsidR="00F236D5" w:rsidRPr="00477AB2" w:rsidRDefault="00F236D5" w:rsidP="00947046">
            <w:pPr>
              <w:spacing w:before="80" w:after="80" w:line="220" w:lineRule="exact"/>
              <w:jc w:val="right"/>
              <w:rPr>
                <w:b/>
                <w:sz w:val="18"/>
              </w:rPr>
            </w:pPr>
          </w:p>
        </w:tc>
        <w:tc>
          <w:tcPr>
            <w:tcW w:w="1028" w:type="dxa"/>
            <w:tcBorders>
              <w:top w:val="single" w:sz="4" w:space="0" w:color="auto"/>
              <w:bottom w:val="single" w:sz="12" w:space="0" w:color="auto"/>
            </w:tcBorders>
            <w:shd w:val="clear" w:color="auto" w:fill="auto"/>
            <w:vAlign w:val="bottom"/>
          </w:tcPr>
          <w:p w:rsidR="00F236D5" w:rsidRPr="00477AB2" w:rsidRDefault="00F236D5" w:rsidP="00947046">
            <w:pPr>
              <w:spacing w:before="80" w:after="80" w:line="220" w:lineRule="exact"/>
              <w:jc w:val="right"/>
              <w:rPr>
                <w:b/>
                <w:sz w:val="18"/>
              </w:rPr>
            </w:pPr>
            <w:r>
              <w:rPr>
                <w:b/>
                <w:sz w:val="18"/>
              </w:rPr>
              <w:t xml:space="preserve">74 240 </w:t>
            </w:r>
            <w:r w:rsidRPr="00477AB2">
              <w:rPr>
                <w:b/>
                <w:sz w:val="18"/>
              </w:rPr>
              <w:t>137</w:t>
            </w:r>
          </w:p>
        </w:tc>
        <w:tc>
          <w:tcPr>
            <w:tcW w:w="439" w:type="dxa"/>
            <w:tcBorders>
              <w:top w:val="single" w:sz="4" w:space="0" w:color="auto"/>
              <w:bottom w:val="single" w:sz="12" w:space="0" w:color="auto"/>
            </w:tcBorders>
            <w:shd w:val="clear" w:color="auto" w:fill="auto"/>
            <w:vAlign w:val="bottom"/>
          </w:tcPr>
          <w:p w:rsidR="00F236D5" w:rsidRPr="00477AB2" w:rsidRDefault="00F236D5" w:rsidP="00947046">
            <w:pPr>
              <w:spacing w:before="80" w:after="80" w:line="220" w:lineRule="exact"/>
              <w:jc w:val="right"/>
              <w:rPr>
                <w:b/>
                <w:sz w:val="18"/>
              </w:rPr>
            </w:pPr>
          </w:p>
        </w:tc>
      </w:tr>
    </w:tbl>
    <w:p w:rsidR="00F236D5" w:rsidRPr="00E330B8" w:rsidRDefault="00F236D5" w:rsidP="00F236D5">
      <w:pPr>
        <w:pStyle w:val="SingleTxtG"/>
        <w:spacing w:before="120" w:after="240"/>
        <w:ind w:left="0" w:firstLine="170"/>
        <w:jc w:val="left"/>
        <w:rPr>
          <w:sz w:val="18"/>
          <w:szCs w:val="18"/>
        </w:rPr>
      </w:pPr>
      <w:r w:rsidRPr="00E330B8">
        <w:rPr>
          <w:i/>
          <w:sz w:val="18"/>
          <w:szCs w:val="18"/>
        </w:rPr>
        <w:t>Fuente:</w:t>
      </w:r>
      <w:r w:rsidRPr="00E330B8">
        <w:rPr>
          <w:sz w:val="18"/>
          <w:szCs w:val="18"/>
        </w:rPr>
        <w:t xml:space="preserve"> Consignaciones presupuestarias estimadas, Tesorería de Nueva Zelandia.</w:t>
      </w:r>
    </w:p>
    <w:p w:rsidR="00F236D5" w:rsidRPr="004D1823" w:rsidRDefault="00F236D5" w:rsidP="00F236D5">
      <w:pPr>
        <w:pStyle w:val="H4G"/>
      </w:pPr>
      <w:r>
        <w:tab/>
      </w:r>
      <w:r w:rsidRPr="004D1823">
        <w:t>g)</w:t>
      </w:r>
      <w:r w:rsidRPr="004D1823">
        <w:tab/>
        <w:t>Porcentaje del ingreso nacional bruto desembolsado por concepto de asistencia</w:t>
      </w:r>
      <w:r>
        <w:br/>
      </w:r>
      <w:r w:rsidRPr="004D1823">
        <w:t>oficial para el desarrollo</w:t>
      </w:r>
    </w:p>
    <w:p w:rsidR="00F236D5" w:rsidRDefault="00F236D5" w:rsidP="00F236D5">
      <w:pPr>
        <w:pStyle w:val="Heading1"/>
        <w:keepLines/>
      </w:pPr>
      <w:r w:rsidRPr="004D1823">
        <w:t>Cuadro 11</w:t>
      </w:r>
    </w:p>
    <w:p w:rsidR="00F236D5" w:rsidRDefault="00F236D5" w:rsidP="00F236D5">
      <w:pPr>
        <w:pStyle w:val="SingleTxtG"/>
        <w:keepNext/>
        <w:keepLines/>
        <w:rPr>
          <w:b/>
        </w:rPr>
      </w:pPr>
      <w:r w:rsidRPr="004D1823">
        <w:rPr>
          <w:b/>
        </w:rPr>
        <w:t>Gastos por concepto de asistencia oficial para el desarrollo (AOD)</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440"/>
        <w:gridCol w:w="2809"/>
        <w:gridCol w:w="2121"/>
      </w:tblGrid>
      <w:tr w:rsidR="00F236D5" w:rsidRPr="00BC582B" w:rsidTr="00947046">
        <w:trPr>
          <w:trHeight w:val="240"/>
          <w:tblHeader/>
        </w:trPr>
        <w:tc>
          <w:tcPr>
            <w:tcW w:w="2440" w:type="dxa"/>
            <w:tcBorders>
              <w:top w:val="single" w:sz="4" w:space="0" w:color="auto"/>
              <w:bottom w:val="single" w:sz="12" w:space="0" w:color="auto"/>
            </w:tcBorders>
            <w:shd w:val="clear" w:color="auto" w:fill="auto"/>
            <w:vAlign w:val="bottom"/>
          </w:tcPr>
          <w:p w:rsidR="00F236D5" w:rsidRPr="00BC582B" w:rsidRDefault="00F236D5" w:rsidP="00947046">
            <w:pPr>
              <w:keepNext/>
              <w:keepLines/>
              <w:spacing w:before="80" w:after="80" w:line="200" w:lineRule="exact"/>
              <w:ind w:right="113"/>
              <w:rPr>
                <w:i/>
                <w:sz w:val="16"/>
              </w:rPr>
            </w:pPr>
            <w:r w:rsidRPr="00521B62">
              <w:rPr>
                <w:i/>
                <w:sz w:val="16"/>
              </w:rPr>
              <w:t>Año civil</w:t>
            </w:r>
          </w:p>
        </w:tc>
        <w:tc>
          <w:tcPr>
            <w:tcW w:w="2809" w:type="dxa"/>
            <w:tcBorders>
              <w:top w:val="single" w:sz="4" w:space="0" w:color="auto"/>
              <w:bottom w:val="single" w:sz="12" w:space="0" w:color="auto"/>
            </w:tcBorders>
            <w:shd w:val="clear" w:color="auto" w:fill="auto"/>
            <w:vAlign w:val="bottom"/>
          </w:tcPr>
          <w:p w:rsidR="00F236D5" w:rsidRPr="00BC582B" w:rsidRDefault="00F236D5" w:rsidP="00947046">
            <w:pPr>
              <w:keepNext/>
              <w:keepLines/>
              <w:spacing w:before="80" w:after="80" w:line="200" w:lineRule="exact"/>
              <w:ind w:right="113"/>
              <w:jc w:val="right"/>
              <w:rPr>
                <w:i/>
                <w:sz w:val="16"/>
              </w:rPr>
            </w:pPr>
            <w:r w:rsidRPr="00521B62">
              <w:rPr>
                <w:i/>
                <w:sz w:val="16"/>
              </w:rPr>
              <w:t>INB</w:t>
            </w:r>
            <w:r>
              <w:rPr>
                <w:i/>
                <w:sz w:val="16"/>
              </w:rPr>
              <w:t>,</w:t>
            </w:r>
            <w:r w:rsidRPr="00521B62">
              <w:rPr>
                <w:i/>
                <w:sz w:val="16"/>
              </w:rPr>
              <w:t xml:space="preserve"> en millones de dólares</w:t>
            </w:r>
          </w:p>
        </w:tc>
        <w:tc>
          <w:tcPr>
            <w:tcW w:w="2121" w:type="dxa"/>
            <w:tcBorders>
              <w:top w:val="single" w:sz="4" w:space="0" w:color="auto"/>
              <w:bottom w:val="single" w:sz="12" w:space="0" w:color="auto"/>
            </w:tcBorders>
            <w:shd w:val="clear" w:color="auto" w:fill="auto"/>
            <w:vAlign w:val="bottom"/>
          </w:tcPr>
          <w:p w:rsidR="00F236D5" w:rsidRPr="00BC582B" w:rsidRDefault="00F236D5" w:rsidP="00947046">
            <w:pPr>
              <w:keepNext/>
              <w:keepLines/>
              <w:spacing w:before="80" w:after="80" w:line="200" w:lineRule="exact"/>
              <w:ind w:right="113"/>
              <w:jc w:val="right"/>
              <w:rPr>
                <w:i/>
                <w:sz w:val="16"/>
              </w:rPr>
            </w:pPr>
            <w:r w:rsidRPr="00521B62">
              <w:rPr>
                <w:i/>
                <w:sz w:val="16"/>
              </w:rPr>
              <w:t>AOD/INB</w:t>
            </w:r>
            <w:r>
              <w:rPr>
                <w:i/>
                <w:sz w:val="16"/>
              </w:rPr>
              <w:t>,</w:t>
            </w:r>
            <w:r w:rsidRPr="00521B62">
              <w:rPr>
                <w:i/>
                <w:sz w:val="16"/>
              </w:rPr>
              <w:t xml:space="preserve"> </w:t>
            </w:r>
            <w:r>
              <w:rPr>
                <w:i/>
                <w:sz w:val="16"/>
              </w:rPr>
              <w:t>en porcentaje</w:t>
            </w:r>
          </w:p>
        </w:tc>
      </w:tr>
      <w:tr w:rsidR="00F236D5" w:rsidRPr="00BC582B" w:rsidTr="00947046">
        <w:trPr>
          <w:trHeight w:val="240"/>
        </w:trPr>
        <w:tc>
          <w:tcPr>
            <w:tcW w:w="2440" w:type="dxa"/>
            <w:tcBorders>
              <w:top w:val="single" w:sz="12" w:space="0" w:color="auto"/>
            </w:tcBorders>
            <w:shd w:val="clear" w:color="auto" w:fill="auto"/>
          </w:tcPr>
          <w:p w:rsidR="00F236D5" w:rsidRPr="00BC582B" w:rsidRDefault="00F236D5" w:rsidP="00947046">
            <w:pPr>
              <w:keepNext/>
              <w:keepLines/>
              <w:spacing w:before="40" w:after="40" w:line="220" w:lineRule="exact"/>
              <w:ind w:right="113"/>
              <w:rPr>
                <w:sz w:val="18"/>
              </w:rPr>
            </w:pPr>
            <w:r w:rsidRPr="00BC582B">
              <w:rPr>
                <w:sz w:val="18"/>
              </w:rPr>
              <w:t>2005</w:t>
            </w:r>
          </w:p>
        </w:tc>
        <w:tc>
          <w:tcPr>
            <w:tcW w:w="2809" w:type="dxa"/>
            <w:tcBorders>
              <w:top w:val="single" w:sz="12" w:space="0" w:color="auto"/>
            </w:tcBorders>
            <w:shd w:val="clear" w:color="auto" w:fill="auto"/>
            <w:vAlign w:val="bottom"/>
          </w:tcPr>
          <w:p w:rsidR="00F236D5" w:rsidRPr="00BC582B" w:rsidRDefault="00F236D5" w:rsidP="00947046">
            <w:pPr>
              <w:keepNext/>
              <w:keepLines/>
              <w:spacing w:before="40" w:after="40" w:line="220" w:lineRule="exact"/>
              <w:ind w:right="113"/>
              <w:jc w:val="right"/>
              <w:rPr>
                <w:sz w:val="18"/>
              </w:rPr>
            </w:pPr>
            <w:r w:rsidRPr="00BC582B">
              <w:rPr>
                <w:sz w:val="18"/>
              </w:rPr>
              <w:t>143</w:t>
            </w:r>
            <w:r>
              <w:rPr>
                <w:sz w:val="18"/>
              </w:rPr>
              <w:t xml:space="preserve"> </w:t>
            </w:r>
            <w:r w:rsidRPr="00BC582B">
              <w:rPr>
                <w:sz w:val="18"/>
              </w:rPr>
              <w:t>303</w:t>
            </w:r>
            <w:r>
              <w:rPr>
                <w:sz w:val="18"/>
              </w:rPr>
              <w:t>,</w:t>
            </w:r>
            <w:r w:rsidRPr="00BC582B">
              <w:rPr>
                <w:sz w:val="18"/>
              </w:rPr>
              <w:t>00</w:t>
            </w:r>
          </w:p>
        </w:tc>
        <w:tc>
          <w:tcPr>
            <w:tcW w:w="2121" w:type="dxa"/>
            <w:tcBorders>
              <w:top w:val="single" w:sz="12" w:space="0" w:color="auto"/>
            </w:tcBorders>
            <w:shd w:val="clear" w:color="auto" w:fill="auto"/>
            <w:vAlign w:val="bottom"/>
          </w:tcPr>
          <w:p w:rsidR="00F236D5" w:rsidRPr="00BC582B" w:rsidRDefault="00F236D5" w:rsidP="00947046">
            <w:pPr>
              <w:keepNext/>
              <w:keepLines/>
              <w:spacing w:before="40" w:after="40" w:line="220" w:lineRule="exact"/>
              <w:ind w:right="113"/>
              <w:jc w:val="right"/>
              <w:rPr>
                <w:sz w:val="18"/>
              </w:rPr>
            </w:pPr>
            <w:r w:rsidRPr="00BC582B">
              <w:rPr>
                <w:sz w:val="18"/>
              </w:rPr>
              <w:t>0</w:t>
            </w:r>
            <w:r>
              <w:rPr>
                <w:sz w:val="18"/>
              </w:rPr>
              <w:t>,</w:t>
            </w:r>
            <w:r w:rsidRPr="00BC582B">
              <w:rPr>
                <w:sz w:val="18"/>
              </w:rPr>
              <w:t>27</w:t>
            </w:r>
          </w:p>
        </w:tc>
      </w:tr>
      <w:tr w:rsidR="00F236D5" w:rsidRPr="00BC582B" w:rsidTr="00947046">
        <w:trPr>
          <w:trHeight w:val="240"/>
        </w:trPr>
        <w:tc>
          <w:tcPr>
            <w:tcW w:w="2440" w:type="dxa"/>
            <w:shd w:val="clear" w:color="auto" w:fill="auto"/>
          </w:tcPr>
          <w:p w:rsidR="00F236D5" w:rsidRPr="00BC582B" w:rsidRDefault="00F236D5" w:rsidP="00947046">
            <w:pPr>
              <w:keepNext/>
              <w:keepLines/>
              <w:spacing w:before="40" w:after="40" w:line="220" w:lineRule="exact"/>
              <w:ind w:right="113"/>
              <w:rPr>
                <w:sz w:val="18"/>
              </w:rPr>
            </w:pPr>
            <w:r w:rsidRPr="00BC582B">
              <w:rPr>
                <w:sz w:val="18"/>
              </w:rPr>
              <w:t>2006</w:t>
            </w:r>
          </w:p>
        </w:tc>
        <w:tc>
          <w:tcPr>
            <w:tcW w:w="2809" w:type="dxa"/>
            <w:shd w:val="clear" w:color="auto" w:fill="auto"/>
            <w:vAlign w:val="bottom"/>
          </w:tcPr>
          <w:p w:rsidR="00F236D5" w:rsidRPr="00BC582B" w:rsidRDefault="00F236D5" w:rsidP="00947046">
            <w:pPr>
              <w:keepNext/>
              <w:keepLines/>
              <w:spacing w:before="40" w:after="40" w:line="220" w:lineRule="exact"/>
              <w:ind w:right="113"/>
              <w:jc w:val="right"/>
              <w:rPr>
                <w:sz w:val="18"/>
              </w:rPr>
            </w:pPr>
            <w:r>
              <w:rPr>
                <w:sz w:val="18"/>
              </w:rPr>
              <w:t xml:space="preserve">148 </w:t>
            </w:r>
            <w:r w:rsidRPr="00BC582B">
              <w:rPr>
                <w:sz w:val="18"/>
              </w:rPr>
              <w:t>843</w:t>
            </w:r>
            <w:r>
              <w:rPr>
                <w:sz w:val="18"/>
              </w:rPr>
              <w:t>,</w:t>
            </w:r>
            <w:r w:rsidRPr="00BC582B">
              <w:rPr>
                <w:sz w:val="18"/>
              </w:rPr>
              <w:t>00</w:t>
            </w:r>
          </w:p>
        </w:tc>
        <w:tc>
          <w:tcPr>
            <w:tcW w:w="2121" w:type="dxa"/>
            <w:shd w:val="clear" w:color="auto" w:fill="auto"/>
            <w:vAlign w:val="bottom"/>
          </w:tcPr>
          <w:p w:rsidR="00F236D5" w:rsidRPr="00BC582B" w:rsidRDefault="00F236D5" w:rsidP="00947046">
            <w:pPr>
              <w:keepNext/>
              <w:keepLines/>
              <w:spacing w:before="40" w:after="40" w:line="220" w:lineRule="exact"/>
              <w:ind w:right="113"/>
              <w:jc w:val="right"/>
              <w:rPr>
                <w:sz w:val="18"/>
              </w:rPr>
            </w:pPr>
            <w:r w:rsidRPr="00BC582B">
              <w:rPr>
                <w:sz w:val="18"/>
              </w:rPr>
              <w:t>0</w:t>
            </w:r>
            <w:r>
              <w:rPr>
                <w:sz w:val="18"/>
              </w:rPr>
              <w:t>,</w:t>
            </w:r>
            <w:r w:rsidRPr="00BC582B">
              <w:rPr>
                <w:sz w:val="18"/>
              </w:rPr>
              <w:t>27</w:t>
            </w:r>
          </w:p>
        </w:tc>
      </w:tr>
      <w:tr w:rsidR="00F236D5" w:rsidRPr="00BC582B" w:rsidTr="00947046">
        <w:trPr>
          <w:trHeight w:val="240"/>
        </w:trPr>
        <w:tc>
          <w:tcPr>
            <w:tcW w:w="2440" w:type="dxa"/>
            <w:shd w:val="clear" w:color="auto" w:fill="auto"/>
          </w:tcPr>
          <w:p w:rsidR="00F236D5" w:rsidRPr="00BC582B" w:rsidRDefault="00F236D5" w:rsidP="00947046">
            <w:pPr>
              <w:keepNext/>
              <w:keepLines/>
              <w:spacing w:before="40" w:after="40" w:line="220" w:lineRule="exact"/>
              <w:ind w:right="113"/>
              <w:rPr>
                <w:sz w:val="18"/>
              </w:rPr>
            </w:pPr>
            <w:r w:rsidRPr="00BC582B">
              <w:rPr>
                <w:sz w:val="18"/>
              </w:rPr>
              <w:t>2007</w:t>
            </w:r>
          </w:p>
        </w:tc>
        <w:tc>
          <w:tcPr>
            <w:tcW w:w="2809" w:type="dxa"/>
            <w:shd w:val="clear" w:color="auto" w:fill="auto"/>
            <w:vAlign w:val="bottom"/>
          </w:tcPr>
          <w:p w:rsidR="00F236D5" w:rsidRPr="00BC582B" w:rsidRDefault="00F236D5" w:rsidP="00947046">
            <w:pPr>
              <w:keepNext/>
              <w:keepLines/>
              <w:spacing w:before="40" w:after="40" w:line="220" w:lineRule="exact"/>
              <w:ind w:right="113"/>
              <w:jc w:val="right"/>
              <w:rPr>
                <w:sz w:val="18"/>
              </w:rPr>
            </w:pPr>
            <w:r>
              <w:rPr>
                <w:sz w:val="18"/>
              </w:rPr>
              <w:t xml:space="preserve">163 </w:t>
            </w:r>
            <w:r w:rsidRPr="00BC582B">
              <w:rPr>
                <w:sz w:val="18"/>
              </w:rPr>
              <w:t>385</w:t>
            </w:r>
            <w:r>
              <w:rPr>
                <w:sz w:val="18"/>
              </w:rPr>
              <w:t>,</w:t>
            </w:r>
            <w:r w:rsidRPr="00BC582B">
              <w:rPr>
                <w:sz w:val="18"/>
              </w:rPr>
              <w:t>50</w:t>
            </w:r>
          </w:p>
        </w:tc>
        <w:tc>
          <w:tcPr>
            <w:tcW w:w="2121" w:type="dxa"/>
            <w:shd w:val="clear" w:color="auto" w:fill="auto"/>
            <w:vAlign w:val="bottom"/>
          </w:tcPr>
          <w:p w:rsidR="00F236D5" w:rsidRPr="00BC582B" w:rsidRDefault="00F236D5" w:rsidP="00947046">
            <w:pPr>
              <w:keepNext/>
              <w:keepLines/>
              <w:spacing w:before="40" w:after="40" w:line="220" w:lineRule="exact"/>
              <w:ind w:right="113"/>
              <w:jc w:val="right"/>
              <w:rPr>
                <w:sz w:val="18"/>
              </w:rPr>
            </w:pPr>
            <w:r w:rsidRPr="00BC582B">
              <w:rPr>
                <w:sz w:val="18"/>
              </w:rPr>
              <w:t>0</w:t>
            </w:r>
            <w:r>
              <w:rPr>
                <w:sz w:val="18"/>
              </w:rPr>
              <w:t>,</w:t>
            </w:r>
            <w:r w:rsidRPr="00BC582B">
              <w:rPr>
                <w:sz w:val="18"/>
              </w:rPr>
              <w:t>27</w:t>
            </w:r>
          </w:p>
        </w:tc>
      </w:tr>
      <w:tr w:rsidR="00F236D5" w:rsidRPr="00BC582B" w:rsidTr="00947046">
        <w:trPr>
          <w:trHeight w:val="240"/>
        </w:trPr>
        <w:tc>
          <w:tcPr>
            <w:tcW w:w="2440" w:type="dxa"/>
            <w:shd w:val="clear" w:color="auto" w:fill="auto"/>
          </w:tcPr>
          <w:p w:rsidR="00F236D5" w:rsidRPr="00BC582B" w:rsidRDefault="00F236D5" w:rsidP="00947046">
            <w:pPr>
              <w:keepNext/>
              <w:keepLines/>
              <w:spacing w:before="40" w:after="40" w:line="220" w:lineRule="exact"/>
              <w:ind w:right="113"/>
              <w:rPr>
                <w:sz w:val="18"/>
              </w:rPr>
            </w:pPr>
            <w:r w:rsidRPr="00BC582B">
              <w:rPr>
                <w:sz w:val="18"/>
              </w:rPr>
              <w:t>2008</w:t>
            </w:r>
          </w:p>
        </w:tc>
        <w:tc>
          <w:tcPr>
            <w:tcW w:w="2809" w:type="dxa"/>
            <w:shd w:val="clear" w:color="auto" w:fill="auto"/>
            <w:vAlign w:val="bottom"/>
          </w:tcPr>
          <w:p w:rsidR="00F236D5" w:rsidRPr="00BC582B" w:rsidRDefault="00F236D5" w:rsidP="00947046">
            <w:pPr>
              <w:keepNext/>
              <w:keepLines/>
              <w:spacing w:before="40" w:after="40" w:line="220" w:lineRule="exact"/>
              <w:ind w:right="113"/>
              <w:jc w:val="right"/>
              <w:rPr>
                <w:sz w:val="18"/>
              </w:rPr>
            </w:pPr>
            <w:r>
              <w:rPr>
                <w:sz w:val="18"/>
              </w:rPr>
              <w:t xml:space="preserve">165 </w:t>
            </w:r>
            <w:r w:rsidRPr="00BC582B">
              <w:rPr>
                <w:sz w:val="18"/>
              </w:rPr>
              <w:t>487</w:t>
            </w:r>
            <w:r>
              <w:rPr>
                <w:sz w:val="18"/>
              </w:rPr>
              <w:t>,</w:t>
            </w:r>
            <w:r w:rsidRPr="00BC582B">
              <w:rPr>
                <w:sz w:val="18"/>
              </w:rPr>
              <w:t>98</w:t>
            </w:r>
          </w:p>
        </w:tc>
        <w:tc>
          <w:tcPr>
            <w:tcW w:w="2121" w:type="dxa"/>
            <w:shd w:val="clear" w:color="auto" w:fill="auto"/>
            <w:vAlign w:val="bottom"/>
          </w:tcPr>
          <w:p w:rsidR="00F236D5" w:rsidRPr="00BC582B" w:rsidRDefault="00F236D5" w:rsidP="00947046">
            <w:pPr>
              <w:keepNext/>
              <w:keepLines/>
              <w:spacing w:before="40" w:after="40" w:line="220" w:lineRule="exact"/>
              <w:ind w:right="113"/>
              <w:jc w:val="right"/>
              <w:rPr>
                <w:sz w:val="18"/>
              </w:rPr>
            </w:pPr>
            <w:r w:rsidRPr="00BC582B">
              <w:rPr>
                <w:sz w:val="18"/>
              </w:rPr>
              <w:t>0</w:t>
            </w:r>
            <w:r>
              <w:rPr>
                <w:sz w:val="18"/>
              </w:rPr>
              <w:t>,</w:t>
            </w:r>
            <w:r w:rsidRPr="00BC582B">
              <w:rPr>
                <w:sz w:val="18"/>
              </w:rPr>
              <w:t>30</w:t>
            </w:r>
          </w:p>
        </w:tc>
      </w:tr>
      <w:tr w:rsidR="00F236D5" w:rsidRPr="00BC582B" w:rsidTr="00947046">
        <w:trPr>
          <w:trHeight w:val="240"/>
        </w:trPr>
        <w:tc>
          <w:tcPr>
            <w:tcW w:w="2440" w:type="dxa"/>
            <w:shd w:val="clear" w:color="auto" w:fill="auto"/>
          </w:tcPr>
          <w:p w:rsidR="00F236D5" w:rsidRPr="00BC582B" w:rsidRDefault="00F236D5" w:rsidP="00947046">
            <w:pPr>
              <w:keepNext/>
              <w:keepLines/>
              <w:spacing w:before="40" w:after="40" w:line="220" w:lineRule="exact"/>
              <w:ind w:right="113"/>
              <w:rPr>
                <w:sz w:val="18"/>
              </w:rPr>
            </w:pPr>
            <w:r w:rsidRPr="00BC582B">
              <w:rPr>
                <w:sz w:val="18"/>
              </w:rPr>
              <w:t>2009</w:t>
            </w:r>
          </w:p>
        </w:tc>
        <w:tc>
          <w:tcPr>
            <w:tcW w:w="2809" w:type="dxa"/>
            <w:shd w:val="clear" w:color="auto" w:fill="auto"/>
            <w:vAlign w:val="bottom"/>
          </w:tcPr>
          <w:p w:rsidR="00F236D5" w:rsidRPr="00BC582B" w:rsidRDefault="00F236D5" w:rsidP="00947046">
            <w:pPr>
              <w:keepNext/>
              <w:keepLines/>
              <w:spacing w:before="40" w:after="40" w:line="220" w:lineRule="exact"/>
              <w:ind w:right="113"/>
              <w:jc w:val="right"/>
              <w:rPr>
                <w:sz w:val="18"/>
              </w:rPr>
            </w:pPr>
            <w:r>
              <w:rPr>
                <w:sz w:val="18"/>
              </w:rPr>
              <w:t xml:space="preserve">172 </w:t>
            </w:r>
            <w:r w:rsidRPr="00BC582B">
              <w:rPr>
                <w:sz w:val="18"/>
              </w:rPr>
              <w:t>953</w:t>
            </w:r>
            <w:r>
              <w:rPr>
                <w:sz w:val="18"/>
              </w:rPr>
              <w:t>,</w:t>
            </w:r>
            <w:r w:rsidRPr="00BC582B">
              <w:rPr>
                <w:sz w:val="18"/>
              </w:rPr>
              <w:t>02</w:t>
            </w:r>
          </w:p>
        </w:tc>
        <w:tc>
          <w:tcPr>
            <w:tcW w:w="2121" w:type="dxa"/>
            <w:shd w:val="clear" w:color="auto" w:fill="auto"/>
            <w:vAlign w:val="bottom"/>
          </w:tcPr>
          <w:p w:rsidR="00F236D5" w:rsidRPr="00BC582B" w:rsidRDefault="00F236D5" w:rsidP="00947046">
            <w:pPr>
              <w:keepNext/>
              <w:keepLines/>
              <w:spacing w:before="40" w:after="40" w:line="220" w:lineRule="exact"/>
              <w:ind w:right="113"/>
              <w:jc w:val="right"/>
              <w:rPr>
                <w:sz w:val="18"/>
              </w:rPr>
            </w:pPr>
            <w:r w:rsidRPr="00BC582B">
              <w:rPr>
                <w:sz w:val="18"/>
              </w:rPr>
              <w:t>0</w:t>
            </w:r>
            <w:r>
              <w:rPr>
                <w:sz w:val="18"/>
              </w:rPr>
              <w:t>,</w:t>
            </w:r>
            <w:r w:rsidRPr="00BC582B">
              <w:rPr>
                <w:sz w:val="18"/>
              </w:rPr>
              <w:t>29</w:t>
            </w:r>
          </w:p>
        </w:tc>
      </w:tr>
    </w:tbl>
    <w:p w:rsidR="00F236D5" w:rsidRPr="00E330B8" w:rsidRDefault="00F236D5" w:rsidP="00F236D5">
      <w:pPr>
        <w:pStyle w:val="SingleTxtG"/>
        <w:keepNext/>
        <w:keepLines/>
        <w:spacing w:before="120" w:after="240"/>
        <w:ind w:firstLine="170"/>
        <w:rPr>
          <w:sz w:val="18"/>
          <w:szCs w:val="18"/>
        </w:rPr>
      </w:pPr>
      <w:r w:rsidRPr="00E330B8">
        <w:rPr>
          <w:i/>
          <w:sz w:val="18"/>
          <w:szCs w:val="18"/>
        </w:rPr>
        <w:t xml:space="preserve">Fuente: </w:t>
      </w:r>
      <w:r w:rsidRPr="00E330B8">
        <w:rPr>
          <w:sz w:val="18"/>
          <w:szCs w:val="18"/>
        </w:rPr>
        <w:t>Ministerio de Relaciones Exteriores y Comercio.</w:t>
      </w:r>
    </w:p>
    <w:p w:rsidR="00F236D5" w:rsidRPr="00521B62" w:rsidRDefault="00F236D5" w:rsidP="00F236D5">
      <w:pPr>
        <w:pStyle w:val="SingleTxtG"/>
      </w:pPr>
      <w:r w:rsidRPr="00521B62">
        <w:t>42.</w:t>
      </w:r>
      <w:r w:rsidRPr="00521B62">
        <w:tab/>
        <w:t>Entre 2008 y 2009 el porcentaje del INB destinado a la AOD se redujo principalmente debido a un aumento imprevisto del INB real y a la decisión del Gobierno de efectuar un aumento en términos absolutos de los gastos en dólares y no de la proporción del INB. En el año civil 2009 los gastos fueron ligeramente inferiores a las consignaciones presupuestarias, pero está previsto un aumento anual del presupuesto de AOD en 25 millones de dólares hasta 2012-2013.</w:t>
      </w:r>
    </w:p>
    <w:p w:rsidR="00F236D5" w:rsidRPr="00521B62" w:rsidRDefault="00F236D5" w:rsidP="00F236D5">
      <w:pPr>
        <w:pStyle w:val="H4G"/>
      </w:pPr>
      <w:r>
        <w:tab/>
      </w:r>
      <w:r w:rsidRPr="00521B62">
        <w:t>h)</w:t>
      </w:r>
      <w:r w:rsidRPr="00521B62">
        <w:tab/>
        <w:t>Deuda pública externa e interna</w:t>
      </w:r>
    </w:p>
    <w:p w:rsidR="00F236D5" w:rsidRPr="00521B62" w:rsidRDefault="00F236D5" w:rsidP="00F236D5">
      <w:pPr>
        <w:pStyle w:val="SingleTxtG"/>
      </w:pPr>
      <w:r w:rsidRPr="00521B62">
        <w:t>43.</w:t>
      </w:r>
      <w:r w:rsidRPr="00521B62">
        <w:tab/>
        <w:t>En el cuadro 12 se presenta la deuda pública principal, compuesta de la deuda (interna) de Nueva Zelandia en moneda nacional y la deuda en divisas (externa). La deuda principal de la Corona está constituida por los préstamos adeudados por la Corona, los departamentos, las oficinas del Parlamento y el Banco de Reserva y por tanto excluye la deuda de las empresas estatales.</w:t>
      </w:r>
    </w:p>
    <w:p w:rsidR="00F236D5" w:rsidRDefault="00F236D5" w:rsidP="00F236D5">
      <w:pPr>
        <w:pStyle w:val="Heading1"/>
      </w:pPr>
      <w:r>
        <w:t>Cuadro 12</w:t>
      </w:r>
    </w:p>
    <w:p w:rsidR="00F236D5" w:rsidRDefault="00F236D5" w:rsidP="00F236D5">
      <w:pPr>
        <w:pStyle w:val="SingleTxtG"/>
        <w:spacing w:after="0"/>
        <w:rPr>
          <w:b/>
        </w:rPr>
      </w:pPr>
      <w:r w:rsidRPr="00521B62">
        <w:rPr>
          <w:b/>
        </w:rPr>
        <w:t>Deuda pública externa e interna</w:t>
      </w:r>
    </w:p>
    <w:p w:rsidR="00F236D5" w:rsidRPr="00D56FDA" w:rsidRDefault="00F236D5" w:rsidP="00F236D5">
      <w:pPr>
        <w:pStyle w:val="SingleTxtG"/>
        <w:rPr>
          <w:sz w:val="16"/>
          <w:szCs w:val="16"/>
        </w:rPr>
      </w:pPr>
      <w:r w:rsidRPr="00D56FDA">
        <w:rPr>
          <w:sz w:val="16"/>
          <w:szCs w:val="16"/>
        </w:rPr>
        <w:t>(En millones de dólares)</w:t>
      </w:r>
    </w:p>
    <w:tbl>
      <w:tblPr>
        <w:tblStyle w:val="TableGrid"/>
        <w:tblW w:w="8505"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566"/>
        <w:gridCol w:w="1387"/>
        <w:gridCol w:w="1388"/>
        <w:gridCol w:w="1388"/>
        <w:gridCol w:w="1424"/>
        <w:gridCol w:w="1352"/>
      </w:tblGrid>
      <w:tr w:rsidR="00F236D5" w:rsidRPr="00BC582B" w:rsidTr="00947046">
        <w:trPr>
          <w:trHeight w:val="240"/>
          <w:tblHeader/>
        </w:trPr>
        <w:tc>
          <w:tcPr>
            <w:tcW w:w="1566" w:type="dxa"/>
            <w:tcBorders>
              <w:top w:val="single" w:sz="4" w:space="0" w:color="auto"/>
              <w:bottom w:val="single" w:sz="12" w:space="0" w:color="auto"/>
            </w:tcBorders>
            <w:shd w:val="clear" w:color="auto" w:fill="auto"/>
            <w:vAlign w:val="bottom"/>
          </w:tcPr>
          <w:p w:rsidR="00F236D5" w:rsidRPr="00BC582B" w:rsidRDefault="00F236D5" w:rsidP="00947046">
            <w:pPr>
              <w:spacing w:before="80" w:after="80" w:line="200" w:lineRule="exact"/>
              <w:ind w:right="113"/>
              <w:rPr>
                <w:i/>
                <w:sz w:val="16"/>
              </w:rPr>
            </w:pPr>
          </w:p>
        </w:tc>
        <w:tc>
          <w:tcPr>
            <w:tcW w:w="1387" w:type="dxa"/>
            <w:tcBorders>
              <w:top w:val="single" w:sz="4" w:space="0" w:color="auto"/>
              <w:bottom w:val="single" w:sz="12" w:space="0" w:color="auto"/>
            </w:tcBorders>
            <w:shd w:val="clear" w:color="auto" w:fill="auto"/>
            <w:vAlign w:val="bottom"/>
          </w:tcPr>
          <w:p w:rsidR="00F236D5" w:rsidRPr="00BC582B" w:rsidRDefault="00F236D5" w:rsidP="00947046">
            <w:pPr>
              <w:spacing w:before="80" w:after="80" w:line="200" w:lineRule="exact"/>
              <w:ind w:right="57"/>
              <w:jc w:val="right"/>
              <w:rPr>
                <w:i/>
                <w:sz w:val="16"/>
              </w:rPr>
            </w:pPr>
            <w:r w:rsidRPr="005A74FA">
              <w:rPr>
                <w:i/>
                <w:sz w:val="16"/>
              </w:rPr>
              <w:t>12 meses previos al 30 de juni</w:t>
            </w:r>
            <w:r>
              <w:rPr>
                <w:i/>
                <w:sz w:val="16"/>
              </w:rPr>
              <w:t>o de </w:t>
            </w:r>
            <w:r w:rsidRPr="005A74FA">
              <w:rPr>
                <w:i/>
                <w:sz w:val="16"/>
              </w:rPr>
              <w:t>2005</w:t>
            </w:r>
          </w:p>
        </w:tc>
        <w:tc>
          <w:tcPr>
            <w:tcW w:w="1388" w:type="dxa"/>
            <w:tcBorders>
              <w:top w:val="single" w:sz="4" w:space="0" w:color="auto"/>
              <w:bottom w:val="single" w:sz="12" w:space="0" w:color="auto"/>
            </w:tcBorders>
            <w:shd w:val="clear" w:color="auto" w:fill="auto"/>
            <w:vAlign w:val="bottom"/>
          </w:tcPr>
          <w:p w:rsidR="00F236D5" w:rsidRPr="00BC582B" w:rsidRDefault="00F236D5" w:rsidP="00947046">
            <w:pPr>
              <w:spacing w:before="80" w:after="80" w:line="200" w:lineRule="exact"/>
              <w:ind w:right="57"/>
              <w:jc w:val="right"/>
              <w:rPr>
                <w:i/>
                <w:sz w:val="16"/>
              </w:rPr>
            </w:pPr>
            <w:r w:rsidRPr="005A74FA">
              <w:rPr>
                <w:i/>
                <w:sz w:val="16"/>
              </w:rPr>
              <w:t>12 meses previos al 30 de juni</w:t>
            </w:r>
            <w:r>
              <w:rPr>
                <w:i/>
                <w:sz w:val="16"/>
              </w:rPr>
              <w:t>o de </w:t>
            </w:r>
            <w:r w:rsidRPr="005A74FA">
              <w:rPr>
                <w:i/>
                <w:sz w:val="16"/>
              </w:rPr>
              <w:t>200</w:t>
            </w:r>
            <w:r>
              <w:rPr>
                <w:i/>
                <w:sz w:val="16"/>
              </w:rPr>
              <w:t>6</w:t>
            </w:r>
          </w:p>
        </w:tc>
        <w:tc>
          <w:tcPr>
            <w:tcW w:w="1388" w:type="dxa"/>
            <w:tcBorders>
              <w:top w:val="single" w:sz="4" w:space="0" w:color="auto"/>
              <w:bottom w:val="single" w:sz="12" w:space="0" w:color="auto"/>
            </w:tcBorders>
            <w:shd w:val="clear" w:color="auto" w:fill="auto"/>
            <w:vAlign w:val="bottom"/>
          </w:tcPr>
          <w:p w:rsidR="00F236D5" w:rsidRPr="00BC582B" w:rsidRDefault="00F236D5" w:rsidP="00947046">
            <w:pPr>
              <w:spacing w:before="80" w:after="80" w:line="200" w:lineRule="exact"/>
              <w:ind w:right="57"/>
              <w:jc w:val="right"/>
              <w:rPr>
                <w:i/>
                <w:sz w:val="16"/>
              </w:rPr>
            </w:pPr>
            <w:r w:rsidRPr="005A74FA">
              <w:rPr>
                <w:i/>
                <w:sz w:val="16"/>
              </w:rPr>
              <w:t>12 meses previos al 30 de juni</w:t>
            </w:r>
            <w:r>
              <w:rPr>
                <w:i/>
                <w:sz w:val="16"/>
              </w:rPr>
              <w:t>o de </w:t>
            </w:r>
            <w:r w:rsidRPr="005A74FA">
              <w:rPr>
                <w:i/>
                <w:sz w:val="16"/>
              </w:rPr>
              <w:t>200</w:t>
            </w:r>
            <w:r>
              <w:rPr>
                <w:i/>
                <w:sz w:val="16"/>
              </w:rPr>
              <w:t>7</w:t>
            </w:r>
          </w:p>
        </w:tc>
        <w:tc>
          <w:tcPr>
            <w:tcW w:w="1424" w:type="dxa"/>
            <w:tcBorders>
              <w:top w:val="single" w:sz="4" w:space="0" w:color="auto"/>
              <w:bottom w:val="single" w:sz="12" w:space="0" w:color="auto"/>
            </w:tcBorders>
            <w:shd w:val="clear" w:color="auto" w:fill="auto"/>
            <w:vAlign w:val="bottom"/>
          </w:tcPr>
          <w:p w:rsidR="00F236D5" w:rsidRPr="00BC582B" w:rsidRDefault="00F236D5" w:rsidP="00947046">
            <w:pPr>
              <w:spacing w:before="80" w:after="80" w:line="200" w:lineRule="exact"/>
              <w:ind w:right="57"/>
              <w:jc w:val="right"/>
              <w:rPr>
                <w:i/>
                <w:sz w:val="16"/>
              </w:rPr>
            </w:pPr>
            <w:r w:rsidRPr="005A74FA">
              <w:rPr>
                <w:i/>
                <w:sz w:val="16"/>
              </w:rPr>
              <w:t>12 meses previos al 30 de juni</w:t>
            </w:r>
            <w:r>
              <w:rPr>
                <w:i/>
                <w:sz w:val="16"/>
              </w:rPr>
              <w:t>o de </w:t>
            </w:r>
            <w:r w:rsidRPr="005A74FA">
              <w:rPr>
                <w:i/>
                <w:sz w:val="16"/>
              </w:rPr>
              <w:t>200</w:t>
            </w:r>
            <w:r>
              <w:rPr>
                <w:i/>
                <w:sz w:val="16"/>
              </w:rPr>
              <w:t>8</w:t>
            </w:r>
          </w:p>
        </w:tc>
        <w:tc>
          <w:tcPr>
            <w:tcW w:w="1352" w:type="dxa"/>
            <w:tcBorders>
              <w:top w:val="single" w:sz="4" w:space="0" w:color="auto"/>
              <w:bottom w:val="single" w:sz="12" w:space="0" w:color="auto"/>
            </w:tcBorders>
            <w:shd w:val="clear" w:color="auto" w:fill="auto"/>
            <w:vAlign w:val="bottom"/>
          </w:tcPr>
          <w:p w:rsidR="00F236D5" w:rsidRPr="00BC582B" w:rsidRDefault="00F236D5" w:rsidP="00947046">
            <w:pPr>
              <w:spacing w:before="80" w:after="80" w:line="200" w:lineRule="exact"/>
              <w:ind w:right="57"/>
              <w:jc w:val="right"/>
              <w:rPr>
                <w:i/>
                <w:sz w:val="16"/>
              </w:rPr>
            </w:pPr>
            <w:r w:rsidRPr="005A74FA">
              <w:rPr>
                <w:i/>
                <w:sz w:val="16"/>
              </w:rPr>
              <w:t>12 meses previos al 30 de juni</w:t>
            </w:r>
            <w:r>
              <w:rPr>
                <w:i/>
                <w:sz w:val="16"/>
              </w:rPr>
              <w:t>o de </w:t>
            </w:r>
            <w:r w:rsidRPr="005A74FA">
              <w:rPr>
                <w:i/>
                <w:sz w:val="16"/>
              </w:rPr>
              <w:t>200</w:t>
            </w:r>
            <w:r>
              <w:rPr>
                <w:i/>
                <w:sz w:val="16"/>
              </w:rPr>
              <w:t>9</w:t>
            </w:r>
          </w:p>
        </w:tc>
      </w:tr>
      <w:tr w:rsidR="00F236D5" w:rsidRPr="00BC582B" w:rsidTr="00947046">
        <w:trPr>
          <w:trHeight w:val="240"/>
        </w:trPr>
        <w:tc>
          <w:tcPr>
            <w:tcW w:w="1566" w:type="dxa"/>
            <w:tcBorders>
              <w:top w:val="single" w:sz="12" w:space="0" w:color="auto"/>
            </w:tcBorders>
            <w:shd w:val="clear" w:color="auto" w:fill="auto"/>
          </w:tcPr>
          <w:p w:rsidR="00F236D5" w:rsidRPr="00BC582B" w:rsidRDefault="00F236D5" w:rsidP="00947046">
            <w:pPr>
              <w:spacing w:before="40" w:after="40" w:line="220" w:lineRule="exact"/>
              <w:ind w:right="113"/>
              <w:rPr>
                <w:sz w:val="18"/>
              </w:rPr>
            </w:pPr>
            <w:r>
              <w:rPr>
                <w:sz w:val="18"/>
              </w:rPr>
              <w:t>Nueva Zelandia</w:t>
            </w:r>
          </w:p>
        </w:tc>
        <w:tc>
          <w:tcPr>
            <w:tcW w:w="1387" w:type="dxa"/>
            <w:tcBorders>
              <w:top w:val="single" w:sz="12" w:space="0" w:color="auto"/>
            </w:tcBorders>
            <w:shd w:val="clear" w:color="auto" w:fill="auto"/>
            <w:vAlign w:val="bottom"/>
          </w:tcPr>
          <w:p w:rsidR="00F236D5" w:rsidRPr="00BC582B" w:rsidRDefault="00F236D5" w:rsidP="00947046">
            <w:pPr>
              <w:spacing w:before="40" w:after="40" w:line="220" w:lineRule="exact"/>
              <w:ind w:right="57"/>
              <w:jc w:val="right"/>
              <w:rPr>
                <w:sz w:val="18"/>
              </w:rPr>
            </w:pPr>
            <w:r>
              <w:rPr>
                <w:sz w:val="18"/>
              </w:rPr>
              <w:t xml:space="preserve">22 </w:t>
            </w:r>
            <w:r w:rsidRPr="00BC582B">
              <w:rPr>
                <w:sz w:val="18"/>
              </w:rPr>
              <w:t>163</w:t>
            </w:r>
          </w:p>
        </w:tc>
        <w:tc>
          <w:tcPr>
            <w:tcW w:w="1388" w:type="dxa"/>
            <w:tcBorders>
              <w:top w:val="single" w:sz="12" w:space="0" w:color="auto"/>
            </w:tcBorders>
            <w:shd w:val="clear" w:color="auto" w:fill="auto"/>
            <w:vAlign w:val="bottom"/>
          </w:tcPr>
          <w:p w:rsidR="00F236D5" w:rsidRPr="00BC582B" w:rsidRDefault="00F236D5" w:rsidP="00947046">
            <w:pPr>
              <w:spacing w:before="40" w:after="40" w:line="220" w:lineRule="exact"/>
              <w:ind w:right="57"/>
              <w:jc w:val="right"/>
              <w:rPr>
                <w:sz w:val="18"/>
              </w:rPr>
            </w:pPr>
            <w:r>
              <w:rPr>
                <w:sz w:val="18"/>
              </w:rPr>
              <w:t xml:space="preserve">16 </w:t>
            </w:r>
            <w:r w:rsidRPr="00BC582B">
              <w:rPr>
                <w:sz w:val="18"/>
              </w:rPr>
              <w:t>729</w:t>
            </w:r>
          </w:p>
        </w:tc>
        <w:tc>
          <w:tcPr>
            <w:tcW w:w="1388" w:type="dxa"/>
            <w:tcBorders>
              <w:top w:val="single" w:sz="12" w:space="0" w:color="auto"/>
            </w:tcBorders>
            <w:shd w:val="clear" w:color="auto" w:fill="auto"/>
            <w:vAlign w:val="bottom"/>
          </w:tcPr>
          <w:p w:rsidR="00F236D5" w:rsidRPr="00BC582B" w:rsidRDefault="00F236D5" w:rsidP="00947046">
            <w:pPr>
              <w:spacing w:before="40" w:after="40" w:line="220" w:lineRule="exact"/>
              <w:ind w:right="57"/>
              <w:jc w:val="right"/>
              <w:rPr>
                <w:sz w:val="18"/>
              </w:rPr>
            </w:pPr>
            <w:r>
              <w:rPr>
                <w:sz w:val="18"/>
              </w:rPr>
              <w:t xml:space="preserve">41 </w:t>
            </w:r>
            <w:r w:rsidRPr="00BC582B">
              <w:rPr>
                <w:sz w:val="18"/>
              </w:rPr>
              <w:t>547</w:t>
            </w:r>
          </w:p>
        </w:tc>
        <w:tc>
          <w:tcPr>
            <w:tcW w:w="1424" w:type="dxa"/>
            <w:tcBorders>
              <w:top w:val="single" w:sz="12" w:space="0" w:color="auto"/>
            </w:tcBorders>
            <w:shd w:val="clear" w:color="auto" w:fill="auto"/>
            <w:vAlign w:val="bottom"/>
          </w:tcPr>
          <w:p w:rsidR="00F236D5" w:rsidRPr="00BC582B" w:rsidRDefault="00F236D5" w:rsidP="00947046">
            <w:pPr>
              <w:spacing w:before="40" w:after="40" w:line="220" w:lineRule="exact"/>
              <w:ind w:right="57"/>
              <w:jc w:val="right"/>
              <w:rPr>
                <w:sz w:val="18"/>
              </w:rPr>
            </w:pPr>
            <w:r>
              <w:rPr>
                <w:sz w:val="18"/>
              </w:rPr>
              <w:t xml:space="preserve">18 </w:t>
            </w:r>
            <w:r w:rsidRPr="00BC582B">
              <w:rPr>
                <w:sz w:val="18"/>
              </w:rPr>
              <w:t>329</w:t>
            </w:r>
          </w:p>
        </w:tc>
        <w:tc>
          <w:tcPr>
            <w:tcW w:w="1352" w:type="dxa"/>
            <w:tcBorders>
              <w:top w:val="single" w:sz="12" w:space="0" w:color="auto"/>
            </w:tcBorders>
            <w:shd w:val="clear" w:color="auto" w:fill="auto"/>
            <w:vAlign w:val="bottom"/>
          </w:tcPr>
          <w:p w:rsidR="00F236D5" w:rsidRPr="00BC582B" w:rsidRDefault="00F236D5" w:rsidP="00947046">
            <w:pPr>
              <w:spacing w:before="40" w:after="40" w:line="220" w:lineRule="exact"/>
              <w:ind w:right="57"/>
              <w:jc w:val="right"/>
              <w:rPr>
                <w:sz w:val="18"/>
              </w:rPr>
            </w:pPr>
            <w:r>
              <w:rPr>
                <w:sz w:val="18"/>
              </w:rPr>
              <w:t xml:space="preserve">44 </w:t>
            </w:r>
            <w:r w:rsidRPr="00BC582B">
              <w:rPr>
                <w:sz w:val="18"/>
              </w:rPr>
              <w:t>285</w:t>
            </w:r>
          </w:p>
        </w:tc>
      </w:tr>
      <w:tr w:rsidR="00F236D5" w:rsidRPr="00BC582B" w:rsidTr="00947046">
        <w:trPr>
          <w:trHeight w:val="240"/>
        </w:trPr>
        <w:tc>
          <w:tcPr>
            <w:tcW w:w="1566" w:type="dxa"/>
            <w:shd w:val="clear" w:color="auto" w:fill="auto"/>
          </w:tcPr>
          <w:p w:rsidR="00F236D5" w:rsidRPr="00BC582B" w:rsidRDefault="00F236D5" w:rsidP="00947046">
            <w:pPr>
              <w:spacing w:before="40" w:after="40" w:line="220" w:lineRule="exact"/>
              <w:ind w:right="113"/>
              <w:rPr>
                <w:sz w:val="18"/>
              </w:rPr>
            </w:pPr>
            <w:r w:rsidRPr="005A74FA">
              <w:rPr>
                <w:sz w:val="18"/>
              </w:rPr>
              <w:t>Deuda externa</w:t>
            </w:r>
          </w:p>
        </w:tc>
        <w:tc>
          <w:tcPr>
            <w:tcW w:w="1387" w:type="dxa"/>
            <w:shd w:val="clear" w:color="auto" w:fill="auto"/>
            <w:vAlign w:val="bottom"/>
          </w:tcPr>
          <w:p w:rsidR="00F236D5" w:rsidRPr="00BC582B" w:rsidRDefault="00F236D5" w:rsidP="00947046">
            <w:pPr>
              <w:spacing w:before="40" w:after="40" w:line="220" w:lineRule="exact"/>
              <w:ind w:right="57"/>
              <w:jc w:val="right"/>
              <w:rPr>
                <w:sz w:val="18"/>
              </w:rPr>
            </w:pPr>
            <w:r>
              <w:rPr>
                <w:sz w:val="18"/>
              </w:rPr>
              <w:t xml:space="preserve">12 </w:t>
            </w:r>
            <w:r w:rsidRPr="00BC582B">
              <w:rPr>
                <w:sz w:val="18"/>
              </w:rPr>
              <w:t>882</w:t>
            </w:r>
          </w:p>
        </w:tc>
        <w:tc>
          <w:tcPr>
            <w:tcW w:w="1388" w:type="dxa"/>
            <w:shd w:val="clear" w:color="auto" w:fill="auto"/>
            <w:vAlign w:val="bottom"/>
          </w:tcPr>
          <w:p w:rsidR="00F236D5" w:rsidRPr="00BC582B" w:rsidRDefault="00F236D5" w:rsidP="00947046">
            <w:pPr>
              <w:spacing w:before="40" w:after="40" w:line="220" w:lineRule="exact"/>
              <w:ind w:right="57"/>
              <w:jc w:val="right"/>
              <w:rPr>
                <w:sz w:val="18"/>
              </w:rPr>
            </w:pPr>
            <w:r>
              <w:rPr>
                <w:sz w:val="18"/>
              </w:rPr>
              <w:t xml:space="preserve">18 </w:t>
            </w:r>
            <w:r w:rsidRPr="00BC582B">
              <w:rPr>
                <w:sz w:val="18"/>
              </w:rPr>
              <w:t>732</w:t>
            </w:r>
          </w:p>
        </w:tc>
        <w:tc>
          <w:tcPr>
            <w:tcW w:w="1388" w:type="dxa"/>
            <w:shd w:val="clear" w:color="auto" w:fill="auto"/>
            <w:vAlign w:val="bottom"/>
          </w:tcPr>
          <w:p w:rsidR="00F236D5" w:rsidRPr="00BC582B" w:rsidRDefault="00F236D5" w:rsidP="00947046">
            <w:pPr>
              <w:spacing w:before="40" w:after="40" w:line="220" w:lineRule="exact"/>
              <w:ind w:right="57"/>
              <w:jc w:val="right"/>
              <w:rPr>
                <w:sz w:val="18"/>
              </w:rPr>
            </w:pPr>
            <w:r>
              <w:rPr>
                <w:sz w:val="18"/>
              </w:rPr>
              <w:t xml:space="preserve">(5 </w:t>
            </w:r>
            <w:r w:rsidRPr="00BC582B">
              <w:rPr>
                <w:sz w:val="18"/>
              </w:rPr>
              <w:t>397)</w:t>
            </w:r>
          </w:p>
        </w:tc>
        <w:tc>
          <w:tcPr>
            <w:tcW w:w="1424" w:type="dxa"/>
            <w:shd w:val="clear" w:color="auto" w:fill="auto"/>
            <w:vAlign w:val="bottom"/>
          </w:tcPr>
          <w:p w:rsidR="00F236D5" w:rsidRPr="00BC582B" w:rsidRDefault="00F236D5" w:rsidP="00947046">
            <w:pPr>
              <w:spacing w:before="40" w:after="40" w:line="220" w:lineRule="exact"/>
              <w:ind w:right="57"/>
              <w:jc w:val="right"/>
              <w:rPr>
                <w:sz w:val="18"/>
              </w:rPr>
            </w:pPr>
            <w:r>
              <w:rPr>
                <w:sz w:val="18"/>
              </w:rPr>
              <w:t xml:space="preserve">19 </w:t>
            </w:r>
            <w:r w:rsidRPr="00BC582B">
              <w:rPr>
                <w:sz w:val="18"/>
              </w:rPr>
              <w:t>007</w:t>
            </w:r>
          </w:p>
        </w:tc>
        <w:tc>
          <w:tcPr>
            <w:tcW w:w="1352" w:type="dxa"/>
            <w:shd w:val="clear" w:color="auto" w:fill="auto"/>
            <w:vAlign w:val="bottom"/>
          </w:tcPr>
          <w:p w:rsidR="00F236D5" w:rsidRPr="00BC582B" w:rsidRDefault="00F236D5" w:rsidP="00947046">
            <w:pPr>
              <w:spacing w:before="40" w:after="40" w:line="220" w:lineRule="exact"/>
              <w:ind w:right="57"/>
              <w:jc w:val="right"/>
              <w:rPr>
                <w:sz w:val="18"/>
              </w:rPr>
            </w:pPr>
            <w:r>
              <w:rPr>
                <w:sz w:val="18"/>
              </w:rPr>
              <w:t xml:space="preserve">6 </w:t>
            </w:r>
            <w:r w:rsidRPr="00BC582B">
              <w:rPr>
                <w:sz w:val="18"/>
              </w:rPr>
              <w:t>257</w:t>
            </w:r>
          </w:p>
        </w:tc>
      </w:tr>
      <w:tr w:rsidR="00F236D5" w:rsidRPr="00BC582B" w:rsidTr="00947046">
        <w:trPr>
          <w:trHeight w:val="240"/>
        </w:trPr>
        <w:tc>
          <w:tcPr>
            <w:tcW w:w="1566" w:type="dxa"/>
            <w:shd w:val="clear" w:color="auto" w:fill="auto"/>
          </w:tcPr>
          <w:p w:rsidR="00F236D5" w:rsidRPr="00BC582B" w:rsidRDefault="00F236D5" w:rsidP="00947046">
            <w:pPr>
              <w:spacing w:before="40" w:after="40" w:line="220" w:lineRule="exact"/>
              <w:rPr>
                <w:sz w:val="18"/>
              </w:rPr>
            </w:pPr>
            <w:r w:rsidRPr="005A74FA">
              <w:rPr>
                <w:sz w:val="18"/>
              </w:rPr>
              <w:t>Principales préstamos adeudados por la Corona</w:t>
            </w:r>
          </w:p>
        </w:tc>
        <w:tc>
          <w:tcPr>
            <w:tcW w:w="1387" w:type="dxa"/>
            <w:shd w:val="clear" w:color="auto" w:fill="auto"/>
            <w:vAlign w:val="bottom"/>
          </w:tcPr>
          <w:p w:rsidR="00F236D5" w:rsidRPr="00BC582B" w:rsidRDefault="00F236D5" w:rsidP="00947046">
            <w:pPr>
              <w:spacing w:before="40" w:after="40" w:line="220" w:lineRule="exact"/>
              <w:ind w:right="57"/>
              <w:jc w:val="right"/>
              <w:rPr>
                <w:sz w:val="18"/>
              </w:rPr>
            </w:pPr>
            <w:r>
              <w:rPr>
                <w:sz w:val="18"/>
              </w:rPr>
              <w:t xml:space="preserve">35 </w:t>
            </w:r>
            <w:r w:rsidRPr="00BC582B">
              <w:rPr>
                <w:sz w:val="18"/>
              </w:rPr>
              <w:t>045</w:t>
            </w:r>
          </w:p>
        </w:tc>
        <w:tc>
          <w:tcPr>
            <w:tcW w:w="1388" w:type="dxa"/>
            <w:shd w:val="clear" w:color="auto" w:fill="auto"/>
            <w:vAlign w:val="bottom"/>
          </w:tcPr>
          <w:p w:rsidR="00F236D5" w:rsidRPr="00BC582B" w:rsidRDefault="00F236D5" w:rsidP="00947046">
            <w:pPr>
              <w:spacing w:before="40" w:after="40" w:line="220" w:lineRule="exact"/>
              <w:ind w:right="57"/>
              <w:jc w:val="right"/>
              <w:rPr>
                <w:sz w:val="18"/>
              </w:rPr>
            </w:pPr>
            <w:r>
              <w:rPr>
                <w:sz w:val="18"/>
              </w:rPr>
              <w:t xml:space="preserve">35 </w:t>
            </w:r>
            <w:r w:rsidRPr="00BC582B">
              <w:rPr>
                <w:sz w:val="18"/>
              </w:rPr>
              <w:t>461</w:t>
            </w:r>
          </w:p>
        </w:tc>
        <w:tc>
          <w:tcPr>
            <w:tcW w:w="1388" w:type="dxa"/>
            <w:shd w:val="clear" w:color="auto" w:fill="auto"/>
            <w:vAlign w:val="bottom"/>
          </w:tcPr>
          <w:p w:rsidR="00F236D5" w:rsidRPr="00BC582B" w:rsidRDefault="00F236D5" w:rsidP="00947046">
            <w:pPr>
              <w:spacing w:before="40" w:after="40" w:line="220" w:lineRule="exact"/>
              <w:ind w:right="57"/>
              <w:jc w:val="right"/>
              <w:rPr>
                <w:sz w:val="18"/>
              </w:rPr>
            </w:pPr>
            <w:r>
              <w:rPr>
                <w:sz w:val="18"/>
              </w:rPr>
              <w:t xml:space="preserve">36 </w:t>
            </w:r>
            <w:r w:rsidRPr="00BC582B">
              <w:rPr>
                <w:sz w:val="18"/>
              </w:rPr>
              <w:t>150</w:t>
            </w:r>
          </w:p>
        </w:tc>
        <w:tc>
          <w:tcPr>
            <w:tcW w:w="1424" w:type="dxa"/>
            <w:shd w:val="clear" w:color="auto" w:fill="auto"/>
            <w:vAlign w:val="bottom"/>
          </w:tcPr>
          <w:p w:rsidR="00F236D5" w:rsidRPr="00BC582B" w:rsidRDefault="00F236D5" w:rsidP="00947046">
            <w:pPr>
              <w:spacing w:before="40" w:after="40" w:line="220" w:lineRule="exact"/>
              <w:ind w:right="57"/>
              <w:jc w:val="right"/>
              <w:rPr>
                <w:sz w:val="18"/>
              </w:rPr>
            </w:pPr>
            <w:r>
              <w:rPr>
                <w:sz w:val="18"/>
              </w:rPr>
              <w:t xml:space="preserve">37 </w:t>
            </w:r>
            <w:r w:rsidRPr="00BC582B">
              <w:rPr>
                <w:sz w:val="18"/>
              </w:rPr>
              <w:t>336</w:t>
            </w:r>
          </w:p>
        </w:tc>
        <w:tc>
          <w:tcPr>
            <w:tcW w:w="1352" w:type="dxa"/>
            <w:shd w:val="clear" w:color="auto" w:fill="auto"/>
            <w:vAlign w:val="bottom"/>
          </w:tcPr>
          <w:p w:rsidR="00F236D5" w:rsidRPr="00BC582B" w:rsidRDefault="00F236D5" w:rsidP="00947046">
            <w:pPr>
              <w:spacing w:before="40" w:after="40" w:line="220" w:lineRule="exact"/>
              <w:ind w:right="57"/>
              <w:jc w:val="right"/>
              <w:rPr>
                <w:sz w:val="18"/>
              </w:rPr>
            </w:pPr>
            <w:r>
              <w:rPr>
                <w:sz w:val="18"/>
              </w:rPr>
              <w:t xml:space="preserve">50 </w:t>
            </w:r>
            <w:r w:rsidRPr="00BC582B">
              <w:rPr>
                <w:sz w:val="18"/>
              </w:rPr>
              <w:t>545</w:t>
            </w:r>
          </w:p>
        </w:tc>
      </w:tr>
    </w:tbl>
    <w:p w:rsidR="00F236D5" w:rsidRPr="00C83970" w:rsidRDefault="00F236D5" w:rsidP="00F236D5">
      <w:pPr>
        <w:pStyle w:val="SingleTxtG"/>
        <w:spacing w:before="120" w:after="0"/>
        <w:ind w:firstLine="170"/>
        <w:rPr>
          <w:sz w:val="18"/>
          <w:szCs w:val="18"/>
        </w:rPr>
      </w:pPr>
      <w:r w:rsidRPr="00C83970">
        <w:rPr>
          <w:i/>
          <w:sz w:val="18"/>
          <w:szCs w:val="18"/>
        </w:rPr>
        <w:t>Fuente:</w:t>
      </w:r>
      <w:r w:rsidRPr="00C83970">
        <w:rPr>
          <w:sz w:val="18"/>
          <w:szCs w:val="18"/>
        </w:rPr>
        <w:t xml:space="preserve"> Tesorería de Nueva Zelandia.</w:t>
      </w:r>
    </w:p>
    <w:p w:rsidR="00F236D5" w:rsidRPr="00521B62" w:rsidRDefault="00F236D5" w:rsidP="00F236D5">
      <w:pPr>
        <w:pStyle w:val="H23G"/>
      </w:pPr>
      <w:r>
        <w:tab/>
      </w:r>
      <w:r w:rsidRPr="00521B62">
        <w:t>11.</w:t>
      </w:r>
      <w:r w:rsidRPr="00521B62">
        <w:tab/>
        <w:t>Desempleo</w:t>
      </w:r>
    </w:p>
    <w:p w:rsidR="00F236D5" w:rsidRPr="00521B62" w:rsidRDefault="00F236D5" w:rsidP="00F236D5">
      <w:pPr>
        <w:pStyle w:val="SingleTxtG"/>
      </w:pPr>
      <w:r w:rsidRPr="00521B62">
        <w:t>44.</w:t>
      </w:r>
      <w:r w:rsidRPr="00521B62">
        <w:tab/>
        <w:t>En Nueva Zelandia la tasa de desempleo se define como el número de personas mayores de 15 años de edad que no están empleadas y buscan activamente un empleo remunerado para el cual están disponibles, expresado como porcentaje de la fuerza de trabajo total. La fuerza de trabajo, por definición, se compone de la población mayor de 15 años de edad, tanto empleada como desempleada.</w:t>
      </w:r>
    </w:p>
    <w:p w:rsidR="00F236D5" w:rsidRPr="00521B62" w:rsidRDefault="00F236D5" w:rsidP="00F236D5">
      <w:pPr>
        <w:pStyle w:val="SingleTxtG"/>
      </w:pPr>
      <w:r w:rsidRPr="00521B62">
        <w:t>45.</w:t>
      </w:r>
      <w:r w:rsidRPr="00521B62">
        <w:tab/>
        <w:t>En el ejercicio terminado en marzo de 2009, el 4,5% de la fuerza de trabajo (103,300 personas) estaba desempleada y en busca de empleo, lo que representa un aumento del 3,7% (82.600 personas) respecto del ejercicio terminado en marzo de 2008. Esto refleja la recesión económica imperante durante el período de marzo de 2008 a marzo de 2009.</w:t>
      </w:r>
    </w:p>
    <w:p w:rsidR="00F236D5" w:rsidRPr="00521B62" w:rsidRDefault="00F236D5" w:rsidP="00F236D5">
      <w:pPr>
        <w:pStyle w:val="SingleTxtG"/>
      </w:pPr>
      <w:r w:rsidRPr="00521B62">
        <w:t>46.</w:t>
      </w:r>
      <w:r w:rsidRPr="00521B62">
        <w:tab/>
        <w:t>La tasa de desempleo alcanzó su nivel máximo de 10,9% durante los 12 meses previos a marzo de 1992 (184.200 personas desempleadas) para luego disminuir de forma constante entre 1999 y 2008. En 2009, esa tasa superó ligeramente el nivel alcanzado durante el ejercicio terminado en marzo de 1987 (4,1% o 69.700 personas desempleadas).</w:t>
      </w:r>
    </w:p>
    <w:p w:rsidR="00F236D5" w:rsidRPr="00521B62" w:rsidRDefault="00F236D5" w:rsidP="00F236D5">
      <w:pPr>
        <w:pStyle w:val="H4G"/>
      </w:pPr>
      <w:r>
        <w:tab/>
      </w:r>
      <w:r w:rsidRPr="00521B62">
        <w:t>a)</w:t>
      </w:r>
      <w:r w:rsidRPr="00521B62">
        <w:tab/>
        <w:t>Diferencias de edad y sexo</w:t>
      </w:r>
    </w:p>
    <w:p w:rsidR="00F236D5" w:rsidRPr="00521B62" w:rsidRDefault="00F236D5" w:rsidP="00F236D5">
      <w:pPr>
        <w:pStyle w:val="SingleTxtG"/>
      </w:pPr>
      <w:r w:rsidRPr="00521B62">
        <w:t>47.</w:t>
      </w:r>
      <w:r w:rsidRPr="00521B62">
        <w:tab/>
        <w:t>Las tasas de desempleo correspondientes a los distintos grupos de edad han mostrado tendencias análogas, aunque en el grupo de edad de 15 a 24 años esas tasas han duplicado con creces las del grupo de 25 a 64 años.</w:t>
      </w:r>
    </w:p>
    <w:p w:rsidR="00F236D5" w:rsidRPr="00521B62" w:rsidRDefault="00F236D5" w:rsidP="00F236D5">
      <w:pPr>
        <w:pStyle w:val="SingleTxtG"/>
        <w:spacing w:before="120"/>
      </w:pPr>
      <w:r w:rsidRPr="00521B62">
        <w:t>48.</w:t>
      </w:r>
      <w:r w:rsidRPr="00521B62">
        <w:tab/>
        <w:t>Las tasas de desempleo respectivas de hombres y mujeres no mostraron diferencia alguna en el ejercicio finalizado en marzo de 2009, tras haber sido más elevadas para las mujeres que para los hombres entre 2003 y 2008 y más altas para los hombres que para las mujeres en los años del mayor desempleo.</w:t>
      </w:r>
    </w:p>
    <w:p w:rsidR="00F236D5" w:rsidRDefault="00F236D5" w:rsidP="00F236D5">
      <w:pPr>
        <w:pStyle w:val="Heading1"/>
      </w:pPr>
      <w:r>
        <w:t>Cuadro 13</w:t>
      </w:r>
    </w:p>
    <w:p w:rsidR="00F236D5" w:rsidRPr="0071306B" w:rsidRDefault="00F236D5" w:rsidP="00F236D5">
      <w:pPr>
        <w:pStyle w:val="SingleTxtG"/>
        <w:keepNext/>
        <w:jc w:val="left"/>
        <w:rPr>
          <w:sz w:val="18"/>
          <w:szCs w:val="18"/>
        </w:rPr>
      </w:pPr>
      <w:r>
        <w:rPr>
          <w:b/>
        </w:rPr>
        <w:t>Tasas de desempleo</w:t>
      </w:r>
      <w:r w:rsidRPr="0071306B">
        <w:rPr>
          <w:b/>
        </w:rPr>
        <w:t xml:space="preserve"> por edad y sexo, en años</w:t>
      </w:r>
      <w:r>
        <w:rPr>
          <w:b/>
        </w:rPr>
        <w:t xml:space="preserve"> seleccionados </w:t>
      </w:r>
      <w:r w:rsidRPr="0071306B">
        <w:rPr>
          <w:b/>
        </w:rPr>
        <w:t>del período 1987</w:t>
      </w:r>
      <w:r>
        <w:rPr>
          <w:b/>
        </w:rPr>
        <w:t>-</w:t>
      </w:r>
      <w:r w:rsidRPr="0071306B">
        <w:rPr>
          <w:b/>
        </w:rPr>
        <w:t>2009</w:t>
      </w:r>
      <w:r>
        <w:rPr>
          <w:b/>
        </w:rPr>
        <w:br/>
      </w:r>
      <w:r w:rsidRPr="001E693A">
        <w:rPr>
          <w:sz w:val="16"/>
          <w:szCs w:val="16"/>
        </w:rPr>
        <w:t>(En porcentaje)</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077"/>
        <w:gridCol w:w="1044"/>
        <w:gridCol w:w="1052"/>
        <w:gridCol w:w="1052"/>
        <w:gridCol w:w="1058"/>
        <w:gridCol w:w="1052"/>
        <w:gridCol w:w="1035"/>
      </w:tblGrid>
      <w:tr w:rsidR="00F236D5" w:rsidRPr="00F90A93" w:rsidTr="00947046">
        <w:tblPrEx>
          <w:tblCellMar>
            <w:top w:w="0" w:type="dxa"/>
            <w:bottom w:w="0" w:type="dxa"/>
          </w:tblCellMar>
        </w:tblPrEx>
        <w:trPr>
          <w:trHeight w:val="240"/>
        </w:trPr>
        <w:tc>
          <w:tcPr>
            <w:tcW w:w="730" w:type="pct"/>
            <w:vMerge w:val="restart"/>
            <w:tcBorders>
              <w:top w:val="single" w:sz="4" w:space="0" w:color="auto"/>
            </w:tcBorders>
            <w:shd w:val="clear" w:color="auto" w:fill="auto"/>
            <w:vAlign w:val="bottom"/>
          </w:tcPr>
          <w:p w:rsidR="00F236D5" w:rsidRPr="00C90C05" w:rsidRDefault="00F236D5" w:rsidP="00947046">
            <w:pPr>
              <w:spacing w:before="80" w:after="80" w:line="220" w:lineRule="exact"/>
              <w:ind w:right="113"/>
              <w:rPr>
                <w:i/>
                <w:sz w:val="16"/>
                <w:szCs w:val="16"/>
              </w:rPr>
            </w:pPr>
            <w:r w:rsidRPr="00C90C05">
              <w:rPr>
                <w:i/>
                <w:sz w:val="16"/>
                <w:szCs w:val="16"/>
              </w:rPr>
              <w:t>Año</w:t>
            </w:r>
          </w:p>
        </w:tc>
        <w:tc>
          <w:tcPr>
            <w:tcW w:w="708" w:type="pct"/>
            <w:tcBorders>
              <w:top w:val="single" w:sz="4" w:space="0" w:color="auto"/>
              <w:bottom w:val="single" w:sz="4" w:space="0" w:color="auto"/>
            </w:tcBorders>
            <w:shd w:val="clear" w:color="auto" w:fill="auto"/>
          </w:tcPr>
          <w:p w:rsidR="00F236D5" w:rsidRPr="00C90C05" w:rsidRDefault="00F236D5" w:rsidP="00947046">
            <w:pPr>
              <w:spacing w:before="80" w:after="80" w:line="200" w:lineRule="exact"/>
              <w:jc w:val="right"/>
              <w:rPr>
                <w:i/>
                <w:sz w:val="16"/>
                <w:szCs w:val="16"/>
              </w:rPr>
            </w:pPr>
          </w:p>
        </w:tc>
        <w:tc>
          <w:tcPr>
            <w:tcW w:w="714" w:type="pct"/>
            <w:tcBorders>
              <w:top w:val="single" w:sz="4" w:space="0" w:color="auto"/>
              <w:bottom w:val="single" w:sz="4" w:space="0" w:color="auto"/>
            </w:tcBorders>
            <w:shd w:val="clear" w:color="auto" w:fill="auto"/>
          </w:tcPr>
          <w:p w:rsidR="00F236D5" w:rsidRPr="00C90C05" w:rsidRDefault="00F236D5" w:rsidP="00947046">
            <w:pPr>
              <w:spacing w:before="80" w:after="80" w:line="200" w:lineRule="exact"/>
              <w:jc w:val="right"/>
              <w:rPr>
                <w:i/>
                <w:sz w:val="16"/>
                <w:szCs w:val="16"/>
              </w:rPr>
            </w:pPr>
          </w:p>
        </w:tc>
        <w:tc>
          <w:tcPr>
            <w:tcW w:w="714" w:type="pct"/>
            <w:tcBorders>
              <w:top w:val="single" w:sz="4" w:space="0" w:color="auto"/>
              <w:bottom w:val="single" w:sz="4" w:space="0" w:color="auto"/>
            </w:tcBorders>
            <w:shd w:val="clear" w:color="auto" w:fill="auto"/>
          </w:tcPr>
          <w:p w:rsidR="00F236D5" w:rsidRPr="00C90C05" w:rsidRDefault="00F236D5" w:rsidP="00947046">
            <w:pPr>
              <w:spacing w:before="80" w:after="80" w:line="200" w:lineRule="exact"/>
              <w:jc w:val="right"/>
              <w:rPr>
                <w:i/>
                <w:sz w:val="16"/>
                <w:szCs w:val="16"/>
              </w:rPr>
            </w:pPr>
          </w:p>
        </w:tc>
        <w:tc>
          <w:tcPr>
            <w:tcW w:w="718" w:type="pct"/>
            <w:tcBorders>
              <w:top w:val="single" w:sz="4" w:space="0" w:color="auto"/>
              <w:bottom w:val="single" w:sz="4" w:space="0" w:color="auto"/>
            </w:tcBorders>
            <w:shd w:val="clear" w:color="auto" w:fill="auto"/>
          </w:tcPr>
          <w:p w:rsidR="00F236D5" w:rsidRPr="00C90C05" w:rsidRDefault="00F236D5" w:rsidP="00947046">
            <w:pPr>
              <w:spacing w:before="80" w:after="80" w:line="200" w:lineRule="exact"/>
              <w:jc w:val="right"/>
              <w:rPr>
                <w:i/>
                <w:sz w:val="16"/>
                <w:szCs w:val="16"/>
              </w:rPr>
            </w:pPr>
            <w:r w:rsidRPr="00C90C05">
              <w:rPr>
                <w:i/>
                <w:sz w:val="16"/>
                <w:szCs w:val="16"/>
              </w:rPr>
              <w:t>Hombres</w:t>
            </w:r>
          </w:p>
        </w:tc>
        <w:tc>
          <w:tcPr>
            <w:tcW w:w="714" w:type="pct"/>
            <w:tcBorders>
              <w:top w:val="single" w:sz="4" w:space="0" w:color="auto"/>
              <w:bottom w:val="single" w:sz="4" w:space="0" w:color="auto"/>
            </w:tcBorders>
            <w:shd w:val="clear" w:color="auto" w:fill="auto"/>
            <w:vAlign w:val="bottom"/>
          </w:tcPr>
          <w:p w:rsidR="00F236D5" w:rsidRPr="00C90C05" w:rsidRDefault="00F236D5" w:rsidP="00947046">
            <w:pPr>
              <w:spacing w:before="80" w:after="80" w:line="200" w:lineRule="exact"/>
              <w:jc w:val="right"/>
              <w:rPr>
                <w:i/>
                <w:sz w:val="16"/>
                <w:szCs w:val="16"/>
              </w:rPr>
            </w:pPr>
            <w:r w:rsidRPr="00C90C05">
              <w:rPr>
                <w:i/>
                <w:sz w:val="16"/>
                <w:szCs w:val="16"/>
              </w:rPr>
              <w:t>Mujeres</w:t>
            </w:r>
          </w:p>
        </w:tc>
        <w:tc>
          <w:tcPr>
            <w:tcW w:w="703" w:type="pct"/>
            <w:tcBorders>
              <w:top w:val="single" w:sz="4" w:space="0" w:color="auto"/>
              <w:bottom w:val="single" w:sz="4" w:space="0" w:color="auto"/>
            </w:tcBorders>
            <w:shd w:val="clear" w:color="auto" w:fill="auto"/>
            <w:vAlign w:val="bottom"/>
          </w:tcPr>
          <w:p w:rsidR="00F236D5" w:rsidRPr="00C90C05" w:rsidRDefault="00F236D5" w:rsidP="00947046">
            <w:pPr>
              <w:spacing w:before="80" w:after="80" w:line="200" w:lineRule="exact"/>
              <w:jc w:val="right"/>
              <w:rPr>
                <w:i/>
                <w:sz w:val="16"/>
                <w:szCs w:val="16"/>
              </w:rPr>
            </w:pPr>
            <w:r w:rsidRPr="00C90C05">
              <w:rPr>
                <w:i/>
                <w:sz w:val="16"/>
                <w:szCs w:val="16"/>
              </w:rPr>
              <w:t>Total</w:t>
            </w:r>
          </w:p>
        </w:tc>
      </w:tr>
      <w:tr w:rsidR="00F236D5" w:rsidRPr="00F90A93" w:rsidTr="00947046">
        <w:tblPrEx>
          <w:tblCellMar>
            <w:top w:w="0" w:type="dxa"/>
            <w:bottom w:w="0" w:type="dxa"/>
          </w:tblCellMar>
        </w:tblPrEx>
        <w:trPr>
          <w:trHeight w:val="240"/>
        </w:trPr>
        <w:tc>
          <w:tcPr>
            <w:tcW w:w="730" w:type="pct"/>
            <w:vMerge/>
            <w:tcBorders>
              <w:bottom w:val="single" w:sz="12" w:space="0" w:color="auto"/>
            </w:tcBorders>
            <w:shd w:val="clear" w:color="auto" w:fill="auto"/>
          </w:tcPr>
          <w:p w:rsidR="00F236D5" w:rsidRPr="00C90C05" w:rsidRDefault="00F236D5" w:rsidP="00947046">
            <w:pPr>
              <w:spacing w:before="80" w:after="80" w:line="220" w:lineRule="exact"/>
              <w:ind w:right="113"/>
              <w:rPr>
                <w:i/>
                <w:sz w:val="16"/>
                <w:szCs w:val="16"/>
              </w:rPr>
            </w:pPr>
          </w:p>
        </w:tc>
        <w:tc>
          <w:tcPr>
            <w:tcW w:w="708" w:type="pct"/>
            <w:tcBorders>
              <w:top w:val="single" w:sz="4" w:space="0" w:color="auto"/>
              <w:bottom w:val="single" w:sz="12" w:space="0" w:color="auto"/>
            </w:tcBorders>
            <w:shd w:val="clear" w:color="auto" w:fill="auto"/>
          </w:tcPr>
          <w:p w:rsidR="00F236D5" w:rsidRPr="00C90C05" w:rsidRDefault="00F236D5" w:rsidP="00947046">
            <w:pPr>
              <w:spacing w:before="80" w:after="80" w:line="220" w:lineRule="exact"/>
              <w:jc w:val="right"/>
              <w:rPr>
                <w:i/>
                <w:sz w:val="16"/>
                <w:szCs w:val="16"/>
              </w:rPr>
            </w:pPr>
            <w:r w:rsidRPr="00C90C05">
              <w:rPr>
                <w:i/>
                <w:sz w:val="16"/>
                <w:szCs w:val="16"/>
              </w:rPr>
              <w:t>De 15 a 24</w:t>
            </w:r>
          </w:p>
        </w:tc>
        <w:tc>
          <w:tcPr>
            <w:tcW w:w="714" w:type="pct"/>
            <w:tcBorders>
              <w:top w:val="single" w:sz="4" w:space="0" w:color="auto"/>
              <w:bottom w:val="single" w:sz="12" w:space="0" w:color="auto"/>
            </w:tcBorders>
            <w:shd w:val="clear" w:color="auto" w:fill="auto"/>
          </w:tcPr>
          <w:p w:rsidR="00F236D5" w:rsidRPr="00C90C05" w:rsidRDefault="00F236D5" w:rsidP="00947046">
            <w:pPr>
              <w:spacing w:before="80" w:after="80" w:line="220" w:lineRule="exact"/>
              <w:jc w:val="right"/>
              <w:rPr>
                <w:i/>
                <w:sz w:val="16"/>
                <w:szCs w:val="16"/>
              </w:rPr>
            </w:pPr>
            <w:r w:rsidRPr="00C90C05">
              <w:rPr>
                <w:i/>
                <w:sz w:val="16"/>
                <w:szCs w:val="16"/>
              </w:rPr>
              <w:t>De 25 a 44</w:t>
            </w:r>
          </w:p>
        </w:tc>
        <w:tc>
          <w:tcPr>
            <w:tcW w:w="714" w:type="pct"/>
            <w:tcBorders>
              <w:top w:val="single" w:sz="4" w:space="0" w:color="auto"/>
              <w:bottom w:val="single" w:sz="12" w:space="0" w:color="auto"/>
            </w:tcBorders>
            <w:shd w:val="clear" w:color="auto" w:fill="auto"/>
          </w:tcPr>
          <w:p w:rsidR="00F236D5" w:rsidRPr="00C90C05" w:rsidRDefault="00F236D5" w:rsidP="00947046">
            <w:pPr>
              <w:spacing w:before="80" w:after="80" w:line="220" w:lineRule="exact"/>
              <w:jc w:val="right"/>
              <w:rPr>
                <w:i/>
                <w:sz w:val="16"/>
                <w:szCs w:val="16"/>
              </w:rPr>
            </w:pPr>
            <w:r w:rsidRPr="00C90C05">
              <w:rPr>
                <w:i/>
                <w:sz w:val="16"/>
                <w:szCs w:val="16"/>
              </w:rPr>
              <w:t>De 45 a 64</w:t>
            </w:r>
          </w:p>
        </w:tc>
        <w:tc>
          <w:tcPr>
            <w:tcW w:w="718" w:type="pct"/>
            <w:tcBorders>
              <w:top w:val="single" w:sz="4" w:space="0" w:color="auto"/>
              <w:bottom w:val="single" w:sz="12" w:space="0" w:color="auto"/>
            </w:tcBorders>
            <w:shd w:val="clear" w:color="auto" w:fill="auto"/>
          </w:tcPr>
          <w:p w:rsidR="00F236D5" w:rsidRPr="00C90C05" w:rsidRDefault="00F236D5" w:rsidP="00947046">
            <w:pPr>
              <w:spacing w:before="80" w:after="80" w:line="220" w:lineRule="exact"/>
              <w:jc w:val="right"/>
              <w:rPr>
                <w:i/>
                <w:sz w:val="16"/>
                <w:szCs w:val="16"/>
              </w:rPr>
            </w:pPr>
            <w:r w:rsidRPr="00C90C05">
              <w:rPr>
                <w:i/>
                <w:sz w:val="16"/>
                <w:szCs w:val="16"/>
              </w:rPr>
              <w:t>15</w:t>
            </w:r>
            <w:r>
              <w:rPr>
                <w:i/>
                <w:sz w:val="16"/>
                <w:szCs w:val="16"/>
              </w:rPr>
              <w:t xml:space="preserve"> o más</w:t>
            </w:r>
          </w:p>
        </w:tc>
        <w:tc>
          <w:tcPr>
            <w:tcW w:w="714" w:type="pct"/>
            <w:tcBorders>
              <w:top w:val="single" w:sz="4" w:space="0" w:color="auto"/>
              <w:bottom w:val="single" w:sz="12" w:space="0" w:color="auto"/>
            </w:tcBorders>
            <w:shd w:val="clear" w:color="auto" w:fill="auto"/>
            <w:vAlign w:val="bottom"/>
          </w:tcPr>
          <w:p w:rsidR="00F236D5" w:rsidRPr="00C90C05" w:rsidRDefault="00F236D5" w:rsidP="00947046">
            <w:pPr>
              <w:spacing w:before="80" w:after="80" w:line="220" w:lineRule="exact"/>
              <w:jc w:val="right"/>
              <w:rPr>
                <w:i/>
                <w:sz w:val="16"/>
                <w:szCs w:val="16"/>
              </w:rPr>
            </w:pPr>
            <w:r w:rsidRPr="00C90C05">
              <w:rPr>
                <w:i/>
                <w:sz w:val="16"/>
                <w:szCs w:val="16"/>
              </w:rPr>
              <w:t>15</w:t>
            </w:r>
            <w:r>
              <w:rPr>
                <w:i/>
                <w:sz w:val="16"/>
                <w:szCs w:val="16"/>
              </w:rPr>
              <w:t xml:space="preserve"> o más</w:t>
            </w:r>
          </w:p>
        </w:tc>
        <w:tc>
          <w:tcPr>
            <w:tcW w:w="703" w:type="pct"/>
            <w:tcBorders>
              <w:top w:val="single" w:sz="4" w:space="0" w:color="auto"/>
              <w:bottom w:val="single" w:sz="12" w:space="0" w:color="auto"/>
            </w:tcBorders>
            <w:shd w:val="clear" w:color="auto" w:fill="auto"/>
            <w:vAlign w:val="bottom"/>
          </w:tcPr>
          <w:p w:rsidR="00F236D5" w:rsidRPr="00C90C05" w:rsidRDefault="00F236D5" w:rsidP="00947046">
            <w:pPr>
              <w:spacing w:before="80" w:after="80" w:line="220" w:lineRule="exact"/>
              <w:jc w:val="right"/>
              <w:rPr>
                <w:i/>
                <w:sz w:val="16"/>
                <w:szCs w:val="16"/>
              </w:rPr>
            </w:pPr>
            <w:r w:rsidRPr="00C90C05">
              <w:rPr>
                <w:i/>
                <w:sz w:val="16"/>
                <w:szCs w:val="16"/>
              </w:rPr>
              <w:t>15</w:t>
            </w:r>
            <w:r>
              <w:rPr>
                <w:i/>
                <w:sz w:val="16"/>
                <w:szCs w:val="16"/>
              </w:rPr>
              <w:t xml:space="preserve"> o más</w:t>
            </w:r>
          </w:p>
        </w:tc>
      </w:tr>
      <w:tr w:rsidR="00F236D5" w:rsidRPr="00F90A93" w:rsidTr="00947046">
        <w:tblPrEx>
          <w:tblCellMar>
            <w:top w:w="0" w:type="dxa"/>
            <w:bottom w:w="0" w:type="dxa"/>
          </w:tblCellMar>
        </w:tblPrEx>
        <w:trPr>
          <w:trHeight w:val="240"/>
        </w:trPr>
        <w:tc>
          <w:tcPr>
            <w:tcW w:w="730" w:type="pct"/>
            <w:tcBorders>
              <w:top w:val="single" w:sz="12" w:space="0" w:color="auto"/>
            </w:tcBorders>
            <w:shd w:val="clear" w:color="auto" w:fill="auto"/>
          </w:tcPr>
          <w:p w:rsidR="00F236D5" w:rsidRPr="00F90A93" w:rsidRDefault="00F236D5" w:rsidP="00947046">
            <w:pPr>
              <w:spacing w:before="40" w:after="40" w:line="220" w:lineRule="exact"/>
              <w:ind w:right="113"/>
              <w:rPr>
                <w:sz w:val="18"/>
              </w:rPr>
            </w:pPr>
            <w:r w:rsidRPr="00F90A93">
              <w:rPr>
                <w:sz w:val="18"/>
              </w:rPr>
              <w:t>1987</w:t>
            </w:r>
          </w:p>
        </w:tc>
        <w:tc>
          <w:tcPr>
            <w:tcW w:w="708" w:type="pct"/>
            <w:tcBorders>
              <w:top w:val="single" w:sz="12" w:space="0" w:color="auto"/>
            </w:tcBorders>
            <w:shd w:val="clear" w:color="auto" w:fill="auto"/>
          </w:tcPr>
          <w:p w:rsidR="00F236D5" w:rsidRPr="00F90A93" w:rsidRDefault="00F236D5" w:rsidP="00947046">
            <w:pPr>
              <w:spacing w:before="40" w:after="40" w:line="220" w:lineRule="exact"/>
              <w:jc w:val="right"/>
              <w:rPr>
                <w:sz w:val="18"/>
              </w:rPr>
            </w:pPr>
            <w:r>
              <w:rPr>
                <w:sz w:val="18"/>
              </w:rPr>
              <w:t>7,9</w:t>
            </w:r>
          </w:p>
        </w:tc>
        <w:tc>
          <w:tcPr>
            <w:tcW w:w="714" w:type="pct"/>
            <w:tcBorders>
              <w:top w:val="single" w:sz="12" w:space="0" w:color="auto"/>
            </w:tcBorders>
            <w:shd w:val="clear" w:color="auto" w:fill="auto"/>
          </w:tcPr>
          <w:p w:rsidR="00F236D5" w:rsidRPr="00F90A93" w:rsidRDefault="00F236D5" w:rsidP="00947046">
            <w:pPr>
              <w:spacing w:before="40" w:after="40" w:line="220" w:lineRule="exact"/>
              <w:jc w:val="right"/>
              <w:rPr>
                <w:sz w:val="18"/>
              </w:rPr>
            </w:pPr>
            <w:r>
              <w:rPr>
                <w:sz w:val="18"/>
              </w:rPr>
              <w:t>3,3</w:t>
            </w:r>
          </w:p>
        </w:tc>
        <w:tc>
          <w:tcPr>
            <w:tcW w:w="714" w:type="pct"/>
            <w:tcBorders>
              <w:top w:val="single" w:sz="12" w:space="0" w:color="auto"/>
            </w:tcBorders>
            <w:shd w:val="clear" w:color="auto" w:fill="auto"/>
          </w:tcPr>
          <w:p w:rsidR="00F236D5" w:rsidRPr="00F90A93" w:rsidRDefault="00F236D5" w:rsidP="00947046">
            <w:pPr>
              <w:spacing w:before="40" w:after="40" w:line="220" w:lineRule="exact"/>
              <w:jc w:val="right"/>
              <w:rPr>
                <w:sz w:val="18"/>
              </w:rPr>
            </w:pPr>
            <w:r>
              <w:rPr>
                <w:sz w:val="18"/>
              </w:rPr>
              <w:t>1,8</w:t>
            </w:r>
          </w:p>
        </w:tc>
        <w:tc>
          <w:tcPr>
            <w:tcW w:w="718" w:type="pct"/>
            <w:tcBorders>
              <w:top w:val="single" w:sz="12" w:space="0" w:color="auto"/>
            </w:tcBorders>
            <w:shd w:val="clear" w:color="auto" w:fill="auto"/>
          </w:tcPr>
          <w:p w:rsidR="00F236D5" w:rsidRPr="00F90A93" w:rsidRDefault="00F236D5" w:rsidP="00947046">
            <w:pPr>
              <w:spacing w:before="40" w:after="40" w:line="220" w:lineRule="exact"/>
              <w:jc w:val="right"/>
              <w:rPr>
                <w:sz w:val="18"/>
              </w:rPr>
            </w:pPr>
            <w:r>
              <w:rPr>
                <w:sz w:val="18"/>
              </w:rPr>
              <w:t>3,7</w:t>
            </w:r>
          </w:p>
        </w:tc>
        <w:tc>
          <w:tcPr>
            <w:tcW w:w="714" w:type="pct"/>
            <w:tcBorders>
              <w:top w:val="single" w:sz="12" w:space="0" w:color="auto"/>
            </w:tcBorders>
            <w:shd w:val="clear" w:color="auto" w:fill="auto"/>
            <w:vAlign w:val="bottom"/>
          </w:tcPr>
          <w:p w:rsidR="00F236D5" w:rsidRPr="00F90A93" w:rsidRDefault="00F236D5" w:rsidP="00947046">
            <w:pPr>
              <w:spacing w:before="40" w:after="40" w:line="220" w:lineRule="exact"/>
              <w:jc w:val="right"/>
              <w:rPr>
                <w:sz w:val="18"/>
              </w:rPr>
            </w:pPr>
            <w:r>
              <w:rPr>
                <w:sz w:val="18"/>
              </w:rPr>
              <w:t>4,8</w:t>
            </w:r>
          </w:p>
        </w:tc>
        <w:tc>
          <w:tcPr>
            <w:tcW w:w="703" w:type="pct"/>
            <w:tcBorders>
              <w:top w:val="single" w:sz="12" w:space="0" w:color="auto"/>
            </w:tcBorders>
            <w:shd w:val="clear" w:color="auto" w:fill="auto"/>
            <w:vAlign w:val="bottom"/>
          </w:tcPr>
          <w:p w:rsidR="00F236D5" w:rsidRPr="00C90C05" w:rsidRDefault="00F236D5" w:rsidP="00947046">
            <w:pPr>
              <w:spacing w:before="40" w:after="40" w:line="220" w:lineRule="exact"/>
              <w:jc w:val="right"/>
              <w:rPr>
                <w:sz w:val="18"/>
              </w:rPr>
            </w:pPr>
            <w:r w:rsidRPr="00C90C05">
              <w:rPr>
                <w:sz w:val="18"/>
              </w:rPr>
              <w:t>4,1</w:t>
            </w:r>
          </w:p>
        </w:tc>
      </w:tr>
      <w:tr w:rsidR="00F236D5" w:rsidRPr="00F90A93" w:rsidTr="00947046">
        <w:tblPrEx>
          <w:tblCellMar>
            <w:top w:w="0" w:type="dxa"/>
            <w:bottom w:w="0" w:type="dxa"/>
          </w:tblCellMar>
        </w:tblPrEx>
        <w:trPr>
          <w:trHeight w:val="240"/>
        </w:trPr>
        <w:tc>
          <w:tcPr>
            <w:tcW w:w="730" w:type="pct"/>
            <w:shd w:val="clear" w:color="auto" w:fill="auto"/>
          </w:tcPr>
          <w:p w:rsidR="00F236D5" w:rsidRPr="00F90A93" w:rsidRDefault="00F236D5" w:rsidP="00947046">
            <w:pPr>
              <w:spacing w:before="40" w:after="40" w:line="220" w:lineRule="exact"/>
              <w:ind w:right="113"/>
              <w:rPr>
                <w:sz w:val="18"/>
              </w:rPr>
            </w:pPr>
            <w:r w:rsidRPr="00F90A93">
              <w:rPr>
                <w:sz w:val="18"/>
              </w:rPr>
              <w:t>1991</w:t>
            </w:r>
          </w:p>
        </w:tc>
        <w:tc>
          <w:tcPr>
            <w:tcW w:w="708" w:type="pct"/>
            <w:shd w:val="clear" w:color="auto" w:fill="auto"/>
          </w:tcPr>
          <w:p w:rsidR="00F236D5" w:rsidRPr="00F90A93" w:rsidRDefault="00F236D5" w:rsidP="00947046">
            <w:pPr>
              <w:spacing w:before="40" w:after="40" w:line="220" w:lineRule="exact"/>
              <w:jc w:val="right"/>
              <w:rPr>
                <w:sz w:val="18"/>
              </w:rPr>
            </w:pPr>
            <w:r>
              <w:rPr>
                <w:sz w:val="18"/>
              </w:rPr>
              <w:t>15,6</w:t>
            </w:r>
          </w:p>
        </w:tc>
        <w:tc>
          <w:tcPr>
            <w:tcW w:w="714" w:type="pct"/>
            <w:shd w:val="clear" w:color="auto" w:fill="auto"/>
          </w:tcPr>
          <w:p w:rsidR="00F236D5" w:rsidRPr="00F90A93" w:rsidRDefault="00F236D5" w:rsidP="00947046">
            <w:pPr>
              <w:spacing w:before="40" w:after="40" w:line="220" w:lineRule="exact"/>
              <w:jc w:val="right"/>
              <w:rPr>
                <w:sz w:val="18"/>
              </w:rPr>
            </w:pPr>
            <w:r>
              <w:rPr>
                <w:sz w:val="18"/>
              </w:rPr>
              <w:t>7,3</w:t>
            </w:r>
          </w:p>
        </w:tc>
        <w:tc>
          <w:tcPr>
            <w:tcW w:w="714" w:type="pct"/>
            <w:shd w:val="clear" w:color="auto" w:fill="auto"/>
          </w:tcPr>
          <w:p w:rsidR="00F236D5" w:rsidRPr="00F90A93" w:rsidRDefault="00F236D5" w:rsidP="00947046">
            <w:pPr>
              <w:spacing w:before="40" w:after="40" w:line="220" w:lineRule="exact"/>
              <w:jc w:val="right"/>
              <w:rPr>
                <w:sz w:val="18"/>
              </w:rPr>
            </w:pPr>
            <w:r>
              <w:rPr>
                <w:sz w:val="18"/>
              </w:rPr>
              <w:t>5,1</w:t>
            </w:r>
          </w:p>
        </w:tc>
        <w:tc>
          <w:tcPr>
            <w:tcW w:w="718" w:type="pct"/>
            <w:shd w:val="clear" w:color="auto" w:fill="auto"/>
          </w:tcPr>
          <w:p w:rsidR="00F236D5" w:rsidRPr="00F90A93" w:rsidRDefault="00F236D5" w:rsidP="00947046">
            <w:pPr>
              <w:spacing w:before="40" w:after="40" w:line="220" w:lineRule="exact"/>
              <w:jc w:val="right"/>
              <w:rPr>
                <w:sz w:val="18"/>
              </w:rPr>
            </w:pPr>
            <w:r>
              <w:rPr>
                <w:sz w:val="18"/>
              </w:rPr>
              <w:t>9,1</w:t>
            </w:r>
          </w:p>
        </w:tc>
        <w:tc>
          <w:tcPr>
            <w:tcW w:w="714" w:type="pct"/>
            <w:shd w:val="clear" w:color="auto" w:fill="auto"/>
            <w:vAlign w:val="bottom"/>
          </w:tcPr>
          <w:p w:rsidR="00F236D5" w:rsidRPr="00F90A93" w:rsidRDefault="00F236D5" w:rsidP="00947046">
            <w:pPr>
              <w:spacing w:before="40" w:after="40" w:line="220" w:lineRule="exact"/>
              <w:jc w:val="right"/>
              <w:rPr>
                <w:sz w:val="18"/>
              </w:rPr>
            </w:pPr>
            <w:r w:rsidRPr="00F90A93">
              <w:rPr>
                <w:sz w:val="18"/>
              </w:rPr>
              <w:t>8</w:t>
            </w:r>
            <w:r>
              <w:rPr>
                <w:sz w:val="18"/>
              </w:rPr>
              <w:t>,</w:t>
            </w:r>
            <w:r w:rsidRPr="00F90A93">
              <w:rPr>
                <w:sz w:val="18"/>
              </w:rPr>
              <w:t>1</w:t>
            </w:r>
          </w:p>
        </w:tc>
        <w:tc>
          <w:tcPr>
            <w:tcW w:w="703" w:type="pct"/>
            <w:shd w:val="clear" w:color="auto" w:fill="auto"/>
            <w:vAlign w:val="bottom"/>
          </w:tcPr>
          <w:p w:rsidR="00F236D5" w:rsidRPr="00C90C05" w:rsidRDefault="00F236D5" w:rsidP="00947046">
            <w:pPr>
              <w:spacing w:before="40" w:after="40" w:line="220" w:lineRule="exact"/>
              <w:jc w:val="right"/>
              <w:rPr>
                <w:sz w:val="18"/>
              </w:rPr>
            </w:pPr>
            <w:r w:rsidRPr="00C90C05">
              <w:rPr>
                <w:sz w:val="18"/>
              </w:rPr>
              <w:t>8,7</w:t>
            </w:r>
          </w:p>
        </w:tc>
      </w:tr>
      <w:tr w:rsidR="00F236D5" w:rsidRPr="00F90A93" w:rsidTr="00947046">
        <w:tblPrEx>
          <w:tblCellMar>
            <w:top w:w="0" w:type="dxa"/>
            <w:bottom w:w="0" w:type="dxa"/>
          </w:tblCellMar>
        </w:tblPrEx>
        <w:trPr>
          <w:trHeight w:val="240"/>
        </w:trPr>
        <w:tc>
          <w:tcPr>
            <w:tcW w:w="730" w:type="pct"/>
            <w:shd w:val="clear" w:color="auto" w:fill="auto"/>
          </w:tcPr>
          <w:p w:rsidR="00F236D5" w:rsidRPr="00F90A93" w:rsidRDefault="00F236D5" w:rsidP="00947046">
            <w:pPr>
              <w:spacing w:before="40" w:after="40" w:line="220" w:lineRule="exact"/>
              <w:ind w:right="113"/>
              <w:rPr>
                <w:sz w:val="18"/>
              </w:rPr>
            </w:pPr>
            <w:r w:rsidRPr="00F90A93">
              <w:rPr>
                <w:sz w:val="18"/>
              </w:rPr>
              <w:t>1996</w:t>
            </w:r>
          </w:p>
        </w:tc>
        <w:tc>
          <w:tcPr>
            <w:tcW w:w="708" w:type="pct"/>
            <w:shd w:val="clear" w:color="auto" w:fill="auto"/>
          </w:tcPr>
          <w:p w:rsidR="00F236D5" w:rsidRPr="00F90A93" w:rsidRDefault="00F236D5" w:rsidP="00947046">
            <w:pPr>
              <w:spacing w:before="40" w:after="40" w:line="220" w:lineRule="exact"/>
              <w:jc w:val="right"/>
              <w:rPr>
                <w:sz w:val="18"/>
              </w:rPr>
            </w:pPr>
            <w:r w:rsidRPr="00F90A93">
              <w:rPr>
                <w:sz w:val="18"/>
              </w:rPr>
              <w:t>12</w:t>
            </w:r>
            <w:r>
              <w:rPr>
                <w:sz w:val="18"/>
              </w:rPr>
              <w:t>,</w:t>
            </w:r>
            <w:r w:rsidRPr="00F90A93">
              <w:rPr>
                <w:sz w:val="18"/>
              </w:rPr>
              <w:t>3</w:t>
            </w:r>
            <w:r>
              <w:rPr>
                <w:sz w:val="18"/>
              </w:rPr>
              <w:t xml:space="preserve"> </w:t>
            </w:r>
          </w:p>
        </w:tc>
        <w:tc>
          <w:tcPr>
            <w:tcW w:w="714" w:type="pct"/>
            <w:shd w:val="clear" w:color="auto" w:fill="auto"/>
          </w:tcPr>
          <w:p w:rsidR="00F236D5" w:rsidRPr="00F90A93" w:rsidRDefault="00F236D5" w:rsidP="00947046">
            <w:pPr>
              <w:spacing w:before="40" w:after="40" w:line="220" w:lineRule="exact"/>
              <w:jc w:val="right"/>
              <w:rPr>
                <w:sz w:val="18"/>
              </w:rPr>
            </w:pPr>
            <w:r>
              <w:rPr>
                <w:sz w:val="18"/>
              </w:rPr>
              <w:t>5,5</w:t>
            </w:r>
          </w:p>
        </w:tc>
        <w:tc>
          <w:tcPr>
            <w:tcW w:w="714" w:type="pct"/>
            <w:shd w:val="clear" w:color="auto" w:fill="auto"/>
          </w:tcPr>
          <w:p w:rsidR="00F236D5" w:rsidRPr="00F90A93" w:rsidRDefault="00F236D5" w:rsidP="00947046">
            <w:pPr>
              <w:spacing w:before="40" w:after="40" w:line="220" w:lineRule="exact"/>
              <w:jc w:val="right"/>
              <w:rPr>
                <w:sz w:val="18"/>
              </w:rPr>
            </w:pPr>
            <w:r>
              <w:rPr>
                <w:sz w:val="18"/>
              </w:rPr>
              <w:t>3,8</w:t>
            </w:r>
          </w:p>
        </w:tc>
        <w:tc>
          <w:tcPr>
            <w:tcW w:w="718" w:type="pct"/>
            <w:shd w:val="clear" w:color="auto" w:fill="auto"/>
          </w:tcPr>
          <w:p w:rsidR="00F236D5" w:rsidRPr="00F90A93" w:rsidRDefault="00F236D5" w:rsidP="00947046">
            <w:pPr>
              <w:spacing w:before="40" w:after="40" w:line="220" w:lineRule="exact"/>
              <w:jc w:val="right"/>
              <w:rPr>
                <w:sz w:val="18"/>
              </w:rPr>
            </w:pPr>
            <w:r>
              <w:rPr>
                <w:sz w:val="18"/>
              </w:rPr>
              <w:t>6,3</w:t>
            </w:r>
          </w:p>
        </w:tc>
        <w:tc>
          <w:tcPr>
            <w:tcW w:w="714" w:type="pct"/>
            <w:shd w:val="clear" w:color="auto" w:fill="auto"/>
            <w:vAlign w:val="bottom"/>
          </w:tcPr>
          <w:p w:rsidR="00F236D5" w:rsidRPr="00F90A93" w:rsidRDefault="00F236D5" w:rsidP="00947046">
            <w:pPr>
              <w:spacing w:before="40" w:after="40" w:line="220" w:lineRule="exact"/>
              <w:jc w:val="right"/>
              <w:rPr>
                <w:sz w:val="18"/>
              </w:rPr>
            </w:pPr>
            <w:r w:rsidRPr="00F90A93">
              <w:rPr>
                <w:sz w:val="18"/>
              </w:rPr>
              <w:t>6</w:t>
            </w:r>
            <w:r>
              <w:rPr>
                <w:sz w:val="18"/>
              </w:rPr>
              <w:t>,</w:t>
            </w:r>
            <w:r w:rsidRPr="00F90A93">
              <w:rPr>
                <w:sz w:val="18"/>
              </w:rPr>
              <w:t>4</w:t>
            </w:r>
          </w:p>
        </w:tc>
        <w:tc>
          <w:tcPr>
            <w:tcW w:w="703" w:type="pct"/>
            <w:shd w:val="clear" w:color="auto" w:fill="auto"/>
            <w:vAlign w:val="bottom"/>
          </w:tcPr>
          <w:p w:rsidR="00F236D5" w:rsidRPr="00C90C05" w:rsidRDefault="00F236D5" w:rsidP="00947046">
            <w:pPr>
              <w:spacing w:before="40" w:after="40" w:line="220" w:lineRule="exact"/>
              <w:jc w:val="right"/>
              <w:rPr>
                <w:sz w:val="18"/>
              </w:rPr>
            </w:pPr>
            <w:r w:rsidRPr="00C90C05">
              <w:rPr>
                <w:sz w:val="18"/>
              </w:rPr>
              <w:t>6,4</w:t>
            </w:r>
          </w:p>
        </w:tc>
      </w:tr>
      <w:tr w:rsidR="00F236D5" w:rsidRPr="00F90A93" w:rsidTr="00947046">
        <w:tblPrEx>
          <w:tblCellMar>
            <w:top w:w="0" w:type="dxa"/>
            <w:bottom w:w="0" w:type="dxa"/>
          </w:tblCellMar>
        </w:tblPrEx>
        <w:trPr>
          <w:trHeight w:val="240"/>
        </w:trPr>
        <w:tc>
          <w:tcPr>
            <w:tcW w:w="730" w:type="pct"/>
            <w:shd w:val="clear" w:color="auto" w:fill="auto"/>
          </w:tcPr>
          <w:p w:rsidR="00F236D5" w:rsidRPr="00F90A93" w:rsidRDefault="00F236D5" w:rsidP="00947046">
            <w:pPr>
              <w:spacing w:before="40" w:after="40" w:line="220" w:lineRule="exact"/>
              <w:ind w:right="113"/>
              <w:rPr>
                <w:sz w:val="18"/>
              </w:rPr>
            </w:pPr>
            <w:r w:rsidRPr="00F90A93">
              <w:rPr>
                <w:sz w:val="18"/>
              </w:rPr>
              <w:t>2001</w:t>
            </w:r>
          </w:p>
        </w:tc>
        <w:tc>
          <w:tcPr>
            <w:tcW w:w="708" w:type="pct"/>
            <w:shd w:val="clear" w:color="auto" w:fill="auto"/>
          </w:tcPr>
          <w:p w:rsidR="00F236D5" w:rsidRPr="00F90A93" w:rsidRDefault="00F236D5" w:rsidP="00947046">
            <w:pPr>
              <w:spacing w:before="40" w:after="40" w:line="220" w:lineRule="exact"/>
              <w:jc w:val="right"/>
              <w:rPr>
                <w:sz w:val="18"/>
              </w:rPr>
            </w:pPr>
            <w:r>
              <w:rPr>
                <w:sz w:val="18"/>
              </w:rPr>
              <w:t>13,1</w:t>
            </w:r>
          </w:p>
        </w:tc>
        <w:tc>
          <w:tcPr>
            <w:tcW w:w="714" w:type="pct"/>
            <w:shd w:val="clear" w:color="auto" w:fill="auto"/>
          </w:tcPr>
          <w:p w:rsidR="00F236D5" w:rsidRPr="00F90A93" w:rsidRDefault="00F236D5" w:rsidP="00947046">
            <w:pPr>
              <w:spacing w:before="40" w:after="40" w:line="220" w:lineRule="exact"/>
              <w:jc w:val="right"/>
              <w:rPr>
                <w:sz w:val="18"/>
              </w:rPr>
            </w:pPr>
            <w:r>
              <w:rPr>
                <w:sz w:val="18"/>
              </w:rPr>
              <w:t>4,9</w:t>
            </w:r>
          </w:p>
        </w:tc>
        <w:tc>
          <w:tcPr>
            <w:tcW w:w="714" w:type="pct"/>
            <w:shd w:val="clear" w:color="auto" w:fill="auto"/>
          </w:tcPr>
          <w:p w:rsidR="00F236D5" w:rsidRPr="00F90A93" w:rsidRDefault="00F236D5" w:rsidP="00947046">
            <w:pPr>
              <w:spacing w:before="40" w:after="40" w:line="220" w:lineRule="exact"/>
              <w:jc w:val="right"/>
              <w:rPr>
                <w:sz w:val="18"/>
              </w:rPr>
            </w:pPr>
            <w:r>
              <w:rPr>
                <w:sz w:val="18"/>
              </w:rPr>
              <w:t>3,8</w:t>
            </w:r>
          </w:p>
        </w:tc>
        <w:tc>
          <w:tcPr>
            <w:tcW w:w="718" w:type="pct"/>
            <w:shd w:val="clear" w:color="auto" w:fill="auto"/>
          </w:tcPr>
          <w:p w:rsidR="00F236D5" w:rsidRPr="00F90A93" w:rsidRDefault="00F236D5" w:rsidP="00947046">
            <w:pPr>
              <w:spacing w:before="40" w:after="40" w:line="220" w:lineRule="exact"/>
              <w:jc w:val="right"/>
              <w:rPr>
                <w:sz w:val="18"/>
              </w:rPr>
            </w:pPr>
            <w:r>
              <w:rPr>
                <w:sz w:val="18"/>
              </w:rPr>
              <w:t>6,0</w:t>
            </w:r>
          </w:p>
        </w:tc>
        <w:tc>
          <w:tcPr>
            <w:tcW w:w="714" w:type="pct"/>
            <w:shd w:val="clear" w:color="auto" w:fill="auto"/>
            <w:vAlign w:val="bottom"/>
          </w:tcPr>
          <w:p w:rsidR="00F236D5" w:rsidRPr="00F90A93" w:rsidRDefault="00F236D5" w:rsidP="00947046">
            <w:pPr>
              <w:spacing w:before="40" w:after="40" w:line="220" w:lineRule="exact"/>
              <w:jc w:val="right"/>
              <w:rPr>
                <w:sz w:val="18"/>
              </w:rPr>
            </w:pPr>
            <w:r w:rsidRPr="00F90A93">
              <w:rPr>
                <w:sz w:val="18"/>
              </w:rPr>
              <w:t>5</w:t>
            </w:r>
            <w:r>
              <w:rPr>
                <w:sz w:val="18"/>
              </w:rPr>
              <w:t>,</w:t>
            </w:r>
            <w:r w:rsidRPr="00F90A93">
              <w:rPr>
                <w:sz w:val="18"/>
              </w:rPr>
              <w:t>7</w:t>
            </w:r>
          </w:p>
        </w:tc>
        <w:tc>
          <w:tcPr>
            <w:tcW w:w="703" w:type="pct"/>
            <w:shd w:val="clear" w:color="auto" w:fill="auto"/>
            <w:vAlign w:val="bottom"/>
          </w:tcPr>
          <w:p w:rsidR="00F236D5" w:rsidRPr="00C90C05" w:rsidRDefault="00F236D5" w:rsidP="00947046">
            <w:pPr>
              <w:spacing w:before="40" w:after="40" w:line="220" w:lineRule="exact"/>
              <w:jc w:val="right"/>
              <w:rPr>
                <w:sz w:val="18"/>
              </w:rPr>
            </w:pPr>
            <w:r w:rsidRPr="00C90C05">
              <w:rPr>
                <w:sz w:val="18"/>
              </w:rPr>
              <w:t>5,9</w:t>
            </w:r>
          </w:p>
        </w:tc>
      </w:tr>
      <w:tr w:rsidR="00F236D5" w:rsidRPr="00F90A93" w:rsidTr="00947046">
        <w:tblPrEx>
          <w:tblCellMar>
            <w:top w:w="0" w:type="dxa"/>
            <w:bottom w:w="0" w:type="dxa"/>
          </w:tblCellMar>
        </w:tblPrEx>
        <w:trPr>
          <w:trHeight w:val="240"/>
        </w:trPr>
        <w:tc>
          <w:tcPr>
            <w:tcW w:w="730" w:type="pct"/>
            <w:shd w:val="clear" w:color="auto" w:fill="auto"/>
          </w:tcPr>
          <w:p w:rsidR="00F236D5" w:rsidRPr="00F90A93" w:rsidRDefault="00F236D5" w:rsidP="00947046">
            <w:pPr>
              <w:spacing w:before="40" w:after="40" w:line="220" w:lineRule="exact"/>
              <w:ind w:right="113"/>
              <w:rPr>
                <w:sz w:val="18"/>
              </w:rPr>
            </w:pPr>
            <w:r w:rsidRPr="00F90A93">
              <w:rPr>
                <w:sz w:val="18"/>
              </w:rPr>
              <w:t>2006</w:t>
            </w:r>
          </w:p>
        </w:tc>
        <w:tc>
          <w:tcPr>
            <w:tcW w:w="708" w:type="pct"/>
            <w:shd w:val="clear" w:color="auto" w:fill="auto"/>
          </w:tcPr>
          <w:p w:rsidR="00F236D5" w:rsidRPr="00F90A93" w:rsidRDefault="00F236D5" w:rsidP="00947046">
            <w:pPr>
              <w:spacing w:before="40" w:after="40" w:line="220" w:lineRule="exact"/>
              <w:jc w:val="right"/>
              <w:rPr>
                <w:sz w:val="18"/>
              </w:rPr>
            </w:pPr>
            <w:r>
              <w:rPr>
                <w:sz w:val="18"/>
              </w:rPr>
              <w:t>9,7</w:t>
            </w:r>
          </w:p>
        </w:tc>
        <w:tc>
          <w:tcPr>
            <w:tcW w:w="714" w:type="pct"/>
            <w:shd w:val="clear" w:color="auto" w:fill="auto"/>
          </w:tcPr>
          <w:p w:rsidR="00F236D5" w:rsidRPr="00F90A93" w:rsidRDefault="00F236D5" w:rsidP="00947046">
            <w:pPr>
              <w:spacing w:before="40" w:after="40" w:line="220" w:lineRule="exact"/>
              <w:jc w:val="right"/>
              <w:rPr>
                <w:sz w:val="18"/>
              </w:rPr>
            </w:pPr>
            <w:r>
              <w:rPr>
                <w:sz w:val="18"/>
              </w:rPr>
              <w:t>3,1</w:t>
            </w:r>
          </w:p>
        </w:tc>
        <w:tc>
          <w:tcPr>
            <w:tcW w:w="714" w:type="pct"/>
            <w:shd w:val="clear" w:color="auto" w:fill="auto"/>
          </w:tcPr>
          <w:p w:rsidR="00F236D5" w:rsidRPr="00F90A93" w:rsidRDefault="00F236D5" w:rsidP="00947046">
            <w:pPr>
              <w:spacing w:before="40" w:after="40" w:line="220" w:lineRule="exact"/>
              <w:jc w:val="right"/>
              <w:rPr>
                <w:sz w:val="18"/>
              </w:rPr>
            </w:pPr>
            <w:r>
              <w:rPr>
                <w:sz w:val="18"/>
              </w:rPr>
              <w:t>2,2</w:t>
            </w:r>
          </w:p>
        </w:tc>
        <w:tc>
          <w:tcPr>
            <w:tcW w:w="718" w:type="pct"/>
            <w:shd w:val="clear" w:color="auto" w:fill="auto"/>
          </w:tcPr>
          <w:p w:rsidR="00F236D5" w:rsidRPr="00F90A93" w:rsidRDefault="00F236D5" w:rsidP="00947046">
            <w:pPr>
              <w:spacing w:before="40" w:after="40" w:line="220" w:lineRule="exact"/>
              <w:jc w:val="right"/>
              <w:rPr>
                <w:sz w:val="18"/>
              </w:rPr>
            </w:pPr>
            <w:r>
              <w:rPr>
                <w:sz w:val="18"/>
              </w:rPr>
              <w:t>3,5</w:t>
            </w:r>
          </w:p>
        </w:tc>
        <w:tc>
          <w:tcPr>
            <w:tcW w:w="714" w:type="pct"/>
            <w:shd w:val="clear" w:color="auto" w:fill="auto"/>
            <w:vAlign w:val="bottom"/>
          </w:tcPr>
          <w:p w:rsidR="00F236D5" w:rsidRPr="00F90A93" w:rsidRDefault="00F236D5" w:rsidP="00947046">
            <w:pPr>
              <w:spacing w:before="40" w:after="40" w:line="220" w:lineRule="exact"/>
              <w:jc w:val="right"/>
              <w:rPr>
                <w:sz w:val="18"/>
              </w:rPr>
            </w:pPr>
            <w:r w:rsidRPr="00F90A93">
              <w:rPr>
                <w:sz w:val="18"/>
              </w:rPr>
              <w:t>4</w:t>
            </w:r>
            <w:r>
              <w:rPr>
                <w:sz w:val="18"/>
              </w:rPr>
              <w:t>,</w:t>
            </w:r>
            <w:r w:rsidRPr="00F90A93">
              <w:rPr>
                <w:sz w:val="18"/>
              </w:rPr>
              <w:t>2</w:t>
            </w:r>
          </w:p>
        </w:tc>
        <w:tc>
          <w:tcPr>
            <w:tcW w:w="703" w:type="pct"/>
            <w:shd w:val="clear" w:color="auto" w:fill="auto"/>
            <w:vAlign w:val="bottom"/>
          </w:tcPr>
          <w:p w:rsidR="00F236D5" w:rsidRPr="00C90C05" w:rsidRDefault="00F236D5" w:rsidP="00947046">
            <w:pPr>
              <w:spacing w:before="40" w:after="40" w:line="220" w:lineRule="exact"/>
              <w:jc w:val="right"/>
              <w:rPr>
                <w:sz w:val="18"/>
              </w:rPr>
            </w:pPr>
            <w:r w:rsidRPr="00C90C05">
              <w:rPr>
                <w:sz w:val="18"/>
              </w:rPr>
              <w:t>3,9</w:t>
            </w:r>
          </w:p>
        </w:tc>
      </w:tr>
      <w:tr w:rsidR="00F236D5" w:rsidRPr="00F90A93" w:rsidTr="00947046">
        <w:tblPrEx>
          <w:tblCellMar>
            <w:top w:w="0" w:type="dxa"/>
            <w:bottom w:w="0" w:type="dxa"/>
          </w:tblCellMar>
        </w:tblPrEx>
        <w:trPr>
          <w:trHeight w:val="240"/>
        </w:trPr>
        <w:tc>
          <w:tcPr>
            <w:tcW w:w="730" w:type="pct"/>
            <w:shd w:val="clear" w:color="auto" w:fill="auto"/>
          </w:tcPr>
          <w:p w:rsidR="00F236D5" w:rsidRPr="00F90A93" w:rsidRDefault="00F236D5" w:rsidP="00947046">
            <w:pPr>
              <w:spacing w:before="40" w:after="40" w:line="220" w:lineRule="exact"/>
              <w:ind w:right="113"/>
              <w:rPr>
                <w:sz w:val="18"/>
              </w:rPr>
            </w:pPr>
            <w:r w:rsidRPr="00F90A93">
              <w:rPr>
                <w:sz w:val="18"/>
              </w:rPr>
              <w:t>2008</w:t>
            </w:r>
          </w:p>
        </w:tc>
        <w:tc>
          <w:tcPr>
            <w:tcW w:w="708" w:type="pct"/>
            <w:shd w:val="clear" w:color="auto" w:fill="auto"/>
          </w:tcPr>
          <w:p w:rsidR="00F236D5" w:rsidRPr="00F90A93" w:rsidRDefault="00F236D5" w:rsidP="00947046">
            <w:pPr>
              <w:spacing w:before="40" w:after="40" w:line="220" w:lineRule="exact"/>
              <w:jc w:val="right"/>
              <w:rPr>
                <w:sz w:val="18"/>
              </w:rPr>
            </w:pPr>
            <w:r>
              <w:rPr>
                <w:sz w:val="18"/>
              </w:rPr>
              <w:t>9,9</w:t>
            </w:r>
          </w:p>
        </w:tc>
        <w:tc>
          <w:tcPr>
            <w:tcW w:w="714" w:type="pct"/>
            <w:shd w:val="clear" w:color="auto" w:fill="auto"/>
          </w:tcPr>
          <w:p w:rsidR="00F236D5" w:rsidRPr="00F90A93" w:rsidRDefault="00F236D5" w:rsidP="00947046">
            <w:pPr>
              <w:spacing w:before="40" w:after="40" w:line="220" w:lineRule="exact"/>
              <w:jc w:val="right"/>
              <w:rPr>
                <w:sz w:val="18"/>
              </w:rPr>
            </w:pPr>
            <w:r>
              <w:rPr>
                <w:sz w:val="18"/>
              </w:rPr>
              <w:t>2,9</w:t>
            </w:r>
          </w:p>
        </w:tc>
        <w:tc>
          <w:tcPr>
            <w:tcW w:w="714" w:type="pct"/>
            <w:shd w:val="clear" w:color="auto" w:fill="auto"/>
          </w:tcPr>
          <w:p w:rsidR="00F236D5" w:rsidRPr="00F90A93" w:rsidRDefault="00F236D5" w:rsidP="00947046">
            <w:pPr>
              <w:spacing w:before="40" w:after="40" w:line="220" w:lineRule="exact"/>
              <w:jc w:val="right"/>
              <w:rPr>
                <w:sz w:val="18"/>
              </w:rPr>
            </w:pPr>
            <w:r>
              <w:rPr>
                <w:sz w:val="18"/>
              </w:rPr>
              <w:t>1,9</w:t>
            </w:r>
          </w:p>
        </w:tc>
        <w:tc>
          <w:tcPr>
            <w:tcW w:w="718" w:type="pct"/>
            <w:shd w:val="clear" w:color="auto" w:fill="auto"/>
          </w:tcPr>
          <w:p w:rsidR="00F236D5" w:rsidRPr="00F90A93" w:rsidRDefault="00F236D5" w:rsidP="00947046">
            <w:pPr>
              <w:spacing w:before="40" w:after="40" w:line="220" w:lineRule="exact"/>
              <w:jc w:val="right"/>
              <w:rPr>
                <w:sz w:val="18"/>
              </w:rPr>
            </w:pPr>
            <w:r>
              <w:rPr>
                <w:sz w:val="18"/>
              </w:rPr>
              <w:t>3,4</w:t>
            </w:r>
          </w:p>
        </w:tc>
        <w:tc>
          <w:tcPr>
            <w:tcW w:w="714" w:type="pct"/>
            <w:shd w:val="clear" w:color="auto" w:fill="auto"/>
            <w:vAlign w:val="bottom"/>
          </w:tcPr>
          <w:p w:rsidR="00F236D5" w:rsidRPr="00F90A93" w:rsidRDefault="00F236D5" w:rsidP="00947046">
            <w:pPr>
              <w:spacing w:before="40" w:after="40" w:line="220" w:lineRule="exact"/>
              <w:jc w:val="right"/>
              <w:rPr>
                <w:sz w:val="18"/>
              </w:rPr>
            </w:pPr>
            <w:r w:rsidRPr="00F90A93">
              <w:rPr>
                <w:sz w:val="18"/>
              </w:rPr>
              <w:t>3</w:t>
            </w:r>
            <w:r>
              <w:rPr>
                <w:sz w:val="18"/>
              </w:rPr>
              <w:t>,</w:t>
            </w:r>
            <w:r w:rsidRPr="00F90A93">
              <w:rPr>
                <w:sz w:val="18"/>
              </w:rPr>
              <w:t>9</w:t>
            </w:r>
          </w:p>
        </w:tc>
        <w:tc>
          <w:tcPr>
            <w:tcW w:w="703" w:type="pct"/>
            <w:shd w:val="clear" w:color="auto" w:fill="auto"/>
            <w:vAlign w:val="bottom"/>
          </w:tcPr>
          <w:p w:rsidR="00F236D5" w:rsidRPr="00C90C05" w:rsidRDefault="00F236D5" w:rsidP="00947046">
            <w:pPr>
              <w:spacing w:before="40" w:after="40" w:line="220" w:lineRule="exact"/>
              <w:jc w:val="right"/>
              <w:rPr>
                <w:sz w:val="18"/>
              </w:rPr>
            </w:pPr>
            <w:r w:rsidRPr="00C90C05">
              <w:rPr>
                <w:sz w:val="18"/>
              </w:rPr>
              <w:t>3,7</w:t>
            </w:r>
          </w:p>
        </w:tc>
      </w:tr>
      <w:tr w:rsidR="00F236D5" w:rsidRPr="00F90A93" w:rsidTr="00947046">
        <w:tblPrEx>
          <w:tblCellMar>
            <w:top w:w="0" w:type="dxa"/>
            <w:bottom w:w="0" w:type="dxa"/>
          </w:tblCellMar>
        </w:tblPrEx>
        <w:trPr>
          <w:trHeight w:val="240"/>
        </w:trPr>
        <w:tc>
          <w:tcPr>
            <w:tcW w:w="730" w:type="pct"/>
            <w:shd w:val="clear" w:color="auto" w:fill="auto"/>
          </w:tcPr>
          <w:p w:rsidR="00F236D5" w:rsidRPr="00F90A93" w:rsidRDefault="00F236D5" w:rsidP="00947046">
            <w:pPr>
              <w:spacing w:before="40" w:after="40" w:line="220" w:lineRule="exact"/>
              <w:ind w:right="113"/>
              <w:rPr>
                <w:sz w:val="18"/>
              </w:rPr>
            </w:pPr>
            <w:r w:rsidRPr="00F90A93">
              <w:rPr>
                <w:sz w:val="18"/>
              </w:rPr>
              <w:t>2009</w:t>
            </w:r>
          </w:p>
        </w:tc>
        <w:tc>
          <w:tcPr>
            <w:tcW w:w="708" w:type="pct"/>
            <w:shd w:val="clear" w:color="auto" w:fill="auto"/>
          </w:tcPr>
          <w:p w:rsidR="00F236D5" w:rsidRPr="00F90A93" w:rsidRDefault="00F236D5" w:rsidP="00947046">
            <w:pPr>
              <w:spacing w:before="40" w:after="40" w:line="220" w:lineRule="exact"/>
              <w:jc w:val="right"/>
              <w:rPr>
                <w:sz w:val="18"/>
              </w:rPr>
            </w:pPr>
            <w:r>
              <w:rPr>
                <w:sz w:val="18"/>
              </w:rPr>
              <w:t>12,1</w:t>
            </w:r>
          </w:p>
        </w:tc>
        <w:tc>
          <w:tcPr>
            <w:tcW w:w="714" w:type="pct"/>
            <w:shd w:val="clear" w:color="auto" w:fill="auto"/>
          </w:tcPr>
          <w:p w:rsidR="00F236D5" w:rsidRPr="00F90A93" w:rsidRDefault="00F236D5" w:rsidP="00947046">
            <w:pPr>
              <w:spacing w:before="40" w:after="40" w:line="220" w:lineRule="exact"/>
              <w:jc w:val="right"/>
              <w:rPr>
                <w:sz w:val="18"/>
              </w:rPr>
            </w:pPr>
            <w:r>
              <w:rPr>
                <w:sz w:val="18"/>
              </w:rPr>
              <w:t>3,5</w:t>
            </w:r>
          </w:p>
        </w:tc>
        <w:tc>
          <w:tcPr>
            <w:tcW w:w="714" w:type="pct"/>
            <w:shd w:val="clear" w:color="auto" w:fill="auto"/>
          </w:tcPr>
          <w:p w:rsidR="00F236D5" w:rsidRPr="00F90A93" w:rsidRDefault="00F236D5" w:rsidP="00947046">
            <w:pPr>
              <w:spacing w:before="40" w:after="40" w:line="220" w:lineRule="exact"/>
              <w:jc w:val="right"/>
              <w:rPr>
                <w:sz w:val="18"/>
              </w:rPr>
            </w:pPr>
            <w:r>
              <w:rPr>
                <w:sz w:val="18"/>
              </w:rPr>
              <w:t>2,4</w:t>
            </w:r>
          </w:p>
        </w:tc>
        <w:tc>
          <w:tcPr>
            <w:tcW w:w="718" w:type="pct"/>
            <w:shd w:val="clear" w:color="auto" w:fill="auto"/>
          </w:tcPr>
          <w:p w:rsidR="00F236D5" w:rsidRPr="00F90A93" w:rsidRDefault="00F236D5" w:rsidP="00947046">
            <w:pPr>
              <w:spacing w:before="40" w:after="40" w:line="220" w:lineRule="exact"/>
              <w:jc w:val="right"/>
              <w:rPr>
                <w:sz w:val="18"/>
              </w:rPr>
            </w:pPr>
            <w:r>
              <w:rPr>
                <w:sz w:val="18"/>
              </w:rPr>
              <w:t>4,5</w:t>
            </w:r>
          </w:p>
        </w:tc>
        <w:tc>
          <w:tcPr>
            <w:tcW w:w="714" w:type="pct"/>
            <w:shd w:val="clear" w:color="auto" w:fill="auto"/>
            <w:vAlign w:val="bottom"/>
          </w:tcPr>
          <w:p w:rsidR="00F236D5" w:rsidRPr="00F90A93" w:rsidRDefault="00F236D5" w:rsidP="00947046">
            <w:pPr>
              <w:spacing w:before="40" w:after="40" w:line="220" w:lineRule="exact"/>
              <w:jc w:val="right"/>
              <w:rPr>
                <w:sz w:val="18"/>
              </w:rPr>
            </w:pPr>
            <w:r w:rsidRPr="00F90A93">
              <w:rPr>
                <w:sz w:val="18"/>
              </w:rPr>
              <w:t>4</w:t>
            </w:r>
            <w:r>
              <w:rPr>
                <w:sz w:val="18"/>
              </w:rPr>
              <w:t>,</w:t>
            </w:r>
            <w:r w:rsidRPr="00F90A93">
              <w:rPr>
                <w:sz w:val="18"/>
              </w:rPr>
              <w:t>5</w:t>
            </w:r>
          </w:p>
        </w:tc>
        <w:tc>
          <w:tcPr>
            <w:tcW w:w="703" w:type="pct"/>
            <w:shd w:val="clear" w:color="auto" w:fill="auto"/>
            <w:vAlign w:val="bottom"/>
          </w:tcPr>
          <w:p w:rsidR="00F236D5" w:rsidRPr="00C90C05" w:rsidRDefault="00F236D5" w:rsidP="00947046">
            <w:pPr>
              <w:spacing w:before="40" w:after="40" w:line="220" w:lineRule="exact"/>
              <w:jc w:val="right"/>
              <w:rPr>
                <w:sz w:val="18"/>
              </w:rPr>
            </w:pPr>
            <w:r w:rsidRPr="00C90C05">
              <w:rPr>
                <w:sz w:val="18"/>
              </w:rPr>
              <w:t>4,5</w:t>
            </w:r>
          </w:p>
        </w:tc>
      </w:tr>
    </w:tbl>
    <w:p w:rsidR="00F236D5" w:rsidRPr="007D60B3" w:rsidRDefault="00F236D5" w:rsidP="00F236D5">
      <w:pPr>
        <w:pStyle w:val="SingleTxtG"/>
        <w:spacing w:before="120" w:after="0"/>
        <w:ind w:firstLine="170"/>
        <w:rPr>
          <w:sz w:val="18"/>
          <w:szCs w:val="18"/>
        </w:rPr>
      </w:pPr>
      <w:r w:rsidRPr="007D60B3">
        <w:rPr>
          <w:i/>
          <w:sz w:val="18"/>
          <w:szCs w:val="18"/>
        </w:rPr>
        <w:t xml:space="preserve">Fuente: </w:t>
      </w:r>
      <w:r w:rsidRPr="007D60B3">
        <w:rPr>
          <w:sz w:val="18"/>
          <w:szCs w:val="18"/>
        </w:rPr>
        <w:t>Oficina de Estadísticas de Nueva Zelandia, encuesta de hogares sobre la fuerza de trabajo</w:t>
      </w:r>
      <w:r>
        <w:rPr>
          <w:sz w:val="18"/>
          <w:szCs w:val="18"/>
        </w:rPr>
        <w:t>.</w:t>
      </w:r>
    </w:p>
    <w:p w:rsidR="00F236D5" w:rsidRPr="007D60B3" w:rsidRDefault="00F236D5" w:rsidP="00F236D5">
      <w:pPr>
        <w:pStyle w:val="SingleTxtG"/>
        <w:spacing w:after="240"/>
        <w:ind w:firstLine="170"/>
        <w:rPr>
          <w:sz w:val="18"/>
          <w:szCs w:val="18"/>
        </w:rPr>
      </w:pPr>
      <w:r w:rsidRPr="007D60B3">
        <w:rPr>
          <w:i/>
          <w:sz w:val="18"/>
          <w:szCs w:val="18"/>
        </w:rPr>
        <w:t>Nota:</w:t>
      </w:r>
      <w:r w:rsidRPr="007D60B3">
        <w:rPr>
          <w:sz w:val="18"/>
          <w:szCs w:val="18"/>
        </w:rPr>
        <w:t xml:space="preserve"> Tasas medias correspondientes a ejercicios finalizados en marzo.</w:t>
      </w:r>
    </w:p>
    <w:p w:rsidR="00F236D5" w:rsidRPr="00521B62" w:rsidRDefault="00F236D5" w:rsidP="00F236D5">
      <w:pPr>
        <w:pStyle w:val="H4G"/>
      </w:pPr>
      <w:r>
        <w:tab/>
      </w:r>
      <w:r w:rsidRPr="00521B62">
        <w:t>b)</w:t>
      </w:r>
      <w:r w:rsidRPr="00521B62">
        <w:tab/>
        <w:t>Diferencias étnicas</w:t>
      </w:r>
    </w:p>
    <w:p w:rsidR="00F236D5" w:rsidRPr="00521B62" w:rsidRDefault="00F236D5" w:rsidP="00F236D5">
      <w:pPr>
        <w:pStyle w:val="SingleTxtG"/>
      </w:pPr>
      <w:r w:rsidRPr="00521B62">
        <w:t>49.</w:t>
      </w:r>
      <w:r w:rsidRPr="00521B62">
        <w:tab/>
        <w:t>La tasa de desempleo más baja corresponde a la población de origen étnico europeo. En este grupo, la tasa de desempleo aumentó de un 3,3% en el ejercicio finalizado en marzo de 1987 a un nivel máximo del 8,1% en 1992 para luego disminuir nuevamente al 3,3% en el ejercicio terminado en marzo de 2009 (lo que representó un aumento respecto del 2</w:t>
      </w:r>
      <w:r>
        <w:t>,</w:t>
      </w:r>
      <w:r w:rsidRPr="00521B62">
        <w:t xml:space="preserve">6%, la cifra más baja registrada durante el período comprendido entre marzo de 2006 y marzo de 2008). La tasa de desempleo de la categoría </w:t>
      </w:r>
      <w:r>
        <w:t>"</w:t>
      </w:r>
      <w:r w:rsidRPr="00521B62">
        <w:t>Otros grupos étnicos</w:t>
      </w:r>
      <w:r>
        <w:t>"</w:t>
      </w:r>
      <w:r w:rsidRPr="00521B62">
        <w:t xml:space="preserve"> (integrada principalmente por personas de origen asiático pero también por muchos inmigrantes recientes) se incrementó del 3,5% en el ejercicio terminado en marzo de 1987 a un máximo de 14,4% en 1992 y 1993, para luego disminuir a un 5,2% en el ejercicio finalizado en marzo de 2008 y aumentar nuevamente a un 5,9% en el </w:t>
      </w:r>
      <w:r>
        <w:t>ejercicio terminado en marzo de </w:t>
      </w:r>
      <w:r w:rsidRPr="00521B62">
        <w:t>2009.</w:t>
      </w:r>
    </w:p>
    <w:p w:rsidR="00F236D5" w:rsidRPr="00521B62" w:rsidRDefault="00F236D5" w:rsidP="00F236D5">
      <w:pPr>
        <w:pStyle w:val="SingleTxtG"/>
      </w:pPr>
      <w:r w:rsidRPr="00521B62">
        <w:t>50.</w:t>
      </w:r>
      <w:r w:rsidRPr="00521B62">
        <w:tab/>
        <w:t>La tasa de desempleo de la población maorí aumentó de un 11,2% en el ejercicio terminado en marzo de 1987 a una cifra máxima del 26</w:t>
      </w:r>
      <w:r>
        <w:t>,1% en 1992. A continuación, en </w:t>
      </w:r>
      <w:r w:rsidRPr="00521B62">
        <w:t>2007, se redujo a su nivel más bajo, del 7,9%, luego mostró una leve recuperación al 8,0% en el ejercicio terminado en</w:t>
      </w:r>
      <w:r>
        <w:t xml:space="preserve"> </w:t>
      </w:r>
      <w:r w:rsidRPr="00521B62">
        <w:t>marzo de 2008 y aumentó a un 8,8% en el ejercicio finalizado en marzo de 2009. Entre 1987 y 1992, la tasa de desempleo correspondiente al grupo de los pueblos del Pacífico subió de un 6,1% a un 28,8%, la tasa más alta de todas las registradas por los distintos grupos étnicos. Tras bajar a un 6,3% en 2006, la tasa de desempleo del grupo de los pueblos del Pacífico aumentó ligeramente durante los dos años siguientes para saltar del 6,5% durante el ejercicio finalizado en marzo de 2008 a un 8,5% en el ejercicio de marzo de 2009.</w:t>
      </w:r>
    </w:p>
    <w:p w:rsidR="00F236D5" w:rsidRDefault="00F236D5" w:rsidP="00F236D5">
      <w:pPr>
        <w:pStyle w:val="Heading1"/>
      </w:pPr>
      <w:r w:rsidRPr="00006C8A">
        <w:t>Cuadro</w:t>
      </w:r>
      <w:r w:rsidRPr="00521B62">
        <w:rPr>
          <w:b/>
        </w:rPr>
        <w:t xml:space="preserve"> </w:t>
      </w:r>
      <w:r w:rsidRPr="00006C8A">
        <w:t>14</w:t>
      </w:r>
    </w:p>
    <w:p w:rsidR="00F236D5" w:rsidRDefault="00F236D5" w:rsidP="00F236D5">
      <w:pPr>
        <w:pStyle w:val="SingleTxtG"/>
        <w:keepNext/>
        <w:rPr>
          <w:b/>
        </w:rPr>
      </w:pPr>
      <w:r w:rsidRPr="00521B62">
        <w:rPr>
          <w:b/>
        </w:rPr>
        <w:t>Tasa de de</w:t>
      </w:r>
      <w:r>
        <w:rPr>
          <w:b/>
        </w:rPr>
        <w:t>sempleo, por grupo étnico, 1987-</w:t>
      </w:r>
      <w:r w:rsidRPr="00521B62">
        <w:rPr>
          <w:b/>
        </w:rPr>
        <w:t>2009</w:t>
      </w:r>
    </w:p>
    <w:bookmarkStart w:id="14" w:name="_MON_1366710284"/>
    <w:bookmarkStart w:id="15" w:name="_MON_1366711002"/>
    <w:bookmarkStart w:id="16" w:name="_MON_1366711967"/>
    <w:bookmarkStart w:id="17" w:name="_MON_1366808971"/>
    <w:bookmarkEnd w:id="14"/>
    <w:bookmarkEnd w:id="15"/>
    <w:bookmarkEnd w:id="16"/>
    <w:bookmarkEnd w:id="17"/>
    <w:p w:rsidR="00F236D5" w:rsidRDefault="00F236D5" w:rsidP="00F236D5">
      <w:pPr>
        <w:pStyle w:val="SingleTxtG"/>
        <w:spacing w:after="0"/>
      </w:pPr>
      <w:r>
        <w:object w:dxaOrig="8075" w:dyaOrig="2879">
          <v:shape id="_x0000_i1028" type="#_x0000_t75" style="width:399.75pt;height:141pt" o:ole="" o:bordertopcolor="this" o:borderleftcolor="this" o:borderbottomcolor="this" o:borderrightcolor="this">
            <v:imagedata r:id="rId12" o:title="" croptop="1388f" cropright="616f"/>
            <w10:bordertop type="single" width="4"/>
            <w10:borderleft type="single" width="4"/>
            <w10:borderbottom type="single" width="4"/>
            <w10:borderright type="single" width="4"/>
          </v:shape>
          <o:OLEObject Type="Embed" ProgID="Word.Picture.8" ShapeID="_x0000_i1028" DrawAspect="Content" ObjectID="_1395889827" r:id="rId13"/>
        </w:object>
      </w:r>
    </w:p>
    <w:p w:rsidR="00F236D5" w:rsidRPr="00C95C5B" w:rsidRDefault="00F236D5" w:rsidP="00F236D5">
      <w:pPr>
        <w:ind w:left="1134" w:right="1134" w:firstLine="170"/>
        <w:rPr>
          <w:i/>
          <w:sz w:val="18"/>
          <w:szCs w:val="18"/>
        </w:rPr>
      </w:pPr>
      <w:r w:rsidRPr="00C95C5B">
        <w:rPr>
          <w:i/>
          <w:sz w:val="18"/>
          <w:szCs w:val="18"/>
        </w:rPr>
        <w:t>Fuente:</w:t>
      </w:r>
      <w:r w:rsidRPr="00C95C5B">
        <w:rPr>
          <w:sz w:val="18"/>
          <w:szCs w:val="18"/>
        </w:rPr>
        <w:t xml:space="preserve"> Oficina de Estadísticas de Nueva Zelandia, encuesta de hogares sobre la fuerza de trabajo.</w:t>
      </w:r>
    </w:p>
    <w:p w:rsidR="00F236D5" w:rsidRPr="00C95C5B" w:rsidRDefault="00F236D5" w:rsidP="00F236D5">
      <w:pPr>
        <w:spacing w:after="120"/>
        <w:ind w:left="1134" w:right="1134" w:firstLine="170"/>
        <w:rPr>
          <w:sz w:val="18"/>
          <w:szCs w:val="18"/>
        </w:rPr>
      </w:pPr>
      <w:r w:rsidRPr="00C95C5B">
        <w:rPr>
          <w:i/>
          <w:sz w:val="18"/>
          <w:szCs w:val="18"/>
        </w:rPr>
        <w:t>Nota:</w:t>
      </w:r>
      <w:r w:rsidRPr="00C95C5B">
        <w:rPr>
          <w:sz w:val="18"/>
          <w:szCs w:val="18"/>
        </w:rPr>
        <w:t xml:space="preserve"> el rubro "Otros grupos étnicos" incluye al grupo étnico asiático.</w:t>
      </w:r>
    </w:p>
    <w:p w:rsidR="00F236D5" w:rsidRPr="00521B62" w:rsidRDefault="00F236D5" w:rsidP="00F236D5">
      <w:pPr>
        <w:pStyle w:val="H4G"/>
      </w:pPr>
      <w:r>
        <w:tab/>
      </w:r>
      <w:r w:rsidRPr="00521B62">
        <w:t>c)</w:t>
      </w:r>
      <w:r w:rsidRPr="00521B62">
        <w:tab/>
        <w:t>Comparación en el plano internacional</w:t>
      </w:r>
    </w:p>
    <w:p w:rsidR="00F236D5" w:rsidRPr="00521B62" w:rsidRDefault="00F236D5" w:rsidP="00F236D5">
      <w:pPr>
        <w:pStyle w:val="SingleTxtG"/>
      </w:pPr>
      <w:r w:rsidRPr="00521B62">
        <w:t>51.</w:t>
      </w:r>
      <w:r w:rsidRPr="00521B62">
        <w:tab/>
        <w:t>Durante el ejercicio finalizado en diciembre de 2008, la tasa de desempleo armonizada de Nueva Zelandia, del 4,2%, fue la décima más baja (junto con la de Australia) del grupo de 30 países de la OCDE, así como inferior a la media de la OCDE del 6,0%. La tasa de Nueva Zelandia estuvo por debajo de las del Reino Unido (5,6%), los Estados Unidos (5,8%) y el Canadá (6,1%). En 2007, Nueva Zelandia tuvo el quinto porcentaje más bajo de personas desempleadas durante seis meses o más.</w:t>
      </w:r>
    </w:p>
    <w:p w:rsidR="00F236D5" w:rsidRPr="00521B62" w:rsidRDefault="00F236D5" w:rsidP="00F236D5">
      <w:pPr>
        <w:pStyle w:val="H23G"/>
      </w:pPr>
      <w:r>
        <w:tab/>
      </w:r>
      <w:r w:rsidRPr="00521B62">
        <w:t>12.</w:t>
      </w:r>
      <w:r w:rsidRPr="00521B62">
        <w:tab/>
        <w:t>Empleo</w:t>
      </w:r>
    </w:p>
    <w:p w:rsidR="00F236D5" w:rsidRPr="00521B62" w:rsidRDefault="00F236D5" w:rsidP="00F236D5">
      <w:pPr>
        <w:pStyle w:val="SingleTxtG"/>
      </w:pPr>
      <w:r w:rsidRPr="00521B62">
        <w:t>52.</w:t>
      </w:r>
      <w:r w:rsidRPr="00521B62">
        <w:tab/>
        <w:t>La tasa de empleo es la proporción de la población de 15 a 64 años de edad que tiene un empleo durante al menos una hora a la semana. En el ejercicio terminado en marzo de 2009, el 74,6% del grupo de 15 a 64 años de edad (2,112 millones de personas) tenía empleo.</w:t>
      </w:r>
    </w:p>
    <w:p w:rsidR="00F236D5" w:rsidRPr="00521B62" w:rsidRDefault="00F236D5" w:rsidP="00F236D5">
      <w:pPr>
        <w:pStyle w:val="SingleTxtG"/>
      </w:pPr>
      <w:r w:rsidRPr="00521B62">
        <w:t>53.</w:t>
      </w:r>
      <w:r w:rsidRPr="00521B62">
        <w:tab/>
        <w:t xml:space="preserve">La tasa de empleo a jornada completa correspondiente a la población de 15 a 64 años de edad se redujo notablemente entre marzo de 1987 (60,1%) y marzo de 1992 (51,4%), si bien para 2009 había recuperado su nivel de mediados de los </w:t>
      </w:r>
      <w:r>
        <w:t xml:space="preserve">años </w:t>
      </w:r>
      <w:r w:rsidRPr="00521B62">
        <w:t>ochenta (58,4%). La tasa de empleo a jornada parcial aumentó durante ese período, de un 12,1% en el ejercicio terminado en marzo de 1987 a un 16,2% en 2009. Mientras que la tasa de empleo a jornada parcial correspondiente a los hombres casi se ha duplicado desde 1986, las mujeres siguen registrando una tasa de empleo a jornada parcial superior a la de los hombres</w:t>
      </w:r>
      <w:r>
        <w:t xml:space="preserve"> </w:t>
      </w:r>
      <w:r w:rsidRPr="00521B62">
        <w:t>(el 23,5% en comparación con el 8,5% en el e</w:t>
      </w:r>
      <w:r>
        <w:t>jercicio finalizado en marzo de </w:t>
      </w:r>
      <w:r w:rsidRPr="00521B62">
        <w:t>2009).</w:t>
      </w:r>
    </w:p>
    <w:p w:rsidR="00F236D5" w:rsidRPr="00521B62" w:rsidRDefault="00F236D5" w:rsidP="00F236D5">
      <w:pPr>
        <w:pStyle w:val="H4G"/>
      </w:pPr>
      <w:r>
        <w:tab/>
      </w:r>
      <w:r w:rsidRPr="00521B62">
        <w:t>a)</w:t>
      </w:r>
      <w:r w:rsidRPr="00521B62">
        <w:tab/>
        <w:t>Diferencias de edad y sexo</w:t>
      </w:r>
    </w:p>
    <w:p w:rsidR="00F236D5" w:rsidRPr="00521B62" w:rsidRDefault="00F236D5" w:rsidP="00F236D5">
      <w:pPr>
        <w:pStyle w:val="SingleTxtG"/>
      </w:pPr>
      <w:r w:rsidRPr="00521B62">
        <w:t>54.</w:t>
      </w:r>
      <w:r w:rsidRPr="00521B62">
        <w:tab/>
        <w:t>La tasa de empleo de las mujeres es considerablemente inferior a la de los hombres. Esto se debe sobre todo al hecho de que las mujeres dedican más tiempo a la crianza de los hijos y a otras tareas domésticas no remuneradas y suelen emprender algún tipo de estudio o capacitación con mayor frecuencia que los varones. No obstante, el crecimiento de la tasa de empleo entre los ejercicios de marzo de 1992 y marzo de 2009 fue mayor entre las mujeres que entre los hombres y la diferencia de género en la tasa de empleo se redujo de 16 a 12 puntos porcentuales durante ese período.</w:t>
      </w:r>
    </w:p>
    <w:p w:rsidR="00F236D5" w:rsidRPr="00521B62" w:rsidRDefault="00F236D5" w:rsidP="00F236D5">
      <w:pPr>
        <w:pStyle w:val="H4G"/>
      </w:pPr>
      <w:r>
        <w:tab/>
      </w:r>
      <w:r w:rsidRPr="00521B62">
        <w:t>b)</w:t>
      </w:r>
      <w:r w:rsidRPr="00521B62">
        <w:tab/>
        <w:t>Diferencias étnicas</w:t>
      </w:r>
    </w:p>
    <w:p w:rsidR="00F236D5" w:rsidRPr="00521B62" w:rsidRDefault="00F236D5" w:rsidP="00F236D5">
      <w:pPr>
        <w:pStyle w:val="SingleTxtG"/>
      </w:pPr>
      <w:r w:rsidRPr="00521B62">
        <w:t>55.</w:t>
      </w:r>
      <w:r w:rsidRPr="00521B62">
        <w:tab/>
        <w:t>Las tasas de empleo de los grupos étnicos maorí y de los pueblos del Pacífico registraron las mayores reducciones entre 1987 y 1992, pero también la recuperación más notable a medida que fueron mejorando las condiciones económicas. En el ejercicio terminado en marzo de 2009, la tasa de empleo del grupo maorí, del 65,6%, fue algo superior a la del año anterior (65,1%) y había sobrepasado el nivel alcanzado en 1987 (61,0%). En cambio, la tasa correspondiente al grupo de los pueblos del Pacífico disminuyó ligeramente entre los ejercicios de marzo de 2008 y marzo de 2009 (del 62,8% al 62,4%) y sus posibilidades de empleo siguieron siendo muy inferiores a las que tenían en 1987 (69,0%). Este es también el grupo étnico que ha registrado las tasas de empleo más bajas desde 2007.</w:t>
      </w:r>
    </w:p>
    <w:p w:rsidR="00F236D5" w:rsidRPr="00521B62" w:rsidRDefault="00F236D5" w:rsidP="00F236D5">
      <w:pPr>
        <w:pStyle w:val="SingleTxtG"/>
        <w:rPr>
          <w:b/>
        </w:rPr>
      </w:pPr>
      <w:r w:rsidRPr="00521B62">
        <w:t>56.</w:t>
      </w:r>
      <w:r w:rsidRPr="00521B62">
        <w:tab/>
        <w:t xml:space="preserve">Tras una leve reducción entre 1987 y 1992, la tasa de empleo del grupo étnico europeo alcanzó un nivel sin precedentes de un 79,9% durante el ejercicio terminado en marzo de 2007 para luego disminuir ligeramente al 79,6% en 2008 y a un 79,1% en 2009. A mediados de los años noventa esta tasa ya había superado el nivel alcanzado a mediados de los </w:t>
      </w:r>
      <w:r>
        <w:t xml:space="preserve">años </w:t>
      </w:r>
      <w:r w:rsidRPr="00521B62">
        <w:t xml:space="preserve">ochenta (73,8% en 1987). La tasa de empleo correspondiente a la categoría </w:t>
      </w:r>
      <w:r>
        <w:t>"</w:t>
      </w:r>
      <w:r w:rsidRPr="00521B62">
        <w:t>Otros grupos étnicos</w:t>
      </w:r>
      <w:r>
        <w:t>"</w:t>
      </w:r>
      <w:r w:rsidRPr="00521B62">
        <w:t xml:space="preserve"> (incluido el asiático), que comprende a muchos nuevos migrantes, ha registrado la mayor fluctuación durante el período, pues pasó de ser la segunda tasa más elevada a fines de los años ochenta a la más baja desde esa fecha hasta 2006. Gracias a un crecimiento más rápido del empleo durante el período 2003-2007, este grupo superó la tasa de empleo del grupo de los pueblos del Pacífico. La tasa correspondiente a </w:t>
      </w:r>
      <w:r>
        <w:t>"</w:t>
      </w:r>
      <w:r w:rsidRPr="00521B62">
        <w:t>Otros grupos étnicos</w:t>
      </w:r>
      <w:r>
        <w:t>"</w:t>
      </w:r>
      <w:r w:rsidRPr="00521B62">
        <w:t>, como la del grupo maorí, ha seguido en aumento, pasando de un 64,4% en el ejercicio terminado en marzo de 2008 a un 65,0% en marzo de 2009.</w:t>
      </w:r>
    </w:p>
    <w:p w:rsidR="00F236D5" w:rsidRDefault="00F236D5" w:rsidP="00F236D5">
      <w:pPr>
        <w:pStyle w:val="Heading1"/>
        <w:keepLines/>
      </w:pPr>
      <w:r>
        <w:t>Cuadro 15</w:t>
      </w:r>
    </w:p>
    <w:p w:rsidR="00F236D5" w:rsidRDefault="00F236D5" w:rsidP="00F236D5">
      <w:pPr>
        <w:pStyle w:val="SingleTxtG"/>
        <w:keepNext/>
        <w:keepLines/>
        <w:rPr>
          <w:b/>
        </w:rPr>
      </w:pPr>
      <w:r w:rsidRPr="00521B62">
        <w:rPr>
          <w:b/>
        </w:rPr>
        <w:t>Tasa de empleo, por grupo étnico, 1987-2009</w:t>
      </w:r>
    </w:p>
    <w:bookmarkStart w:id="18" w:name="_MON_1366808988"/>
    <w:bookmarkStart w:id="19" w:name="_MON_1366809023"/>
    <w:bookmarkStart w:id="20" w:name="_MON_1366809059"/>
    <w:bookmarkEnd w:id="18"/>
    <w:bookmarkEnd w:id="19"/>
    <w:bookmarkEnd w:id="20"/>
    <w:p w:rsidR="00F236D5" w:rsidRDefault="00F236D5" w:rsidP="00F236D5">
      <w:pPr>
        <w:pStyle w:val="SingleTxtG"/>
        <w:keepNext/>
        <w:keepLines/>
        <w:spacing w:after="0" w:line="240" w:lineRule="auto"/>
      </w:pPr>
      <w:r>
        <w:object w:dxaOrig="8176" w:dyaOrig="4152">
          <v:shape id="_x0000_i1029" type="#_x0000_t75" style="width:404.25pt;height:203.25pt" o:ole="" o:bordertopcolor="this" o:borderleftcolor="this" o:borderbottomcolor="this" o:borderrightcolor="this">
            <v:imagedata r:id="rId14" o:title="" cropbottom="1437f" cropright="785f"/>
            <w10:bordertop type="single" width="4"/>
            <w10:borderleft type="single" width="4"/>
            <w10:borderbottom type="single" width="4"/>
            <w10:borderright type="single" width="4"/>
          </v:shape>
          <o:OLEObject Type="Embed" ProgID="Word.Picture.8" ShapeID="_x0000_i1029" DrawAspect="Content" ObjectID="_1395889828" r:id="rId15"/>
        </w:object>
      </w:r>
    </w:p>
    <w:p w:rsidR="00F236D5" w:rsidRPr="000F0904" w:rsidRDefault="00F236D5" w:rsidP="00F236D5">
      <w:pPr>
        <w:pStyle w:val="SingleTxtG"/>
        <w:keepNext/>
        <w:keepLines/>
        <w:spacing w:after="0"/>
        <w:ind w:firstLine="170"/>
        <w:rPr>
          <w:sz w:val="18"/>
          <w:szCs w:val="18"/>
        </w:rPr>
      </w:pPr>
      <w:r w:rsidRPr="000F0904">
        <w:rPr>
          <w:i/>
          <w:sz w:val="18"/>
          <w:szCs w:val="18"/>
        </w:rPr>
        <w:t>Fuente:</w:t>
      </w:r>
      <w:r w:rsidRPr="000F0904">
        <w:rPr>
          <w:sz w:val="18"/>
          <w:szCs w:val="18"/>
        </w:rPr>
        <w:t xml:space="preserve"> Oficina de Estadísticas de Nueva Zelandia, encuesta de hogares sobre la fuerza de trabajo.</w:t>
      </w:r>
    </w:p>
    <w:p w:rsidR="00F236D5" w:rsidRPr="000F0904" w:rsidRDefault="00F236D5" w:rsidP="00F236D5">
      <w:pPr>
        <w:ind w:left="1134" w:right="1134" w:firstLine="170"/>
        <w:rPr>
          <w:i/>
          <w:sz w:val="18"/>
          <w:szCs w:val="18"/>
        </w:rPr>
      </w:pPr>
      <w:r w:rsidRPr="000F0904">
        <w:rPr>
          <w:i/>
          <w:sz w:val="18"/>
          <w:szCs w:val="18"/>
        </w:rPr>
        <w:t>Nota:</w:t>
      </w:r>
      <w:r w:rsidRPr="000F0904">
        <w:rPr>
          <w:sz w:val="18"/>
          <w:szCs w:val="18"/>
        </w:rPr>
        <w:t xml:space="preserve"> Basado en la población de 15 a 64 años de edad.</w:t>
      </w:r>
    </w:p>
    <w:p w:rsidR="00F236D5" w:rsidRPr="00521B62" w:rsidRDefault="00F236D5" w:rsidP="00F236D5">
      <w:pPr>
        <w:pStyle w:val="H4G"/>
      </w:pPr>
      <w:r>
        <w:tab/>
        <w:t>c)</w:t>
      </w:r>
      <w:r>
        <w:tab/>
      </w:r>
      <w:r w:rsidRPr="00521B62">
        <w:t>Comparación en el plano internacional</w:t>
      </w:r>
    </w:p>
    <w:p w:rsidR="00F236D5" w:rsidRPr="00521B62" w:rsidRDefault="00F236D5" w:rsidP="00F236D5">
      <w:pPr>
        <w:pStyle w:val="SingleTxtG"/>
      </w:pPr>
      <w:r w:rsidRPr="00521B62">
        <w:t>57.</w:t>
      </w:r>
      <w:r w:rsidRPr="00521B62">
        <w:tab/>
        <w:t>En el ejercicio finalizado en diciembre de 2008, Nueva Zelandia registró la séptima tasa de empleo más alta de los 30 países de la OCDE para la población de 15 a 64 años de edad, la cual se situó en un 74,7%, muy por encima de la media de 66,6% de la OCDE.</w:t>
      </w:r>
    </w:p>
    <w:p w:rsidR="00F236D5" w:rsidRPr="00521B62" w:rsidRDefault="00F236D5" w:rsidP="00F236D5">
      <w:pPr>
        <w:pStyle w:val="SingleTxtG"/>
      </w:pPr>
      <w:r w:rsidRPr="00521B62">
        <w:t>58.</w:t>
      </w:r>
      <w:r w:rsidRPr="00521B62">
        <w:tab/>
        <w:t>Según estimaciones del Consejo de Sindicatos, aproximadamente el 20% de los integrantes de la fuerza de trabajo son miembros del sindicato.</w:t>
      </w:r>
    </w:p>
    <w:p w:rsidR="00F236D5" w:rsidRPr="0044681E" w:rsidRDefault="00F236D5" w:rsidP="00F236D5">
      <w:pPr>
        <w:pStyle w:val="H4G"/>
      </w:pPr>
      <w:r>
        <w:tab/>
      </w:r>
      <w:r w:rsidRPr="0044681E">
        <w:t>d)</w:t>
      </w:r>
      <w:r w:rsidRPr="0044681E">
        <w:tab/>
        <w:t>Factor de dependencia</w:t>
      </w:r>
    </w:p>
    <w:p w:rsidR="00F236D5" w:rsidRPr="0044681E" w:rsidRDefault="00F236D5" w:rsidP="00F236D5">
      <w:pPr>
        <w:pStyle w:val="SingleTxtG"/>
      </w:pPr>
      <w:r w:rsidRPr="0044681E">
        <w:t>59.</w:t>
      </w:r>
      <w:r w:rsidRPr="0044681E">
        <w:tab/>
        <w:t>El factor de dependencia es un indicador demográfico basado en la edad que sirve para determinar la parte de la población que no suele participar en la fuerza de trabajo y la parte que típicamente la integra. En las estadísticas internacionales, este factor equivale por lo general al número de personas menores de 15 años o mayores de 64 años dividido por el número de personas de 15 a 64 años expresado como porcentaje. Un factor en constante aumento indica el creciente peso que supone para la economía el sustento de una población en proceso de envejecimiento.</w:t>
      </w:r>
    </w:p>
    <w:p w:rsidR="00F236D5" w:rsidRDefault="00F236D5" w:rsidP="00F236D5">
      <w:pPr>
        <w:pStyle w:val="Heading1"/>
      </w:pPr>
      <w:r>
        <w:t>Cuadro 16</w:t>
      </w:r>
    </w:p>
    <w:p w:rsidR="00F236D5" w:rsidRPr="0085729C" w:rsidRDefault="00F236D5" w:rsidP="00F236D5">
      <w:pPr>
        <w:pStyle w:val="SingleTxtG"/>
        <w:rPr>
          <w:b/>
        </w:rPr>
      </w:pPr>
      <w:r w:rsidRPr="0085729C">
        <w:rPr>
          <w:b/>
        </w:rPr>
        <w:t>Factor de dependencia, por sexo, 30 de junio de 2005 a 30 de junio de 2009</w:t>
      </w:r>
    </w:p>
    <w:tbl>
      <w:tblPr>
        <w:tblW w:w="7370" w:type="dxa"/>
        <w:tblInd w:w="1134" w:type="dxa"/>
        <w:tblBorders>
          <w:top w:val="single" w:sz="4" w:space="0" w:color="auto"/>
        </w:tblBorders>
        <w:tblCellMar>
          <w:left w:w="0" w:type="dxa"/>
          <w:right w:w="0" w:type="dxa"/>
        </w:tblCellMar>
        <w:tblLook w:val="0000" w:firstRow="0" w:lastRow="0" w:firstColumn="0" w:lastColumn="0" w:noHBand="0" w:noVBand="0"/>
      </w:tblPr>
      <w:tblGrid>
        <w:gridCol w:w="2618"/>
        <w:gridCol w:w="1869"/>
        <w:gridCol w:w="721"/>
        <w:gridCol w:w="719"/>
        <w:gridCol w:w="721"/>
        <w:gridCol w:w="722"/>
        <w:tblGridChange w:id="21">
          <w:tblGrid>
            <w:gridCol w:w="2618"/>
            <w:gridCol w:w="1869"/>
            <w:gridCol w:w="721"/>
            <w:gridCol w:w="719"/>
            <w:gridCol w:w="721"/>
            <w:gridCol w:w="722"/>
          </w:tblGrid>
        </w:tblGridChange>
      </w:tblGrid>
      <w:tr w:rsidR="00F236D5" w:rsidRPr="007A7559" w:rsidTr="00947046">
        <w:trPr>
          <w:trHeight w:val="240"/>
          <w:tblHeader/>
        </w:trPr>
        <w:tc>
          <w:tcPr>
            <w:tcW w:w="1776" w:type="pct"/>
            <w:vMerge w:val="restart"/>
            <w:tcBorders>
              <w:top w:val="single" w:sz="4" w:space="0" w:color="auto"/>
              <w:bottom w:val="single" w:sz="12" w:space="0" w:color="auto"/>
            </w:tcBorders>
            <w:shd w:val="clear" w:color="auto" w:fill="auto"/>
            <w:vAlign w:val="bottom"/>
          </w:tcPr>
          <w:p w:rsidR="00F236D5" w:rsidRPr="00FD6AC0" w:rsidRDefault="00F236D5" w:rsidP="00947046">
            <w:pPr>
              <w:spacing w:before="80" w:after="80" w:line="200" w:lineRule="exact"/>
              <w:rPr>
                <w:i/>
                <w:sz w:val="16"/>
                <w:szCs w:val="16"/>
              </w:rPr>
            </w:pPr>
            <w:r w:rsidRPr="00FD6AC0">
              <w:rPr>
                <w:i/>
                <w:sz w:val="16"/>
                <w:szCs w:val="16"/>
              </w:rPr>
              <w:t>Sexo y grupo de edad (años)</w:t>
            </w:r>
          </w:p>
        </w:tc>
        <w:tc>
          <w:tcPr>
            <w:tcW w:w="3224" w:type="pct"/>
            <w:gridSpan w:val="5"/>
            <w:tcBorders>
              <w:top w:val="single" w:sz="4" w:space="0" w:color="auto"/>
              <w:bottom w:val="single" w:sz="4" w:space="0" w:color="auto"/>
            </w:tcBorders>
            <w:shd w:val="clear" w:color="auto" w:fill="auto"/>
            <w:vAlign w:val="bottom"/>
          </w:tcPr>
          <w:p w:rsidR="00F236D5" w:rsidRPr="00FD6AC0" w:rsidRDefault="00F236D5" w:rsidP="00947046">
            <w:pPr>
              <w:spacing w:before="80" w:after="80" w:line="200" w:lineRule="exact"/>
              <w:ind w:left="113"/>
              <w:jc w:val="right"/>
              <w:rPr>
                <w:i/>
                <w:sz w:val="16"/>
                <w:szCs w:val="16"/>
              </w:rPr>
            </w:pPr>
            <w:r>
              <w:rPr>
                <w:i/>
                <w:sz w:val="16"/>
                <w:szCs w:val="16"/>
              </w:rPr>
              <w:t>Factor de dependencia</w:t>
            </w:r>
            <w:r w:rsidRPr="002C74DB">
              <w:rPr>
                <w:i/>
                <w:sz w:val="18"/>
                <w:szCs w:val="18"/>
                <w:vertAlign w:val="superscript"/>
              </w:rPr>
              <w:t>1</w:t>
            </w:r>
            <w:r w:rsidRPr="00FD6AC0">
              <w:rPr>
                <w:i/>
                <w:sz w:val="16"/>
                <w:szCs w:val="16"/>
              </w:rPr>
              <w:t xml:space="preserve"> al 30 de junio, expresado como porcentaje</w:t>
            </w:r>
          </w:p>
        </w:tc>
      </w:tr>
      <w:tr w:rsidR="00F236D5" w:rsidRPr="0085729C" w:rsidTr="00947046">
        <w:trPr>
          <w:trHeight w:val="240"/>
          <w:tblHeader/>
        </w:trPr>
        <w:tc>
          <w:tcPr>
            <w:tcW w:w="1776" w:type="pct"/>
            <w:vMerge/>
            <w:tcBorders>
              <w:top w:val="single" w:sz="12" w:space="0" w:color="auto"/>
              <w:bottom w:val="single" w:sz="12" w:space="0" w:color="auto"/>
            </w:tcBorders>
            <w:shd w:val="clear" w:color="auto" w:fill="auto"/>
            <w:vAlign w:val="bottom"/>
          </w:tcPr>
          <w:p w:rsidR="00F236D5" w:rsidRPr="00FD6AC0" w:rsidRDefault="00F236D5" w:rsidP="00947046">
            <w:pPr>
              <w:spacing w:before="80" w:after="80" w:line="200" w:lineRule="exact"/>
              <w:rPr>
                <w:i/>
                <w:sz w:val="16"/>
                <w:szCs w:val="16"/>
              </w:rPr>
            </w:pPr>
          </w:p>
        </w:tc>
        <w:tc>
          <w:tcPr>
            <w:tcW w:w="1268" w:type="pct"/>
            <w:tcBorders>
              <w:top w:val="single" w:sz="4" w:space="0" w:color="auto"/>
              <w:bottom w:val="single" w:sz="12" w:space="0" w:color="auto"/>
            </w:tcBorders>
            <w:shd w:val="clear" w:color="auto" w:fill="auto"/>
            <w:noWrap/>
            <w:vAlign w:val="bottom"/>
          </w:tcPr>
          <w:p w:rsidR="00F236D5" w:rsidRPr="00FD6AC0" w:rsidRDefault="00F236D5" w:rsidP="00947046">
            <w:pPr>
              <w:spacing w:before="80" w:after="80" w:line="200" w:lineRule="exact"/>
              <w:ind w:left="113"/>
              <w:jc w:val="right"/>
              <w:rPr>
                <w:i/>
                <w:sz w:val="16"/>
                <w:szCs w:val="16"/>
              </w:rPr>
            </w:pPr>
            <w:r w:rsidRPr="00FD6AC0">
              <w:rPr>
                <w:i/>
                <w:sz w:val="16"/>
                <w:szCs w:val="16"/>
              </w:rPr>
              <w:t>2005</w:t>
            </w:r>
          </w:p>
        </w:tc>
        <w:tc>
          <w:tcPr>
            <w:tcW w:w="489" w:type="pct"/>
            <w:tcBorders>
              <w:top w:val="single" w:sz="4" w:space="0" w:color="auto"/>
              <w:bottom w:val="single" w:sz="12" w:space="0" w:color="auto"/>
            </w:tcBorders>
            <w:shd w:val="clear" w:color="auto" w:fill="auto"/>
            <w:noWrap/>
            <w:vAlign w:val="bottom"/>
          </w:tcPr>
          <w:p w:rsidR="00F236D5" w:rsidRPr="00FD6AC0" w:rsidRDefault="00F236D5" w:rsidP="00947046">
            <w:pPr>
              <w:spacing w:before="80" w:after="80" w:line="200" w:lineRule="exact"/>
              <w:ind w:left="113"/>
              <w:jc w:val="right"/>
              <w:rPr>
                <w:i/>
                <w:sz w:val="16"/>
                <w:szCs w:val="16"/>
              </w:rPr>
            </w:pPr>
            <w:r w:rsidRPr="00FD6AC0">
              <w:rPr>
                <w:i/>
                <w:sz w:val="16"/>
                <w:szCs w:val="16"/>
              </w:rPr>
              <w:t>2006</w:t>
            </w:r>
          </w:p>
        </w:tc>
        <w:tc>
          <w:tcPr>
            <w:tcW w:w="488" w:type="pct"/>
            <w:tcBorders>
              <w:top w:val="single" w:sz="4" w:space="0" w:color="auto"/>
              <w:bottom w:val="single" w:sz="12" w:space="0" w:color="auto"/>
            </w:tcBorders>
            <w:shd w:val="clear" w:color="auto" w:fill="auto"/>
            <w:noWrap/>
            <w:vAlign w:val="bottom"/>
          </w:tcPr>
          <w:p w:rsidR="00F236D5" w:rsidRPr="00FD6AC0" w:rsidRDefault="00F236D5" w:rsidP="00947046">
            <w:pPr>
              <w:spacing w:before="80" w:after="80" w:line="200" w:lineRule="exact"/>
              <w:ind w:left="113"/>
              <w:jc w:val="right"/>
              <w:rPr>
                <w:i/>
                <w:sz w:val="16"/>
                <w:szCs w:val="16"/>
              </w:rPr>
            </w:pPr>
            <w:r w:rsidRPr="00FD6AC0">
              <w:rPr>
                <w:i/>
                <w:sz w:val="16"/>
                <w:szCs w:val="16"/>
              </w:rPr>
              <w:t>2007</w:t>
            </w:r>
          </w:p>
        </w:tc>
        <w:tc>
          <w:tcPr>
            <w:tcW w:w="489" w:type="pct"/>
            <w:tcBorders>
              <w:top w:val="single" w:sz="4" w:space="0" w:color="auto"/>
              <w:bottom w:val="single" w:sz="12" w:space="0" w:color="auto"/>
            </w:tcBorders>
            <w:shd w:val="clear" w:color="auto" w:fill="auto"/>
            <w:noWrap/>
            <w:vAlign w:val="bottom"/>
          </w:tcPr>
          <w:p w:rsidR="00F236D5" w:rsidRPr="00FD6AC0" w:rsidRDefault="00F236D5" w:rsidP="00947046">
            <w:pPr>
              <w:spacing w:before="80" w:after="80" w:line="200" w:lineRule="exact"/>
              <w:ind w:left="113"/>
              <w:jc w:val="right"/>
              <w:rPr>
                <w:i/>
                <w:sz w:val="16"/>
                <w:szCs w:val="16"/>
              </w:rPr>
            </w:pPr>
            <w:r w:rsidRPr="00FD6AC0">
              <w:rPr>
                <w:i/>
                <w:sz w:val="16"/>
                <w:szCs w:val="16"/>
              </w:rPr>
              <w:t>2008</w:t>
            </w:r>
          </w:p>
        </w:tc>
        <w:tc>
          <w:tcPr>
            <w:tcW w:w="490" w:type="pct"/>
            <w:tcBorders>
              <w:top w:val="single" w:sz="4" w:space="0" w:color="auto"/>
              <w:bottom w:val="single" w:sz="12" w:space="0" w:color="auto"/>
            </w:tcBorders>
            <w:shd w:val="clear" w:color="auto" w:fill="auto"/>
            <w:noWrap/>
            <w:vAlign w:val="bottom"/>
          </w:tcPr>
          <w:p w:rsidR="00F236D5" w:rsidRPr="00FD6AC0" w:rsidRDefault="00F236D5" w:rsidP="00947046">
            <w:pPr>
              <w:spacing w:before="80" w:after="80" w:line="200" w:lineRule="exact"/>
              <w:ind w:left="113"/>
              <w:jc w:val="right"/>
              <w:rPr>
                <w:i/>
                <w:sz w:val="16"/>
                <w:szCs w:val="16"/>
              </w:rPr>
            </w:pPr>
            <w:r w:rsidRPr="00FD6AC0">
              <w:rPr>
                <w:i/>
                <w:sz w:val="16"/>
                <w:szCs w:val="16"/>
              </w:rPr>
              <w:t>2009</w:t>
            </w:r>
          </w:p>
        </w:tc>
      </w:tr>
      <w:tr w:rsidR="00F236D5" w:rsidRPr="0085729C" w:rsidTr="00947046">
        <w:trPr>
          <w:trHeight w:val="240"/>
        </w:trPr>
        <w:tc>
          <w:tcPr>
            <w:tcW w:w="1776" w:type="pct"/>
            <w:tcBorders>
              <w:top w:val="single" w:sz="12" w:space="0" w:color="auto"/>
            </w:tcBorders>
            <w:shd w:val="clear" w:color="auto" w:fill="auto"/>
            <w:noWrap/>
          </w:tcPr>
          <w:p w:rsidR="00F236D5" w:rsidRPr="00AA3104" w:rsidRDefault="00F236D5" w:rsidP="00947046">
            <w:pPr>
              <w:spacing w:before="40" w:after="40" w:line="220" w:lineRule="exact"/>
              <w:rPr>
                <w:sz w:val="18"/>
                <w:szCs w:val="18"/>
              </w:rPr>
            </w:pPr>
            <w:r w:rsidRPr="00AA3104">
              <w:rPr>
                <w:sz w:val="18"/>
                <w:szCs w:val="18"/>
              </w:rPr>
              <w:t>Hombres</w:t>
            </w:r>
          </w:p>
        </w:tc>
        <w:tc>
          <w:tcPr>
            <w:tcW w:w="1268" w:type="pct"/>
            <w:tcBorders>
              <w:top w:val="single" w:sz="12" w:space="0" w:color="auto"/>
            </w:tcBorders>
            <w:shd w:val="clear" w:color="auto" w:fill="auto"/>
            <w:noWrap/>
            <w:vAlign w:val="bottom"/>
          </w:tcPr>
          <w:p w:rsidR="00F236D5" w:rsidRPr="0085729C" w:rsidRDefault="00F236D5" w:rsidP="00947046">
            <w:pPr>
              <w:spacing w:before="40" w:after="40" w:line="220" w:lineRule="exact"/>
              <w:ind w:left="113"/>
              <w:jc w:val="right"/>
              <w:rPr>
                <w:sz w:val="18"/>
              </w:rPr>
            </w:pPr>
          </w:p>
        </w:tc>
        <w:tc>
          <w:tcPr>
            <w:tcW w:w="489" w:type="pct"/>
            <w:tcBorders>
              <w:top w:val="single" w:sz="12" w:space="0" w:color="auto"/>
            </w:tcBorders>
            <w:shd w:val="clear" w:color="auto" w:fill="auto"/>
            <w:noWrap/>
            <w:vAlign w:val="bottom"/>
          </w:tcPr>
          <w:p w:rsidR="00F236D5" w:rsidRPr="0085729C" w:rsidRDefault="00F236D5" w:rsidP="00947046">
            <w:pPr>
              <w:spacing w:before="40" w:after="40" w:line="220" w:lineRule="exact"/>
              <w:ind w:left="113"/>
              <w:jc w:val="right"/>
              <w:rPr>
                <w:sz w:val="18"/>
              </w:rPr>
            </w:pPr>
          </w:p>
        </w:tc>
        <w:tc>
          <w:tcPr>
            <w:tcW w:w="488" w:type="pct"/>
            <w:tcBorders>
              <w:top w:val="single" w:sz="12" w:space="0" w:color="auto"/>
            </w:tcBorders>
            <w:shd w:val="clear" w:color="auto" w:fill="auto"/>
            <w:noWrap/>
            <w:vAlign w:val="bottom"/>
          </w:tcPr>
          <w:p w:rsidR="00F236D5" w:rsidRPr="0085729C" w:rsidRDefault="00F236D5" w:rsidP="00947046">
            <w:pPr>
              <w:spacing w:before="40" w:after="40" w:line="220" w:lineRule="exact"/>
              <w:ind w:left="113"/>
              <w:jc w:val="right"/>
              <w:rPr>
                <w:sz w:val="18"/>
              </w:rPr>
            </w:pPr>
          </w:p>
        </w:tc>
        <w:tc>
          <w:tcPr>
            <w:tcW w:w="489" w:type="pct"/>
            <w:tcBorders>
              <w:top w:val="single" w:sz="12" w:space="0" w:color="auto"/>
            </w:tcBorders>
            <w:shd w:val="clear" w:color="auto" w:fill="auto"/>
            <w:noWrap/>
            <w:vAlign w:val="bottom"/>
          </w:tcPr>
          <w:p w:rsidR="00F236D5" w:rsidRPr="0085729C" w:rsidRDefault="00F236D5" w:rsidP="00947046">
            <w:pPr>
              <w:spacing w:before="40" w:after="40" w:line="220" w:lineRule="exact"/>
              <w:ind w:left="113"/>
              <w:jc w:val="right"/>
              <w:rPr>
                <w:sz w:val="18"/>
              </w:rPr>
            </w:pPr>
          </w:p>
        </w:tc>
        <w:tc>
          <w:tcPr>
            <w:tcW w:w="490" w:type="pct"/>
            <w:tcBorders>
              <w:top w:val="single" w:sz="12" w:space="0" w:color="auto"/>
            </w:tcBorders>
            <w:shd w:val="clear" w:color="auto" w:fill="auto"/>
            <w:noWrap/>
            <w:vAlign w:val="bottom"/>
          </w:tcPr>
          <w:p w:rsidR="00F236D5" w:rsidRPr="0085729C" w:rsidRDefault="00F236D5" w:rsidP="00947046">
            <w:pPr>
              <w:spacing w:before="40" w:after="40" w:line="220" w:lineRule="exact"/>
              <w:ind w:left="113"/>
              <w:jc w:val="right"/>
              <w:rPr>
                <w:sz w:val="18"/>
              </w:rPr>
            </w:pPr>
          </w:p>
        </w:tc>
      </w:tr>
      <w:tr w:rsidR="00F236D5" w:rsidRPr="0085729C" w:rsidTr="00947046">
        <w:trPr>
          <w:trHeight w:val="240"/>
        </w:trPr>
        <w:tc>
          <w:tcPr>
            <w:tcW w:w="1776" w:type="pct"/>
            <w:shd w:val="clear" w:color="auto" w:fill="auto"/>
            <w:noWrap/>
          </w:tcPr>
          <w:p w:rsidR="00F236D5" w:rsidRPr="0085729C" w:rsidRDefault="00F236D5" w:rsidP="00947046">
            <w:pPr>
              <w:spacing w:before="40" w:after="40" w:line="220" w:lineRule="exact"/>
              <w:rPr>
                <w:sz w:val="18"/>
              </w:rPr>
            </w:pPr>
            <w:r w:rsidRPr="0085729C">
              <w:rPr>
                <w:sz w:val="18"/>
              </w:rPr>
              <w:t>0</w:t>
            </w:r>
            <w:r>
              <w:rPr>
                <w:sz w:val="18"/>
              </w:rPr>
              <w:t xml:space="preserve"> a </w:t>
            </w:r>
            <w:r w:rsidRPr="0085729C">
              <w:rPr>
                <w:sz w:val="18"/>
              </w:rPr>
              <w:t>14</w:t>
            </w:r>
          </w:p>
        </w:tc>
        <w:tc>
          <w:tcPr>
            <w:tcW w:w="1268" w:type="pct"/>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33,9</w:t>
            </w:r>
          </w:p>
        </w:tc>
        <w:tc>
          <w:tcPr>
            <w:tcW w:w="489" w:type="pct"/>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33,3</w:t>
            </w:r>
          </w:p>
        </w:tc>
        <w:tc>
          <w:tcPr>
            <w:tcW w:w="488" w:type="pct"/>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33,0</w:t>
            </w:r>
          </w:p>
        </w:tc>
        <w:tc>
          <w:tcPr>
            <w:tcW w:w="489" w:type="pct"/>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32,7</w:t>
            </w:r>
          </w:p>
        </w:tc>
        <w:tc>
          <w:tcPr>
            <w:tcW w:w="490" w:type="pct"/>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32,4</w:t>
            </w:r>
          </w:p>
        </w:tc>
      </w:tr>
      <w:tr w:rsidR="00F236D5" w:rsidRPr="0085729C" w:rsidTr="00947046">
        <w:trPr>
          <w:trHeight w:val="240"/>
        </w:trPr>
        <w:tc>
          <w:tcPr>
            <w:tcW w:w="1776" w:type="pct"/>
            <w:shd w:val="clear" w:color="auto" w:fill="auto"/>
            <w:noWrap/>
          </w:tcPr>
          <w:p w:rsidR="00F236D5" w:rsidRPr="0085729C" w:rsidRDefault="00F236D5" w:rsidP="00947046">
            <w:pPr>
              <w:spacing w:before="40" w:after="40" w:line="220" w:lineRule="exact"/>
              <w:rPr>
                <w:sz w:val="18"/>
              </w:rPr>
            </w:pPr>
            <w:r w:rsidRPr="0085729C">
              <w:rPr>
                <w:sz w:val="18"/>
              </w:rPr>
              <w:t>65</w:t>
            </w:r>
            <w:r>
              <w:rPr>
                <w:sz w:val="18"/>
              </w:rPr>
              <w:t xml:space="preserve"> o más </w:t>
            </w:r>
          </w:p>
        </w:tc>
        <w:tc>
          <w:tcPr>
            <w:tcW w:w="1268" w:type="pct"/>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16,4</w:t>
            </w:r>
          </w:p>
        </w:tc>
        <w:tc>
          <w:tcPr>
            <w:tcW w:w="489" w:type="pct"/>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16,8</w:t>
            </w:r>
          </w:p>
        </w:tc>
        <w:tc>
          <w:tcPr>
            <w:tcW w:w="488" w:type="pct"/>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17,2</w:t>
            </w:r>
          </w:p>
        </w:tc>
        <w:tc>
          <w:tcPr>
            <w:tcW w:w="489" w:type="pct"/>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17,4</w:t>
            </w:r>
          </w:p>
        </w:tc>
        <w:tc>
          <w:tcPr>
            <w:tcW w:w="490" w:type="pct"/>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17,8</w:t>
            </w:r>
          </w:p>
        </w:tc>
      </w:tr>
      <w:tr w:rsidR="00F236D5" w:rsidRPr="0085729C" w:rsidTr="00947046">
        <w:trPr>
          <w:trHeight w:val="240"/>
        </w:trPr>
        <w:tc>
          <w:tcPr>
            <w:tcW w:w="1776" w:type="pct"/>
            <w:shd w:val="clear" w:color="auto" w:fill="auto"/>
            <w:noWrap/>
          </w:tcPr>
          <w:p w:rsidR="00F236D5" w:rsidRPr="00AA3104" w:rsidRDefault="00F236D5" w:rsidP="00947046">
            <w:pPr>
              <w:spacing w:before="40" w:after="40" w:line="220" w:lineRule="exact"/>
              <w:rPr>
                <w:sz w:val="18"/>
              </w:rPr>
            </w:pPr>
            <w:r w:rsidRPr="00AA3104">
              <w:rPr>
                <w:sz w:val="18"/>
              </w:rPr>
              <w:t>Mujeres</w:t>
            </w:r>
          </w:p>
        </w:tc>
        <w:tc>
          <w:tcPr>
            <w:tcW w:w="1268" w:type="pct"/>
            <w:shd w:val="clear" w:color="auto" w:fill="auto"/>
            <w:noWrap/>
            <w:vAlign w:val="bottom"/>
          </w:tcPr>
          <w:p w:rsidR="00F236D5" w:rsidRPr="0085729C" w:rsidRDefault="00F236D5" w:rsidP="00947046">
            <w:pPr>
              <w:spacing w:before="40" w:after="40" w:line="220" w:lineRule="exact"/>
              <w:ind w:left="113"/>
              <w:jc w:val="right"/>
              <w:rPr>
                <w:sz w:val="18"/>
              </w:rPr>
            </w:pPr>
          </w:p>
        </w:tc>
        <w:tc>
          <w:tcPr>
            <w:tcW w:w="489" w:type="pct"/>
            <w:shd w:val="clear" w:color="auto" w:fill="auto"/>
            <w:noWrap/>
            <w:vAlign w:val="bottom"/>
          </w:tcPr>
          <w:p w:rsidR="00F236D5" w:rsidRPr="0085729C" w:rsidRDefault="00F236D5" w:rsidP="00947046">
            <w:pPr>
              <w:spacing w:before="40" w:after="40" w:line="220" w:lineRule="exact"/>
              <w:ind w:left="113"/>
              <w:jc w:val="right"/>
              <w:rPr>
                <w:sz w:val="18"/>
              </w:rPr>
            </w:pPr>
          </w:p>
        </w:tc>
        <w:tc>
          <w:tcPr>
            <w:tcW w:w="488" w:type="pct"/>
            <w:shd w:val="clear" w:color="auto" w:fill="auto"/>
            <w:noWrap/>
            <w:vAlign w:val="bottom"/>
          </w:tcPr>
          <w:p w:rsidR="00F236D5" w:rsidRPr="0085729C" w:rsidRDefault="00F236D5" w:rsidP="00947046">
            <w:pPr>
              <w:spacing w:before="40" w:after="40" w:line="220" w:lineRule="exact"/>
              <w:ind w:left="113"/>
              <w:jc w:val="right"/>
              <w:rPr>
                <w:sz w:val="18"/>
              </w:rPr>
            </w:pPr>
          </w:p>
        </w:tc>
        <w:tc>
          <w:tcPr>
            <w:tcW w:w="489" w:type="pct"/>
            <w:shd w:val="clear" w:color="auto" w:fill="auto"/>
            <w:noWrap/>
            <w:vAlign w:val="bottom"/>
          </w:tcPr>
          <w:p w:rsidR="00F236D5" w:rsidRPr="0085729C" w:rsidRDefault="00F236D5" w:rsidP="00947046">
            <w:pPr>
              <w:spacing w:before="40" w:after="40" w:line="220" w:lineRule="exact"/>
              <w:ind w:left="113"/>
              <w:jc w:val="right"/>
              <w:rPr>
                <w:sz w:val="18"/>
              </w:rPr>
            </w:pPr>
          </w:p>
        </w:tc>
        <w:tc>
          <w:tcPr>
            <w:tcW w:w="490" w:type="pct"/>
            <w:shd w:val="clear" w:color="auto" w:fill="auto"/>
            <w:noWrap/>
            <w:vAlign w:val="bottom"/>
          </w:tcPr>
          <w:p w:rsidR="00F236D5" w:rsidRPr="0085729C" w:rsidRDefault="00F236D5" w:rsidP="00947046">
            <w:pPr>
              <w:spacing w:before="40" w:after="40" w:line="220" w:lineRule="exact"/>
              <w:ind w:left="113"/>
              <w:jc w:val="right"/>
              <w:rPr>
                <w:sz w:val="18"/>
              </w:rPr>
            </w:pPr>
          </w:p>
        </w:tc>
      </w:tr>
      <w:tr w:rsidR="00F236D5" w:rsidRPr="0085729C" w:rsidTr="00947046">
        <w:trPr>
          <w:trHeight w:val="240"/>
        </w:trPr>
        <w:tc>
          <w:tcPr>
            <w:tcW w:w="1776" w:type="pct"/>
            <w:shd w:val="clear" w:color="auto" w:fill="auto"/>
            <w:noWrap/>
          </w:tcPr>
          <w:p w:rsidR="00F236D5" w:rsidRPr="0085729C" w:rsidRDefault="00F236D5" w:rsidP="00947046">
            <w:pPr>
              <w:spacing w:before="40" w:after="40" w:line="220" w:lineRule="exact"/>
              <w:rPr>
                <w:sz w:val="18"/>
              </w:rPr>
            </w:pPr>
            <w:r w:rsidRPr="0085729C">
              <w:rPr>
                <w:sz w:val="18"/>
              </w:rPr>
              <w:t>0</w:t>
            </w:r>
            <w:r>
              <w:rPr>
                <w:sz w:val="18"/>
              </w:rPr>
              <w:t xml:space="preserve"> a </w:t>
            </w:r>
            <w:r w:rsidRPr="0085729C">
              <w:rPr>
                <w:sz w:val="18"/>
              </w:rPr>
              <w:t>14</w:t>
            </w:r>
          </w:p>
        </w:tc>
        <w:tc>
          <w:tcPr>
            <w:tcW w:w="1268" w:type="pct"/>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31,0</w:t>
            </w:r>
          </w:p>
        </w:tc>
        <w:tc>
          <w:tcPr>
            <w:tcW w:w="489" w:type="pct"/>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30,5</w:t>
            </w:r>
          </w:p>
        </w:tc>
        <w:tc>
          <w:tcPr>
            <w:tcW w:w="488" w:type="pct"/>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30,2</w:t>
            </w:r>
          </w:p>
        </w:tc>
        <w:tc>
          <w:tcPr>
            <w:tcW w:w="489" w:type="pct"/>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29,9</w:t>
            </w:r>
          </w:p>
        </w:tc>
        <w:tc>
          <w:tcPr>
            <w:tcW w:w="490" w:type="pct"/>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29,7</w:t>
            </w:r>
          </w:p>
        </w:tc>
      </w:tr>
      <w:tr w:rsidR="00F236D5" w:rsidRPr="0085729C" w:rsidTr="00947046">
        <w:trPr>
          <w:trHeight w:val="240"/>
        </w:trPr>
        <w:tc>
          <w:tcPr>
            <w:tcW w:w="1776" w:type="pct"/>
            <w:tcBorders>
              <w:bottom w:val="single" w:sz="4" w:space="0" w:color="auto"/>
            </w:tcBorders>
            <w:shd w:val="clear" w:color="auto" w:fill="auto"/>
            <w:noWrap/>
          </w:tcPr>
          <w:p w:rsidR="00F236D5" w:rsidRPr="0085729C" w:rsidRDefault="00F236D5" w:rsidP="00947046">
            <w:pPr>
              <w:spacing w:before="40" w:after="40" w:line="220" w:lineRule="exact"/>
              <w:rPr>
                <w:sz w:val="18"/>
              </w:rPr>
            </w:pPr>
            <w:r w:rsidRPr="0085729C">
              <w:rPr>
                <w:sz w:val="18"/>
              </w:rPr>
              <w:t>65</w:t>
            </w:r>
            <w:r>
              <w:rPr>
                <w:sz w:val="18"/>
              </w:rPr>
              <w:t xml:space="preserve"> o más</w:t>
            </w:r>
          </w:p>
        </w:tc>
        <w:tc>
          <w:tcPr>
            <w:tcW w:w="1268" w:type="pct"/>
            <w:tcBorders>
              <w:bottom w:val="single" w:sz="4" w:space="0" w:color="auto"/>
            </w:tcBorders>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19,7</w:t>
            </w:r>
          </w:p>
        </w:tc>
        <w:tc>
          <w:tcPr>
            <w:tcW w:w="489" w:type="pct"/>
            <w:tcBorders>
              <w:bottom w:val="single" w:sz="4" w:space="0" w:color="auto"/>
            </w:tcBorders>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19,9</w:t>
            </w:r>
          </w:p>
        </w:tc>
        <w:tc>
          <w:tcPr>
            <w:tcW w:w="488" w:type="pct"/>
            <w:tcBorders>
              <w:bottom w:val="single" w:sz="4" w:space="0" w:color="auto"/>
            </w:tcBorders>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20,2</w:t>
            </w:r>
          </w:p>
        </w:tc>
        <w:tc>
          <w:tcPr>
            <w:tcW w:w="489" w:type="pct"/>
            <w:tcBorders>
              <w:bottom w:val="single" w:sz="4" w:space="0" w:color="auto"/>
            </w:tcBorders>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20,4</w:t>
            </w:r>
          </w:p>
        </w:tc>
        <w:tc>
          <w:tcPr>
            <w:tcW w:w="490" w:type="pct"/>
            <w:tcBorders>
              <w:bottom w:val="single" w:sz="4" w:space="0" w:color="auto"/>
            </w:tcBorders>
            <w:shd w:val="clear" w:color="auto" w:fill="auto"/>
            <w:noWrap/>
            <w:vAlign w:val="bottom"/>
          </w:tcPr>
          <w:p w:rsidR="00F236D5" w:rsidRPr="0085729C" w:rsidRDefault="00F236D5" w:rsidP="00947046">
            <w:pPr>
              <w:spacing w:before="40" w:after="40" w:line="220" w:lineRule="exact"/>
              <w:ind w:left="113"/>
              <w:jc w:val="right"/>
              <w:rPr>
                <w:sz w:val="18"/>
              </w:rPr>
            </w:pPr>
            <w:r w:rsidRPr="0085729C">
              <w:rPr>
                <w:sz w:val="18"/>
              </w:rPr>
              <w:t>20,7</w:t>
            </w:r>
          </w:p>
        </w:tc>
      </w:tr>
      <w:tr w:rsidR="00F236D5" w:rsidRPr="00A57E75" w:rsidTr="00947046">
        <w:trPr>
          <w:trHeight w:val="240"/>
        </w:trPr>
        <w:tc>
          <w:tcPr>
            <w:tcW w:w="1776" w:type="pct"/>
            <w:tcBorders>
              <w:top w:val="single" w:sz="4" w:space="0" w:color="auto"/>
              <w:bottom w:val="single" w:sz="4" w:space="0" w:color="auto"/>
            </w:tcBorders>
            <w:shd w:val="clear" w:color="auto" w:fill="auto"/>
            <w:noWrap/>
          </w:tcPr>
          <w:p w:rsidR="00F236D5" w:rsidRPr="007A7559" w:rsidRDefault="00F236D5" w:rsidP="00947046">
            <w:pPr>
              <w:spacing w:before="80" w:after="80" w:line="220" w:lineRule="exact"/>
              <w:ind w:firstLine="284"/>
              <w:rPr>
                <w:b/>
                <w:sz w:val="18"/>
              </w:rPr>
            </w:pPr>
            <w:r>
              <w:rPr>
                <w:b/>
                <w:sz w:val="18"/>
              </w:rPr>
              <w:t xml:space="preserve">Total 0 a </w:t>
            </w:r>
            <w:r w:rsidRPr="007A7559">
              <w:rPr>
                <w:b/>
                <w:sz w:val="18"/>
              </w:rPr>
              <w:t>14</w:t>
            </w:r>
          </w:p>
        </w:tc>
        <w:tc>
          <w:tcPr>
            <w:tcW w:w="1268" w:type="pct"/>
            <w:tcBorders>
              <w:top w:val="single" w:sz="4" w:space="0" w:color="auto"/>
              <w:bottom w:val="single" w:sz="4" w:space="0" w:color="auto"/>
            </w:tcBorders>
            <w:shd w:val="clear" w:color="auto" w:fill="auto"/>
            <w:noWrap/>
            <w:vAlign w:val="bottom"/>
          </w:tcPr>
          <w:p w:rsidR="00F236D5" w:rsidRPr="00A57E75" w:rsidRDefault="00F236D5" w:rsidP="00947046">
            <w:pPr>
              <w:spacing w:before="80" w:after="80" w:line="220" w:lineRule="exact"/>
              <w:ind w:left="113"/>
              <w:jc w:val="right"/>
              <w:rPr>
                <w:b/>
                <w:sz w:val="18"/>
              </w:rPr>
            </w:pPr>
            <w:r w:rsidRPr="00A57E75">
              <w:rPr>
                <w:b/>
                <w:sz w:val="18"/>
              </w:rPr>
              <w:t>32,4</w:t>
            </w:r>
          </w:p>
        </w:tc>
        <w:tc>
          <w:tcPr>
            <w:tcW w:w="489" w:type="pct"/>
            <w:tcBorders>
              <w:top w:val="single" w:sz="4" w:space="0" w:color="auto"/>
              <w:bottom w:val="single" w:sz="4" w:space="0" w:color="auto"/>
            </w:tcBorders>
            <w:shd w:val="clear" w:color="auto" w:fill="auto"/>
            <w:noWrap/>
            <w:vAlign w:val="bottom"/>
          </w:tcPr>
          <w:p w:rsidR="00F236D5" w:rsidRPr="00A57E75" w:rsidRDefault="00F236D5" w:rsidP="00947046">
            <w:pPr>
              <w:spacing w:before="80" w:after="80" w:line="220" w:lineRule="exact"/>
              <w:ind w:left="113"/>
              <w:jc w:val="right"/>
              <w:rPr>
                <w:b/>
                <w:sz w:val="18"/>
              </w:rPr>
            </w:pPr>
            <w:r w:rsidRPr="00A57E75">
              <w:rPr>
                <w:b/>
                <w:sz w:val="18"/>
              </w:rPr>
              <w:t>31,9</w:t>
            </w:r>
          </w:p>
        </w:tc>
        <w:tc>
          <w:tcPr>
            <w:tcW w:w="488" w:type="pct"/>
            <w:tcBorders>
              <w:top w:val="single" w:sz="4" w:space="0" w:color="auto"/>
              <w:bottom w:val="single" w:sz="4" w:space="0" w:color="auto"/>
            </w:tcBorders>
            <w:shd w:val="clear" w:color="auto" w:fill="auto"/>
            <w:noWrap/>
            <w:vAlign w:val="bottom"/>
          </w:tcPr>
          <w:p w:rsidR="00F236D5" w:rsidRPr="00A57E75" w:rsidRDefault="00F236D5" w:rsidP="00947046">
            <w:pPr>
              <w:spacing w:before="80" w:after="80" w:line="220" w:lineRule="exact"/>
              <w:ind w:left="113"/>
              <w:jc w:val="right"/>
              <w:rPr>
                <w:b/>
                <w:sz w:val="18"/>
              </w:rPr>
            </w:pPr>
            <w:r w:rsidRPr="00A57E75">
              <w:rPr>
                <w:b/>
                <w:sz w:val="18"/>
              </w:rPr>
              <w:t>31,6</w:t>
            </w:r>
          </w:p>
        </w:tc>
        <w:tc>
          <w:tcPr>
            <w:tcW w:w="489" w:type="pct"/>
            <w:tcBorders>
              <w:top w:val="single" w:sz="4" w:space="0" w:color="auto"/>
              <w:bottom w:val="single" w:sz="4" w:space="0" w:color="auto"/>
            </w:tcBorders>
            <w:shd w:val="clear" w:color="auto" w:fill="auto"/>
            <w:noWrap/>
            <w:vAlign w:val="bottom"/>
          </w:tcPr>
          <w:p w:rsidR="00F236D5" w:rsidRPr="00A57E75" w:rsidRDefault="00F236D5" w:rsidP="00947046">
            <w:pPr>
              <w:spacing w:before="80" w:after="80" w:line="220" w:lineRule="exact"/>
              <w:ind w:left="113"/>
              <w:jc w:val="right"/>
              <w:rPr>
                <w:b/>
                <w:sz w:val="18"/>
              </w:rPr>
            </w:pPr>
            <w:r w:rsidRPr="00A57E75">
              <w:rPr>
                <w:b/>
                <w:sz w:val="18"/>
              </w:rPr>
              <w:t>31,3</w:t>
            </w:r>
          </w:p>
        </w:tc>
        <w:tc>
          <w:tcPr>
            <w:tcW w:w="490" w:type="pct"/>
            <w:tcBorders>
              <w:top w:val="single" w:sz="4" w:space="0" w:color="auto"/>
              <w:bottom w:val="single" w:sz="4" w:space="0" w:color="auto"/>
            </w:tcBorders>
            <w:shd w:val="clear" w:color="auto" w:fill="auto"/>
            <w:noWrap/>
            <w:vAlign w:val="bottom"/>
          </w:tcPr>
          <w:p w:rsidR="00F236D5" w:rsidRPr="00A57E75" w:rsidRDefault="00F236D5" w:rsidP="00947046">
            <w:pPr>
              <w:spacing w:before="80" w:after="80" w:line="220" w:lineRule="exact"/>
              <w:ind w:left="113"/>
              <w:jc w:val="right"/>
              <w:rPr>
                <w:b/>
                <w:sz w:val="18"/>
              </w:rPr>
            </w:pPr>
            <w:r w:rsidRPr="00A57E75">
              <w:rPr>
                <w:b/>
                <w:sz w:val="18"/>
              </w:rPr>
              <w:t>31,0</w:t>
            </w:r>
          </w:p>
        </w:tc>
      </w:tr>
      <w:tr w:rsidR="00F236D5" w:rsidRPr="00A57E75" w:rsidTr="00947046">
        <w:trPr>
          <w:trHeight w:val="240"/>
        </w:trPr>
        <w:tc>
          <w:tcPr>
            <w:tcW w:w="1776" w:type="pct"/>
            <w:tcBorders>
              <w:top w:val="single" w:sz="4" w:space="0" w:color="auto"/>
              <w:bottom w:val="single" w:sz="12" w:space="0" w:color="auto"/>
            </w:tcBorders>
            <w:shd w:val="clear" w:color="auto" w:fill="auto"/>
            <w:noWrap/>
          </w:tcPr>
          <w:p w:rsidR="00F236D5" w:rsidRPr="007A7559" w:rsidRDefault="00F236D5" w:rsidP="00947046">
            <w:pPr>
              <w:spacing w:before="80" w:after="80" w:line="220" w:lineRule="exact"/>
              <w:ind w:firstLine="284"/>
              <w:rPr>
                <w:b/>
                <w:sz w:val="18"/>
              </w:rPr>
            </w:pPr>
            <w:r w:rsidRPr="007A7559">
              <w:rPr>
                <w:b/>
                <w:sz w:val="18"/>
              </w:rPr>
              <w:t>Total 65</w:t>
            </w:r>
            <w:r>
              <w:rPr>
                <w:b/>
                <w:sz w:val="18"/>
              </w:rPr>
              <w:t xml:space="preserve"> o más</w:t>
            </w:r>
          </w:p>
        </w:tc>
        <w:tc>
          <w:tcPr>
            <w:tcW w:w="1268" w:type="pct"/>
            <w:tcBorders>
              <w:top w:val="single" w:sz="4" w:space="0" w:color="auto"/>
              <w:bottom w:val="single" w:sz="12" w:space="0" w:color="auto"/>
            </w:tcBorders>
            <w:shd w:val="clear" w:color="auto" w:fill="auto"/>
            <w:noWrap/>
            <w:vAlign w:val="bottom"/>
          </w:tcPr>
          <w:p w:rsidR="00F236D5" w:rsidRPr="00A57E75" w:rsidRDefault="00F236D5" w:rsidP="00947046">
            <w:pPr>
              <w:spacing w:before="80" w:after="80" w:line="220" w:lineRule="exact"/>
              <w:ind w:left="113"/>
              <w:jc w:val="right"/>
              <w:rPr>
                <w:b/>
                <w:sz w:val="18"/>
              </w:rPr>
            </w:pPr>
            <w:r w:rsidRPr="00A57E75">
              <w:rPr>
                <w:b/>
                <w:sz w:val="18"/>
              </w:rPr>
              <w:t>18,1</w:t>
            </w:r>
          </w:p>
        </w:tc>
        <w:tc>
          <w:tcPr>
            <w:tcW w:w="489" w:type="pct"/>
            <w:tcBorders>
              <w:top w:val="single" w:sz="4" w:space="0" w:color="auto"/>
              <w:bottom w:val="single" w:sz="12" w:space="0" w:color="auto"/>
            </w:tcBorders>
            <w:shd w:val="clear" w:color="auto" w:fill="auto"/>
            <w:noWrap/>
            <w:vAlign w:val="bottom"/>
          </w:tcPr>
          <w:p w:rsidR="00F236D5" w:rsidRPr="00A57E75" w:rsidRDefault="00F236D5" w:rsidP="00947046">
            <w:pPr>
              <w:spacing w:before="80" w:after="80" w:line="220" w:lineRule="exact"/>
              <w:ind w:left="113"/>
              <w:jc w:val="right"/>
              <w:rPr>
                <w:b/>
                <w:sz w:val="18"/>
              </w:rPr>
            </w:pPr>
            <w:r w:rsidRPr="00A57E75">
              <w:rPr>
                <w:b/>
                <w:sz w:val="18"/>
              </w:rPr>
              <w:t>18,4</w:t>
            </w:r>
          </w:p>
        </w:tc>
        <w:tc>
          <w:tcPr>
            <w:tcW w:w="488" w:type="pct"/>
            <w:tcBorders>
              <w:top w:val="single" w:sz="4" w:space="0" w:color="auto"/>
              <w:bottom w:val="single" w:sz="12" w:space="0" w:color="auto"/>
            </w:tcBorders>
            <w:shd w:val="clear" w:color="auto" w:fill="auto"/>
            <w:noWrap/>
            <w:vAlign w:val="bottom"/>
          </w:tcPr>
          <w:p w:rsidR="00F236D5" w:rsidRPr="00A57E75" w:rsidRDefault="00F236D5" w:rsidP="00947046">
            <w:pPr>
              <w:spacing w:before="80" w:after="80" w:line="220" w:lineRule="exact"/>
              <w:ind w:left="113"/>
              <w:jc w:val="right"/>
              <w:rPr>
                <w:b/>
                <w:sz w:val="18"/>
              </w:rPr>
            </w:pPr>
            <w:r w:rsidRPr="00A57E75">
              <w:rPr>
                <w:b/>
                <w:sz w:val="18"/>
              </w:rPr>
              <w:t>18,7</w:t>
            </w:r>
          </w:p>
        </w:tc>
        <w:tc>
          <w:tcPr>
            <w:tcW w:w="489" w:type="pct"/>
            <w:tcBorders>
              <w:top w:val="single" w:sz="4" w:space="0" w:color="auto"/>
              <w:bottom w:val="single" w:sz="12" w:space="0" w:color="auto"/>
            </w:tcBorders>
            <w:shd w:val="clear" w:color="auto" w:fill="auto"/>
            <w:noWrap/>
            <w:vAlign w:val="bottom"/>
          </w:tcPr>
          <w:p w:rsidR="00F236D5" w:rsidRPr="00A57E75" w:rsidRDefault="00F236D5" w:rsidP="00947046">
            <w:pPr>
              <w:spacing w:before="80" w:after="80" w:line="220" w:lineRule="exact"/>
              <w:ind w:left="113"/>
              <w:jc w:val="right"/>
              <w:rPr>
                <w:b/>
                <w:sz w:val="18"/>
              </w:rPr>
            </w:pPr>
            <w:r w:rsidRPr="00A57E75">
              <w:rPr>
                <w:b/>
                <w:sz w:val="18"/>
              </w:rPr>
              <w:t>18,9</w:t>
            </w:r>
          </w:p>
        </w:tc>
        <w:tc>
          <w:tcPr>
            <w:tcW w:w="490" w:type="pct"/>
            <w:tcBorders>
              <w:top w:val="single" w:sz="4" w:space="0" w:color="auto"/>
              <w:bottom w:val="single" w:sz="12" w:space="0" w:color="auto"/>
            </w:tcBorders>
            <w:shd w:val="clear" w:color="auto" w:fill="auto"/>
            <w:noWrap/>
            <w:vAlign w:val="bottom"/>
          </w:tcPr>
          <w:p w:rsidR="00F236D5" w:rsidRPr="00A57E75" w:rsidRDefault="00F236D5" w:rsidP="00947046">
            <w:pPr>
              <w:spacing w:before="80" w:after="80" w:line="220" w:lineRule="exact"/>
              <w:ind w:left="113"/>
              <w:jc w:val="right"/>
              <w:rPr>
                <w:b/>
                <w:sz w:val="18"/>
              </w:rPr>
            </w:pPr>
            <w:r w:rsidRPr="00A57E75">
              <w:rPr>
                <w:b/>
                <w:sz w:val="18"/>
              </w:rPr>
              <w:t>19,2</w:t>
            </w:r>
          </w:p>
        </w:tc>
      </w:tr>
    </w:tbl>
    <w:p w:rsidR="00F236D5" w:rsidRPr="004F77C5" w:rsidRDefault="00F236D5" w:rsidP="00F236D5">
      <w:pPr>
        <w:spacing w:before="120"/>
        <w:ind w:left="1134" w:right="1134" w:firstLine="170"/>
        <w:rPr>
          <w:sz w:val="18"/>
          <w:szCs w:val="18"/>
        </w:rPr>
      </w:pPr>
      <w:r w:rsidRPr="004F77C5">
        <w:rPr>
          <w:i/>
          <w:sz w:val="18"/>
          <w:szCs w:val="18"/>
        </w:rPr>
        <w:t>Fuente:</w:t>
      </w:r>
      <w:r w:rsidRPr="004F77C5">
        <w:rPr>
          <w:sz w:val="18"/>
          <w:szCs w:val="18"/>
        </w:rPr>
        <w:t xml:space="preserve"> Oficina de Estadísticas de Nueva Zelandia.</w:t>
      </w:r>
    </w:p>
    <w:p w:rsidR="00F236D5" w:rsidRPr="009445A2" w:rsidRDefault="00F236D5" w:rsidP="00F236D5">
      <w:pPr>
        <w:ind w:left="1134" w:right="1134" w:firstLine="170"/>
      </w:pPr>
      <w:r w:rsidRPr="00AA3104">
        <w:rPr>
          <w:i/>
          <w:sz w:val="18"/>
          <w:szCs w:val="18"/>
          <w:vertAlign w:val="superscript"/>
        </w:rPr>
        <w:t>1</w:t>
      </w:r>
      <w:r w:rsidRPr="004F77C5">
        <w:rPr>
          <w:sz w:val="18"/>
          <w:szCs w:val="18"/>
        </w:rPr>
        <w:t xml:space="preserve">  Número de personas integrantes del grupo de edad dependiente por cada 100 personas en edad de trabajar (15 a 64 años).</w:t>
      </w:r>
    </w:p>
    <w:p w:rsidR="00F236D5" w:rsidRPr="009445A2" w:rsidRDefault="00F236D5" w:rsidP="00F236D5">
      <w:pPr>
        <w:pStyle w:val="H4G"/>
      </w:pPr>
      <w:r>
        <w:tab/>
      </w:r>
      <w:r w:rsidRPr="009445A2">
        <w:t>e)</w:t>
      </w:r>
      <w:r w:rsidRPr="009445A2">
        <w:tab/>
        <w:t>Proporción del gasto doméstico por concepto de alimentación, vivienda y educación</w:t>
      </w:r>
    </w:p>
    <w:p w:rsidR="00F236D5" w:rsidRPr="0044681E" w:rsidRDefault="00F236D5" w:rsidP="00F236D5">
      <w:pPr>
        <w:pStyle w:val="SingleTxtG"/>
      </w:pPr>
      <w:r w:rsidRPr="0044681E">
        <w:t>60.</w:t>
      </w:r>
      <w:r w:rsidRPr="0044681E">
        <w:tab/>
        <w:t>Muchos de los servicios de educación y salud se financian con cargo a los impuestos generales y se ofrecen gratuitamente o a un costo subvencionado. Ello limita el valor de las comparaciones internacionales del gasto doméstico directo en esas esferas.</w:t>
      </w:r>
    </w:p>
    <w:p w:rsidR="00F236D5" w:rsidRDefault="00F236D5" w:rsidP="00F236D5">
      <w:pPr>
        <w:pStyle w:val="Heading1"/>
        <w:rPr>
          <w:bCs w:val="0"/>
        </w:rPr>
      </w:pPr>
      <w:r w:rsidRPr="00180B43">
        <w:rPr>
          <w:bCs w:val="0"/>
        </w:rPr>
        <w:t>Cuadro 17</w:t>
      </w:r>
    </w:p>
    <w:p w:rsidR="00F236D5" w:rsidRPr="006101C1" w:rsidRDefault="00F236D5" w:rsidP="00F236D5">
      <w:pPr>
        <w:pStyle w:val="SingleTxtG"/>
        <w:jc w:val="left"/>
        <w:rPr>
          <w:sz w:val="16"/>
          <w:szCs w:val="16"/>
        </w:rPr>
      </w:pPr>
      <w:r w:rsidRPr="00180B43">
        <w:rPr>
          <w:b/>
        </w:rPr>
        <w:t>Gasto doméstico por subgrupo y por grupo de ingresos familiares, 2006-2007</w:t>
      </w:r>
      <w:r>
        <w:rPr>
          <w:b/>
        </w:rPr>
        <w:br/>
      </w:r>
      <w:r>
        <w:rPr>
          <w:sz w:val="16"/>
          <w:szCs w:val="16"/>
        </w:rPr>
        <w:t>(En dólares)</w:t>
      </w:r>
    </w:p>
    <w:tbl>
      <w:tblPr>
        <w:tblW w:w="9617" w:type="dxa"/>
        <w:tblInd w:w="14" w:type="dxa"/>
        <w:tblBorders>
          <w:top w:val="single" w:sz="4" w:space="0" w:color="auto"/>
        </w:tblBorders>
        <w:tblCellMar>
          <w:left w:w="0" w:type="dxa"/>
          <w:right w:w="0" w:type="dxa"/>
        </w:tblCellMar>
        <w:tblLook w:val="0000" w:firstRow="0" w:lastRow="0" w:firstColumn="0" w:lastColumn="0" w:noHBand="0" w:noVBand="0"/>
      </w:tblPr>
      <w:tblGrid>
        <w:gridCol w:w="1890"/>
        <w:gridCol w:w="774"/>
        <w:gridCol w:w="773"/>
        <w:gridCol w:w="773"/>
        <w:gridCol w:w="773"/>
        <w:gridCol w:w="773"/>
        <w:gridCol w:w="773"/>
        <w:gridCol w:w="773"/>
        <w:gridCol w:w="773"/>
        <w:gridCol w:w="773"/>
        <w:gridCol w:w="769"/>
      </w:tblGrid>
      <w:tr w:rsidR="00F236D5" w:rsidRPr="00180B43" w:rsidTr="00947046">
        <w:tblPrEx>
          <w:tblCellMar>
            <w:top w:w="0" w:type="dxa"/>
            <w:bottom w:w="0" w:type="dxa"/>
          </w:tblCellMar>
        </w:tblPrEx>
        <w:trPr>
          <w:trHeight w:val="20"/>
          <w:tblHeader/>
        </w:trPr>
        <w:tc>
          <w:tcPr>
            <w:tcW w:w="982" w:type="pct"/>
            <w:tcBorders>
              <w:top w:val="single" w:sz="4" w:space="0" w:color="auto"/>
              <w:bottom w:val="single" w:sz="4" w:space="0" w:color="auto"/>
              <w:right w:val="single" w:sz="24" w:space="0" w:color="FFFFFF"/>
            </w:tcBorders>
            <w:shd w:val="clear" w:color="auto" w:fill="auto"/>
            <w:vAlign w:val="bottom"/>
          </w:tcPr>
          <w:p w:rsidR="00F236D5" w:rsidRPr="00180B43" w:rsidRDefault="00F236D5" w:rsidP="00947046">
            <w:pPr>
              <w:spacing w:before="80" w:after="80" w:line="200" w:lineRule="exact"/>
              <w:rPr>
                <w:i/>
                <w:sz w:val="16"/>
                <w:szCs w:val="16"/>
              </w:rPr>
            </w:pPr>
            <w:r w:rsidRPr="00180B43">
              <w:rPr>
                <w:i/>
                <w:sz w:val="16"/>
                <w:szCs w:val="16"/>
              </w:rPr>
              <w:t>Grupo de ingresos</w:t>
            </w:r>
          </w:p>
        </w:tc>
        <w:tc>
          <w:tcPr>
            <w:tcW w:w="402" w:type="pct"/>
            <w:tcBorders>
              <w:top w:val="single" w:sz="4" w:space="0" w:color="auto"/>
              <w:left w:val="single" w:sz="24" w:space="0" w:color="FFFFFF"/>
              <w:bottom w:val="single" w:sz="4" w:space="0" w:color="auto"/>
            </w:tcBorders>
            <w:shd w:val="clear" w:color="auto" w:fill="auto"/>
            <w:vAlign w:val="bottom"/>
          </w:tcPr>
          <w:p w:rsidR="00F236D5" w:rsidRPr="00180B43" w:rsidRDefault="00F236D5" w:rsidP="00947046">
            <w:pPr>
              <w:spacing w:before="80" w:after="80" w:line="200" w:lineRule="exact"/>
              <w:ind w:left="113"/>
              <w:jc w:val="right"/>
              <w:rPr>
                <w:i/>
                <w:sz w:val="16"/>
                <w:szCs w:val="16"/>
              </w:rPr>
            </w:pPr>
            <w:r w:rsidRPr="00180B43">
              <w:rPr>
                <w:i/>
                <w:sz w:val="16"/>
                <w:szCs w:val="16"/>
              </w:rPr>
              <w:t xml:space="preserve">Menos de 17.600 </w:t>
            </w:r>
          </w:p>
        </w:tc>
        <w:tc>
          <w:tcPr>
            <w:tcW w:w="402" w:type="pct"/>
            <w:tcBorders>
              <w:top w:val="single" w:sz="4" w:space="0" w:color="auto"/>
              <w:bottom w:val="single" w:sz="4" w:space="0" w:color="auto"/>
            </w:tcBorders>
            <w:shd w:val="clear" w:color="auto" w:fill="auto"/>
            <w:vAlign w:val="bottom"/>
          </w:tcPr>
          <w:p w:rsidR="00F236D5" w:rsidRPr="00111E6B" w:rsidRDefault="00F236D5" w:rsidP="00947046">
            <w:pPr>
              <w:spacing w:before="80" w:after="80" w:line="200" w:lineRule="exact"/>
              <w:ind w:left="113"/>
              <w:jc w:val="right"/>
              <w:rPr>
                <w:i/>
                <w:sz w:val="16"/>
              </w:rPr>
            </w:pPr>
            <w:r w:rsidRPr="00111E6B">
              <w:rPr>
                <w:i/>
                <w:sz w:val="16"/>
              </w:rPr>
              <w:t xml:space="preserve">17.600 a 25.799 </w:t>
            </w:r>
          </w:p>
        </w:tc>
        <w:tc>
          <w:tcPr>
            <w:tcW w:w="402" w:type="pct"/>
            <w:tcBorders>
              <w:top w:val="single" w:sz="4" w:space="0" w:color="auto"/>
              <w:bottom w:val="single" w:sz="4" w:space="0" w:color="auto"/>
            </w:tcBorders>
            <w:shd w:val="clear" w:color="auto" w:fill="auto"/>
            <w:vAlign w:val="center"/>
          </w:tcPr>
          <w:p w:rsidR="00F236D5" w:rsidRPr="00111E6B" w:rsidRDefault="00F236D5" w:rsidP="00947046">
            <w:pPr>
              <w:spacing w:before="80" w:after="80" w:line="200" w:lineRule="exact"/>
              <w:ind w:left="113"/>
              <w:jc w:val="right"/>
              <w:rPr>
                <w:i/>
                <w:sz w:val="16"/>
              </w:rPr>
            </w:pPr>
            <w:r w:rsidRPr="00180B43">
              <w:rPr>
                <w:i/>
                <w:sz w:val="16"/>
                <w:szCs w:val="16"/>
              </w:rPr>
              <w:t>25.800 a 33.399</w:t>
            </w:r>
          </w:p>
        </w:tc>
        <w:tc>
          <w:tcPr>
            <w:tcW w:w="402" w:type="pct"/>
            <w:tcBorders>
              <w:top w:val="single" w:sz="4" w:space="0" w:color="auto"/>
              <w:bottom w:val="single" w:sz="4" w:space="0" w:color="auto"/>
            </w:tcBorders>
            <w:shd w:val="clear" w:color="auto" w:fill="auto"/>
            <w:vAlign w:val="bottom"/>
          </w:tcPr>
          <w:p w:rsidR="00F236D5" w:rsidRPr="00180B43" w:rsidRDefault="00F236D5" w:rsidP="00947046">
            <w:pPr>
              <w:spacing w:before="80" w:after="80" w:line="200" w:lineRule="exact"/>
              <w:ind w:left="113"/>
              <w:jc w:val="right"/>
              <w:rPr>
                <w:i/>
                <w:sz w:val="16"/>
              </w:rPr>
            </w:pPr>
            <w:r w:rsidRPr="00180B43">
              <w:rPr>
                <w:i/>
                <w:sz w:val="16"/>
                <w:szCs w:val="16"/>
              </w:rPr>
              <w:t xml:space="preserve">33.400 a 44.899 </w:t>
            </w:r>
          </w:p>
        </w:tc>
        <w:tc>
          <w:tcPr>
            <w:tcW w:w="402" w:type="pct"/>
            <w:tcBorders>
              <w:top w:val="single" w:sz="4" w:space="0" w:color="auto"/>
              <w:bottom w:val="single" w:sz="4" w:space="0" w:color="auto"/>
            </w:tcBorders>
            <w:shd w:val="clear" w:color="auto" w:fill="auto"/>
            <w:vAlign w:val="bottom"/>
          </w:tcPr>
          <w:p w:rsidR="00F236D5" w:rsidRPr="00180B43" w:rsidRDefault="00F236D5" w:rsidP="00947046">
            <w:pPr>
              <w:spacing w:before="80" w:after="80" w:line="200" w:lineRule="exact"/>
              <w:ind w:left="113"/>
              <w:jc w:val="right"/>
              <w:rPr>
                <w:i/>
                <w:sz w:val="16"/>
              </w:rPr>
            </w:pPr>
            <w:r w:rsidRPr="00180B43">
              <w:rPr>
                <w:i/>
                <w:sz w:val="16"/>
                <w:szCs w:val="16"/>
              </w:rPr>
              <w:t xml:space="preserve">44.900 a 55.799 </w:t>
            </w:r>
          </w:p>
        </w:tc>
        <w:tc>
          <w:tcPr>
            <w:tcW w:w="402" w:type="pct"/>
            <w:tcBorders>
              <w:top w:val="single" w:sz="4" w:space="0" w:color="auto"/>
              <w:bottom w:val="single" w:sz="4" w:space="0" w:color="auto"/>
            </w:tcBorders>
            <w:shd w:val="clear" w:color="auto" w:fill="auto"/>
            <w:vAlign w:val="bottom"/>
          </w:tcPr>
          <w:p w:rsidR="00F236D5" w:rsidRPr="00180B43" w:rsidRDefault="00F236D5" w:rsidP="00947046">
            <w:pPr>
              <w:spacing w:before="80" w:after="80" w:line="200" w:lineRule="exact"/>
              <w:ind w:left="113"/>
              <w:jc w:val="right"/>
              <w:rPr>
                <w:i/>
                <w:sz w:val="16"/>
              </w:rPr>
            </w:pPr>
            <w:r w:rsidRPr="00180B43">
              <w:rPr>
                <w:i/>
                <w:sz w:val="16"/>
                <w:szCs w:val="16"/>
              </w:rPr>
              <w:t xml:space="preserve">55.800 a 67.999 </w:t>
            </w:r>
          </w:p>
        </w:tc>
        <w:tc>
          <w:tcPr>
            <w:tcW w:w="402" w:type="pct"/>
            <w:tcBorders>
              <w:top w:val="single" w:sz="4" w:space="0" w:color="auto"/>
              <w:bottom w:val="single" w:sz="4" w:space="0" w:color="auto"/>
            </w:tcBorders>
            <w:shd w:val="clear" w:color="auto" w:fill="auto"/>
            <w:vAlign w:val="bottom"/>
          </w:tcPr>
          <w:p w:rsidR="00F236D5" w:rsidRPr="00180B43" w:rsidRDefault="00F236D5" w:rsidP="00947046">
            <w:pPr>
              <w:spacing w:before="80" w:after="80" w:line="200" w:lineRule="exact"/>
              <w:ind w:left="113"/>
              <w:jc w:val="right"/>
              <w:rPr>
                <w:i/>
                <w:sz w:val="16"/>
              </w:rPr>
            </w:pPr>
            <w:r w:rsidRPr="00180B43">
              <w:rPr>
                <w:i/>
                <w:sz w:val="16"/>
                <w:szCs w:val="16"/>
              </w:rPr>
              <w:t xml:space="preserve">68.000 a 80.899 </w:t>
            </w:r>
          </w:p>
        </w:tc>
        <w:tc>
          <w:tcPr>
            <w:tcW w:w="402" w:type="pct"/>
            <w:tcBorders>
              <w:top w:val="single" w:sz="4" w:space="0" w:color="auto"/>
              <w:bottom w:val="single" w:sz="4" w:space="0" w:color="auto"/>
            </w:tcBorders>
            <w:shd w:val="clear" w:color="auto" w:fill="auto"/>
            <w:vAlign w:val="bottom"/>
          </w:tcPr>
          <w:p w:rsidR="00F236D5" w:rsidRPr="00180B43" w:rsidRDefault="00F236D5" w:rsidP="00947046">
            <w:pPr>
              <w:spacing w:before="80" w:after="80" w:line="200" w:lineRule="exact"/>
              <w:ind w:left="113"/>
              <w:jc w:val="right"/>
              <w:rPr>
                <w:i/>
                <w:sz w:val="16"/>
              </w:rPr>
            </w:pPr>
            <w:r w:rsidRPr="00180B43">
              <w:rPr>
                <w:i/>
                <w:sz w:val="16"/>
                <w:szCs w:val="16"/>
              </w:rPr>
              <w:t xml:space="preserve">80.900 a 98.799 </w:t>
            </w:r>
          </w:p>
        </w:tc>
        <w:tc>
          <w:tcPr>
            <w:tcW w:w="402" w:type="pct"/>
            <w:tcBorders>
              <w:top w:val="single" w:sz="4" w:space="0" w:color="auto"/>
              <w:bottom w:val="single" w:sz="4" w:space="0" w:color="auto"/>
            </w:tcBorders>
            <w:shd w:val="clear" w:color="auto" w:fill="auto"/>
            <w:vAlign w:val="bottom"/>
          </w:tcPr>
          <w:p w:rsidR="00F236D5" w:rsidRPr="00180B43" w:rsidRDefault="00F236D5" w:rsidP="00947046">
            <w:pPr>
              <w:spacing w:before="80" w:after="80" w:line="200" w:lineRule="exact"/>
              <w:ind w:left="113"/>
              <w:jc w:val="right"/>
              <w:rPr>
                <w:i/>
                <w:sz w:val="16"/>
              </w:rPr>
            </w:pPr>
            <w:r w:rsidRPr="00180B43">
              <w:rPr>
                <w:i/>
                <w:sz w:val="16"/>
                <w:szCs w:val="16"/>
              </w:rPr>
              <w:t xml:space="preserve">98.800 a 131.299 </w:t>
            </w:r>
          </w:p>
        </w:tc>
        <w:tc>
          <w:tcPr>
            <w:tcW w:w="401" w:type="pct"/>
            <w:tcBorders>
              <w:top w:val="single" w:sz="4" w:space="0" w:color="auto"/>
              <w:bottom w:val="single" w:sz="4" w:space="0" w:color="auto"/>
            </w:tcBorders>
            <w:shd w:val="clear" w:color="auto" w:fill="auto"/>
            <w:vAlign w:val="bottom"/>
          </w:tcPr>
          <w:p w:rsidR="00F236D5" w:rsidRPr="00180B43" w:rsidRDefault="00F236D5" w:rsidP="00947046">
            <w:pPr>
              <w:spacing w:before="80" w:after="80" w:line="200" w:lineRule="exact"/>
              <w:ind w:left="113"/>
              <w:jc w:val="right"/>
              <w:rPr>
                <w:i/>
                <w:sz w:val="16"/>
              </w:rPr>
            </w:pPr>
            <w:r w:rsidRPr="00180B43">
              <w:rPr>
                <w:i/>
                <w:sz w:val="16"/>
                <w:szCs w:val="16"/>
              </w:rPr>
              <w:t>131.300 o más</w:t>
            </w:r>
          </w:p>
        </w:tc>
      </w:tr>
      <w:tr w:rsidR="00F236D5" w:rsidRPr="00111E6B" w:rsidTr="00947046">
        <w:tblPrEx>
          <w:tblCellMar>
            <w:top w:w="0" w:type="dxa"/>
            <w:bottom w:w="0" w:type="dxa"/>
          </w:tblCellMar>
        </w:tblPrEx>
        <w:trPr>
          <w:trHeight w:val="240"/>
        </w:trPr>
        <w:tc>
          <w:tcPr>
            <w:tcW w:w="982" w:type="pct"/>
            <w:tcBorders>
              <w:top w:val="single" w:sz="4" w:space="0" w:color="auto"/>
              <w:bottom w:val="single" w:sz="12" w:space="0" w:color="auto"/>
              <w:right w:val="single" w:sz="24" w:space="0" w:color="FFFFFF"/>
            </w:tcBorders>
            <w:shd w:val="clear" w:color="auto" w:fill="auto"/>
          </w:tcPr>
          <w:p w:rsidR="00F236D5" w:rsidRPr="00111E6B" w:rsidRDefault="00F236D5" w:rsidP="00947046">
            <w:pPr>
              <w:spacing w:before="80" w:after="80" w:line="220" w:lineRule="exact"/>
              <w:rPr>
                <w:i/>
                <w:sz w:val="16"/>
                <w:szCs w:val="16"/>
              </w:rPr>
            </w:pPr>
            <w:r w:rsidRPr="00111E6B">
              <w:rPr>
                <w:i/>
                <w:sz w:val="16"/>
                <w:szCs w:val="16"/>
              </w:rPr>
              <w:t>Categoría</w:t>
            </w:r>
          </w:p>
        </w:tc>
        <w:tc>
          <w:tcPr>
            <w:tcW w:w="4018" w:type="pct"/>
            <w:gridSpan w:val="10"/>
            <w:tcBorders>
              <w:top w:val="single" w:sz="4" w:space="0" w:color="auto"/>
              <w:left w:val="single" w:sz="24" w:space="0" w:color="FFFFFF"/>
              <w:bottom w:val="single" w:sz="12" w:space="0" w:color="auto"/>
            </w:tcBorders>
            <w:shd w:val="clear" w:color="auto" w:fill="auto"/>
            <w:vAlign w:val="bottom"/>
          </w:tcPr>
          <w:p w:rsidR="00F236D5" w:rsidRPr="00111E6B" w:rsidRDefault="00F236D5" w:rsidP="00947046">
            <w:pPr>
              <w:spacing w:before="80" w:after="80" w:line="220" w:lineRule="exact"/>
              <w:ind w:left="113"/>
              <w:jc w:val="center"/>
              <w:rPr>
                <w:i/>
                <w:sz w:val="16"/>
                <w:szCs w:val="16"/>
              </w:rPr>
            </w:pPr>
            <w:r w:rsidRPr="00111E6B">
              <w:rPr>
                <w:i/>
                <w:sz w:val="16"/>
                <w:szCs w:val="16"/>
              </w:rPr>
              <w:t>Gasto doméstico semanal medio</w:t>
            </w:r>
          </w:p>
        </w:tc>
      </w:tr>
      <w:tr w:rsidR="00F236D5" w:rsidRPr="00180B43" w:rsidTr="00947046">
        <w:tblPrEx>
          <w:tblCellMar>
            <w:top w:w="0" w:type="dxa"/>
            <w:bottom w:w="0" w:type="dxa"/>
          </w:tblCellMar>
        </w:tblPrEx>
        <w:trPr>
          <w:trHeight w:val="170"/>
        </w:trPr>
        <w:tc>
          <w:tcPr>
            <w:tcW w:w="982" w:type="pct"/>
            <w:tcBorders>
              <w:top w:val="nil"/>
            </w:tcBorders>
            <w:shd w:val="clear" w:color="auto" w:fill="auto"/>
          </w:tcPr>
          <w:p w:rsidR="00F236D5" w:rsidRPr="006101C1" w:rsidRDefault="00F236D5" w:rsidP="00947046">
            <w:pPr>
              <w:spacing w:before="40" w:after="40" w:line="220" w:lineRule="exact"/>
              <w:rPr>
                <w:sz w:val="18"/>
                <w:szCs w:val="18"/>
              </w:rPr>
            </w:pPr>
            <w:r w:rsidRPr="006101C1">
              <w:rPr>
                <w:sz w:val="18"/>
                <w:szCs w:val="18"/>
              </w:rPr>
              <w:t>Alimentación</w:t>
            </w:r>
          </w:p>
        </w:tc>
        <w:tc>
          <w:tcPr>
            <w:tcW w:w="402" w:type="pct"/>
            <w:tcBorders>
              <w:top w:val="nil"/>
            </w:tcBorders>
            <w:shd w:val="clear" w:color="auto" w:fill="auto"/>
            <w:vAlign w:val="bottom"/>
          </w:tcPr>
          <w:p w:rsidR="00F236D5" w:rsidRPr="006101C1" w:rsidRDefault="00F236D5" w:rsidP="00947046">
            <w:pPr>
              <w:spacing w:before="40" w:after="40" w:line="220" w:lineRule="exact"/>
              <w:ind w:left="113"/>
              <w:jc w:val="right"/>
              <w:rPr>
                <w:sz w:val="18"/>
                <w:szCs w:val="18"/>
              </w:rPr>
            </w:pPr>
            <w:r>
              <w:rPr>
                <w:sz w:val="18"/>
                <w:szCs w:val="18"/>
              </w:rPr>
              <w:t>67,</w:t>
            </w:r>
            <w:r w:rsidRPr="006101C1">
              <w:rPr>
                <w:sz w:val="18"/>
                <w:szCs w:val="18"/>
              </w:rPr>
              <w:t>70</w:t>
            </w:r>
          </w:p>
        </w:tc>
        <w:tc>
          <w:tcPr>
            <w:tcW w:w="402" w:type="pct"/>
            <w:tcBorders>
              <w:top w:val="nil"/>
            </w:tcBorders>
            <w:shd w:val="clear" w:color="auto" w:fill="auto"/>
            <w:vAlign w:val="bottom"/>
          </w:tcPr>
          <w:p w:rsidR="00F236D5" w:rsidRPr="006101C1" w:rsidRDefault="00F236D5" w:rsidP="00947046">
            <w:pPr>
              <w:spacing w:before="40" w:after="40" w:line="220" w:lineRule="exact"/>
              <w:ind w:left="113"/>
              <w:jc w:val="right"/>
              <w:rPr>
                <w:sz w:val="18"/>
                <w:szCs w:val="18"/>
              </w:rPr>
            </w:pPr>
            <w:r>
              <w:rPr>
                <w:sz w:val="18"/>
                <w:szCs w:val="18"/>
              </w:rPr>
              <w:t>82,</w:t>
            </w:r>
            <w:r w:rsidRPr="006101C1">
              <w:rPr>
                <w:sz w:val="18"/>
                <w:szCs w:val="18"/>
              </w:rPr>
              <w:t>70</w:t>
            </w:r>
          </w:p>
        </w:tc>
        <w:tc>
          <w:tcPr>
            <w:tcW w:w="402" w:type="pct"/>
            <w:tcBorders>
              <w:top w:val="nil"/>
            </w:tcBorders>
            <w:shd w:val="clear" w:color="auto" w:fill="auto"/>
            <w:vAlign w:val="bottom"/>
          </w:tcPr>
          <w:p w:rsidR="00F236D5" w:rsidRPr="006101C1" w:rsidRDefault="00F236D5" w:rsidP="00947046">
            <w:pPr>
              <w:spacing w:before="40" w:after="40" w:line="220" w:lineRule="exact"/>
              <w:ind w:left="113"/>
              <w:jc w:val="right"/>
              <w:rPr>
                <w:sz w:val="18"/>
                <w:szCs w:val="18"/>
              </w:rPr>
            </w:pPr>
            <w:r w:rsidRPr="006101C1">
              <w:rPr>
                <w:sz w:val="18"/>
                <w:szCs w:val="18"/>
              </w:rPr>
              <w:t>102</w:t>
            </w:r>
            <w:r>
              <w:rPr>
                <w:sz w:val="18"/>
                <w:szCs w:val="18"/>
              </w:rPr>
              <w:t>,</w:t>
            </w:r>
            <w:r w:rsidRPr="006101C1">
              <w:rPr>
                <w:sz w:val="18"/>
                <w:szCs w:val="18"/>
              </w:rPr>
              <w:t>10</w:t>
            </w:r>
          </w:p>
        </w:tc>
        <w:tc>
          <w:tcPr>
            <w:tcW w:w="402" w:type="pct"/>
            <w:tcBorders>
              <w:top w:val="nil"/>
            </w:tcBorders>
            <w:shd w:val="clear" w:color="auto" w:fill="auto"/>
            <w:vAlign w:val="bottom"/>
          </w:tcPr>
          <w:p w:rsidR="00F236D5" w:rsidRPr="006101C1" w:rsidRDefault="00F236D5" w:rsidP="00947046">
            <w:pPr>
              <w:spacing w:before="40" w:after="40" w:line="220" w:lineRule="exact"/>
              <w:ind w:left="113"/>
              <w:jc w:val="right"/>
              <w:rPr>
                <w:sz w:val="18"/>
                <w:szCs w:val="18"/>
              </w:rPr>
            </w:pPr>
            <w:r w:rsidRPr="006101C1">
              <w:rPr>
                <w:sz w:val="18"/>
                <w:szCs w:val="18"/>
              </w:rPr>
              <w:t>120</w:t>
            </w:r>
            <w:r>
              <w:rPr>
                <w:sz w:val="18"/>
                <w:szCs w:val="18"/>
              </w:rPr>
              <w:t>,</w:t>
            </w:r>
            <w:r w:rsidRPr="006101C1">
              <w:rPr>
                <w:sz w:val="18"/>
                <w:szCs w:val="18"/>
              </w:rPr>
              <w:t>60</w:t>
            </w:r>
          </w:p>
        </w:tc>
        <w:tc>
          <w:tcPr>
            <w:tcW w:w="402" w:type="pct"/>
            <w:tcBorders>
              <w:top w:val="nil"/>
            </w:tcBorders>
            <w:shd w:val="clear" w:color="auto" w:fill="auto"/>
            <w:vAlign w:val="bottom"/>
          </w:tcPr>
          <w:p w:rsidR="00F236D5" w:rsidRPr="006101C1" w:rsidRDefault="00F236D5" w:rsidP="00947046">
            <w:pPr>
              <w:spacing w:before="40" w:after="40" w:line="220" w:lineRule="exact"/>
              <w:ind w:left="113"/>
              <w:jc w:val="right"/>
              <w:rPr>
                <w:sz w:val="18"/>
                <w:szCs w:val="18"/>
              </w:rPr>
            </w:pPr>
            <w:r w:rsidRPr="006101C1">
              <w:rPr>
                <w:sz w:val="18"/>
                <w:szCs w:val="18"/>
              </w:rPr>
              <w:t>140</w:t>
            </w:r>
            <w:r>
              <w:rPr>
                <w:sz w:val="18"/>
                <w:szCs w:val="18"/>
              </w:rPr>
              <w:t>,</w:t>
            </w:r>
            <w:r w:rsidRPr="006101C1">
              <w:rPr>
                <w:sz w:val="18"/>
                <w:szCs w:val="18"/>
              </w:rPr>
              <w:t>80</w:t>
            </w:r>
          </w:p>
        </w:tc>
        <w:tc>
          <w:tcPr>
            <w:tcW w:w="402" w:type="pct"/>
            <w:tcBorders>
              <w:top w:val="nil"/>
            </w:tcBorders>
            <w:shd w:val="clear" w:color="auto" w:fill="auto"/>
            <w:vAlign w:val="bottom"/>
          </w:tcPr>
          <w:p w:rsidR="00F236D5" w:rsidRPr="006101C1" w:rsidRDefault="00F236D5" w:rsidP="00947046">
            <w:pPr>
              <w:spacing w:before="40" w:after="40" w:line="220" w:lineRule="exact"/>
              <w:ind w:left="113"/>
              <w:jc w:val="right"/>
              <w:rPr>
                <w:sz w:val="18"/>
                <w:szCs w:val="18"/>
              </w:rPr>
            </w:pPr>
            <w:r w:rsidRPr="006101C1">
              <w:rPr>
                <w:sz w:val="18"/>
                <w:szCs w:val="18"/>
              </w:rPr>
              <w:t>150</w:t>
            </w:r>
            <w:r>
              <w:rPr>
                <w:sz w:val="18"/>
                <w:szCs w:val="18"/>
              </w:rPr>
              <w:t>,</w:t>
            </w:r>
            <w:r w:rsidRPr="006101C1">
              <w:rPr>
                <w:sz w:val="18"/>
                <w:szCs w:val="18"/>
              </w:rPr>
              <w:t>60</w:t>
            </w:r>
          </w:p>
        </w:tc>
        <w:tc>
          <w:tcPr>
            <w:tcW w:w="402" w:type="pct"/>
            <w:tcBorders>
              <w:top w:val="nil"/>
            </w:tcBorders>
            <w:shd w:val="clear" w:color="auto" w:fill="auto"/>
            <w:vAlign w:val="bottom"/>
          </w:tcPr>
          <w:p w:rsidR="00F236D5" w:rsidRPr="006101C1" w:rsidRDefault="00F236D5" w:rsidP="00947046">
            <w:pPr>
              <w:spacing w:before="40" w:after="40" w:line="220" w:lineRule="exact"/>
              <w:ind w:left="113"/>
              <w:jc w:val="right"/>
              <w:rPr>
                <w:sz w:val="18"/>
                <w:szCs w:val="18"/>
              </w:rPr>
            </w:pPr>
            <w:r w:rsidRPr="006101C1">
              <w:rPr>
                <w:sz w:val="18"/>
                <w:szCs w:val="18"/>
              </w:rPr>
              <w:t>178</w:t>
            </w:r>
            <w:r>
              <w:rPr>
                <w:sz w:val="18"/>
                <w:szCs w:val="18"/>
              </w:rPr>
              <w:t>,</w:t>
            </w:r>
            <w:r w:rsidRPr="006101C1">
              <w:rPr>
                <w:sz w:val="18"/>
                <w:szCs w:val="18"/>
              </w:rPr>
              <w:t>20</w:t>
            </w:r>
          </w:p>
        </w:tc>
        <w:tc>
          <w:tcPr>
            <w:tcW w:w="402" w:type="pct"/>
            <w:tcBorders>
              <w:top w:val="nil"/>
            </w:tcBorders>
            <w:shd w:val="clear" w:color="auto" w:fill="auto"/>
            <w:vAlign w:val="bottom"/>
          </w:tcPr>
          <w:p w:rsidR="00F236D5" w:rsidRPr="006101C1" w:rsidRDefault="00F236D5" w:rsidP="00947046">
            <w:pPr>
              <w:spacing w:before="40" w:after="40" w:line="220" w:lineRule="exact"/>
              <w:ind w:left="113"/>
              <w:jc w:val="right"/>
              <w:rPr>
                <w:sz w:val="18"/>
                <w:szCs w:val="18"/>
              </w:rPr>
            </w:pPr>
            <w:r w:rsidRPr="006101C1">
              <w:rPr>
                <w:sz w:val="18"/>
                <w:szCs w:val="18"/>
              </w:rPr>
              <w:t>201</w:t>
            </w:r>
            <w:r>
              <w:rPr>
                <w:sz w:val="18"/>
                <w:szCs w:val="18"/>
              </w:rPr>
              <w:t>,</w:t>
            </w:r>
            <w:r w:rsidRPr="006101C1">
              <w:rPr>
                <w:sz w:val="18"/>
                <w:szCs w:val="18"/>
              </w:rPr>
              <w:t>30</w:t>
            </w:r>
          </w:p>
        </w:tc>
        <w:tc>
          <w:tcPr>
            <w:tcW w:w="402" w:type="pct"/>
            <w:tcBorders>
              <w:top w:val="nil"/>
            </w:tcBorders>
            <w:shd w:val="clear" w:color="auto" w:fill="auto"/>
            <w:vAlign w:val="bottom"/>
          </w:tcPr>
          <w:p w:rsidR="00F236D5" w:rsidRPr="006101C1" w:rsidRDefault="00F236D5" w:rsidP="00947046">
            <w:pPr>
              <w:spacing w:before="40" w:after="40" w:line="220" w:lineRule="exact"/>
              <w:ind w:left="113"/>
              <w:jc w:val="right"/>
              <w:rPr>
                <w:sz w:val="18"/>
                <w:szCs w:val="18"/>
              </w:rPr>
            </w:pPr>
            <w:r w:rsidRPr="006101C1">
              <w:rPr>
                <w:sz w:val="18"/>
                <w:szCs w:val="18"/>
              </w:rPr>
              <w:t>226</w:t>
            </w:r>
            <w:r>
              <w:rPr>
                <w:sz w:val="18"/>
                <w:szCs w:val="18"/>
              </w:rPr>
              <w:t>,</w:t>
            </w:r>
            <w:r w:rsidRPr="006101C1">
              <w:rPr>
                <w:sz w:val="18"/>
                <w:szCs w:val="18"/>
              </w:rPr>
              <w:t>80</w:t>
            </w:r>
          </w:p>
        </w:tc>
        <w:tc>
          <w:tcPr>
            <w:tcW w:w="401" w:type="pct"/>
            <w:tcBorders>
              <w:top w:val="nil"/>
            </w:tcBorders>
            <w:shd w:val="clear" w:color="auto" w:fill="auto"/>
            <w:vAlign w:val="bottom"/>
          </w:tcPr>
          <w:p w:rsidR="00F236D5" w:rsidRPr="006101C1" w:rsidRDefault="00F236D5" w:rsidP="00947046">
            <w:pPr>
              <w:spacing w:before="40" w:after="40" w:line="220" w:lineRule="exact"/>
              <w:ind w:left="113"/>
              <w:jc w:val="right"/>
              <w:rPr>
                <w:sz w:val="18"/>
                <w:szCs w:val="18"/>
              </w:rPr>
            </w:pPr>
            <w:r w:rsidRPr="006101C1">
              <w:rPr>
                <w:sz w:val="18"/>
                <w:szCs w:val="18"/>
              </w:rPr>
              <w:t>285</w:t>
            </w:r>
            <w:r>
              <w:rPr>
                <w:sz w:val="18"/>
                <w:szCs w:val="18"/>
              </w:rPr>
              <w:t>,</w:t>
            </w:r>
            <w:r w:rsidRPr="006101C1">
              <w:rPr>
                <w:sz w:val="18"/>
                <w:szCs w:val="18"/>
              </w:rPr>
              <w:t>40</w:t>
            </w:r>
          </w:p>
        </w:tc>
      </w:tr>
      <w:tr w:rsidR="00F236D5" w:rsidRPr="00180B43" w:rsidTr="00947046">
        <w:tblPrEx>
          <w:tblCellMar>
            <w:top w:w="0" w:type="dxa"/>
            <w:bottom w:w="0" w:type="dxa"/>
          </w:tblCellMar>
        </w:tblPrEx>
        <w:trPr>
          <w:trHeight w:val="170"/>
        </w:trPr>
        <w:tc>
          <w:tcPr>
            <w:tcW w:w="982" w:type="pct"/>
            <w:tcBorders>
              <w:bottom w:val="single" w:sz="12" w:space="0" w:color="auto"/>
            </w:tcBorders>
            <w:shd w:val="clear" w:color="auto" w:fill="auto"/>
          </w:tcPr>
          <w:p w:rsidR="00F236D5" w:rsidRPr="006101C1" w:rsidRDefault="00F236D5" w:rsidP="00947046">
            <w:pPr>
              <w:spacing w:before="40" w:after="40" w:line="220" w:lineRule="exact"/>
              <w:rPr>
                <w:sz w:val="18"/>
                <w:szCs w:val="18"/>
              </w:rPr>
            </w:pPr>
            <w:r w:rsidRPr="006101C1">
              <w:rPr>
                <w:sz w:val="18"/>
                <w:szCs w:val="18"/>
              </w:rPr>
              <w:t>Vivienda/servicios</w:t>
            </w:r>
            <w:r>
              <w:rPr>
                <w:sz w:val="18"/>
                <w:szCs w:val="18"/>
              </w:rPr>
              <w:br/>
            </w:r>
            <w:r w:rsidRPr="006101C1">
              <w:rPr>
                <w:sz w:val="18"/>
                <w:szCs w:val="18"/>
              </w:rPr>
              <w:t>(gas, electricidad, etc.)</w:t>
            </w:r>
          </w:p>
        </w:tc>
        <w:tc>
          <w:tcPr>
            <w:tcW w:w="402" w:type="pct"/>
            <w:tcBorders>
              <w:bottom w:val="single" w:sz="12" w:space="0" w:color="auto"/>
            </w:tcBorders>
            <w:shd w:val="clear" w:color="auto" w:fill="auto"/>
            <w:vAlign w:val="bottom"/>
          </w:tcPr>
          <w:p w:rsidR="00F236D5" w:rsidRPr="006101C1" w:rsidRDefault="00F236D5" w:rsidP="00947046">
            <w:pPr>
              <w:spacing w:before="40" w:after="40" w:line="220" w:lineRule="exact"/>
              <w:ind w:left="113"/>
              <w:jc w:val="right"/>
              <w:rPr>
                <w:sz w:val="18"/>
                <w:szCs w:val="18"/>
              </w:rPr>
            </w:pPr>
            <w:r>
              <w:rPr>
                <w:sz w:val="18"/>
                <w:szCs w:val="18"/>
              </w:rPr>
              <w:t>119,</w:t>
            </w:r>
            <w:r w:rsidRPr="006101C1">
              <w:rPr>
                <w:sz w:val="18"/>
                <w:szCs w:val="18"/>
              </w:rPr>
              <w:t>70</w:t>
            </w:r>
          </w:p>
        </w:tc>
        <w:tc>
          <w:tcPr>
            <w:tcW w:w="402" w:type="pct"/>
            <w:tcBorders>
              <w:bottom w:val="single" w:sz="12" w:space="0" w:color="auto"/>
            </w:tcBorders>
            <w:shd w:val="clear" w:color="auto" w:fill="auto"/>
            <w:vAlign w:val="bottom"/>
          </w:tcPr>
          <w:p w:rsidR="00F236D5" w:rsidRPr="006101C1" w:rsidRDefault="00F236D5" w:rsidP="00947046">
            <w:pPr>
              <w:spacing w:before="40" w:after="40" w:line="220" w:lineRule="exact"/>
              <w:ind w:left="113"/>
              <w:jc w:val="right"/>
              <w:rPr>
                <w:sz w:val="18"/>
                <w:szCs w:val="18"/>
              </w:rPr>
            </w:pPr>
            <w:r>
              <w:rPr>
                <w:sz w:val="18"/>
                <w:szCs w:val="18"/>
              </w:rPr>
              <w:t>132,</w:t>
            </w:r>
            <w:r w:rsidRPr="006101C1">
              <w:rPr>
                <w:sz w:val="18"/>
                <w:szCs w:val="18"/>
              </w:rPr>
              <w:t>30</w:t>
            </w:r>
          </w:p>
        </w:tc>
        <w:tc>
          <w:tcPr>
            <w:tcW w:w="402" w:type="pct"/>
            <w:tcBorders>
              <w:bottom w:val="single" w:sz="12" w:space="0" w:color="auto"/>
            </w:tcBorders>
            <w:shd w:val="clear" w:color="auto" w:fill="auto"/>
            <w:vAlign w:val="bottom"/>
          </w:tcPr>
          <w:p w:rsidR="00F236D5" w:rsidRPr="006101C1" w:rsidRDefault="00F236D5" w:rsidP="00947046">
            <w:pPr>
              <w:spacing w:before="40" w:after="40" w:line="220" w:lineRule="exact"/>
              <w:ind w:left="113"/>
              <w:jc w:val="right"/>
              <w:rPr>
                <w:sz w:val="18"/>
                <w:szCs w:val="18"/>
              </w:rPr>
            </w:pPr>
            <w:r>
              <w:rPr>
                <w:sz w:val="18"/>
                <w:szCs w:val="18"/>
              </w:rPr>
              <w:t>147,</w:t>
            </w:r>
            <w:r w:rsidRPr="006101C1">
              <w:rPr>
                <w:sz w:val="18"/>
                <w:szCs w:val="18"/>
              </w:rPr>
              <w:t>80</w:t>
            </w:r>
          </w:p>
        </w:tc>
        <w:tc>
          <w:tcPr>
            <w:tcW w:w="402" w:type="pct"/>
            <w:tcBorders>
              <w:bottom w:val="single" w:sz="12" w:space="0" w:color="auto"/>
            </w:tcBorders>
            <w:shd w:val="clear" w:color="auto" w:fill="auto"/>
            <w:vAlign w:val="bottom"/>
          </w:tcPr>
          <w:p w:rsidR="00F236D5" w:rsidRPr="006101C1" w:rsidRDefault="00F236D5" w:rsidP="00947046">
            <w:pPr>
              <w:spacing w:before="40" w:after="40" w:line="220" w:lineRule="exact"/>
              <w:ind w:left="113"/>
              <w:jc w:val="right"/>
              <w:rPr>
                <w:sz w:val="18"/>
                <w:szCs w:val="18"/>
              </w:rPr>
            </w:pPr>
            <w:r w:rsidRPr="006101C1">
              <w:rPr>
                <w:sz w:val="18"/>
                <w:szCs w:val="18"/>
              </w:rPr>
              <w:t>190</w:t>
            </w:r>
            <w:r>
              <w:rPr>
                <w:sz w:val="18"/>
                <w:szCs w:val="18"/>
              </w:rPr>
              <w:t>,</w:t>
            </w:r>
            <w:r w:rsidRPr="006101C1">
              <w:rPr>
                <w:sz w:val="18"/>
                <w:szCs w:val="18"/>
              </w:rPr>
              <w:t>10</w:t>
            </w:r>
          </w:p>
        </w:tc>
        <w:tc>
          <w:tcPr>
            <w:tcW w:w="402" w:type="pct"/>
            <w:tcBorders>
              <w:bottom w:val="single" w:sz="12" w:space="0" w:color="auto"/>
            </w:tcBorders>
            <w:shd w:val="clear" w:color="auto" w:fill="auto"/>
            <w:vAlign w:val="bottom"/>
          </w:tcPr>
          <w:p w:rsidR="00F236D5" w:rsidRPr="006101C1" w:rsidRDefault="00F236D5" w:rsidP="00947046">
            <w:pPr>
              <w:spacing w:before="40" w:after="40" w:line="220" w:lineRule="exact"/>
              <w:ind w:left="113"/>
              <w:jc w:val="right"/>
              <w:rPr>
                <w:sz w:val="18"/>
                <w:szCs w:val="18"/>
              </w:rPr>
            </w:pPr>
            <w:r w:rsidRPr="006101C1">
              <w:rPr>
                <w:sz w:val="18"/>
                <w:szCs w:val="18"/>
              </w:rPr>
              <w:t>202</w:t>
            </w:r>
            <w:r>
              <w:rPr>
                <w:sz w:val="18"/>
                <w:szCs w:val="18"/>
              </w:rPr>
              <w:t>,</w:t>
            </w:r>
            <w:r w:rsidRPr="006101C1">
              <w:rPr>
                <w:sz w:val="18"/>
                <w:szCs w:val="18"/>
              </w:rPr>
              <w:t>10</w:t>
            </w:r>
          </w:p>
        </w:tc>
        <w:tc>
          <w:tcPr>
            <w:tcW w:w="402" w:type="pct"/>
            <w:tcBorders>
              <w:bottom w:val="single" w:sz="12" w:space="0" w:color="auto"/>
            </w:tcBorders>
            <w:shd w:val="clear" w:color="auto" w:fill="auto"/>
            <w:vAlign w:val="bottom"/>
          </w:tcPr>
          <w:p w:rsidR="00F236D5" w:rsidRPr="006101C1" w:rsidRDefault="00F236D5" w:rsidP="00947046">
            <w:pPr>
              <w:spacing w:before="40" w:after="40" w:line="220" w:lineRule="exact"/>
              <w:ind w:left="113"/>
              <w:jc w:val="right"/>
              <w:rPr>
                <w:sz w:val="18"/>
                <w:szCs w:val="18"/>
              </w:rPr>
            </w:pPr>
            <w:r w:rsidRPr="006101C1">
              <w:rPr>
                <w:sz w:val="18"/>
                <w:szCs w:val="18"/>
              </w:rPr>
              <w:t>208</w:t>
            </w:r>
            <w:r>
              <w:rPr>
                <w:sz w:val="18"/>
                <w:szCs w:val="18"/>
              </w:rPr>
              <w:t>,</w:t>
            </w:r>
            <w:r w:rsidRPr="006101C1">
              <w:rPr>
                <w:sz w:val="18"/>
                <w:szCs w:val="18"/>
              </w:rPr>
              <w:t>60</w:t>
            </w:r>
          </w:p>
        </w:tc>
        <w:tc>
          <w:tcPr>
            <w:tcW w:w="402" w:type="pct"/>
            <w:tcBorders>
              <w:bottom w:val="single" w:sz="12" w:space="0" w:color="auto"/>
            </w:tcBorders>
            <w:shd w:val="clear" w:color="auto" w:fill="auto"/>
            <w:vAlign w:val="bottom"/>
          </w:tcPr>
          <w:p w:rsidR="00F236D5" w:rsidRPr="006101C1" w:rsidRDefault="00F236D5" w:rsidP="00947046">
            <w:pPr>
              <w:spacing w:before="40" w:after="40" w:line="220" w:lineRule="exact"/>
              <w:ind w:left="113"/>
              <w:jc w:val="right"/>
              <w:rPr>
                <w:sz w:val="18"/>
                <w:szCs w:val="18"/>
              </w:rPr>
            </w:pPr>
            <w:r w:rsidRPr="006101C1">
              <w:rPr>
                <w:sz w:val="18"/>
                <w:szCs w:val="18"/>
              </w:rPr>
              <w:t>232</w:t>
            </w:r>
            <w:r>
              <w:rPr>
                <w:sz w:val="18"/>
                <w:szCs w:val="18"/>
              </w:rPr>
              <w:t>,</w:t>
            </w:r>
            <w:r w:rsidRPr="006101C1">
              <w:rPr>
                <w:sz w:val="18"/>
                <w:szCs w:val="18"/>
              </w:rPr>
              <w:t>30</w:t>
            </w:r>
          </w:p>
        </w:tc>
        <w:tc>
          <w:tcPr>
            <w:tcW w:w="402" w:type="pct"/>
            <w:tcBorders>
              <w:bottom w:val="single" w:sz="12" w:space="0" w:color="auto"/>
            </w:tcBorders>
            <w:shd w:val="clear" w:color="auto" w:fill="auto"/>
            <w:vAlign w:val="bottom"/>
          </w:tcPr>
          <w:p w:rsidR="00F236D5" w:rsidRPr="006101C1" w:rsidRDefault="00F236D5" w:rsidP="00947046">
            <w:pPr>
              <w:spacing w:before="40" w:after="40" w:line="220" w:lineRule="exact"/>
              <w:ind w:left="113"/>
              <w:jc w:val="right"/>
              <w:rPr>
                <w:sz w:val="18"/>
                <w:szCs w:val="18"/>
              </w:rPr>
            </w:pPr>
            <w:r w:rsidRPr="006101C1">
              <w:rPr>
                <w:sz w:val="18"/>
                <w:szCs w:val="18"/>
              </w:rPr>
              <w:t>314</w:t>
            </w:r>
            <w:r>
              <w:rPr>
                <w:sz w:val="18"/>
                <w:szCs w:val="18"/>
              </w:rPr>
              <w:t>,</w:t>
            </w:r>
            <w:r w:rsidRPr="006101C1">
              <w:rPr>
                <w:sz w:val="18"/>
                <w:szCs w:val="18"/>
              </w:rPr>
              <w:t>20</w:t>
            </w:r>
          </w:p>
        </w:tc>
        <w:tc>
          <w:tcPr>
            <w:tcW w:w="402" w:type="pct"/>
            <w:tcBorders>
              <w:bottom w:val="single" w:sz="12" w:space="0" w:color="auto"/>
            </w:tcBorders>
            <w:shd w:val="clear" w:color="auto" w:fill="auto"/>
            <w:vAlign w:val="bottom"/>
          </w:tcPr>
          <w:p w:rsidR="00F236D5" w:rsidRPr="006101C1" w:rsidRDefault="00F236D5" w:rsidP="00947046">
            <w:pPr>
              <w:spacing w:before="40" w:after="40" w:line="220" w:lineRule="exact"/>
              <w:ind w:left="113"/>
              <w:jc w:val="right"/>
              <w:rPr>
                <w:sz w:val="18"/>
                <w:szCs w:val="18"/>
              </w:rPr>
            </w:pPr>
            <w:r w:rsidRPr="006101C1">
              <w:rPr>
                <w:sz w:val="18"/>
                <w:szCs w:val="18"/>
              </w:rPr>
              <w:t>335</w:t>
            </w:r>
            <w:r>
              <w:rPr>
                <w:sz w:val="18"/>
                <w:szCs w:val="18"/>
              </w:rPr>
              <w:t>,</w:t>
            </w:r>
            <w:r w:rsidRPr="006101C1">
              <w:rPr>
                <w:sz w:val="18"/>
                <w:szCs w:val="18"/>
              </w:rPr>
              <w:t>00</w:t>
            </w:r>
          </w:p>
        </w:tc>
        <w:tc>
          <w:tcPr>
            <w:tcW w:w="401" w:type="pct"/>
            <w:tcBorders>
              <w:bottom w:val="single" w:sz="12" w:space="0" w:color="auto"/>
            </w:tcBorders>
            <w:shd w:val="clear" w:color="auto" w:fill="auto"/>
            <w:vAlign w:val="bottom"/>
          </w:tcPr>
          <w:p w:rsidR="00F236D5" w:rsidRPr="006101C1" w:rsidRDefault="00F236D5" w:rsidP="00947046">
            <w:pPr>
              <w:spacing w:before="40" w:after="40" w:line="220" w:lineRule="exact"/>
              <w:ind w:left="113"/>
              <w:jc w:val="right"/>
              <w:rPr>
                <w:sz w:val="18"/>
                <w:szCs w:val="18"/>
              </w:rPr>
            </w:pPr>
            <w:r w:rsidRPr="006101C1">
              <w:rPr>
                <w:sz w:val="18"/>
                <w:szCs w:val="18"/>
              </w:rPr>
              <w:t>357</w:t>
            </w:r>
            <w:r>
              <w:rPr>
                <w:sz w:val="18"/>
                <w:szCs w:val="18"/>
              </w:rPr>
              <w:t>,</w:t>
            </w:r>
            <w:r w:rsidRPr="006101C1">
              <w:rPr>
                <w:sz w:val="18"/>
                <w:szCs w:val="18"/>
              </w:rPr>
              <w:t>30</w:t>
            </w:r>
          </w:p>
        </w:tc>
      </w:tr>
    </w:tbl>
    <w:p w:rsidR="00F236D5" w:rsidRPr="004F77C5" w:rsidRDefault="00F236D5" w:rsidP="00F236D5">
      <w:pPr>
        <w:spacing w:before="120" w:after="240"/>
        <w:ind w:left="170"/>
        <w:rPr>
          <w:sz w:val="18"/>
          <w:szCs w:val="18"/>
        </w:rPr>
      </w:pPr>
      <w:r w:rsidRPr="004F77C5">
        <w:rPr>
          <w:i/>
          <w:sz w:val="18"/>
          <w:szCs w:val="18"/>
        </w:rPr>
        <w:t>Fuente:</w:t>
      </w:r>
      <w:r w:rsidRPr="004F77C5">
        <w:rPr>
          <w:sz w:val="18"/>
          <w:szCs w:val="18"/>
        </w:rPr>
        <w:t xml:space="preserve"> Oficina de Estadísticas de Nueva Zelandia.</w:t>
      </w:r>
    </w:p>
    <w:p w:rsidR="00F236D5" w:rsidRPr="0044681E" w:rsidRDefault="00F236D5" w:rsidP="00F236D5">
      <w:pPr>
        <w:pStyle w:val="H23G"/>
      </w:pPr>
      <w:r>
        <w:tab/>
      </w:r>
      <w:r w:rsidRPr="0044681E">
        <w:t>13.</w:t>
      </w:r>
      <w:r w:rsidRPr="0044681E">
        <w:tab/>
        <w:t>Indicadores de desigualdad</w:t>
      </w:r>
    </w:p>
    <w:p w:rsidR="00F236D5" w:rsidRPr="0044681E" w:rsidRDefault="00F236D5" w:rsidP="00F236D5">
      <w:pPr>
        <w:pStyle w:val="SingleTxtG"/>
      </w:pPr>
      <w:r w:rsidRPr="0044681E">
        <w:t>61.</w:t>
      </w:r>
      <w:r w:rsidRPr="0044681E">
        <w:tab/>
        <w:t xml:space="preserve">La desigualdad de ingresos aumentó entre 1988 y 1991 y tras un breve período de estabilidad volvió a incrementarse entre 1994 y 2004. En su mayor parte, el aumento de la desigualdad de ingresos observado entre 1988 y 2004 se debió a un mayor aumento general de los ingresos incluidos en la franja del 20% superior de la escala de ingresos, en alrededor de un cuarto una vez hechos los ajustes por la inflación. Durante ese período, los ingresos correspondientes a la franja del 20% inferior </w:t>
      </w:r>
      <w:r>
        <w:t>solo</w:t>
      </w:r>
      <w:r w:rsidRPr="0044681E">
        <w:t xml:space="preserve"> mostraron una leve disminución. El aumento de los ingresos incluidos en la franja media del 60% fue mayor para los ingresos más cercanos al 20% superior que para los situados más próximos al 20% inferior.</w:t>
      </w:r>
    </w:p>
    <w:p w:rsidR="00F236D5" w:rsidRPr="0044681E" w:rsidRDefault="00F236D5" w:rsidP="00F236D5">
      <w:pPr>
        <w:pStyle w:val="SingleTxtG"/>
      </w:pPr>
      <w:r w:rsidRPr="0044681E">
        <w:t>62.</w:t>
      </w:r>
      <w:r w:rsidRPr="0044681E">
        <w:tab/>
        <w:t>Entre 2004 y 2008, los ingresos de las familias de bajos a medianos ingresos registraron un aumento más rápido que los de las familias de ingresos más altos. Los ingresos correspondientes a los cuatro deciles más bajos aumentaron entre un 13% y un 17%, mientras que los superiores a la media registraron un aumento típico de un 8% a un 9%. Este fue el único período en los últimos 25 años en que los ingresos de las familias de bajos a medianos ingresos aumentaron más rápidamente que los de las familias con ingresos superiores a la media.</w:t>
      </w:r>
    </w:p>
    <w:p w:rsidR="00F236D5" w:rsidRPr="0044681E" w:rsidRDefault="00F236D5" w:rsidP="00F236D5">
      <w:pPr>
        <w:pStyle w:val="SingleTxtG"/>
      </w:pPr>
      <w:r w:rsidRPr="0044681E">
        <w:t>63.</w:t>
      </w:r>
      <w:r w:rsidRPr="0044681E">
        <w:tab/>
        <w:t>Es posible hacer comparaciones con otros países de la OCDE utilizando un tipo distinto de medición, por ejemplo el coeficiente de Gini. Este tipo de coeficiente sirve para medir la desigualdad de ingresos mediante un sistema de puntajes en el que 100 indica la desigualdad perfecta y 0 indica la igualdad perfecta. En la comparación más reciente efectuada por la OCDE (en 2004), Nueva Zeland</w:t>
      </w:r>
      <w:r>
        <w:t>i</w:t>
      </w:r>
      <w:r w:rsidRPr="0044681E">
        <w:t xml:space="preserve">a obtuvo un puntaje de 34, el cual indicaba un grado de desigualdad superior al de la media de la OCDE, de 31, y se clasificó en el </w:t>
      </w:r>
      <w:r>
        <w:t>23º</w:t>
      </w:r>
      <w:r w:rsidRPr="0044681E">
        <w:t xml:space="preserve"> lugar entre 30 países en términos de igualdad de ingresos. En 2008 el puntaje de Nueva Zelandia según el coeficiente de Gini fue de 34 (33 en 2007).</w:t>
      </w:r>
    </w:p>
    <w:p w:rsidR="00F236D5" w:rsidRPr="0044681E" w:rsidRDefault="00F236D5" w:rsidP="00F236D5">
      <w:pPr>
        <w:pStyle w:val="H4G"/>
      </w:pPr>
      <w:r>
        <w:tab/>
      </w:r>
      <w:r w:rsidRPr="0044681E">
        <w:t>a)</w:t>
      </w:r>
      <w:r w:rsidRPr="0044681E">
        <w:tab/>
        <w:t>Proporción de la población por debajo del umbral de pobreza</w:t>
      </w:r>
    </w:p>
    <w:p w:rsidR="00F236D5" w:rsidRPr="0044681E" w:rsidRDefault="00F236D5" w:rsidP="00F236D5">
      <w:pPr>
        <w:pStyle w:val="SingleTxtG"/>
      </w:pPr>
      <w:r w:rsidRPr="0044681E">
        <w:t>64.</w:t>
      </w:r>
      <w:r w:rsidRPr="0044681E">
        <w:tab/>
        <w:t>Nueva Zelandia no tiene un umbral de pobreza propiamente tal. Al hablar de pobreza o de dificultades materiales en el contexto de las naciones más ricas como Nueva Zelandia, se suele hacer referencia a desventajas relativas. Las políticas encaminadas a mantener los niveles de ingresos garantizan a todos los ciudadanos un ingreso básico en caso de que queden cesantes o estén impedidos de trabajar por causa de enfermedad o discapacidad, tengan que sufragar el cuidado de familiares a cargo, estén jubilados o deban hacer frente a otras situaciones de emergencia.</w:t>
      </w:r>
    </w:p>
    <w:p w:rsidR="00F236D5" w:rsidRPr="0044681E" w:rsidRDefault="00F236D5" w:rsidP="00F236D5">
      <w:pPr>
        <w:pStyle w:val="SingleTxtG"/>
      </w:pPr>
      <w:r w:rsidRPr="0044681E">
        <w:t>65.</w:t>
      </w:r>
      <w:r w:rsidRPr="0044681E">
        <w:tab/>
        <w:t>El indicador utilizado más frecuentemente como equivalente del umbral de pobreza en Nueva Zelandia es la proporción de la población total en hogares con una renta disponible por debajo de dos umbrales, ajustada según el tamaño y composición de la familia y excluidos los gastos de vivienda. Se tiene en cuenta el ingreso una vez deducidos los gastos fiscales y de vivienda y ajustado según el tamaño y la composición de la familia.</w:t>
      </w:r>
    </w:p>
    <w:p w:rsidR="00F236D5" w:rsidRPr="0044681E" w:rsidRDefault="00F236D5" w:rsidP="00F236D5">
      <w:pPr>
        <w:pStyle w:val="SingleTxtG"/>
      </w:pPr>
      <w:r w:rsidRPr="0044681E">
        <w:t>66.</w:t>
      </w:r>
      <w:r w:rsidRPr="0044681E">
        <w:tab/>
        <w:t>Los umbrales son el 50% y el 60% de la renta media disponible de los hogares en 1998, tras restarle un 25% por concepto de gastos de vivienda promedio. Esos umbrales se ajustan de acuerdo a la inflación a fin de mantenerlos firmemente anclados en valores reales.</w:t>
      </w:r>
    </w:p>
    <w:p w:rsidR="00F236D5" w:rsidRPr="0044681E" w:rsidRDefault="00F236D5" w:rsidP="00F236D5">
      <w:pPr>
        <w:pStyle w:val="SingleTxtG"/>
      </w:pPr>
      <w:r w:rsidRPr="0044681E">
        <w:t>67.</w:t>
      </w:r>
      <w:r w:rsidRPr="0044681E">
        <w:tab/>
        <w:t>En el ejercicio terminado en junio de 2008, el 14% de la población vivía por debajo del umbral del 60%. Este resultado era similar al del 13% obtenido en la encuesta del ejercicio anterior, finalizado en junio de 2007. La proporción de la población de bajos ingresos aumentó notablemente a partir de 1990, alcanzó un nivel máximo a mediados de ese decenio y en general ha venido disminuyendo desde entonces. No obstante, en 2008 la proporción aún superaba el nivel que había tenido en los años ochenta.</w:t>
      </w:r>
    </w:p>
    <w:p w:rsidR="00F236D5" w:rsidRDefault="00F236D5" w:rsidP="00F236D5">
      <w:pPr>
        <w:pStyle w:val="Heading1"/>
      </w:pPr>
      <w:r>
        <w:t>Cuadro 18</w:t>
      </w:r>
    </w:p>
    <w:p w:rsidR="00F236D5" w:rsidRPr="002D7A20" w:rsidRDefault="00F236D5" w:rsidP="00F236D5">
      <w:pPr>
        <w:pStyle w:val="SingleTxtG"/>
        <w:jc w:val="left"/>
      </w:pPr>
      <w:r w:rsidRPr="0044681E">
        <w:rPr>
          <w:b/>
        </w:rPr>
        <w:t xml:space="preserve">Proporción de la población con ingresos por debajo de determinados umbrales, </w:t>
      </w:r>
      <w:r>
        <w:rPr>
          <w:b/>
        </w:rPr>
        <w:br/>
      </w:r>
      <w:r w:rsidRPr="0044681E">
        <w:rPr>
          <w:b/>
        </w:rPr>
        <w:t>una vez deducidos los gastos de vivienda, 1982-2008</w:t>
      </w:r>
    </w:p>
    <w:bookmarkStart w:id="22" w:name="_MON_1366711147"/>
    <w:bookmarkEnd w:id="22"/>
    <w:p w:rsidR="00F236D5" w:rsidRDefault="00F236D5" w:rsidP="00F236D5">
      <w:pPr>
        <w:jc w:val="center"/>
      </w:pPr>
      <w:r>
        <w:object w:dxaOrig="7176" w:dyaOrig="2995">
          <v:shape id="_x0000_i1030" type="#_x0000_t75" style="width:357pt;height:127.5pt" o:ole="" o:bordertopcolor="this" o:borderleftcolor="this" o:borderbottomcolor="this" o:borderrightcolor="this">
            <v:imagedata r:id="rId16" o:title="" croptop="633f" cropbottom="9197f" cropright="310f"/>
            <w10:bordertop type="single" width="4"/>
            <w10:borderleft type="single" width="4"/>
            <w10:borderbottom type="single" width="4"/>
            <w10:borderright type="single" width="4"/>
          </v:shape>
          <o:OLEObject Type="Embed" ProgID="Word.Picture.8" ShapeID="_x0000_i1030" DrawAspect="Content" ObjectID="_1395889829" r:id="rId17"/>
        </w:object>
      </w:r>
    </w:p>
    <w:p w:rsidR="00F236D5" w:rsidRPr="00541EF8" w:rsidRDefault="00F236D5" w:rsidP="00F236D5">
      <w:pPr>
        <w:spacing w:before="120"/>
        <w:ind w:left="1202" w:right="1134" w:firstLine="170"/>
        <w:rPr>
          <w:sz w:val="18"/>
          <w:szCs w:val="18"/>
        </w:rPr>
      </w:pPr>
      <w:r w:rsidRPr="00541EF8">
        <w:rPr>
          <w:i/>
          <w:sz w:val="18"/>
          <w:szCs w:val="18"/>
        </w:rPr>
        <w:t xml:space="preserve">Fuente: </w:t>
      </w:r>
      <w:r w:rsidRPr="00541EF8">
        <w:rPr>
          <w:sz w:val="18"/>
          <w:szCs w:val="18"/>
        </w:rPr>
        <w:t>Oficina de Estadísticas de Nueva Zelandia, encuesta ec</w:t>
      </w:r>
      <w:r>
        <w:rPr>
          <w:sz w:val="18"/>
          <w:szCs w:val="18"/>
        </w:rPr>
        <w:t>onómica sobre los hogares (1982</w:t>
      </w:r>
      <w:r>
        <w:rPr>
          <w:sz w:val="18"/>
          <w:szCs w:val="18"/>
        </w:rPr>
        <w:noBreakHyphen/>
      </w:r>
      <w:r w:rsidRPr="00541EF8">
        <w:rPr>
          <w:sz w:val="18"/>
          <w:szCs w:val="18"/>
        </w:rPr>
        <w:t>2008) realizada por el Ministerio de Desarrollo Social.</w:t>
      </w:r>
    </w:p>
    <w:p w:rsidR="00F236D5" w:rsidRPr="0044681E" w:rsidRDefault="00F236D5" w:rsidP="00F236D5">
      <w:pPr>
        <w:ind w:left="1202" w:right="1134" w:firstLine="170"/>
      </w:pPr>
      <w:r w:rsidRPr="00541EF8">
        <w:rPr>
          <w:i/>
          <w:sz w:val="18"/>
          <w:szCs w:val="18"/>
        </w:rPr>
        <w:t>Nota:</w:t>
      </w:r>
      <w:r w:rsidRPr="00541EF8">
        <w:rPr>
          <w:sz w:val="18"/>
          <w:szCs w:val="18"/>
        </w:rPr>
        <w:t xml:space="preserve"> Entre 1998 y 2004, la encuesta económica sobre los hogares</w:t>
      </w:r>
      <w:r>
        <w:rPr>
          <w:sz w:val="18"/>
          <w:szCs w:val="18"/>
        </w:rPr>
        <w:t xml:space="preserve"> se realizó cada tres años y no </w:t>
      </w:r>
      <w:r w:rsidRPr="00541EF8">
        <w:rPr>
          <w:sz w:val="18"/>
          <w:szCs w:val="18"/>
        </w:rPr>
        <w:t>anualmente.</w:t>
      </w:r>
    </w:p>
    <w:p w:rsidR="00F236D5" w:rsidRPr="0044681E" w:rsidRDefault="00F236D5" w:rsidP="00F236D5">
      <w:pPr>
        <w:pStyle w:val="H4G"/>
      </w:pPr>
      <w:r>
        <w:tab/>
      </w:r>
      <w:r w:rsidRPr="0044681E">
        <w:t>b)</w:t>
      </w:r>
      <w:r w:rsidRPr="0044681E">
        <w:tab/>
        <w:t>Diferencias de edad y sexo</w:t>
      </w:r>
    </w:p>
    <w:p w:rsidR="00F236D5" w:rsidRPr="0044681E" w:rsidRDefault="00F236D5" w:rsidP="00F236D5">
      <w:pPr>
        <w:pStyle w:val="SingleTxtG"/>
      </w:pPr>
      <w:r w:rsidRPr="0044681E">
        <w:t>68.</w:t>
      </w:r>
      <w:r w:rsidRPr="0044681E">
        <w:tab/>
        <w:t>La proporción de personas de edad que vive por debajo del umbral del 60% es inferior a la de personas más jóvenes, aunque la diferencia entre los mayores y los más jóvenes fue mucho menor en 2008 que la observada en el decenio anterior. Las tasas relativamente bajas correspondientes a los neozelandeses mayores de 65 años reflejan el hecho de que en su mayoría son propietarios de una vivienda libre de hipoteca.</w:t>
      </w:r>
    </w:p>
    <w:p w:rsidR="00F236D5" w:rsidRPr="0044681E" w:rsidRDefault="00F236D5" w:rsidP="00F236D5">
      <w:pPr>
        <w:pStyle w:val="SingleTxtG"/>
      </w:pPr>
      <w:r w:rsidRPr="0044681E">
        <w:t>69.</w:t>
      </w:r>
      <w:r w:rsidRPr="0044681E">
        <w:tab/>
        <w:t>En 2008, el 20% de los hijos a cargo vivía en hogares con ingresos por debajo del umbral del 60%, cifra superior al 16% registrado en 2007 que refleja un aumento de los gastos de vivienda para las familias con hijos a cargo. La proporción correspondiente a 2008 fue considerablemente inferior a la tasa sin precedentes del 35% alcanzada en 1994, aunque superó los niveles observados a mediados de los años ochenta (11%). Desde 1986, las tasas correspondientes a las mujeres mayores de</w:t>
      </w:r>
      <w:r>
        <w:t xml:space="preserve"> </w:t>
      </w:r>
      <w:r w:rsidRPr="0044681E">
        <w:t>15 años han sido por lo general un poco más elevadas que las registradas por los hombres de ese grupo de edad.</w:t>
      </w:r>
    </w:p>
    <w:p w:rsidR="00F236D5" w:rsidRDefault="00F236D5" w:rsidP="00F236D5">
      <w:pPr>
        <w:pStyle w:val="Heading1"/>
        <w:rPr>
          <w:bCs w:val="0"/>
        </w:rPr>
      </w:pPr>
      <w:r>
        <w:rPr>
          <w:bCs w:val="0"/>
        </w:rPr>
        <w:t>Cuadro 19</w:t>
      </w:r>
    </w:p>
    <w:p w:rsidR="00F236D5" w:rsidRDefault="00F236D5" w:rsidP="00F236D5">
      <w:pPr>
        <w:pStyle w:val="SingleTxtG"/>
        <w:jc w:val="left"/>
        <w:rPr>
          <w:sz w:val="16"/>
          <w:szCs w:val="16"/>
        </w:rPr>
      </w:pPr>
      <w:r w:rsidRPr="003937D7">
        <w:rPr>
          <w:b/>
        </w:rPr>
        <w:t xml:space="preserve">Proporción de la población en hogares de bajos ingresos (umbral del 60%), </w:t>
      </w:r>
      <w:r>
        <w:rPr>
          <w:b/>
        </w:rPr>
        <w:br/>
      </w:r>
      <w:r w:rsidRPr="003937D7">
        <w:rPr>
          <w:b/>
        </w:rPr>
        <w:t>por edad y sexo, en años seleccionados del período 1986-2008</w:t>
      </w:r>
      <w:r>
        <w:rPr>
          <w:b/>
        </w:rPr>
        <w:br/>
      </w:r>
      <w:r>
        <w:rPr>
          <w:sz w:val="16"/>
          <w:szCs w:val="16"/>
        </w:rPr>
        <w:t>(En porcentaje)</w:t>
      </w:r>
    </w:p>
    <w:tbl>
      <w:tblPr>
        <w:tblW w:w="6692" w:type="dxa"/>
        <w:tblInd w:w="1134" w:type="dxa"/>
        <w:tblBorders>
          <w:top w:val="single" w:sz="4" w:space="0" w:color="auto"/>
        </w:tblBorders>
        <w:tblCellMar>
          <w:left w:w="0" w:type="dxa"/>
          <w:right w:w="0" w:type="dxa"/>
        </w:tblCellMar>
        <w:tblLook w:val="0000" w:firstRow="0" w:lastRow="0" w:firstColumn="0" w:lastColumn="0" w:noHBand="0" w:noVBand="0"/>
      </w:tblPr>
      <w:tblGrid>
        <w:gridCol w:w="528"/>
        <w:gridCol w:w="674"/>
        <w:gridCol w:w="675"/>
        <w:gridCol w:w="675"/>
        <w:gridCol w:w="675"/>
        <w:gridCol w:w="953"/>
        <w:gridCol w:w="954"/>
        <w:gridCol w:w="954"/>
        <w:gridCol w:w="604"/>
      </w:tblGrid>
      <w:tr w:rsidR="00F236D5" w:rsidRPr="00352FBC" w:rsidTr="00947046">
        <w:tblPrEx>
          <w:tblCellMar>
            <w:top w:w="0" w:type="dxa"/>
            <w:bottom w:w="0" w:type="dxa"/>
          </w:tblCellMar>
        </w:tblPrEx>
        <w:trPr>
          <w:trHeight w:val="240"/>
          <w:tblHeader/>
        </w:trPr>
        <w:tc>
          <w:tcPr>
            <w:tcW w:w="395" w:type="pct"/>
            <w:vMerge w:val="restart"/>
            <w:tcBorders>
              <w:top w:val="single" w:sz="4" w:space="0" w:color="auto"/>
              <w:right w:val="single" w:sz="24" w:space="0" w:color="FFFFFF"/>
            </w:tcBorders>
            <w:shd w:val="clear" w:color="auto" w:fill="auto"/>
            <w:vAlign w:val="bottom"/>
          </w:tcPr>
          <w:p w:rsidR="00F236D5" w:rsidRPr="00352FBC" w:rsidRDefault="00F236D5" w:rsidP="00947046">
            <w:pPr>
              <w:spacing w:before="80" w:after="80" w:line="220" w:lineRule="exact"/>
              <w:rPr>
                <w:i/>
                <w:sz w:val="16"/>
                <w:szCs w:val="16"/>
              </w:rPr>
            </w:pPr>
            <w:r w:rsidRPr="00352FBC">
              <w:rPr>
                <w:i/>
                <w:sz w:val="16"/>
                <w:szCs w:val="16"/>
              </w:rPr>
              <w:t>Año</w:t>
            </w:r>
          </w:p>
        </w:tc>
        <w:tc>
          <w:tcPr>
            <w:tcW w:w="504" w:type="pct"/>
            <w:tcBorders>
              <w:top w:val="single" w:sz="4" w:space="0" w:color="auto"/>
              <w:left w:val="single" w:sz="24" w:space="0" w:color="FFFFFF"/>
              <w:bottom w:val="single" w:sz="4" w:space="0" w:color="auto"/>
              <w:right w:val="single" w:sz="24" w:space="0" w:color="FFFFFF"/>
            </w:tcBorders>
            <w:shd w:val="clear" w:color="auto" w:fill="auto"/>
            <w:vAlign w:val="bottom"/>
          </w:tcPr>
          <w:p w:rsidR="00F236D5" w:rsidRPr="00352FBC" w:rsidRDefault="00F236D5" w:rsidP="00947046">
            <w:pPr>
              <w:spacing w:before="80" w:after="80" w:line="220" w:lineRule="exact"/>
              <w:ind w:left="113"/>
              <w:jc w:val="center"/>
              <w:rPr>
                <w:i/>
                <w:sz w:val="16"/>
                <w:szCs w:val="16"/>
              </w:rPr>
            </w:pPr>
            <w:r w:rsidRPr="00352FBC">
              <w:rPr>
                <w:i/>
                <w:sz w:val="16"/>
                <w:szCs w:val="16"/>
              </w:rPr>
              <w:t>Niños</w:t>
            </w:r>
          </w:p>
        </w:tc>
        <w:tc>
          <w:tcPr>
            <w:tcW w:w="504" w:type="pct"/>
            <w:tcBorders>
              <w:top w:val="single" w:sz="4" w:space="0" w:color="auto"/>
              <w:left w:val="single" w:sz="24" w:space="0" w:color="FFFFFF"/>
              <w:bottom w:val="single" w:sz="4" w:space="0" w:color="auto"/>
            </w:tcBorders>
            <w:shd w:val="clear" w:color="auto" w:fill="auto"/>
            <w:vAlign w:val="bottom"/>
          </w:tcPr>
          <w:p w:rsidR="00F236D5" w:rsidRPr="00352FBC" w:rsidRDefault="00F236D5" w:rsidP="00947046">
            <w:pPr>
              <w:spacing w:before="80" w:after="80" w:line="220" w:lineRule="exact"/>
              <w:ind w:left="113"/>
              <w:jc w:val="right"/>
              <w:rPr>
                <w:i/>
                <w:sz w:val="16"/>
                <w:szCs w:val="16"/>
              </w:rPr>
            </w:pPr>
          </w:p>
        </w:tc>
        <w:tc>
          <w:tcPr>
            <w:tcW w:w="504" w:type="pct"/>
            <w:tcBorders>
              <w:top w:val="single" w:sz="4" w:space="0" w:color="auto"/>
              <w:bottom w:val="single" w:sz="4" w:space="0" w:color="auto"/>
            </w:tcBorders>
            <w:shd w:val="clear" w:color="auto" w:fill="auto"/>
            <w:vAlign w:val="bottom"/>
          </w:tcPr>
          <w:p w:rsidR="00F236D5" w:rsidRPr="00352FBC" w:rsidRDefault="00F236D5" w:rsidP="00947046">
            <w:pPr>
              <w:spacing w:before="80" w:after="80" w:line="220" w:lineRule="exact"/>
              <w:ind w:left="113"/>
              <w:jc w:val="right"/>
              <w:rPr>
                <w:i/>
                <w:sz w:val="16"/>
                <w:szCs w:val="16"/>
              </w:rPr>
            </w:pPr>
          </w:p>
        </w:tc>
        <w:tc>
          <w:tcPr>
            <w:tcW w:w="504" w:type="pct"/>
            <w:tcBorders>
              <w:top w:val="single" w:sz="4" w:space="0" w:color="auto"/>
              <w:bottom w:val="single" w:sz="4" w:space="0" w:color="auto"/>
            </w:tcBorders>
            <w:shd w:val="clear" w:color="auto" w:fill="auto"/>
            <w:vAlign w:val="bottom"/>
          </w:tcPr>
          <w:p w:rsidR="00F236D5" w:rsidRPr="00352FBC" w:rsidRDefault="00F236D5" w:rsidP="00947046">
            <w:pPr>
              <w:spacing w:before="80" w:after="80" w:line="220" w:lineRule="exact"/>
              <w:ind w:left="113"/>
              <w:jc w:val="right"/>
              <w:rPr>
                <w:i/>
                <w:sz w:val="16"/>
                <w:szCs w:val="16"/>
              </w:rPr>
            </w:pPr>
          </w:p>
        </w:tc>
        <w:tc>
          <w:tcPr>
            <w:tcW w:w="712" w:type="pct"/>
            <w:tcBorders>
              <w:top w:val="single" w:sz="4" w:space="0" w:color="auto"/>
              <w:bottom w:val="single" w:sz="4" w:space="0" w:color="auto"/>
              <w:right w:val="single" w:sz="24" w:space="0" w:color="FFFFFF"/>
            </w:tcBorders>
            <w:shd w:val="clear" w:color="auto" w:fill="auto"/>
            <w:vAlign w:val="bottom"/>
          </w:tcPr>
          <w:p w:rsidR="00F236D5" w:rsidRPr="00352FBC" w:rsidRDefault="00F236D5" w:rsidP="00947046">
            <w:pPr>
              <w:spacing w:before="80" w:after="80" w:line="220" w:lineRule="exact"/>
              <w:ind w:left="113"/>
              <w:jc w:val="right"/>
              <w:rPr>
                <w:i/>
                <w:sz w:val="16"/>
                <w:szCs w:val="16"/>
              </w:rPr>
            </w:pPr>
          </w:p>
        </w:tc>
        <w:tc>
          <w:tcPr>
            <w:tcW w:w="713" w:type="pct"/>
            <w:tcBorders>
              <w:top w:val="single" w:sz="4" w:space="0" w:color="auto"/>
              <w:left w:val="single" w:sz="24" w:space="0" w:color="FFFFFF"/>
              <w:bottom w:val="single" w:sz="4" w:space="0" w:color="auto"/>
              <w:right w:val="single" w:sz="24" w:space="0" w:color="FFFFFF"/>
            </w:tcBorders>
            <w:shd w:val="clear" w:color="auto" w:fill="auto"/>
            <w:vAlign w:val="bottom"/>
          </w:tcPr>
          <w:p w:rsidR="00F236D5" w:rsidRPr="00352FBC" w:rsidRDefault="00F236D5" w:rsidP="00947046">
            <w:pPr>
              <w:spacing w:before="80" w:after="80" w:line="220" w:lineRule="exact"/>
              <w:ind w:left="113"/>
              <w:jc w:val="center"/>
              <w:rPr>
                <w:i/>
                <w:sz w:val="16"/>
                <w:szCs w:val="16"/>
              </w:rPr>
            </w:pPr>
            <w:r w:rsidRPr="00352FBC">
              <w:rPr>
                <w:i/>
                <w:sz w:val="16"/>
                <w:szCs w:val="16"/>
              </w:rPr>
              <w:t>Hombres</w:t>
            </w:r>
          </w:p>
        </w:tc>
        <w:tc>
          <w:tcPr>
            <w:tcW w:w="713" w:type="pct"/>
            <w:tcBorders>
              <w:top w:val="single" w:sz="4" w:space="0" w:color="auto"/>
              <w:left w:val="single" w:sz="24" w:space="0" w:color="FFFFFF"/>
              <w:bottom w:val="single" w:sz="4" w:space="0" w:color="auto"/>
              <w:right w:val="nil"/>
            </w:tcBorders>
            <w:shd w:val="clear" w:color="auto" w:fill="auto"/>
            <w:vAlign w:val="bottom"/>
          </w:tcPr>
          <w:p w:rsidR="00F236D5" w:rsidRPr="00352FBC" w:rsidRDefault="00F236D5" w:rsidP="00947046">
            <w:pPr>
              <w:spacing w:before="80" w:after="80" w:line="220" w:lineRule="exact"/>
              <w:jc w:val="center"/>
              <w:rPr>
                <w:i/>
                <w:sz w:val="16"/>
                <w:szCs w:val="16"/>
              </w:rPr>
            </w:pPr>
            <w:r w:rsidRPr="00352FBC">
              <w:rPr>
                <w:i/>
                <w:sz w:val="16"/>
                <w:szCs w:val="16"/>
              </w:rPr>
              <w:t>Mujeres</w:t>
            </w:r>
          </w:p>
        </w:tc>
        <w:tc>
          <w:tcPr>
            <w:tcW w:w="451" w:type="pct"/>
            <w:vMerge w:val="restart"/>
            <w:tcBorders>
              <w:top w:val="single" w:sz="4" w:space="0" w:color="auto"/>
              <w:left w:val="nil"/>
            </w:tcBorders>
            <w:shd w:val="clear" w:color="auto" w:fill="auto"/>
            <w:vAlign w:val="bottom"/>
          </w:tcPr>
          <w:p w:rsidR="00F236D5" w:rsidRPr="00352FBC" w:rsidRDefault="00F236D5" w:rsidP="00947046">
            <w:pPr>
              <w:spacing w:before="80" w:after="80" w:line="220" w:lineRule="exact"/>
              <w:jc w:val="right"/>
              <w:rPr>
                <w:i/>
                <w:sz w:val="16"/>
                <w:szCs w:val="16"/>
              </w:rPr>
            </w:pPr>
            <w:r w:rsidRPr="00352FBC">
              <w:rPr>
                <w:i/>
                <w:sz w:val="16"/>
                <w:szCs w:val="16"/>
              </w:rPr>
              <w:t>Total</w:t>
            </w:r>
          </w:p>
        </w:tc>
      </w:tr>
      <w:tr w:rsidR="00F236D5" w:rsidRPr="00A57E75" w:rsidTr="00947046">
        <w:tblPrEx>
          <w:tblCellMar>
            <w:top w:w="0" w:type="dxa"/>
            <w:bottom w:w="0" w:type="dxa"/>
          </w:tblCellMar>
        </w:tblPrEx>
        <w:trPr>
          <w:trHeight w:val="240"/>
        </w:trPr>
        <w:tc>
          <w:tcPr>
            <w:tcW w:w="395" w:type="pct"/>
            <w:vMerge/>
            <w:tcBorders>
              <w:bottom w:val="single" w:sz="12" w:space="0" w:color="auto"/>
              <w:right w:val="single" w:sz="24" w:space="0" w:color="FFFFFF"/>
            </w:tcBorders>
            <w:shd w:val="clear" w:color="auto" w:fill="auto"/>
          </w:tcPr>
          <w:p w:rsidR="00F236D5" w:rsidRPr="00352FBC" w:rsidRDefault="00F236D5" w:rsidP="00947046">
            <w:pPr>
              <w:spacing w:before="80" w:after="80" w:line="220" w:lineRule="exact"/>
              <w:rPr>
                <w:i/>
                <w:sz w:val="16"/>
                <w:szCs w:val="16"/>
              </w:rPr>
            </w:pPr>
          </w:p>
        </w:tc>
        <w:tc>
          <w:tcPr>
            <w:tcW w:w="504" w:type="pct"/>
            <w:tcBorders>
              <w:top w:val="single" w:sz="4" w:space="0" w:color="auto"/>
              <w:left w:val="single" w:sz="24" w:space="0" w:color="FFFFFF"/>
              <w:bottom w:val="single" w:sz="12" w:space="0" w:color="auto"/>
              <w:right w:val="single" w:sz="24" w:space="0" w:color="FFFFFF"/>
            </w:tcBorders>
            <w:shd w:val="clear" w:color="auto" w:fill="auto"/>
            <w:vAlign w:val="bottom"/>
          </w:tcPr>
          <w:p w:rsidR="00F236D5" w:rsidRPr="00352FBC" w:rsidRDefault="00F236D5" w:rsidP="00947046">
            <w:pPr>
              <w:spacing w:before="80" w:after="80" w:line="220" w:lineRule="exact"/>
              <w:ind w:left="113"/>
              <w:jc w:val="right"/>
              <w:rPr>
                <w:i/>
                <w:sz w:val="16"/>
                <w:szCs w:val="16"/>
              </w:rPr>
            </w:pPr>
            <w:r w:rsidRPr="00352FBC">
              <w:rPr>
                <w:i/>
                <w:sz w:val="16"/>
                <w:szCs w:val="16"/>
              </w:rPr>
              <w:t>0 a 17</w:t>
            </w:r>
          </w:p>
        </w:tc>
        <w:tc>
          <w:tcPr>
            <w:tcW w:w="504" w:type="pct"/>
            <w:tcBorders>
              <w:top w:val="single" w:sz="4" w:space="0" w:color="auto"/>
              <w:left w:val="single" w:sz="24" w:space="0" w:color="FFFFFF"/>
              <w:bottom w:val="single" w:sz="12" w:space="0" w:color="auto"/>
            </w:tcBorders>
            <w:shd w:val="clear" w:color="auto" w:fill="auto"/>
            <w:vAlign w:val="bottom"/>
          </w:tcPr>
          <w:p w:rsidR="00F236D5" w:rsidRPr="00352FBC" w:rsidRDefault="00F236D5" w:rsidP="00947046">
            <w:pPr>
              <w:spacing w:before="80" w:after="80" w:line="220" w:lineRule="exact"/>
              <w:ind w:left="113"/>
              <w:jc w:val="right"/>
              <w:rPr>
                <w:i/>
                <w:sz w:val="16"/>
                <w:szCs w:val="16"/>
              </w:rPr>
            </w:pPr>
            <w:r w:rsidRPr="00352FBC">
              <w:rPr>
                <w:i/>
                <w:sz w:val="16"/>
                <w:szCs w:val="16"/>
              </w:rPr>
              <w:t>18 a 24</w:t>
            </w:r>
          </w:p>
        </w:tc>
        <w:tc>
          <w:tcPr>
            <w:tcW w:w="504" w:type="pct"/>
            <w:tcBorders>
              <w:top w:val="single" w:sz="4" w:space="0" w:color="auto"/>
              <w:bottom w:val="single" w:sz="12" w:space="0" w:color="auto"/>
            </w:tcBorders>
            <w:shd w:val="clear" w:color="auto" w:fill="auto"/>
            <w:vAlign w:val="bottom"/>
          </w:tcPr>
          <w:p w:rsidR="00F236D5" w:rsidRPr="00352FBC" w:rsidRDefault="00F236D5" w:rsidP="00947046">
            <w:pPr>
              <w:spacing w:before="80" w:after="80" w:line="220" w:lineRule="exact"/>
              <w:ind w:left="113"/>
              <w:jc w:val="right"/>
              <w:rPr>
                <w:i/>
                <w:sz w:val="16"/>
                <w:szCs w:val="16"/>
              </w:rPr>
            </w:pPr>
            <w:r w:rsidRPr="00352FBC">
              <w:rPr>
                <w:i/>
                <w:sz w:val="16"/>
                <w:szCs w:val="16"/>
              </w:rPr>
              <w:t>25 a 44</w:t>
            </w:r>
          </w:p>
        </w:tc>
        <w:tc>
          <w:tcPr>
            <w:tcW w:w="504" w:type="pct"/>
            <w:tcBorders>
              <w:top w:val="single" w:sz="4" w:space="0" w:color="auto"/>
              <w:bottom w:val="single" w:sz="12" w:space="0" w:color="auto"/>
            </w:tcBorders>
            <w:shd w:val="clear" w:color="auto" w:fill="auto"/>
            <w:vAlign w:val="bottom"/>
          </w:tcPr>
          <w:p w:rsidR="00F236D5" w:rsidRPr="00352FBC" w:rsidRDefault="00F236D5" w:rsidP="00947046">
            <w:pPr>
              <w:spacing w:before="80" w:after="80" w:line="220" w:lineRule="exact"/>
              <w:ind w:left="113"/>
              <w:jc w:val="right"/>
              <w:rPr>
                <w:i/>
                <w:sz w:val="16"/>
                <w:szCs w:val="16"/>
              </w:rPr>
            </w:pPr>
            <w:r w:rsidRPr="00352FBC">
              <w:rPr>
                <w:i/>
                <w:sz w:val="16"/>
                <w:szCs w:val="16"/>
              </w:rPr>
              <w:t>45 a 64</w:t>
            </w:r>
          </w:p>
        </w:tc>
        <w:tc>
          <w:tcPr>
            <w:tcW w:w="712" w:type="pct"/>
            <w:tcBorders>
              <w:top w:val="single" w:sz="4" w:space="0" w:color="auto"/>
              <w:bottom w:val="single" w:sz="12" w:space="0" w:color="auto"/>
              <w:right w:val="single" w:sz="24" w:space="0" w:color="FFFFFF"/>
            </w:tcBorders>
            <w:shd w:val="clear" w:color="auto" w:fill="auto"/>
            <w:vAlign w:val="bottom"/>
          </w:tcPr>
          <w:p w:rsidR="00F236D5" w:rsidRPr="00352FBC" w:rsidRDefault="00F236D5" w:rsidP="00947046">
            <w:pPr>
              <w:spacing w:before="80" w:after="80" w:line="220" w:lineRule="exact"/>
              <w:ind w:left="113"/>
              <w:jc w:val="right"/>
              <w:rPr>
                <w:i/>
                <w:sz w:val="16"/>
                <w:szCs w:val="16"/>
              </w:rPr>
            </w:pPr>
            <w:r w:rsidRPr="00352FBC">
              <w:rPr>
                <w:i/>
                <w:sz w:val="16"/>
                <w:szCs w:val="16"/>
              </w:rPr>
              <w:t>65</w:t>
            </w:r>
            <w:r>
              <w:rPr>
                <w:i/>
                <w:sz w:val="16"/>
                <w:szCs w:val="16"/>
              </w:rPr>
              <w:t xml:space="preserve"> o más</w:t>
            </w:r>
          </w:p>
        </w:tc>
        <w:tc>
          <w:tcPr>
            <w:tcW w:w="713" w:type="pct"/>
            <w:tcBorders>
              <w:top w:val="single" w:sz="4" w:space="0" w:color="auto"/>
              <w:left w:val="single" w:sz="24" w:space="0" w:color="FFFFFF"/>
              <w:bottom w:val="single" w:sz="12" w:space="0" w:color="auto"/>
              <w:right w:val="single" w:sz="24" w:space="0" w:color="FFFFFF"/>
            </w:tcBorders>
            <w:shd w:val="clear" w:color="auto" w:fill="auto"/>
            <w:vAlign w:val="bottom"/>
          </w:tcPr>
          <w:p w:rsidR="00F236D5" w:rsidRPr="00352FBC" w:rsidRDefault="00F236D5" w:rsidP="00947046">
            <w:pPr>
              <w:spacing w:before="80" w:after="80" w:line="220" w:lineRule="exact"/>
              <w:ind w:left="113"/>
              <w:jc w:val="right"/>
              <w:rPr>
                <w:i/>
                <w:sz w:val="16"/>
                <w:szCs w:val="16"/>
              </w:rPr>
            </w:pPr>
            <w:r>
              <w:rPr>
                <w:i/>
                <w:sz w:val="16"/>
                <w:szCs w:val="16"/>
              </w:rPr>
              <w:t>15 o más</w:t>
            </w:r>
          </w:p>
        </w:tc>
        <w:tc>
          <w:tcPr>
            <w:tcW w:w="713" w:type="pct"/>
            <w:tcBorders>
              <w:top w:val="single" w:sz="4" w:space="0" w:color="auto"/>
              <w:left w:val="single" w:sz="24" w:space="0" w:color="FFFFFF"/>
              <w:bottom w:val="single" w:sz="12" w:space="0" w:color="auto"/>
            </w:tcBorders>
            <w:shd w:val="clear" w:color="auto" w:fill="auto"/>
            <w:vAlign w:val="bottom"/>
          </w:tcPr>
          <w:p w:rsidR="00F236D5" w:rsidRPr="00352FBC" w:rsidRDefault="00F236D5" w:rsidP="00947046">
            <w:pPr>
              <w:spacing w:before="80" w:after="80" w:line="220" w:lineRule="exact"/>
              <w:ind w:left="113"/>
              <w:jc w:val="right"/>
              <w:rPr>
                <w:i/>
                <w:sz w:val="16"/>
                <w:szCs w:val="16"/>
              </w:rPr>
            </w:pPr>
            <w:r>
              <w:rPr>
                <w:i/>
                <w:sz w:val="16"/>
                <w:szCs w:val="16"/>
              </w:rPr>
              <w:t>15 o más</w:t>
            </w:r>
          </w:p>
        </w:tc>
        <w:tc>
          <w:tcPr>
            <w:tcW w:w="451" w:type="pct"/>
            <w:vMerge/>
            <w:tcBorders>
              <w:bottom w:val="single" w:sz="12" w:space="0" w:color="auto"/>
            </w:tcBorders>
            <w:shd w:val="clear" w:color="auto" w:fill="auto"/>
            <w:vAlign w:val="bottom"/>
          </w:tcPr>
          <w:p w:rsidR="00F236D5" w:rsidRPr="00693FFC" w:rsidRDefault="00F236D5" w:rsidP="00947046">
            <w:pPr>
              <w:spacing w:before="80" w:after="80" w:line="220" w:lineRule="exact"/>
              <w:ind w:left="113"/>
              <w:jc w:val="right"/>
              <w:rPr>
                <w:b/>
                <w:i/>
                <w:sz w:val="18"/>
                <w:szCs w:val="18"/>
              </w:rPr>
            </w:pPr>
          </w:p>
        </w:tc>
      </w:tr>
      <w:tr w:rsidR="00F236D5" w:rsidRPr="00A57E75" w:rsidTr="00947046">
        <w:tblPrEx>
          <w:tblCellMar>
            <w:top w:w="0" w:type="dxa"/>
            <w:bottom w:w="0" w:type="dxa"/>
          </w:tblCellMar>
        </w:tblPrEx>
        <w:trPr>
          <w:trHeight w:val="240"/>
        </w:trPr>
        <w:tc>
          <w:tcPr>
            <w:tcW w:w="395" w:type="pct"/>
            <w:tcBorders>
              <w:top w:val="single" w:sz="12" w:space="0" w:color="auto"/>
              <w:bottom w:val="nil"/>
            </w:tcBorders>
            <w:shd w:val="clear" w:color="auto" w:fill="auto"/>
          </w:tcPr>
          <w:p w:rsidR="00F236D5" w:rsidRPr="00A57E75" w:rsidRDefault="00F236D5" w:rsidP="00947046">
            <w:pPr>
              <w:spacing w:before="40" w:after="40" w:line="220" w:lineRule="exact"/>
              <w:rPr>
                <w:sz w:val="18"/>
              </w:rPr>
            </w:pPr>
            <w:r w:rsidRPr="00A57E75">
              <w:rPr>
                <w:sz w:val="18"/>
              </w:rPr>
              <w:t>1986</w:t>
            </w:r>
          </w:p>
        </w:tc>
        <w:tc>
          <w:tcPr>
            <w:tcW w:w="504" w:type="pct"/>
            <w:tcBorders>
              <w:top w:val="single" w:sz="12" w:space="0" w:color="auto"/>
            </w:tcBorders>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11</w:t>
            </w:r>
          </w:p>
        </w:tc>
        <w:tc>
          <w:tcPr>
            <w:tcW w:w="504" w:type="pct"/>
            <w:tcBorders>
              <w:top w:val="single" w:sz="12" w:space="0" w:color="auto"/>
            </w:tcBorders>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5</w:t>
            </w:r>
          </w:p>
        </w:tc>
        <w:tc>
          <w:tcPr>
            <w:tcW w:w="504" w:type="pct"/>
            <w:tcBorders>
              <w:top w:val="single" w:sz="12" w:space="0" w:color="auto"/>
            </w:tcBorders>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8</w:t>
            </w:r>
          </w:p>
        </w:tc>
        <w:tc>
          <w:tcPr>
            <w:tcW w:w="504" w:type="pct"/>
            <w:tcBorders>
              <w:top w:val="single" w:sz="12" w:space="0" w:color="auto"/>
            </w:tcBorders>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5</w:t>
            </w:r>
          </w:p>
        </w:tc>
        <w:tc>
          <w:tcPr>
            <w:tcW w:w="712" w:type="pct"/>
            <w:tcBorders>
              <w:top w:val="single" w:sz="12" w:space="0" w:color="auto"/>
            </w:tcBorders>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4</w:t>
            </w:r>
          </w:p>
        </w:tc>
        <w:tc>
          <w:tcPr>
            <w:tcW w:w="713" w:type="pct"/>
            <w:tcBorders>
              <w:top w:val="single" w:sz="12" w:space="0" w:color="auto"/>
            </w:tcBorders>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5</w:t>
            </w:r>
          </w:p>
        </w:tc>
        <w:tc>
          <w:tcPr>
            <w:tcW w:w="713" w:type="pct"/>
            <w:tcBorders>
              <w:top w:val="single" w:sz="12" w:space="0" w:color="auto"/>
            </w:tcBorders>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 xml:space="preserve">7 </w:t>
            </w:r>
          </w:p>
        </w:tc>
        <w:tc>
          <w:tcPr>
            <w:tcW w:w="451" w:type="pct"/>
            <w:tcBorders>
              <w:top w:val="single" w:sz="12" w:space="0" w:color="auto"/>
            </w:tcBorders>
            <w:shd w:val="clear" w:color="auto" w:fill="auto"/>
            <w:vAlign w:val="bottom"/>
          </w:tcPr>
          <w:p w:rsidR="00F236D5" w:rsidRPr="00352FBC" w:rsidRDefault="00F236D5" w:rsidP="00947046">
            <w:pPr>
              <w:spacing w:before="40" w:after="40" w:line="220" w:lineRule="exact"/>
              <w:ind w:left="113"/>
              <w:jc w:val="right"/>
              <w:rPr>
                <w:sz w:val="18"/>
              </w:rPr>
            </w:pPr>
            <w:r w:rsidRPr="00352FBC">
              <w:rPr>
                <w:sz w:val="18"/>
              </w:rPr>
              <w:t>8</w:t>
            </w:r>
          </w:p>
        </w:tc>
      </w:tr>
      <w:tr w:rsidR="00F236D5" w:rsidRPr="00A57E75" w:rsidTr="00947046">
        <w:tblPrEx>
          <w:tblCellMar>
            <w:top w:w="0" w:type="dxa"/>
            <w:bottom w:w="0" w:type="dxa"/>
          </w:tblCellMar>
        </w:tblPrEx>
        <w:trPr>
          <w:trHeight w:val="240"/>
        </w:trPr>
        <w:tc>
          <w:tcPr>
            <w:tcW w:w="395" w:type="pct"/>
            <w:tcBorders>
              <w:top w:val="nil"/>
            </w:tcBorders>
            <w:shd w:val="clear" w:color="auto" w:fill="auto"/>
          </w:tcPr>
          <w:p w:rsidR="00F236D5" w:rsidRPr="00A57E75" w:rsidRDefault="00F236D5" w:rsidP="00947046">
            <w:pPr>
              <w:spacing w:before="40" w:after="40" w:line="220" w:lineRule="exact"/>
              <w:rPr>
                <w:sz w:val="18"/>
              </w:rPr>
            </w:pPr>
            <w:r w:rsidRPr="00A57E75">
              <w:rPr>
                <w:sz w:val="18"/>
              </w:rPr>
              <w:t>1990</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16</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8</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12</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6</w:t>
            </w:r>
          </w:p>
        </w:tc>
        <w:tc>
          <w:tcPr>
            <w:tcW w:w="712"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6</w:t>
            </w:r>
          </w:p>
        </w:tc>
        <w:tc>
          <w:tcPr>
            <w:tcW w:w="713"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8</w:t>
            </w:r>
          </w:p>
        </w:tc>
        <w:tc>
          <w:tcPr>
            <w:tcW w:w="713"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9</w:t>
            </w:r>
          </w:p>
        </w:tc>
        <w:tc>
          <w:tcPr>
            <w:tcW w:w="451" w:type="pct"/>
            <w:shd w:val="clear" w:color="auto" w:fill="auto"/>
            <w:vAlign w:val="bottom"/>
          </w:tcPr>
          <w:p w:rsidR="00F236D5" w:rsidRPr="00352FBC" w:rsidRDefault="00F236D5" w:rsidP="00947046">
            <w:pPr>
              <w:spacing w:before="40" w:after="40" w:line="220" w:lineRule="exact"/>
              <w:ind w:left="113"/>
              <w:jc w:val="right"/>
              <w:rPr>
                <w:sz w:val="18"/>
              </w:rPr>
            </w:pPr>
            <w:r w:rsidRPr="00352FBC">
              <w:rPr>
                <w:sz w:val="18"/>
              </w:rPr>
              <w:t>11</w:t>
            </w:r>
          </w:p>
        </w:tc>
      </w:tr>
      <w:tr w:rsidR="00F236D5" w:rsidRPr="00A57E75" w:rsidTr="00947046">
        <w:tblPrEx>
          <w:tblCellMar>
            <w:top w:w="0" w:type="dxa"/>
            <w:bottom w:w="0" w:type="dxa"/>
          </w:tblCellMar>
        </w:tblPrEx>
        <w:trPr>
          <w:trHeight w:val="240"/>
        </w:trPr>
        <w:tc>
          <w:tcPr>
            <w:tcW w:w="395" w:type="pct"/>
            <w:shd w:val="clear" w:color="auto" w:fill="auto"/>
          </w:tcPr>
          <w:p w:rsidR="00F236D5" w:rsidRPr="00A57E75" w:rsidRDefault="00F236D5" w:rsidP="00947046">
            <w:pPr>
              <w:spacing w:before="40" w:after="40" w:line="220" w:lineRule="exact"/>
              <w:rPr>
                <w:sz w:val="18"/>
              </w:rPr>
            </w:pPr>
            <w:r w:rsidRPr="00A57E75">
              <w:rPr>
                <w:sz w:val="18"/>
              </w:rPr>
              <w:t>1994</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35</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20</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23</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15</w:t>
            </w:r>
          </w:p>
        </w:tc>
        <w:tc>
          <w:tcPr>
            <w:tcW w:w="712"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8</w:t>
            </w:r>
          </w:p>
        </w:tc>
        <w:tc>
          <w:tcPr>
            <w:tcW w:w="713"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17</w:t>
            </w:r>
          </w:p>
        </w:tc>
        <w:tc>
          <w:tcPr>
            <w:tcW w:w="713"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20</w:t>
            </w:r>
          </w:p>
        </w:tc>
        <w:tc>
          <w:tcPr>
            <w:tcW w:w="451" w:type="pct"/>
            <w:shd w:val="clear" w:color="auto" w:fill="auto"/>
            <w:vAlign w:val="bottom"/>
          </w:tcPr>
          <w:p w:rsidR="00F236D5" w:rsidRPr="00352FBC" w:rsidRDefault="00F236D5" w:rsidP="00947046">
            <w:pPr>
              <w:spacing w:before="40" w:after="40" w:line="220" w:lineRule="exact"/>
              <w:ind w:left="113"/>
              <w:jc w:val="right"/>
              <w:rPr>
                <w:sz w:val="18"/>
              </w:rPr>
            </w:pPr>
            <w:r w:rsidRPr="00352FBC">
              <w:rPr>
                <w:sz w:val="18"/>
              </w:rPr>
              <w:t>23</w:t>
            </w:r>
          </w:p>
        </w:tc>
      </w:tr>
      <w:tr w:rsidR="00F236D5" w:rsidRPr="00A57E75" w:rsidTr="00947046">
        <w:tblPrEx>
          <w:tblCellMar>
            <w:top w:w="0" w:type="dxa"/>
            <w:bottom w:w="0" w:type="dxa"/>
          </w:tblCellMar>
        </w:tblPrEx>
        <w:trPr>
          <w:trHeight w:val="240"/>
        </w:trPr>
        <w:tc>
          <w:tcPr>
            <w:tcW w:w="395" w:type="pct"/>
            <w:shd w:val="clear" w:color="auto" w:fill="auto"/>
          </w:tcPr>
          <w:p w:rsidR="00F236D5" w:rsidRPr="00A57E75" w:rsidRDefault="00F236D5" w:rsidP="00947046">
            <w:pPr>
              <w:spacing w:before="40" w:after="40" w:line="220" w:lineRule="exact"/>
              <w:rPr>
                <w:sz w:val="18"/>
              </w:rPr>
            </w:pPr>
            <w:r w:rsidRPr="00A57E75">
              <w:rPr>
                <w:sz w:val="18"/>
              </w:rPr>
              <w:t>1998</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28</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16</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18</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12</w:t>
            </w:r>
          </w:p>
        </w:tc>
        <w:tc>
          <w:tcPr>
            <w:tcW w:w="712"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9</w:t>
            </w:r>
          </w:p>
        </w:tc>
        <w:tc>
          <w:tcPr>
            <w:tcW w:w="713"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13</w:t>
            </w:r>
          </w:p>
        </w:tc>
        <w:tc>
          <w:tcPr>
            <w:tcW w:w="713"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16</w:t>
            </w:r>
          </w:p>
        </w:tc>
        <w:tc>
          <w:tcPr>
            <w:tcW w:w="451" w:type="pct"/>
            <w:shd w:val="clear" w:color="auto" w:fill="auto"/>
            <w:vAlign w:val="bottom"/>
          </w:tcPr>
          <w:p w:rsidR="00F236D5" w:rsidRPr="00352FBC" w:rsidRDefault="00F236D5" w:rsidP="00947046">
            <w:pPr>
              <w:spacing w:before="40" w:after="40" w:line="220" w:lineRule="exact"/>
              <w:ind w:left="113"/>
              <w:jc w:val="right"/>
              <w:rPr>
                <w:sz w:val="18"/>
              </w:rPr>
            </w:pPr>
            <w:r w:rsidRPr="00352FBC">
              <w:rPr>
                <w:sz w:val="18"/>
              </w:rPr>
              <w:t>18</w:t>
            </w:r>
          </w:p>
        </w:tc>
      </w:tr>
      <w:tr w:rsidR="00F236D5" w:rsidRPr="00A57E75" w:rsidTr="00947046">
        <w:tblPrEx>
          <w:tblCellMar>
            <w:top w:w="0" w:type="dxa"/>
            <w:bottom w:w="0" w:type="dxa"/>
          </w:tblCellMar>
        </w:tblPrEx>
        <w:trPr>
          <w:trHeight w:val="240"/>
        </w:trPr>
        <w:tc>
          <w:tcPr>
            <w:tcW w:w="395" w:type="pct"/>
            <w:shd w:val="clear" w:color="auto" w:fill="auto"/>
          </w:tcPr>
          <w:p w:rsidR="00F236D5" w:rsidRPr="00A57E75" w:rsidRDefault="00F236D5" w:rsidP="00947046">
            <w:pPr>
              <w:spacing w:before="40" w:after="40" w:line="220" w:lineRule="exact"/>
              <w:rPr>
                <w:sz w:val="18"/>
              </w:rPr>
            </w:pPr>
            <w:r w:rsidRPr="00A57E75">
              <w:rPr>
                <w:sz w:val="18"/>
              </w:rPr>
              <w:t>2001</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29</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21</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18</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14</w:t>
            </w:r>
          </w:p>
        </w:tc>
        <w:tc>
          <w:tcPr>
            <w:tcW w:w="712"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7</w:t>
            </w:r>
          </w:p>
        </w:tc>
        <w:tc>
          <w:tcPr>
            <w:tcW w:w="713"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14</w:t>
            </w:r>
          </w:p>
        </w:tc>
        <w:tc>
          <w:tcPr>
            <w:tcW w:w="713"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17</w:t>
            </w:r>
          </w:p>
        </w:tc>
        <w:tc>
          <w:tcPr>
            <w:tcW w:w="451" w:type="pct"/>
            <w:shd w:val="clear" w:color="auto" w:fill="auto"/>
            <w:vAlign w:val="bottom"/>
          </w:tcPr>
          <w:p w:rsidR="00F236D5" w:rsidRPr="00352FBC" w:rsidRDefault="00F236D5" w:rsidP="00947046">
            <w:pPr>
              <w:spacing w:before="40" w:after="40" w:line="220" w:lineRule="exact"/>
              <w:ind w:left="113"/>
              <w:jc w:val="right"/>
              <w:rPr>
                <w:sz w:val="18"/>
              </w:rPr>
            </w:pPr>
            <w:r w:rsidRPr="00352FBC">
              <w:rPr>
                <w:sz w:val="18"/>
              </w:rPr>
              <w:t>19</w:t>
            </w:r>
          </w:p>
        </w:tc>
      </w:tr>
      <w:tr w:rsidR="00F236D5" w:rsidRPr="00A57E75" w:rsidTr="00947046">
        <w:tblPrEx>
          <w:tblCellMar>
            <w:top w:w="0" w:type="dxa"/>
            <w:bottom w:w="0" w:type="dxa"/>
          </w:tblCellMar>
        </w:tblPrEx>
        <w:trPr>
          <w:trHeight w:val="240"/>
        </w:trPr>
        <w:tc>
          <w:tcPr>
            <w:tcW w:w="395" w:type="pct"/>
            <w:shd w:val="clear" w:color="auto" w:fill="auto"/>
          </w:tcPr>
          <w:p w:rsidR="00F236D5" w:rsidRPr="00A57E75" w:rsidRDefault="00F236D5" w:rsidP="00947046">
            <w:pPr>
              <w:spacing w:before="40" w:after="40" w:line="220" w:lineRule="exact"/>
              <w:rPr>
                <w:sz w:val="18"/>
              </w:rPr>
            </w:pPr>
            <w:r w:rsidRPr="00A57E75">
              <w:rPr>
                <w:sz w:val="18"/>
              </w:rPr>
              <w:t>2004</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23</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22</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17</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13</w:t>
            </w:r>
          </w:p>
        </w:tc>
        <w:tc>
          <w:tcPr>
            <w:tcW w:w="712"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7</w:t>
            </w:r>
          </w:p>
        </w:tc>
        <w:tc>
          <w:tcPr>
            <w:tcW w:w="713"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15</w:t>
            </w:r>
          </w:p>
        </w:tc>
        <w:tc>
          <w:tcPr>
            <w:tcW w:w="713"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15</w:t>
            </w:r>
          </w:p>
        </w:tc>
        <w:tc>
          <w:tcPr>
            <w:tcW w:w="451" w:type="pct"/>
            <w:shd w:val="clear" w:color="auto" w:fill="auto"/>
            <w:vAlign w:val="bottom"/>
          </w:tcPr>
          <w:p w:rsidR="00F236D5" w:rsidRPr="00352FBC" w:rsidRDefault="00F236D5" w:rsidP="00947046">
            <w:pPr>
              <w:spacing w:before="40" w:after="40" w:line="220" w:lineRule="exact"/>
              <w:ind w:left="113"/>
              <w:jc w:val="right"/>
              <w:rPr>
                <w:sz w:val="18"/>
              </w:rPr>
            </w:pPr>
            <w:r w:rsidRPr="00352FBC">
              <w:rPr>
                <w:sz w:val="18"/>
              </w:rPr>
              <w:t>17</w:t>
            </w:r>
          </w:p>
        </w:tc>
      </w:tr>
      <w:tr w:rsidR="00F236D5" w:rsidRPr="00A57E75" w:rsidTr="00947046">
        <w:tblPrEx>
          <w:tblCellMar>
            <w:top w:w="0" w:type="dxa"/>
            <w:bottom w:w="0" w:type="dxa"/>
          </w:tblCellMar>
        </w:tblPrEx>
        <w:trPr>
          <w:trHeight w:val="240"/>
        </w:trPr>
        <w:tc>
          <w:tcPr>
            <w:tcW w:w="395" w:type="pct"/>
            <w:shd w:val="clear" w:color="auto" w:fill="auto"/>
          </w:tcPr>
          <w:p w:rsidR="00F236D5" w:rsidRPr="00A57E75" w:rsidRDefault="00F236D5" w:rsidP="00947046">
            <w:pPr>
              <w:spacing w:before="40" w:after="40" w:line="220" w:lineRule="exact"/>
              <w:rPr>
                <w:sz w:val="18"/>
              </w:rPr>
            </w:pPr>
            <w:r w:rsidRPr="00A57E75">
              <w:rPr>
                <w:sz w:val="18"/>
              </w:rPr>
              <w:t>2007</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16</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17</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13</w:t>
            </w:r>
          </w:p>
        </w:tc>
        <w:tc>
          <w:tcPr>
            <w:tcW w:w="504"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11</w:t>
            </w:r>
          </w:p>
        </w:tc>
        <w:tc>
          <w:tcPr>
            <w:tcW w:w="712"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8</w:t>
            </w:r>
          </w:p>
        </w:tc>
        <w:tc>
          <w:tcPr>
            <w:tcW w:w="713"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11</w:t>
            </w:r>
          </w:p>
        </w:tc>
        <w:tc>
          <w:tcPr>
            <w:tcW w:w="713" w:type="pct"/>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13</w:t>
            </w:r>
          </w:p>
        </w:tc>
        <w:tc>
          <w:tcPr>
            <w:tcW w:w="451" w:type="pct"/>
            <w:shd w:val="clear" w:color="auto" w:fill="auto"/>
            <w:vAlign w:val="bottom"/>
          </w:tcPr>
          <w:p w:rsidR="00F236D5" w:rsidRPr="00352FBC" w:rsidRDefault="00F236D5" w:rsidP="00947046">
            <w:pPr>
              <w:spacing w:before="40" w:after="40" w:line="220" w:lineRule="exact"/>
              <w:ind w:left="113"/>
              <w:jc w:val="right"/>
              <w:rPr>
                <w:sz w:val="18"/>
              </w:rPr>
            </w:pPr>
            <w:r w:rsidRPr="00352FBC">
              <w:rPr>
                <w:sz w:val="18"/>
              </w:rPr>
              <w:t>13</w:t>
            </w:r>
          </w:p>
        </w:tc>
      </w:tr>
      <w:tr w:rsidR="00F236D5" w:rsidRPr="00A57E75" w:rsidTr="00947046">
        <w:tblPrEx>
          <w:tblCellMar>
            <w:top w:w="0" w:type="dxa"/>
            <w:bottom w:w="0" w:type="dxa"/>
          </w:tblCellMar>
        </w:tblPrEx>
        <w:trPr>
          <w:trHeight w:val="240"/>
        </w:trPr>
        <w:tc>
          <w:tcPr>
            <w:tcW w:w="395" w:type="pct"/>
            <w:tcBorders>
              <w:bottom w:val="single" w:sz="12" w:space="0" w:color="auto"/>
            </w:tcBorders>
            <w:shd w:val="clear" w:color="auto" w:fill="auto"/>
          </w:tcPr>
          <w:p w:rsidR="00F236D5" w:rsidRPr="00A57E75" w:rsidRDefault="00F236D5" w:rsidP="00947046">
            <w:pPr>
              <w:spacing w:before="40" w:after="40" w:line="220" w:lineRule="exact"/>
              <w:rPr>
                <w:sz w:val="18"/>
              </w:rPr>
            </w:pPr>
            <w:r w:rsidRPr="00A57E75">
              <w:rPr>
                <w:sz w:val="18"/>
              </w:rPr>
              <w:t>2008</w:t>
            </w:r>
          </w:p>
        </w:tc>
        <w:tc>
          <w:tcPr>
            <w:tcW w:w="504" w:type="pct"/>
            <w:tcBorders>
              <w:bottom w:val="single" w:sz="12" w:space="0" w:color="auto"/>
            </w:tcBorders>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20</w:t>
            </w:r>
          </w:p>
        </w:tc>
        <w:tc>
          <w:tcPr>
            <w:tcW w:w="504" w:type="pct"/>
            <w:tcBorders>
              <w:bottom w:val="single" w:sz="12" w:space="0" w:color="auto"/>
            </w:tcBorders>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12</w:t>
            </w:r>
          </w:p>
        </w:tc>
        <w:tc>
          <w:tcPr>
            <w:tcW w:w="504" w:type="pct"/>
            <w:tcBorders>
              <w:bottom w:val="single" w:sz="12" w:space="0" w:color="auto"/>
            </w:tcBorders>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13</w:t>
            </w:r>
          </w:p>
        </w:tc>
        <w:tc>
          <w:tcPr>
            <w:tcW w:w="504" w:type="pct"/>
            <w:tcBorders>
              <w:bottom w:val="single" w:sz="12" w:space="0" w:color="auto"/>
            </w:tcBorders>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12</w:t>
            </w:r>
          </w:p>
        </w:tc>
        <w:tc>
          <w:tcPr>
            <w:tcW w:w="712" w:type="pct"/>
            <w:tcBorders>
              <w:bottom w:val="single" w:sz="12" w:space="0" w:color="auto"/>
            </w:tcBorders>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9</w:t>
            </w:r>
          </w:p>
        </w:tc>
        <w:tc>
          <w:tcPr>
            <w:tcW w:w="713" w:type="pct"/>
            <w:tcBorders>
              <w:bottom w:val="single" w:sz="12" w:space="0" w:color="auto"/>
            </w:tcBorders>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11</w:t>
            </w:r>
          </w:p>
        </w:tc>
        <w:tc>
          <w:tcPr>
            <w:tcW w:w="713" w:type="pct"/>
            <w:tcBorders>
              <w:bottom w:val="single" w:sz="12" w:space="0" w:color="auto"/>
            </w:tcBorders>
            <w:shd w:val="clear" w:color="auto" w:fill="auto"/>
            <w:vAlign w:val="bottom"/>
          </w:tcPr>
          <w:p w:rsidR="00F236D5" w:rsidRPr="00A57E75" w:rsidRDefault="00F236D5" w:rsidP="00947046">
            <w:pPr>
              <w:spacing w:before="40" w:after="40" w:line="220" w:lineRule="exact"/>
              <w:ind w:left="113"/>
              <w:jc w:val="right"/>
              <w:rPr>
                <w:sz w:val="18"/>
              </w:rPr>
            </w:pPr>
            <w:r w:rsidRPr="00A57E75">
              <w:rPr>
                <w:sz w:val="18"/>
              </w:rPr>
              <w:t>13</w:t>
            </w:r>
          </w:p>
        </w:tc>
        <w:tc>
          <w:tcPr>
            <w:tcW w:w="451" w:type="pct"/>
            <w:tcBorders>
              <w:bottom w:val="single" w:sz="12" w:space="0" w:color="auto"/>
            </w:tcBorders>
            <w:shd w:val="clear" w:color="auto" w:fill="auto"/>
            <w:vAlign w:val="bottom"/>
          </w:tcPr>
          <w:p w:rsidR="00F236D5" w:rsidRPr="00352FBC" w:rsidRDefault="00F236D5" w:rsidP="00947046">
            <w:pPr>
              <w:spacing w:before="40" w:after="40" w:line="220" w:lineRule="exact"/>
              <w:ind w:left="113"/>
              <w:jc w:val="right"/>
              <w:rPr>
                <w:sz w:val="18"/>
              </w:rPr>
            </w:pPr>
            <w:r w:rsidRPr="00352FBC">
              <w:rPr>
                <w:sz w:val="18"/>
              </w:rPr>
              <w:t>14</w:t>
            </w:r>
          </w:p>
        </w:tc>
      </w:tr>
    </w:tbl>
    <w:p w:rsidR="00F236D5" w:rsidRPr="00FE629C" w:rsidRDefault="00F236D5" w:rsidP="00F236D5">
      <w:pPr>
        <w:pStyle w:val="SingleTxtG"/>
        <w:spacing w:before="120" w:after="240"/>
        <w:ind w:firstLine="170"/>
        <w:jc w:val="left"/>
        <w:rPr>
          <w:sz w:val="18"/>
          <w:szCs w:val="18"/>
        </w:rPr>
      </w:pPr>
      <w:r w:rsidRPr="00FE629C">
        <w:rPr>
          <w:i/>
          <w:sz w:val="18"/>
          <w:szCs w:val="18"/>
        </w:rPr>
        <w:t>Fuente:</w:t>
      </w:r>
      <w:r w:rsidRPr="00FE629C">
        <w:rPr>
          <w:sz w:val="18"/>
          <w:szCs w:val="18"/>
        </w:rPr>
        <w:t xml:space="preserve"> Oficina de Estadísticas de Nueva Zelandia, encuesta económica sobre los hogares (1982</w:t>
      </w:r>
      <w:r w:rsidRPr="00FE629C">
        <w:rPr>
          <w:sz w:val="18"/>
          <w:szCs w:val="18"/>
        </w:rPr>
        <w:noBreakHyphen/>
        <w:t>2008) realizada por el Ministerio de Desarrollo Social.</w:t>
      </w:r>
    </w:p>
    <w:p w:rsidR="00F236D5" w:rsidRPr="0044681E" w:rsidRDefault="00F236D5" w:rsidP="00F236D5">
      <w:pPr>
        <w:pStyle w:val="H4G"/>
      </w:pPr>
      <w:r>
        <w:tab/>
      </w:r>
      <w:r w:rsidRPr="0044681E">
        <w:t>c)</w:t>
      </w:r>
      <w:r w:rsidRPr="0044681E">
        <w:tab/>
        <w:t>Diferencias étnicas</w:t>
      </w:r>
    </w:p>
    <w:p w:rsidR="00F236D5" w:rsidRPr="0044681E" w:rsidRDefault="00F236D5" w:rsidP="00F236D5">
      <w:pPr>
        <w:pStyle w:val="SingleTxtG"/>
      </w:pPr>
      <w:r w:rsidRPr="0044681E">
        <w:t>70.</w:t>
      </w:r>
      <w:r w:rsidRPr="0044681E">
        <w:tab/>
        <w:t>El tamaño de los muestreos de datos de la encuesta no es lo suficientemente amplio para establecer una serie temporal fiable respecto de las proporciones situadas por debajo del umbral del 60% desglosadas por grupo étnico. Las tendencias de la renta media de los hogares en valores reales, ajustada según el tamaño y composición del hogar para fines de la comparación, son menos volátiles y se utilizan para dar una idea de las relatividades entre los distintos grupos étnicos. En todos los grupos étnicos, el ingreso medio fue en aumento hasta 2008 desde su nivel más bajo, registrado en 1994, con algún grado de volatilidad en los grupos étnicos menos numerosos.</w:t>
      </w:r>
    </w:p>
    <w:p w:rsidR="00F236D5" w:rsidRDefault="00F236D5" w:rsidP="00F236D5">
      <w:pPr>
        <w:pStyle w:val="Heading1"/>
      </w:pPr>
      <w:r>
        <w:t>Cuadro 20</w:t>
      </w:r>
    </w:p>
    <w:p w:rsidR="00F236D5" w:rsidRDefault="00F236D5" w:rsidP="00F236D5">
      <w:pPr>
        <w:pStyle w:val="SingleTxtG"/>
        <w:jc w:val="left"/>
        <w:rPr>
          <w:b/>
        </w:rPr>
      </w:pPr>
      <w:r w:rsidRPr="00B77745">
        <w:rPr>
          <w:b/>
        </w:rPr>
        <w:t>Renta media de los hogares en valores reales y ajustada según el tamaño y la composición del hogar, por grupo étnico, 1988-2008</w:t>
      </w:r>
    </w:p>
    <w:bookmarkStart w:id="23" w:name="_MON_1366711696"/>
    <w:bookmarkStart w:id="24" w:name="_MON_1367221736"/>
    <w:bookmarkStart w:id="25" w:name="_MON_1367222018"/>
    <w:bookmarkEnd w:id="23"/>
    <w:bookmarkEnd w:id="24"/>
    <w:bookmarkEnd w:id="25"/>
    <w:p w:rsidR="00F236D5" w:rsidRPr="0044681E" w:rsidRDefault="00F236D5" w:rsidP="00F236D5">
      <w:pPr>
        <w:ind w:left="567"/>
        <w:jc w:val="center"/>
      </w:pPr>
      <w:r>
        <w:object w:dxaOrig="7976" w:dyaOrig="3073">
          <v:shape id="_x0000_i1031" type="#_x0000_t75" style="width:399.75pt;height:158.25pt" o:ole="" o:bordertopcolor="this" o:borderleftcolor="this" o:borderbottomcolor="this" o:borderrightcolor="this">
            <v:imagedata r:id="rId18" o:title="" croptop="1729f"/>
            <w10:bordertop type="single" width="2"/>
            <w10:borderleft type="single" width="2"/>
            <w10:borderbottom type="single" width="2"/>
            <w10:borderright type="single" width="2"/>
          </v:shape>
          <o:OLEObject Type="Embed" ProgID="Word.Picture.8" ShapeID="_x0000_i1031" DrawAspect="Content" ObjectID="_1395889830" r:id="rId19"/>
        </w:object>
      </w:r>
    </w:p>
    <w:p w:rsidR="00F236D5" w:rsidRPr="00541EF8" w:rsidRDefault="00F236D5" w:rsidP="00F236D5">
      <w:pPr>
        <w:pStyle w:val="SingleTxtG"/>
        <w:spacing w:before="120" w:after="0"/>
        <w:ind w:firstLine="170"/>
        <w:jc w:val="left"/>
        <w:rPr>
          <w:sz w:val="18"/>
          <w:szCs w:val="18"/>
        </w:rPr>
      </w:pPr>
      <w:r w:rsidRPr="00541EF8">
        <w:rPr>
          <w:rStyle w:val="SingleTxtGCar"/>
          <w:i/>
          <w:sz w:val="18"/>
          <w:szCs w:val="18"/>
        </w:rPr>
        <w:t>Fuente:</w:t>
      </w:r>
      <w:r w:rsidRPr="00541EF8">
        <w:rPr>
          <w:sz w:val="18"/>
          <w:szCs w:val="18"/>
        </w:rPr>
        <w:t xml:space="preserve"> Oficina de Estadísticas de Nueva Zelandia, encuesta ec</w:t>
      </w:r>
      <w:r>
        <w:rPr>
          <w:sz w:val="18"/>
          <w:szCs w:val="18"/>
        </w:rPr>
        <w:t>onómica sobre los hogares (1982</w:t>
      </w:r>
      <w:r>
        <w:rPr>
          <w:sz w:val="18"/>
          <w:szCs w:val="18"/>
        </w:rPr>
        <w:noBreakHyphen/>
      </w:r>
      <w:r w:rsidRPr="00541EF8">
        <w:rPr>
          <w:sz w:val="18"/>
          <w:szCs w:val="18"/>
        </w:rPr>
        <w:t>2008) realizada por el Ministerio de Desarrollo Social.</w:t>
      </w:r>
    </w:p>
    <w:p w:rsidR="00F236D5" w:rsidRPr="00541EF8" w:rsidRDefault="00F236D5" w:rsidP="00F236D5">
      <w:pPr>
        <w:pStyle w:val="SingleTxtG"/>
        <w:spacing w:after="0"/>
        <w:ind w:firstLine="170"/>
        <w:jc w:val="left"/>
        <w:rPr>
          <w:sz w:val="18"/>
          <w:szCs w:val="18"/>
        </w:rPr>
      </w:pPr>
      <w:r w:rsidRPr="00D3638E">
        <w:rPr>
          <w:i/>
          <w:sz w:val="18"/>
          <w:szCs w:val="18"/>
          <w:vertAlign w:val="superscript"/>
        </w:rPr>
        <w:t>1</w:t>
      </w:r>
      <w:r w:rsidRPr="00D3638E">
        <w:rPr>
          <w:sz w:val="18"/>
          <w:szCs w:val="18"/>
        </w:rPr>
        <w:t xml:space="preserve"> </w:t>
      </w:r>
      <w:r w:rsidRPr="00541EF8">
        <w:rPr>
          <w:sz w:val="18"/>
          <w:szCs w:val="18"/>
        </w:rPr>
        <w:t xml:space="preserve"> La etnia del hogar se define en virtud de la presencia en el hogar de un adulto de un determinado grupo étnico.</w:t>
      </w:r>
    </w:p>
    <w:p w:rsidR="00F236D5" w:rsidRPr="0044681E" w:rsidRDefault="00F236D5" w:rsidP="00F236D5">
      <w:pPr>
        <w:pStyle w:val="SingleTxtG"/>
        <w:spacing w:after="240"/>
        <w:ind w:firstLine="170"/>
        <w:jc w:val="left"/>
      </w:pPr>
      <w:r w:rsidRPr="00D3638E">
        <w:rPr>
          <w:i/>
          <w:sz w:val="18"/>
          <w:szCs w:val="18"/>
          <w:vertAlign w:val="superscript"/>
        </w:rPr>
        <w:t>2</w:t>
      </w:r>
      <w:r w:rsidRPr="00541EF8">
        <w:rPr>
          <w:sz w:val="18"/>
          <w:szCs w:val="18"/>
          <w:vertAlign w:val="superscript"/>
        </w:rPr>
        <w:t xml:space="preserve"> </w:t>
      </w:r>
      <w:r>
        <w:rPr>
          <w:sz w:val="18"/>
          <w:szCs w:val="18"/>
          <w:vertAlign w:val="superscript"/>
        </w:rPr>
        <w:t xml:space="preserve"> </w:t>
      </w:r>
      <w:r w:rsidRPr="00541EF8">
        <w:rPr>
          <w:sz w:val="18"/>
          <w:szCs w:val="18"/>
        </w:rPr>
        <w:t>Entre 1998 y 2004, la encuesta económica sobre los hogares se realizó cada tres años y no anualmente.</w:t>
      </w:r>
    </w:p>
    <w:p w:rsidR="00F236D5" w:rsidRPr="0044681E" w:rsidRDefault="00F236D5" w:rsidP="00F236D5">
      <w:pPr>
        <w:pStyle w:val="SingleTxtG"/>
      </w:pPr>
      <w:r w:rsidRPr="0044681E">
        <w:t>71.</w:t>
      </w:r>
      <w:r w:rsidRPr="0044681E">
        <w:tab/>
        <w:t xml:space="preserve">En 2009, sobre la base de la aplicación sistemática del indicador basado en el umbral del 60% de la renta media disponible de los hogares, excluidos los gastos de vivienda, aproximadamente </w:t>
      </w:r>
      <w:r>
        <w:t>1</w:t>
      </w:r>
      <w:r w:rsidRPr="0044681E">
        <w:t xml:space="preserve"> de cada </w:t>
      </w:r>
      <w:r>
        <w:t>6</w:t>
      </w:r>
      <w:r w:rsidRPr="0044681E">
        <w:t xml:space="preserve"> niños del grupo étnico europeo, </w:t>
      </w:r>
      <w:r>
        <w:t>1</w:t>
      </w:r>
      <w:r w:rsidRPr="0044681E">
        <w:t xml:space="preserve"> de cada </w:t>
      </w:r>
      <w:r>
        <w:t>4</w:t>
      </w:r>
      <w:r w:rsidRPr="0044681E">
        <w:t xml:space="preserve"> niños del grupo de los pueblos del Pacífico y </w:t>
      </w:r>
      <w:r>
        <w:t>1</w:t>
      </w:r>
      <w:r w:rsidRPr="0044681E">
        <w:t xml:space="preserve"> de cada </w:t>
      </w:r>
      <w:r>
        <w:t>3</w:t>
      </w:r>
      <w:r w:rsidRPr="0044681E">
        <w:t xml:space="preserve"> niños del grupo maorí (el doble de la cifra correspondiente a los niños del grupo europeo) vivían en hogares de bajos ingresos. </w:t>
      </w:r>
    </w:p>
    <w:p w:rsidR="00F236D5" w:rsidRPr="0044681E" w:rsidRDefault="00F236D5" w:rsidP="00F236D5">
      <w:pPr>
        <w:pStyle w:val="SingleTxtG"/>
      </w:pPr>
      <w:r w:rsidRPr="0044681E">
        <w:t>72.</w:t>
      </w:r>
      <w:r w:rsidRPr="0044681E">
        <w:tab/>
        <w:t>La proporción más alta de niños maoríes refleja su prevalencia en familias y hogares monoparentales receptores de subsidios (por ejemplo, en junio de 2009, el 43% de los receptores de la prestación para fines domésticos</w:t>
      </w:r>
      <w:r>
        <w:rPr>
          <w:rStyle w:val="FootnoteReference"/>
        </w:rPr>
        <w:footnoteReference w:id="4"/>
      </w:r>
      <w:r>
        <w:t xml:space="preserve"> eran maoríes)</w:t>
      </w:r>
      <w:r>
        <w:rPr>
          <w:rStyle w:val="FootnoteReference"/>
        </w:rPr>
        <w:footnoteReference w:id="5"/>
      </w:r>
      <w:r>
        <w:t>.</w:t>
      </w:r>
    </w:p>
    <w:p w:rsidR="00F236D5" w:rsidRPr="0044681E" w:rsidRDefault="00F236D5" w:rsidP="00F236D5">
      <w:pPr>
        <w:pStyle w:val="H23G"/>
      </w:pPr>
      <w:r>
        <w:tab/>
      </w:r>
      <w:r w:rsidRPr="0044681E">
        <w:t>14.</w:t>
      </w:r>
      <w:r w:rsidRPr="0044681E">
        <w:tab/>
        <w:t>Salud</w:t>
      </w:r>
    </w:p>
    <w:p w:rsidR="00F236D5" w:rsidRPr="0044681E" w:rsidRDefault="00F236D5" w:rsidP="00F236D5">
      <w:pPr>
        <w:pStyle w:val="SingleTxtG"/>
      </w:pPr>
      <w:r w:rsidRPr="0044681E">
        <w:t>73.</w:t>
      </w:r>
      <w:r w:rsidRPr="0044681E">
        <w:tab/>
        <w:t>En general, la situación sanitaria en Nueva Zelandia es satisfactoria. La esperanza de vida al nacer ha aumentado rápidamente durante el último decenio, tanto para los hombres como para las mujeres, así como para el grupo étnico maorí y los demás grupos étnicos. El desequilibrio de género en la esperanza de vida en Nueva Zelandia ha disminuido de 5,3 años en 1996 a 4,2 años en 2006. En el curso de esa década, la diferencia entre la tasa correspondiente al grupo étnico maorí y las tasas de los grupos no maoríes se ha reducido en aproximadamente 1,2 años para los hombres y 2,0 años para las mujeres.</w:t>
      </w:r>
    </w:p>
    <w:p w:rsidR="00F236D5" w:rsidRPr="0044681E" w:rsidRDefault="00F236D5" w:rsidP="00F236D5">
      <w:pPr>
        <w:pStyle w:val="H4G"/>
      </w:pPr>
      <w:r>
        <w:tab/>
      </w:r>
      <w:r w:rsidRPr="0044681E">
        <w:t>a)</w:t>
      </w:r>
      <w:r w:rsidRPr="0044681E">
        <w:tab/>
        <w:t>Esperanza de vida</w:t>
      </w:r>
    </w:p>
    <w:p w:rsidR="00F236D5" w:rsidRDefault="00F236D5" w:rsidP="00F236D5">
      <w:pPr>
        <w:pStyle w:val="Heading1"/>
      </w:pPr>
      <w:r>
        <w:t>Cuadro 21</w:t>
      </w:r>
    </w:p>
    <w:p w:rsidR="00F236D5" w:rsidRPr="000D5329" w:rsidRDefault="00F236D5" w:rsidP="00F236D5">
      <w:pPr>
        <w:pStyle w:val="SingleTxtG"/>
        <w:jc w:val="left"/>
        <w:rPr>
          <w:b/>
        </w:rPr>
      </w:pPr>
      <w:r w:rsidRPr="000D5329">
        <w:rPr>
          <w:b/>
        </w:rPr>
        <w:t>Esperanza de vida al nacer</w:t>
      </w:r>
    </w:p>
    <w:tbl>
      <w:tblPr>
        <w:tblW w:w="7370" w:type="dxa"/>
        <w:tblInd w:w="1134" w:type="dxa"/>
        <w:tblBorders>
          <w:top w:val="single" w:sz="4" w:space="0" w:color="auto"/>
        </w:tblBorders>
        <w:tblCellMar>
          <w:left w:w="0" w:type="dxa"/>
          <w:right w:w="0" w:type="dxa"/>
        </w:tblCellMar>
        <w:tblLook w:val="0000" w:firstRow="0" w:lastRow="0" w:firstColumn="0" w:lastColumn="0" w:noHBand="0" w:noVBand="0"/>
      </w:tblPr>
      <w:tblGrid>
        <w:gridCol w:w="2466"/>
        <w:gridCol w:w="1200"/>
        <w:gridCol w:w="1200"/>
        <w:gridCol w:w="2504"/>
      </w:tblGrid>
      <w:tr w:rsidR="00F236D5" w:rsidRPr="000D5329" w:rsidTr="00947046">
        <w:tblPrEx>
          <w:tblCellMar>
            <w:top w:w="0" w:type="dxa"/>
            <w:bottom w:w="0" w:type="dxa"/>
          </w:tblCellMar>
        </w:tblPrEx>
        <w:trPr>
          <w:trHeight w:val="240"/>
          <w:tblHeader/>
        </w:trPr>
        <w:tc>
          <w:tcPr>
            <w:tcW w:w="1673" w:type="pct"/>
            <w:tcBorders>
              <w:top w:val="single" w:sz="4" w:space="0" w:color="auto"/>
              <w:bottom w:val="single" w:sz="12" w:space="0" w:color="auto"/>
            </w:tcBorders>
            <w:shd w:val="clear" w:color="auto" w:fill="auto"/>
            <w:vAlign w:val="bottom"/>
          </w:tcPr>
          <w:p w:rsidR="00F236D5" w:rsidRPr="000D5329" w:rsidRDefault="00F236D5" w:rsidP="00947046">
            <w:pPr>
              <w:spacing w:before="80" w:after="80" w:line="200" w:lineRule="exact"/>
              <w:rPr>
                <w:i/>
                <w:sz w:val="16"/>
              </w:rPr>
            </w:pPr>
          </w:p>
        </w:tc>
        <w:tc>
          <w:tcPr>
            <w:tcW w:w="814" w:type="pct"/>
            <w:tcBorders>
              <w:top w:val="single" w:sz="4" w:space="0" w:color="auto"/>
              <w:bottom w:val="single" w:sz="12" w:space="0" w:color="auto"/>
            </w:tcBorders>
            <w:shd w:val="clear" w:color="auto" w:fill="auto"/>
            <w:vAlign w:val="bottom"/>
          </w:tcPr>
          <w:p w:rsidR="00F236D5" w:rsidRPr="000D5329" w:rsidRDefault="00F236D5" w:rsidP="00947046">
            <w:pPr>
              <w:spacing w:before="80" w:after="80" w:line="200" w:lineRule="exact"/>
              <w:ind w:left="113"/>
              <w:jc w:val="right"/>
              <w:rPr>
                <w:i/>
                <w:sz w:val="16"/>
              </w:rPr>
            </w:pPr>
            <w:r w:rsidRPr="000D5329">
              <w:rPr>
                <w:i/>
                <w:sz w:val="16"/>
              </w:rPr>
              <w:t>1996</w:t>
            </w:r>
          </w:p>
        </w:tc>
        <w:tc>
          <w:tcPr>
            <w:tcW w:w="814" w:type="pct"/>
            <w:tcBorders>
              <w:top w:val="single" w:sz="4" w:space="0" w:color="auto"/>
              <w:bottom w:val="single" w:sz="12" w:space="0" w:color="auto"/>
            </w:tcBorders>
            <w:shd w:val="clear" w:color="auto" w:fill="auto"/>
            <w:vAlign w:val="bottom"/>
          </w:tcPr>
          <w:p w:rsidR="00F236D5" w:rsidRPr="000D5329" w:rsidRDefault="00F236D5" w:rsidP="00947046">
            <w:pPr>
              <w:spacing w:before="80" w:after="80" w:line="200" w:lineRule="exact"/>
              <w:ind w:left="113"/>
              <w:jc w:val="right"/>
              <w:rPr>
                <w:i/>
                <w:sz w:val="16"/>
              </w:rPr>
            </w:pPr>
            <w:r w:rsidRPr="000D5329">
              <w:rPr>
                <w:i/>
                <w:sz w:val="16"/>
              </w:rPr>
              <w:t>2006</w:t>
            </w:r>
          </w:p>
        </w:tc>
        <w:tc>
          <w:tcPr>
            <w:tcW w:w="1699" w:type="pct"/>
            <w:tcBorders>
              <w:top w:val="single" w:sz="4" w:space="0" w:color="auto"/>
              <w:bottom w:val="single" w:sz="12" w:space="0" w:color="auto"/>
            </w:tcBorders>
            <w:shd w:val="clear" w:color="auto" w:fill="auto"/>
            <w:vAlign w:val="bottom"/>
          </w:tcPr>
          <w:p w:rsidR="00F236D5" w:rsidRPr="000D5329" w:rsidRDefault="00F236D5" w:rsidP="00947046">
            <w:pPr>
              <w:spacing w:before="80" w:after="80" w:line="200" w:lineRule="exact"/>
              <w:ind w:left="113"/>
              <w:jc w:val="right"/>
              <w:rPr>
                <w:i/>
                <w:sz w:val="16"/>
              </w:rPr>
            </w:pPr>
            <w:r>
              <w:rPr>
                <w:i/>
                <w:sz w:val="16"/>
              </w:rPr>
              <w:t>Mejora</w:t>
            </w:r>
          </w:p>
        </w:tc>
      </w:tr>
      <w:tr w:rsidR="00F236D5" w:rsidRPr="000D5329" w:rsidTr="00947046">
        <w:tblPrEx>
          <w:tblCellMar>
            <w:top w:w="0" w:type="dxa"/>
            <w:bottom w:w="0" w:type="dxa"/>
          </w:tblCellMar>
        </w:tblPrEx>
        <w:trPr>
          <w:trHeight w:val="240"/>
        </w:trPr>
        <w:tc>
          <w:tcPr>
            <w:tcW w:w="1673" w:type="pct"/>
            <w:tcBorders>
              <w:top w:val="single" w:sz="12" w:space="0" w:color="auto"/>
            </w:tcBorders>
            <w:shd w:val="clear" w:color="auto" w:fill="auto"/>
          </w:tcPr>
          <w:p w:rsidR="00F236D5" w:rsidRPr="00F8286B" w:rsidRDefault="00F236D5" w:rsidP="00947046">
            <w:pPr>
              <w:spacing w:before="40" w:after="40" w:line="220" w:lineRule="exact"/>
              <w:rPr>
                <w:sz w:val="18"/>
                <w:szCs w:val="18"/>
              </w:rPr>
            </w:pPr>
            <w:r w:rsidRPr="00F8286B">
              <w:rPr>
                <w:sz w:val="18"/>
                <w:szCs w:val="18"/>
              </w:rPr>
              <w:t>Hombres (de todas las etnias)</w:t>
            </w:r>
          </w:p>
        </w:tc>
        <w:tc>
          <w:tcPr>
            <w:tcW w:w="814" w:type="pct"/>
            <w:tcBorders>
              <w:top w:val="single" w:sz="12" w:space="0" w:color="auto"/>
            </w:tcBorders>
            <w:shd w:val="clear" w:color="auto" w:fill="auto"/>
            <w:vAlign w:val="bottom"/>
          </w:tcPr>
          <w:p w:rsidR="00F236D5" w:rsidRPr="00F8286B" w:rsidRDefault="00F236D5" w:rsidP="00947046">
            <w:pPr>
              <w:spacing w:before="40" w:after="40" w:line="220" w:lineRule="exact"/>
              <w:ind w:left="113"/>
              <w:jc w:val="right"/>
              <w:rPr>
                <w:sz w:val="18"/>
                <w:szCs w:val="18"/>
              </w:rPr>
            </w:pPr>
            <w:r w:rsidRPr="00F8286B">
              <w:rPr>
                <w:sz w:val="18"/>
                <w:szCs w:val="18"/>
              </w:rPr>
              <w:t>74,4 años</w:t>
            </w:r>
          </w:p>
        </w:tc>
        <w:tc>
          <w:tcPr>
            <w:tcW w:w="814" w:type="pct"/>
            <w:tcBorders>
              <w:top w:val="single" w:sz="12" w:space="0" w:color="auto"/>
            </w:tcBorders>
            <w:shd w:val="clear" w:color="auto" w:fill="auto"/>
            <w:vAlign w:val="bottom"/>
          </w:tcPr>
          <w:p w:rsidR="00F236D5" w:rsidRPr="00F8286B" w:rsidRDefault="00F236D5" w:rsidP="00947046">
            <w:pPr>
              <w:spacing w:before="40" w:after="40" w:line="220" w:lineRule="exact"/>
              <w:ind w:left="113"/>
              <w:jc w:val="right"/>
              <w:rPr>
                <w:sz w:val="18"/>
                <w:szCs w:val="18"/>
              </w:rPr>
            </w:pPr>
            <w:r w:rsidRPr="00F8286B">
              <w:rPr>
                <w:sz w:val="18"/>
                <w:szCs w:val="18"/>
              </w:rPr>
              <w:t>78,0 años</w:t>
            </w:r>
          </w:p>
        </w:tc>
        <w:tc>
          <w:tcPr>
            <w:tcW w:w="1699" w:type="pct"/>
            <w:tcBorders>
              <w:top w:val="single" w:sz="12" w:space="0" w:color="auto"/>
            </w:tcBorders>
            <w:shd w:val="clear" w:color="auto" w:fill="auto"/>
            <w:vAlign w:val="bottom"/>
          </w:tcPr>
          <w:p w:rsidR="00F236D5" w:rsidRPr="00F8286B" w:rsidRDefault="00F236D5" w:rsidP="00947046">
            <w:pPr>
              <w:spacing w:before="40" w:after="40" w:line="220" w:lineRule="exact"/>
              <w:ind w:left="113"/>
              <w:jc w:val="right"/>
              <w:rPr>
                <w:sz w:val="18"/>
                <w:szCs w:val="18"/>
              </w:rPr>
            </w:pPr>
            <w:r w:rsidRPr="00F8286B">
              <w:rPr>
                <w:sz w:val="18"/>
                <w:szCs w:val="18"/>
              </w:rPr>
              <w:t xml:space="preserve">Aumento de 3,6 años  </w:t>
            </w:r>
          </w:p>
        </w:tc>
      </w:tr>
      <w:tr w:rsidR="00F236D5" w:rsidRPr="000D5329" w:rsidTr="00947046">
        <w:tblPrEx>
          <w:tblCellMar>
            <w:top w:w="0" w:type="dxa"/>
            <w:bottom w:w="0" w:type="dxa"/>
          </w:tblCellMar>
        </w:tblPrEx>
        <w:trPr>
          <w:trHeight w:val="240"/>
        </w:trPr>
        <w:tc>
          <w:tcPr>
            <w:tcW w:w="1673" w:type="pct"/>
            <w:shd w:val="clear" w:color="auto" w:fill="auto"/>
          </w:tcPr>
          <w:p w:rsidR="00F236D5" w:rsidRPr="00F8286B" w:rsidRDefault="00F236D5" w:rsidP="00947046">
            <w:pPr>
              <w:spacing w:before="40" w:after="40" w:line="220" w:lineRule="exact"/>
              <w:rPr>
                <w:sz w:val="18"/>
                <w:szCs w:val="18"/>
              </w:rPr>
            </w:pPr>
            <w:r w:rsidRPr="00F8286B">
              <w:rPr>
                <w:sz w:val="18"/>
                <w:szCs w:val="18"/>
              </w:rPr>
              <w:t>Mujeres (de todas las etnias)</w:t>
            </w:r>
          </w:p>
        </w:tc>
        <w:tc>
          <w:tcPr>
            <w:tcW w:w="814" w:type="pct"/>
            <w:shd w:val="clear" w:color="auto" w:fill="auto"/>
            <w:vAlign w:val="bottom"/>
          </w:tcPr>
          <w:p w:rsidR="00F236D5" w:rsidRPr="00F8286B" w:rsidRDefault="00F236D5" w:rsidP="00947046">
            <w:pPr>
              <w:spacing w:before="40" w:after="40" w:line="220" w:lineRule="exact"/>
              <w:ind w:left="113"/>
              <w:jc w:val="right"/>
              <w:rPr>
                <w:sz w:val="18"/>
                <w:szCs w:val="18"/>
              </w:rPr>
            </w:pPr>
            <w:r w:rsidRPr="00F8286B">
              <w:rPr>
                <w:sz w:val="18"/>
                <w:szCs w:val="18"/>
              </w:rPr>
              <w:t>79,7 años</w:t>
            </w:r>
          </w:p>
        </w:tc>
        <w:tc>
          <w:tcPr>
            <w:tcW w:w="814" w:type="pct"/>
            <w:shd w:val="clear" w:color="auto" w:fill="auto"/>
            <w:vAlign w:val="bottom"/>
          </w:tcPr>
          <w:p w:rsidR="00F236D5" w:rsidRPr="00F8286B" w:rsidRDefault="00F236D5" w:rsidP="00947046">
            <w:pPr>
              <w:spacing w:before="40" w:after="40" w:line="220" w:lineRule="exact"/>
              <w:ind w:left="113"/>
              <w:jc w:val="right"/>
              <w:rPr>
                <w:sz w:val="18"/>
                <w:szCs w:val="18"/>
              </w:rPr>
            </w:pPr>
            <w:r w:rsidRPr="00F8286B">
              <w:rPr>
                <w:sz w:val="18"/>
                <w:szCs w:val="18"/>
              </w:rPr>
              <w:t>82,2 años</w:t>
            </w:r>
          </w:p>
        </w:tc>
        <w:tc>
          <w:tcPr>
            <w:tcW w:w="1699" w:type="pct"/>
            <w:shd w:val="clear" w:color="auto" w:fill="auto"/>
            <w:vAlign w:val="bottom"/>
          </w:tcPr>
          <w:p w:rsidR="00F236D5" w:rsidRPr="00F8286B" w:rsidRDefault="00F236D5" w:rsidP="00947046">
            <w:pPr>
              <w:spacing w:before="40" w:after="40" w:line="220" w:lineRule="exact"/>
              <w:ind w:left="113"/>
              <w:jc w:val="right"/>
              <w:rPr>
                <w:sz w:val="18"/>
                <w:szCs w:val="18"/>
                <w:lang w:val="en-GB"/>
              </w:rPr>
            </w:pPr>
            <w:r w:rsidRPr="00F8286B">
              <w:rPr>
                <w:sz w:val="18"/>
                <w:szCs w:val="18"/>
              </w:rPr>
              <w:t>Aumento menor de 2,5 años</w:t>
            </w:r>
          </w:p>
        </w:tc>
      </w:tr>
      <w:tr w:rsidR="00F236D5" w:rsidRPr="000D5329" w:rsidTr="00947046">
        <w:tblPrEx>
          <w:tblCellMar>
            <w:top w:w="0" w:type="dxa"/>
            <w:bottom w:w="0" w:type="dxa"/>
          </w:tblCellMar>
        </w:tblPrEx>
        <w:trPr>
          <w:trHeight w:val="240"/>
        </w:trPr>
        <w:tc>
          <w:tcPr>
            <w:tcW w:w="1673" w:type="pct"/>
            <w:shd w:val="clear" w:color="auto" w:fill="auto"/>
          </w:tcPr>
          <w:p w:rsidR="00F236D5" w:rsidRPr="00F8286B" w:rsidRDefault="00F236D5" w:rsidP="00947046">
            <w:pPr>
              <w:spacing w:before="40" w:after="40" w:line="220" w:lineRule="exact"/>
              <w:rPr>
                <w:sz w:val="18"/>
                <w:szCs w:val="18"/>
              </w:rPr>
            </w:pPr>
            <w:r w:rsidRPr="00F8286B">
              <w:rPr>
                <w:sz w:val="18"/>
                <w:szCs w:val="18"/>
              </w:rPr>
              <w:t>Hombres maoríes</w:t>
            </w:r>
          </w:p>
        </w:tc>
        <w:tc>
          <w:tcPr>
            <w:tcW w:w="814" w:type="pct"/>
            <w:shd w:val="clear" w:color="auto" w:fill="auto"/>
            <w:vAlign w:val="bottom"/>
          </w:tcPr>
          <w:p w:rsidR="00F236D5" w:rsidRPr="00F8286B" w:rsidRDefault="00F236D5" w:rsidP="00947046">
            <w:pPr>
              <w:spacing w:before="40" w:after="40" w:line="220" w:lineRule="exact"/>
              <w:ind w:left="113"/>
              <w:jc w:val="right"/>
              <w:rPr>
                <w:sz w:val="18"/>
                <w:szCs w:val="18"/>
              </w:rPr>
            </w:pPr>
            <w:r w:rsidRPr="00F8286B">
              <w:rPr>
                <w:sz w:val="18"/>
                <w:szCs w:val="18"/>
              </w:rPr>
              <w:t>65,6 años</w:t>
            </w:r>
          </w:p>
        </w:tc>
        <w:tc>
          <w:tcPr>
            <w:tcW w:w="814" w:type="pct"/>
            <w:shd w:val="clear" w:color="auto" w:fill="auto"/>
            <w:vAlign w:val="bottom"/>
          </w:tcPr>
          <w:p w:rsidR="00F236D5" w:rsidRPr="00F8286B" w:rsidRDefault="00F236D5" w:rsidP="00947046">
            <w:pPr>
              <w:spacing w:before="40" w:after="40" w:line="220" w:lineRule="exact"/>
              <w:ind w:left="113"/>
              <w:jc w:val="right"/>
              <w:rPr>
                <w:sz w:val="18"/>
                <w:szCs w:val="18"/>
              </w:rPr>
            </w:pPr>
            <w:r w:rsidRPr="00F8286B">
              <w:rPr>
                <w:sz w:val="18"/>
                <w:szCs w:val="18"/>
              </w:rPr>
              <w:t>70,4 años</w:t>
            </w:r>
          </w:p>
        </w:tc>
        <w:tc>
          <w:tcPr>
            <w:tcW w:w="1699" w:type="pct"/>
            <w:shd w:val="clear" w:color="auto" w:fill="auto"/>
            <w:vAlign w:val="bottom"/>
          </w:tcPr>
          <w:p w:rsidR="00F236D5" w:rsidRPr="00F8286B" w:rsidRDefault="00F236D5" w:rsidP="00947046">
            <w:pPr>
              <w:spacing w:before="40" w:after="40" w:line="220" w:lineRule="exact"/>
              <w:ind w:left="113"/>
              <w:jc w:val="right"/>
              <w:rPr>
                <w:sz w:val="18"/>
                <w:szCs w:val="18"/>
              </w:rPr>
            </w:pPr>
            <w:r w:rsidRPr="00F8286B">
              <w:rPr>
                <w:sz w:val="18"/>
                <w:szCs w:val="18"/>
              </w:rPr>
              <w:t>Aumento de 4,8 años</w:t>
            </w:r>
          </w:p>
        </w:tc>
      </w:tr>
      <w:tr w:rsidR="00F236D5" w:rsidRPr="000D5329" w:rsidTr="00947046">
        <w:tblPrEx>
          <w:tblCellMar>
            <w:top w:w="0" w:type="dxa"/>
            <w:bottom w:w="0" w:type="dxa"/>
          </w:tblCellMar>
        </w:tblPrEx>
        <w:trPr>
          <w:trHeight w:val="240"/>
        </w:trPr>
        <w:tc>
          <w:tcPr>
            <w:tcW w:w="1673" w:type="pct"/>
            <w:tcBorders>
              <w:bottom w:val="single" w:sz="12" w:space="0" w:color="auto"/>
            </w:tcBorders>
            <w:shd w:val="clear" w:color="auto" w:fill="auto"/>
          </w:tcPr>
          <w:p w:rsidR="00F236D5" w:rsidRPr="00F8286B" w:rsidRDefault="00F236D5" w:rsidP="00947046">
            <w:pPr>
              <w:spacing w:before="40" w:after="40" w:line="220" w:lineRule="exact"/>
              <w:rPr>
                <w:sz w:val="18"/>
                <w:szCs w:val="18"/>
              </w:rPr>
            </w:pPr>
            <w:r>
              <w:rPr>
                <w:sz w:val="18"/>
                <w:szCs w:val="18"/>
              </w:rPr>
              <w:t xml:space="preserve">Mujeres </w:t>
            </w:r>
            <w:r w:rsidRPr="00F8286B">
              <w:rPr>
                <w:sz w:val="18"/>
                <w:szCs w:val="18"/>
              </w:rPr>
              <w:t>maoríes</w:t>
            </w:r>
          </w:p>
        </w:tc>
        <w:tc>
          <w:tcPr>
            <w:tcW w:w="814" w:type="pct"/>
            <w:tcBorders>
              <w:bottom w:val="single" w:sz="12" w:space="0" w:color="auto"/>
            </w:tcBorders>
            <w:shd w:val="clear" w:color="auto" w:fill="auto"/>
            <w:vAlign w:val="bottom"/>
          </w:tcPr>
          <w:p w:rsidR="00F236D5" w:rsidRPr="00F8286B" w:rsidRDefault="00F236D5" w:rsidP="00947046">
            <w:pPr>
              <w:spacing w:before="40" w:after="40" w:line="220" w:lineRule="exact"/>
              <w:ind w:left="113"/>
              <w:jc w:val="right"/>
              <w:rPr>
                <w:sz w:val="18"/>
                <w:szCs w:val="18"/>
              </w:rPr>
            </w:pPr>
            <w:r w:rsidRPr="00F8286B">
              <w:rPr>
                <w:sz w:val="18"/>
                <w:szCs w:val="18"/>
              </w:rPr>
              <w:t>70,8 años</w:t>
            </w:r>
          </w:p>
        </w:tc>
        <w:tc>
          <w:tcPr>
            <w:tcW w:w="814" w:type="pct"/>
            <w:tcBorders>
              <w:bottom w:val="single" w:sz="12" w:space="0" w:color="auto"/>
            </w:tcBorders>
            <w:shd w:val="clear" w:color="auto" w:fill="auto"/>
            <w:vAlign w:val="bottom"/>
          </w:tcPr>
          <w:p w:rsidR="00F236D5" w:rsidRPr="00F8286B" w:rsidRDefault="00F236D5" w:rsidP="00947046">
            <w:pPr>
              <w:spacing w:before="40" w:after="40" w:line="220" w:lineRule="exact"/>
              <w:ind w:left="113"/>
              <w:jc w:val="right"/>
              <w:rPr>
                <w:sz w:val="18"/>
                <w:szCs w:val="18"/>
              </w:rPr>
            </w:pPr>
            <w:r w:rsidRPr="00F8286B">
              <w:rPr>
                <w:sz w:val="18"/>
                <w:szCs w:val="18"/>
              </w:rPr>
              <w:t>75,1 años</w:t>
            </w:r>
          </w:p>
        </w:tc>
        <w:tc>
          <w:tcPr>
            <w:tcW w:w="1699" w:type="pct"/>
            <w:tcBorders>
              <w:bottom w:val="single" w:sz="12" w:space="0" w:color="auto"/>
            </w:tcBorders>
            <w:shd w:val="clear" w:color="auto" w:fill="auto"/>
            <w:vAlign w:val="bottom"/>
          </w:tcPr>
          <w:p w:rsidR="00F236D5" w:rsidRPr="00F8286B" w:rsidRDefault="00F236D5" w:rsidP="00947046">
            <w:pPr>
              <w:spacing w:before="40" w:after="40" w:line="220" w:lineRule="exact"/>
              <w:ind w:left="113"/>
              <w:jc w:val="right"/>
              <w:rPr>
                <w:sz w:val="18"/>
                <w:szCs w:val="18"/>
              </w:rPr>
            </w:pPr>
            <w:r w:rsidRPr="00F8286B">
              <w:rPr>
                <w:sz w:val="18"/>
                <w:szCs w:val="18"/>
              </w:rPr>
              <w:t>Aumento de 4,3 años</w:t>
            </w:r>
          </w:p>
        </w:tc>
      </w:tr>
    </w:tbl>
    <w:p w:rsidR="00F236D5" w:rsidRPr="00FC3F54" w:rsidRDefault="00F236D5" w:rsidP="00F236D5">
      <w:pPr>
        <w:pStyle w:val="SingleTxtG"/>
        <w:spacing w:before="120" w:after="240"/>
        <w:ind w:firstLine="170"/>
        <w:rPr>
          <w:sz w:val="18"/>
          <w:szCs w:val="18"/>
        </w:rPr>
      </w:pPr>
      <w:r w:rsidRPr="00FC3F54">
        <w:rPr>
          <w:i/>
          <w:sz w:val="18"/>
          <w:szCs w:val="18"/>
        </w:rPr>
        <w:t>Fuente:</w:t>
      </w:r>
      <w:r w:rsidRPr="00FC3F54">
        <w:rPr>
          <w:sz w:val="18"/>
          <w:szCs w:val="18"/>
        </w:rPr>
        <w:t xml:space="preserve"> Ministerio de Salud.</w:t>
      </w:r>
    </w:p>
    <w:p w:rsidR="00F236D5" w:rsidRPr="0044681E" w:rsidRDefault="00F236D5" w:rsidP="00F236D5">
      <w:pPr>
        <w:pStyle w:val="SingleTxtG"/>
      </w:pPr>
      <w:r w:rsidRPr="0044681E">
        <w:t>74.</w:t>
      </w:r>
      <w:r w:rsidRPr="0044681E">
        <w:tab/>
        <w:t>La Oficina de Estadísticas de Nueva Zelandia no elabora estadísticas oficiales sobre los grupos étnicos de los pueblos del Pacífico y asiático dado el tamaño reducido de estas poblaciones. En el ejercicio de diciembre de 2008, la tasa bruta de mortalidad de Nueva Zelandia ascendió a 6,8 muertes por cada 1.000 residentes de la población estimada, lo que representó una disminución respecto de la cifra correspondiente a 1988, de 8,3 por cada 1.000. El desglose por edad de las personas fallecidas muestra cambios importantes en los últimos decenios, en particular una mayor proporción de decesos entre los grupos de edad más avanzada. Esto puede atribuirse al envejecimiento de la población, así como a una mayor esperanza de vida y a la notable disminución de la mortalidad infantil.</w:t>
      </w:r>
    </w:p>
    <w:p w:rsidR="00F236D5" w:rsidRPr="0044681E" w:rsidRDefault="00F236D5" w:rsidP="00F236D5">
      <w:pPr>
        <w:pStyle w:val="SingleTxtG"/>
      </w:pPr>
      <w:r w:rsidRPr="0044681E">
        <w:t>75.</w:t>
      </w:r>
      <w:r w:rsidRPr="0044681E">
        <w:tab/>
        <w:t>Las enfermedades transmisibles asociadas con la extrema pobreza, como la fiebre tifoidea, el cólera y la lepra, son raras en Nueva Zelandia.</w:t>
      </w:r>
    </w:p>
    <w:p w:rsidR="00F236D5" w:rsidRPr="0044681E" w:rsidRDefault="00F236D5" w:rsidP="00F236D5">
      <w:pPr>
        <w:pStyle w:val="H4G"/>
      </w:pPr>
      <w:r>
        <w:tab/>
      </w:r>
      <w:r w:rsidRPr="0044681E">
        <w:t>b</w:t>
      </w:r>
      <w:r>
        <w:t>)</w:t>
      </w:r>
      <w:r>
        <w:tab/>
      </w:r>
      <w:r w:rsidRPr="0044681E">
        <w:t>Principales causas de muerte en Nueva Zelandia</w:t>
      </w:r>
    </w:p>
    <w:p w:rsidR="00F236D5" w:rsidRPr="0044681E" w:rsidRDefault="00F236D5" w:rsidP="00F236D5">
      <w:pPr>
        <w:pStyle w:val="SingleTxtG"/>
      </w:pPr>
      <w:r w:rsidRPr="0044681E">
        <w:t>76.</w:t>
      </w:r>
      <w:r w:rsidRPr="0044681E">
        <w:tab/>
        <w:t xml:space="preserve">En el período 2002-2006 se registraron aproximadamente 28.000 fallecimientos cada año. Las </w:t>
      </w:r>
      <w:r>
        <w:t>diez</w:t>
      </w:r>
      <w:r w:rsidRPr="0044681E">
        <w:t xml:space="preserve"> principales causas de muerte enumeradas en el cuadro 22 representan entre el 75% y el 80% del total de fallecimientos. Las muertes de cáncer y enfermedades isquémicas del corazón constituyen el 50% del total de decesos.</w:t>
      </w:r>
    </w:p>
    <w:p w:rsidR="00F236D5" w:rsidRPr="00E96DA2" w:rsidRDefault="00F236D5" w:rsidP="00F236D5">
      <w:pPr>
        <w:pStyle w:val="Heading1"/>
        <w:keepLines/>
      </w:pPr>
      <w:r>
        <w:t>Cuadro 22</w:t>
      </w:r>
    </w:p>
    <w:p w:rsidR="00F236D5" w:rsidRPr="00A14F4C" w:rsidRDefault="00F236D5" w:rsidP="00F236D5">
      <w:pPr>
        <w:pStyle w:val="SingleTxtG"/>
        <w:keepNext/>
        <w:keepLines/>
        <w:jc w:val="left"/>
        <w:rPr>
          <w:b/>
        </w:rPr>
      </w:pPr>
      <w:r w:rsidRPr="00A14F4C">
        <w:rPr>
          <w:b/>
        </w:rPr>
        <w:t>Las diez principales causas de muerte</w:t>
      </w:r>
    </w:p>
    <w:bookmarkStart w:id="26" w:name="_MON_1366785690"/>
    <w:bookmarkStart w:id="27" w:name="_MON_1366787700"/>
    <w:bookmarkStart w:id="28" w:name="_MON_1366787708"/>
    <w:bookmarkStart w:id="29" w:name="_MON_1366801917"/>
    <w:bookmarkEnd w:id="26"/>
    <w:bookmarkEnd w:id="27"/>
    <w:bookmarkEnd w:id="28"/>
    <w:bookmarkEnd w:id="29"/>
    <w:p w:rsidR="00F236D5" w:rsidRDefault="00F236D5" w:rsidP="00F236D5">
      <w:pPr>
        <w:ind w:left="567"/>
        <w:jc w:val="center"/>
      </w:pPr>
      <w:r>
        <w:object w:dxaOrig="8355" w:dyaOrig="3971">
          <v:shape id="_x0000_i1032" type="#_x0000_t75" style="width:410.25pt;height:183pt" o:ole="">
            <v:imagedata r:id="rId20" o:title="" cropbottom="5101f" cropright="1223f"/>
          </v:shape>
          <o:OLEObject Type="Embed" ProgID="Word.Picture.8" ShapeID="_x0000_i1032" DrawAspect="Content" ObjectID="_1395889831" r:id="rId21"/>
        </w:object>
      </w:r>
    </w:p>
    <w:p w:rsidR="00F236D5" w:rsidRPr="00E96DA2" w:rsidRDefault="00F236D5" w:rsidP="00F236D5">
      <w:pPr>
        <w:pStyle w:val="SingleTxtG"/>
        <w:spacing w:before="120" w:after="240"/>
        <w:ind w:firstLine="170"/>
        <w:rPr>
          <w:sz w:val="18"/>
          <w:szCs w:val="18"/>
        </w:rPr>
      </w:pPr>
      <w:r w:rsidRPr="00FC3F54">
        <w:rPr>
          <w:i/>
          <w:sz w:val="18"/>
          <w:szCs w:val="18"/>
        </w:rPr>
        <w:t>Fuente:</w:t>
      </w:r>
      <w:r w:rsidRPr="00E96DA2">
        <w:rPr>
          <w:sz w:val="18"/>
          <w:szCs w:val="18"/>
        </w:rPr>
        <w:t xml:space="preserve"> Ministerio de Salud.</w:t>
      </w:r>
    </w:p>
    <w:p w:rsidR="00F236D5" w:rsidRPr="0044681E" w:rsidRDefault="00F236D5" w:rsidP="00F236D5">
      <w:pPr>
        <w:pStyle w:val="SingleTxtG"/>
      </w:pPr>
      <w:r w:rsidRPr="0044681E">
        <w:t>77.</w:t>
      </w:r>
      <w:r w:rsidRPr="0044681E">
        <w:tab/>
        <w:t xml:space="preserve">El número total de muertes debidas a cada una de las causas principales se mantuvo relativamente estable durante el período de cinco años entre 2002 y 2006. Los accidentes de tráfico, los homicidios y agresiones y el suicidio fueron causa de mortalidad de hombres más que de mujeres, mientras que </w:t>
      </w:r>
      <w:r>
        <w:t>e</w:t>
      </w:r>
      <w:r w:rsidRPr="0044681E">
        <w:t>stas registraron una tasa de mortalidad más alta que los hombres por causa de las enfermedades cerebrovasculares (infarto), la influenza y la neumonía. Las demás principales causas de muerte afectaron a hombres y mujeres en la misma proporción.</w:t>
      </w:r>
    </w:p>
    <w:p w:rsidR="00F236D5" w:rsidRPr="0044681E" w:rsidRDefault="00F236D5" w:rsidP="00F236D5">
      <w:pPr>
        <w:pStyle w:val="H4G"/>
      </w:pPr>
      <w:r>
        <w:tab/>
      </w:r>
      <w:r w:rsidRPr="0044681E">
        <w:t>c)</w:t>
      </w:r>
      <w:r w:rsidRPr="0044681E">
        <w:tab/>
        <w:t>La etnia como factor</w:t>
      </w:r>
    </w:p>
    <w:p w:rsidR="00F236D5" w:rsidRPr="0044681E" w:rsidRDefault="00F236D5" w:rsidP="00F236D5">
      <w:pPr>
        <w:pStyle w:val="SingleTxtG"/>
      </w:pPr>
      <w:r w:rsidRPr="0044681E">
        <w:t>78.</w:t>
      </w:r>
      <w:r w:rsidRPr="0044681E">
        <w:tab/>
        <w:t>Cuando se tienen en cuenta los factores étnicos al analizar la situación sanitaria o la incidencia de enfermedades emergen claramente ciertos patrones que ayudan a determ</w:t>
      </w:r>
      <w:r>
        <w:t>inar las respuestas de política</w:t>
      </w:r>
      <w:r w:rsidRPr="00E96DA2">
        <w:rPr>
          <w:sz w:val="18"/>
          <w:szCs w:val="18"/>
          <w:vertAlign w:val="superscript"/>
        </w:rPr>
        <w:footnoteReference w:id="6"/>
      </w:r>
      <w:r>
        <w:t>.</w:t>
      </w:r>
    </w:p>
    <w:p w:rsidR="00F236D5" w:rsidRDefault="00F236D5" w:rsidP="00F236D5">
      <w:pPr>
        <w:pStyle w:val="Heading1"/>
        <w:keepLines/>
      </w:pPr>
      <w:r w:rsidRPr="0044681E">
        <w:t>Cuadro 23</w:t>
      </w:r>
    </w:p>
    <w:p w:rsidR="00F236D5" w:rsidRDefault="00F236D5" w:rsidP="00F236D5">
      <w:pPr>
        <w:pStyle w:val="SingleTxtG"/>
        <w:keepNext/>
        <w:keepLines/>
        <w:jc w:val="left"/>
        <w:rPr>
          <w:b/>
        </w:rPr>
      </w:pPr>
      <w:r w:rsidRPr="00E96DA2">
        <w:rPr>
          <w:b/>
        </w:rPr>
        <w:t>Tasas relativas a todas las causas de mortalidad, 2006</w:t>
      </w:r>
    </w:p>
    <w:bookmarkStart w:id="30" w:name="_MON_1366787794"/>
    <w:bookmarkEnd w:id="30"/>
    <w:p w:rsidR="00F236D5" w:rsidRPr="00036FAC" w:rsidRDefault="00F236D5" w:rsidP="00F236D5">
      <w:pPr>
        <w:keepNext/>
        <w:tabs>
          <w:tab w:val="right" w:pos="850"/>
          <w:tab w:val="left" w:pos="1134"/>
          <w:tab w:val="left" w:pos="1559"/>
          <w:tab w:val="left" w:pos="1984"/>
          <w:tab w:val="left" w:leader="dot" w:pos="7654"/>
          <w:tab w:val="right" w:pos="8929"/>
          <w:tab w:val="right" w:pos="9638"/>
        </w:tabs>
        <w:ind w:left="1134"/>
      </w:pPr>
      <w:r>
        <w:object w:dxaOrig="8176" w:dyaOrig="3792">
          <v:shape id="_x0000_i1033" type="#_x0000_t75" style="width:408.75pt;height:183pt" o:ole="">
            <v:imagedata r:id="rId22" o:title="" cropbottom="2279f"/>
          </v:shape>
          <o:OLEObject Type="Embed" ProgID="Word.Picture.8" ShapeID="_x0000_i1033" DrawAspect="Content" ObjectID="_1395889832" r:id="rId23"/>
        </w:object>
      </w:r>
    </w:p>
    <w:p w:rsidR="00F236D5" w:rsidRPr="00280552" w:rsidRDefault="00F236D5" w:rsidP="00F236D5">
      <w:pPr>
        <w:pStyle w:val="SingleTxtG"/>
        <w:spacing w:after="240"/>
        <w:ind w:firstLine="170"/>
        <w:rPr>
          <w:sz w:val="18"/>
          <w:szCs w:val="18"/>
        </w:rPr>
      </w:pPr>
      <w:r w:rsidRPr="00280552">
        <w:rPr>
          <w:i/>
          <w:sz w:val="18"/>
          <w:szCs w:val="18"/>
        </w:rPr>
        <w:t>Fuente:</w:t>
      </w:r>
      <w:r w:rsidRPr="00280552">
        <w:rPr>
          <w:sz w:val="18"/>
          <w:szCs w:val="18"/>
        </w:rPr>
        <w:t xml:space="preserve"> Ministerio de Salud.</w:t>
      </w:r>
    </w:p>
    <w:p w:rsidR="00F236D5" w:rsidRPr="0044681E" w:rsidRDefault="00F236D5" w:rsidP="00F236D5">
      <w:pPr>
        <w:pStyle w:val="SingleTxtG"/>
      </w:pPr>
      <w:r w:rsidRPr="0044681E">
        <w:t>79.</w:t>
      </w:r>
      <w:r w:rsidRPr="0044681E">
        <w:tab/>
        <w:t>Los hombres maoríes registran sistemáticamente una tasa de mortalidad más alta que la de todos los demás grupos. En 2006, la tasa de mortalidad masculina maorí (896,8 por cada 100.000 habitantes) duplicó con creces la tasa correspondiente a los hombres de los grupos étnicos distintos del maorí y del de pueblos del Pacífico (390,0 por cada 100.000 habitantes). En ese mismo año, la tasa de mortalidad de las mujeres maoríes (658,9 por cada 100.000 habitantes) también duplicó la cifra correspondiente a las mujeres no maoríes (270,7 por cada 100.000 habitantes).</w:t>
      </w:r>
    </w:p>
    <w:p w:rsidR="00F236D5" w:rsidRDefault="00F236D5" w:rsidP="00F236D5">
      <w:pPr>
        <w:pStyle w:val="Heading1"/>
        <w:keepLines/>
        <w:rPr>
          <w:b/>
        </w:rPr>
      </w:pPr>
      <w:r w:rsidRPr="00266E79">
        <w:t>Cuadro 24</w:t>
      </w:r>
    </w:p>
    <w:p w:rsidR="00F236D5" w:rsidRPr="00266E79" w:rsidRDefault="00F236D5" w:rsidP="00F236D5">
      <w:pPr>
        <w:pStyle w:val="SingleTxtG"/>
        <w:jc w:val="left"/>
        <w:rPr>
          <w:b/>
        </w:rPr>
      </w:pPr>
      <w:r w:rsidRPr="00266E79">
        <w:rPr>
          <w:b/>
        </w:rPr>
        <w:t>Tasas de mortalidad relativas a todas las causas de muerte, 2006</w:t>
      </w:r>
    </w:p>
    <w:bookmarkStart w:id="31" w:name="_MON_1366789249"/>
    <w:bookmarkStart w:id="32" w:name="_MON_1366789806"/>
    <w:bookmarkStart w:id="33" w:name="_MON_1366789821"/>
    <w:bookmarkStart w:id="34" w:name="_MON_1366789862"/>
    <w:bookmarkStart w:id="35" w:name="_MON_1366789911"/>
    <w:bookmarkStart w:id="36" w:name="_MON_1367222480"/>
    <w:bookmarkStart w:id="37" w:name="_MON_1367222498"/>
    <w:bookmarkStart w:id="38" w:name="_MON_1367222561"/>
    <w:bookmarkEnd w:id="31"/>
    <w:bookmarkEnd w:id="32"/>
    <w:bookmarkEnd w:id="33"/>
    <w:bookmarkEnd w:id="34"/>
    <w:bookmarkEnd w:id="35"/>
    <w:bookmarkEnd w:id="36"/>
    <w:bookmarkEnd w:id="37"/>
    <w:bookmarkEnd w:id="38"/>
    <w:p w:rsidR="00F236D5" w:rsidRDefault="00F236D5" w:rsidP="00F236D5">
      <w:pPr>
        <w:jc w:val="right"/>
      </w:pPr>
      <w:r>
        <w:object w:dxaOrig="9175" w:dyaOrig="3614">
          <v:shape id="_x0000_i1034" type="#_x0000_t75" style="width:448.5pt;height:177.75pt" o:ole="">
            <v:imagedata r:id="rId24" o:title="" cropbottom="1034f" cropright="765f"/>
          </v:shape>
          <o:OLEObject Type="Embed" ProgID="Word.Picture.8" ShapeID="_x0000_i1034" DrawAspect="Content" ObjectID="_1395889833" r:id="rId25"/>
        </w:object>
      </w:r>
    </w:p>
    <w:p w:rsidR="00F236D5" w:rsidRPr="00693DEC" w:rsidRDefault="00F236D5" w:rsidP="00F236D5">
      <w:pPr>
        <w:pStyle w:val="SingleTxtG"/>
        <w:spacing w:before="120" w:after="240"/>
        <w:ind w:left="714" w:firstLine="170"/>
        <w:rPr>
          <w:i/>
          <w:sz w:val="18"/>
          <w:szCs w:val="18"/>
        </w:rPr>
      </w:pPr>
      <w:r w:rsidRPr="00693DEC">
        <w:rPr>
          <w:i/>
          <w:sz w:val="18"/>
          <w:szCs w:val="18"/>
        </w:rPr>
        <w:t xml:space="preserve">Fuente: </w:t>
      </w:r>
      <w:r w:rsidRPr="00693DEC">
        <w:rPr>
          <w:sz w:val="18"/>
          <w:szCs w:val="18"/>
        </w:rPr>
        <w:t>Ministerio de Salud</w:t>
      </w:r>
      <w:r w:rsidRPr="00693DEC">
        <w:rPr>
          <w:i/>
          <w:sz w:val="18"/>
          <w:szCs w:val="18"/>
        </w:rPr>
        <w:t>.</w:t>
      </w:r>
    </w:p>
    <w:p w:rsidR="00F236D5" w:rsidRPr="0044681E" w:rsidRDefault="00F236D5" w:rsidP="00F236D5">
      <w:pPr>
        <w:pStyle w:val="SingleTxtG"/>
      </w:pPr>
      <w:r w:rsidRPr="0044681E">
        <w:t>80.</w:t>
      </w:r>
      <w:r w:rsidRPr="0044681E">
        <w:tab/>
        <w:t>Como se observa en el cuadro 24, en el desglose por edad, los grupos étnicos maorí y de los pueblos del Pacífico registraron tasas de mortalidad superiores a las de los otros grupos étnicos (distintos del maorí y del de pueblos del Pacífico). Las tasas de mortalidad se muestran hasta la edad de 65 años a fin de señalar más claramente las diferencias entre los distintos grupos demográficos. (La tasa de mortalidad de todos los grupos de población se eleva considerablemente a partir de los 65 años de edad.)</w:t>
      </w:r>
    </w:p>
    <w:p w:rsidR="00F236D5" w:rsidRPr="0044681E" w:rsidRDefault="00F236D5" w:rsidP="00F236D5">
      <w:pPr>
        <w:pStyle w:val="SingleTxtG"/>
      </w:pPr>
      <w:r w:rsidRPr="0044681E">
        <w:t>81.</w:t>
      </w:r>
      <w:r w:rsidRPr="0044681E">
        <w:tab/>
        <w:t xml:space="preserve">En comparación con la categoría </w:t>
      </w:r>
      <w:r>
        <w:t>"</w:t>
      </w:r>
      <w:r w:rsidRPr="0044681E">
        <w:t>Otros grupos étnicos</w:t>
      </w:r>
      <w:r>
        <w:t>"</w:t>
      </w:r>
      <w:r w:rsidRPr="0044681E">
        <w:t>, los grupos maorí y de los pueblos del Pacífico registraron tasas de mortalidad desglosadas por edad superiores en relación con el cáncer, la diabetes y las enfermedades isquémicas del corazón y cerebrovasculares, así como con las enfermedades de las vías respiratorias inferiores, los accidentes de tráfico, los homicidios y las agresiones.</w:t>
      </w:r>
    </w:p>
    <w:p w:rsidR="00F236D5" w:rsidRPr="0044681E" w:rsidRDefault="00F236D5" w:rsidP="00F236D5">
      <w:pPr>
        <w:pStyle w:val="H4G"/>
      </w:pPr>
      <w:r>
        <w:tab/>
      </w:r>
      <w:r w:rsidRPr="0044681E">
        <w:t>d)</w:t>
      </w:r>
      <w:r w:rsidRPr="0044681E">
        <w:tab/>
        <w:t>Mortalidad infantil</w:t>
      </w:r>
    </w:p>
    <w:p w:rsidR="00F236D5" w:rsidRPr="0044681E" w:rsidRDefault="00F236D5" w:rsidP="00F236D5">
      <w:pPr>
        <w:pStyle w:val="SingleTxtG"/>
      </w:pPr>
      <w:r w:rsidRPr="0044681E">
        <w:t>82.</w:t>
      </w:r>
      <w:r w:rsidRPr="0044681E">
        <w:tab/>
        <w:t>Durante el período 2003-2008, las tasas de mortalidad  infantil disminuyeron de 5,4 por 1.000 nacidos vivos a 4,7 por 1.000 nacidos vivos. No obstante, en los tres últimos años de ese período, esas tasas tendieron a estabilizarse. Esto se debe principalmente al aumento de la mortalidad neonatal (0 a 28 días). La mortalidad pos-neonatal se ha mant</w:t>
      </w:r>
      <w:r>
        <w:t>enido estable durante este período</w:t>
      </w:r>
      <w:r w:rsidRPr="00A14F4C">
        <w:rPr>
          <w:sz w:val="18"/>
          <w:szCs w:val="18"/>
          <w:vertAlign w:val="superscript"/>
        </w:rPr>
        <w:footnoteReference w:id="7"/>
      </w:r>
      <w:r>
        <w:t>.</w:t>
      </w:r>
    </w:p>
    <w:p w:rsidR="00F236D5" w:rsidRDefault="00F236D5" w:rsidP="00F236D5">
      <w:pPr>
        <w:pStyle w:val="Heading1"/>
      </w:pPr>
      <w:r w:rsidRPr="0044681E">
        <w:t>Cuadro 25</w:t>
      </w:r>
    </w:p>
    <w:p w:rsidR="00F236D5" w:rsidRDefault="00F236D5" w:rsidP="00F236D5">
      <w:pPr>
        <w:pStyle w:val="SingleTxtG"/>
        <w:rPr>
          <w:b/>
        </w:rPr>
      </w:pPr>
      <w:r w:rsidRPr="00266E79">
        <w:rPr>
          <w:b/>
        </w:rPr>
        <w:t>Tasas de mortalidad infantil, desglosadas por etnia y año</w:t>
      </w:r>
    </w:p>
    <w:bookmarkStart w:id="39" w:name="_MON_1366789944"/>
    <w:bookmarkStart w:id="40" w:name="_MON_1366790502"/>
    <w:bookmarkStart w:id="41" w:name="_MON_1366790513"/>
    <w:bookmarkEnd w:id="39"/>
    <w:bookmarkEnd w:id="40"/>
    <w:bookmarkEnd w:id="41"/>
    <w:p w:rsidR="00F236D5" w:rsidRPr="00266E79" w:rsidRDefault="00F236D5" w:rsidP="00F236D5">
      <w:pPr>
        <w:pStyle w:val="SingleTxtG"/>
        <w:spacing w:before="120" w:after="240"/>
        <w:ind w:left="1304" w:hanging="170"/>
        <w:rPr>
          <w:b/>
        </w:rPr>
      </w:pPr>
      <w:r>
        <w:object w:dxaOrig="8476" w:dyaOrig="4152">
          <v:shape id="_x0000_i1035" type="#_x0000_t75" style="width:423.75pt;height:203.25pt" o:ole="">
            <v:imagedata r:id="rId26" o:title="" cropbottom="1232f"/>
          </v:shape>
          <o:OLEObject Type="Embed" ProgID="Word.Picture.8" ShapeID="_x0000_i1035" DrawAspect="Content" ObjectID="_1395889834" r:id="rId27"/>
        </w:object>
      </w:r>
      <w:r w:rsidRPr="00FC3F54">
        <w:rPr>
          <w:i/>
          <w:sz w:val="18"/>
          <w:szCs w:val="18"/>
        </w:rPr>
        <w:t>Fuente:</w:t>
      </w:r>
      <w:r w:rsidRPr="00FC3F54">
        <w:rPr>
          <w:sz w:val="18"/>
          <w:szCs w:val="18"/>
        </w:rPr>
        <w:t xml:space="preserve"> Ministerio de Salud</w:t>
      </w:r>
      <w:r>
        <w:rPr>
          <w:sz w:val="18"/>
          <w:szCs w:val="18"/>
        </w:rPr>
        <w:t>.</w:t>
      </w:r>
    </w:p>
    <w:p w:rsidR="00F236D5" w:rsidRPr="0044681E" w:rsidRDefault="00F236D5" w:rsidP="00F236D5">
      <w:pPr>
        <w:pStyle w:val="SingleTxtG"/>
      </w:pPr>
      <w:r w:rsidRPr="0044681E">
        <w:t>83.</w:t>
      </w:r>
      <w:r w:rsidRPr="0044681E">
        <w:tab/>
        <w:t>Las tasas de mortalidad infantil correspondientes a los grupos étnicos maorí y de los pueblos del Pacífico se han reducido en años recientes, aunque siguen existiendo disparidades étnicas a este respecto, dado que estos grupos presentan tasas superiores a las de los otros grupos étnicos. La mortalidad pos-neonatal de los niños maoríes es dos veces superior a la de los niños no maoríes de ese grupo de edad.</w:t>
      </w:r>
    </w:p>
    <w:p w:rsidR="00F236D5" w:rsidRPr="0044681E" w:rsidRDefault="00F236D5" w:rsidP="00F236D5">
      <w:pPr>
        <w:pStyle w:val="SingleTxtG"/>
      </w:pPr>
      <w:r w:rsidRPr="0044681E">
        <w:t>84.</w:t>
      </w:r>
      <w:r w:rsidRPr="0044681E">
        <w:tab/>
        <w:t>La tasa de mortalidad infantil (1 a 4 años) también disminuyó durante el período 2003-2008, con una tendencia a la baja hasta 2004 y un aumento posterior que la aproximó a los niveles registrados en 2002-2003. Se desconoce la causa de esta evolución, que puede haberse debido a fluctuaciones aleatorias. En gran parte, el aumento de la mortalidad se debe a enfermedades infecciosas y neoplasmas, ahogamiento y lesiones resultantes de accidentes de tráfico; no obstante, las tasas relativas a estos factores varían considerablemente de un año a otro.</w:t>
      </w:r>
    </w:p>
    <w:p w:rsidR="00F236D5" w:rsidRDefault="00F236D5" w:rsidP="00F236D5">
      <w:pPr>
        <w:pStyle w:val="Heading1"/>
      </w:pPr>
      <w:r w:rsidRPr="0044681E">
        <w:t>Cuadro 26</w:t>
      </w:r>
    </w:p>
    <w:p w:rsidR="00F236D5" w:rsidRDefault="00F236D5" w:rsidP="00F236D5">
      <w:pPr>
        <w:pStyle w:val="SingleTxtG"/>
        <w:jc w:val="left"/>
        <w:rPr>
          <w:b/>
        </w:rPr>
      </w:pPr>
      <w:r w:rsidRPr="009F7362">
        <w:rPr>
          <w:b/>
        </w:rPr>
        <w:t xml:space="preserve">Mortalidad (tasa desglosada por cada 100.000 niños de 1 a 4 años de edad), </w:t>
      </w:r>
      <w:r>
        <w:rPr>
          <w:b/>
        </w:rPr>
        <w:br/>
      </w:r>
      <w:r w:rsidRPr="009F7362">
        <w:rPr>
          <w:b/>
        </w:rPr>
        <w:t>1979-2008</w:t>
      </w:r>
    </w:p>
    <w:bookmarkStart w:id="42" w:name="_MON_1366790561"/>
    <w:bookmarkStart w:id="43" w:name="_MON_1366790893"/>
    <w:bookmarkStart w:id="44" w:name="_MON_1366790903"/>
    <w:bookmarkStart w:id="45" w:name="_MON_1366790960"/>
    <w:bookmarkStart w:id="46" w:name="_MON_1366790969"/>
    <w:bookmarkStart w:id="47" w:name="_MON_1366790994"/>
    <w:bookmarkStart w:id="48" w:name="_MON_1366791013"/>
    <w:bookmarkStart w:id="49" w:name="_MON_1367057083"/>
    <w:bookmarkStart w:id="50" w:name="_MON_1367058057"/>
    <w:bookmarkStart w:id="51" w:name="_MON_1367058109"/>
    <w:bookmarkStart w:id="52" w:name="_MON_1367222752"/>
    <w:bookmarkStart w:id="53" w:name="_MON_1367222811"/>
    <w:bookmarkStart w:id="54" w:name="_MON_1367222817"/>
    <w:bookmarkStart w:id="55" w:name="_MON_1367222845"/>
    <w:bookmarkStart w:id="56" w:name="_MON_1367222910"/>
    <w:bookmarkStart w:id="57" w:name="_MON_1367222938"/>
    <w:bookmarkStart w:id="58" w:name="_MON_1367223019"/>
    <w:bookmarkStart w:id="59" w:name="_MON_1367223028"/>
    <w:bookmarkStart w:id="60" w:name="_MON_1367223120"/>
    <w:bookmarkStart w:id="61" w:name="_MON_1367223127"/>
    <w:bookmarkStart w:id="62" w:name="_MON_1367223143"/>
    <w:bookmarkStart w:id="63" w:name="_MON_1367223172"/>
    <w:bookmarkStart w:id="64" w:name="_MON_1367223189"/>
    <w:bookmarkStart w:id="65" w:name="_MON_1367223195"/>
    <w:bookmarkStart w:id="66" w:name="_MON_1367223210"/>
    <w:bookmarkStart w:id="67" w:name="_MON_1367223276"/>
    <w:bookmarkStart w:id="68" w:name="_MON_1367223290"/>
    <w:bookmarkStart w:id="69" w:name="_MON_1367223295"/>
    <w:bookmarkStart w:id="70" w:name="_MON_1367223337"/>
    <w:bookmarkStart w:id="71" w:name="_MON_136722333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rsidR="00F236D5" w:rsidRPr="009F7362" w:rsidRDefault="00F236D5" w:rsidP="00F236D5">
      <w:pPr>
        <w:pStyle w:val="SingleTxtG"/>
        <w:spacing w:before="120" w:after="240"/>
        <w:ind w:left="1304" w:hanging="170"/>
      </w:pPr>
      <w:r>
        <w:object w:dxaOrig="8976" w:dyaOrig="5245">
          <v:shape id="_x0000_i1036" type="#_x0000_t75" style="width:414pt;height:242.25pt" o:ole="">
            <v:imagedata r:id="rId28" o:title="" croptop="1475f" cropbottom="3512f" cropleft="3795f" cropright="1212f"/>
          </v:shape>
          <o:OLEObject Type="Embed" ProgID="Word.Picture.8" ShapeID="_x0000_i1036" DrawAspect="Content" ObjectID="_1395889835" r:id="rId29"/>
        </w:object>
      </w:r>
      <w:r w:rsidRPr="00FE2DA3">
        <w:rPr>
          <w:i/>
          <w:sz w:val="18"/>
          <w:szCs w:val="18"/>
        </w:rPr>
        <w:t>Fuente:</w:t>
      </w:r>
      <w:r w:rsidRPr="00FE2DA3">
        <w:rPr>
          <w:sz w:val="18"/>
          <w:szCs w:val="18"/>
        </w:rPr>
        <w:t xml:space="preserve"> Ministerio de Salud.</w:t>
      </w:r>
    </w:p>
    <w:p w:rsidR="00F236D5" w:rsidRPr="0044681E" w:rsidRDefault="00F236D5" w:rsidP="00F236D5">
      <w:pPr>
        <w:pStyle w:val="SingleTxtG"/>
      </w:pPr>
      <w:r w:rsidRPr="0044681E">
        <w:t>85.</w:t>
      </w:r>
      <w:r w:rsidRPr="0044681E">
        <w:tab/>
        <w:t>Existe una disparidad considerable entre las tasas de mortalidad de los niños maoríes y no maoríes en el grupo de edad de 1 a 4 años.</w:t>
      </w:r>
    </w:p>
    <w:p w:rsidR="00F236D5" w:rsidRDefault="00F236D5" w:rsidP="00F236D5">
      <w:pPr>
        <w:pStyle w:val="Heading1"/>
        <w:keepLines/>
      </w:pPr>
      <w:r>
        <w:t>Cuadro 27</w:t>
      </w:r>
    </w:p>
    <w:p w:rsidR="00F236D5" w:rsidRPr="009F7362" w:rsidRDefault="00F236D5" w:rsidP="00F236D5">
      <w:pPr>
        <w:pStyle w:val="SingleTxtG"/>
        <w:keepNext/>
        <w:keepLines/>
        <w:jc w:val="left"/>
        <w:rPr>
          <w:b/>
        </w:rPr>
      </w:pPr>
      <w:r w:rsidRPr="009F7362">
        <w:rPr>
          <w:b/>
        </w:rPr>
        <w:t xml:space="preserve">Mortalidad (tasas correspondientes a los niños maoríes y no maoríes </w:t>
      </w:r>
      <w:r>
        <w:rPr>
          <w:b/>
        </w:rPr>
        <w:br/>
      </w:r>
      <w:r w:rsidRPr="009F7362">
        <w:rPr>
          <w:b/>
        </w:rPr>
        <w:t>de 1 a 4 años de edad, por cada 100.000 niños), 2003-2008</w:t>
      </w:r>
    </w:p>
    <w:bookmarkStart w:id="72" w:name="_MON_1366791044"/>
    <w:bookmarkEnd w:id="72"/>
    <w:p w:rsidR="00F236D5" w:rsidRDefault="00F236D5" w:rsidP="00F236D5">
      <w:pPr>
        <w:keepNext/>
        <w:keepLines/>
        <w:ind w:left="567"/>
        <w:jc w:val="center"/>
      </w:pPr>
      <w:r>
        <w:object w:dxaOrig="8575" w:dyaOrig="3972">
          <v:shape id="_x0000_i1037" type="#_x0000_t75" style="width:407.25pt;height:198.75pt" o:ole="">
            <v:imagedata r:id="rId30" o:title="" cropleft="2306f" cropright="1031f"/>
          </v:shape>
          <o:OLEObject Type="Embed" ProgID="Word.Picture.8" ShapeID="_x0000_i1037" DrawAspect="Content" ObjectID="_1395889836" r:id="rId31"/>
        </w:object>
      </w:r>
    </w:p>
    <w:p w:rsidR="00F236D5" w:rsidRPr="00FE2DA3" w:rsidRDefault="00F236D5" w:rsidP="00F236D5">
      <w:pPr>
        <w:pStyle w:val="SingleTxtG"/>
        <w:spacing w:after="240"/>
        <w:ind w:firstLine="170"/>
        <w:rPr>
          <w:sz w:val="18"/>
          <w:szCs w:val="18"/>
        </w:rPr>
      </w:pPr>
      <w:r w:rsidRPr="00FE2DA3">
        <w:rPr>
          <w:i/>
          <w:sz w:val="18"/>
          <w:szCs w:val="18"/>
        </w:rPr>
        <w:t xml:space="preserve">Fuente: </w:t>
      </w:r>
      <w:r w:rsidRPr="00FE2DA3">
        <w:rPr>
          <w:sz w:val="18"/>
          <w:szCs w:val="18"/>
        </w:rPr>
        <w:t>Ministerio de Salud.</w:t>
      </w:r>
    </w:p>
    <w:p w:rsidR="00F236D5" w:rsidRPr="0044681E" w:rsidRDefault="00F236D5" w:rsidP="00F236D5">
      <w:pPr>
        <w:pStyle w:val="SingleTxtG"/>
        <w:keepLines/>
      </w:pPr>
      <w:r w:rsidRPr="0044681E">
        <w:t>86.</w:t>
      </w:r>
      <w:r w:rsidRPr="0044681E">
        <w:tab/>
        <w:t>Si bien Nueva</w:t>
      </w:r>
      <w:r>
        <w:t xml:space="preserve"> </w:t>
      </w:r>
      <w:r w:rsidRPr="0044681E">
        <w:t>Zelandia ha venido haciendo lentos progresos en cuanto a la reducción de las causas de la mortalidad infantil, se observan fluctuaciones de un año a otro que no se entienden plenamente. Se registran aún en el país tasas relativamente elevadas de muerte súbita imprevista en la infancia, especialmente entre los niños pequeños maoríes.</w:t>
      </w:r>
    </w:p>
    <w:p w:rsidR="00F236D5" w:rsidRPr="0044681E" w:rsidRDefault="00F236D5" w:rsidP="00F236D5">
      <w:pPr>
        <w:pStyle w:val="SingleTxtG"/>
      </w:pPr>
      <w:r w:rsidRPr="0044681E">
        <w:t>87.</w:t>
      </w:r>
      <w:r w:rsidRPr="0044681E">
        <w:tab/>
        <w:t>Aunque Nueva Zelandia no se vio gravemente afe</w:t>
      </w:r>
      <w:r>
        <w:t>ctada por la recesión mundial, e</w:t>
      </w:r>
      <w:r w:rsidRPr="0044681E">
        <w:t>sta ha dado lugar a un aumento de las tasas de desempleo, lo que probablemente acarreará consecuencias adversas para la salud y el bienestar de los niños pese a los muchos servicios de salud y bienestar de bajo costo o gratuitos que se ofrecen a las familias. El Ministerio de Salud está siguiendo de cerca esta situación.</w:t>
      </w:r>
    </w:p>
    <w:p w:rsidR="00F236D5" w:rsidRPr="0044681E" w:rsidRDefault="00F236D5" w:rsidP="00F236D5">
      <w:pPr>
        <w:pStyle w:val="H4G"/>
      </w:pPr>
      <w:r>
        <w:tab/>
      </w:r>
      <w:r w:rsidRPr="0044681E">
        <w:t>e)</w:t>
      </w:r>
      <w:r w:rsidRPr="0044681E">
        <w:tab/>
        <w:t>Mortalidad materna</w:t>
      </w:r>
    </w:p>
    <w:p w:rsidR="00F236D5" w:rsidRPr="0044681E" w:rsidRDefault="00F236D5" w:rsidP="00F236D5">
      <w:pPr>
        <w:pStyle w:val="SingleTxtG"/>
      </w:pPr>
      <w:r w:rsidRPr="0044681E">
        <w:t>88.</w:t>
      </w:r>
      <w:r w:rsidRPr="0044681E">
        <w:tab/>
        <w:t>La tasa de mortalidad materna se mantuvo estable durante el período 2000-2006 a la luz de un análisis basado en un promedio móvil de tres años (necesario debido al reducido número de muertes maternas, inferior a 10 por año). No es posible hacer comparaciones basadas en la etnia o la edad de la madre debido al reducido número de fallecimientos.</w:t>
      </w:r>
    </w:p>
    <w:p w:rsidR="00F236D5" w:rsidRPr="0044681E" w:rsidRDefault="00F236D5" w:rsidP="00F236D5">
      <w:pPr>
        <w:pStyle w:val="SingleTxtG"/>
      </w:pPr>
      <w:r w:rsidRPr="0044681E">
        <w:t>89.</w:t>
      </w:r>
      <w:r w:rsidRPr="0044681E">
        <w:tab/>
        <w:t>Nueva Zelandia aplica la definición de mortalidad materna/muerte relacionada con la madre elaborada por la Organización Mundial de la Salud. La mortalidad materna se calcula en Nueva Zelandia sobre la base de cada 100.000 alumbramientos (es decir, todos los nacidos vivos y las muertes fetales ocurridas a partir de las 20 semanas de gestación o en las que el peso del feto sea de 400 g como mínimo si se ignora el tiempo de gestación).</w:t>
      </w:r>
    </w:p>
    <w:p w:rsidR="00F236D5" w:rsidRDefault="00F236D5" w:rsidP="00F236D5">
      <w:pPr>
        <w:pStyle w:val="Heading1"/>
        <w:keepLines/>
      </w:pPr>
      <w:r>
        <w:t>Cuadro 28</w:t>
      </w:r>
    </w:p>
    <w:p w:rsidR="00F236D5" w:rsidRPr="009F7362" w:rsidRDefault="00F236D5" w:rsidP="00F236D5">
      <w:pPr>
        <w:pStyle w:val="SingleTxtG"/>
        <w:keepNext/>
        <w:keepLines/>
        <w:jc w:val="left"/>
        <w:rPr>
          <w:b/>
        </w:rPr>
      </w:pPr>
      <w:r w:rsidRPr="009F7362">
        <w:rPr>
          <w:b/>
        </w:rPr>
        <w:t>Tasa de mortalidad materna (basada en un promedio móvil de tres años)</w:t>
      </w:r>
    </w:p>
    <w:bookmarkStart w:id="73" w:name="_MON_1366791369"/>
    <w:bookmarkEnd w:id="73"/>
    <w:p w:rsidR="00F236D5" w:rsidRDefault="00F236D5" w:rsidP="00F236D5">
      <w:pPr>
        <w:keepNext/>
        <w:keepLines/>
        <w:spacing w:line="240" w:lineRule="auto"/>
        <w:ind w:left="1134" w:right="1134"/>
        <w:jc w:val="center"/>
      </w:pPr>
      <w:r>
        <w:object w:dxaOrig="8075" w:dyaOrig="3972">
          <v:shape id="_x0000_i1038" type="#_x0000_t75" style="width:363.75pt;height:179.25pt" o:ole="">
            <v:imagedata r:id="rId32" o:title=""/>
          </v:shape>
          <o:OLEObject Type="Embed" ProgID="Word.Picture.8" ShapeID="_x0000_i1038" DrawAspect="Content" ObjectID="_1395889837" r:id="rId33"/>
        </w:object>
      </w:r>
    </w:p>
    <w:p w:rsidR="00F236D5" w:rsidRPr="009F7362" w:rsidRDefault="00F236D5" w:rsidP="00F236D5">
      <w:pPr>
        <w:pStyle w:val="SingleTxtG"/>
        <w:ind w:left="1077" w:firstLine="170"/>
        <w:rPr>
          <w:sz w:val="18"/>
          <w:szCs w:val="18"/>
        </w:rPr>
      </w:pPr>
      <w:r w:rsidRPr="009F7362">
        <w:rPr>
          <w:i/>
          <w:sz w:val="18"/>
          <w:szCs w:val="18"/>
        </w:rPr>
        <w:t>Fuente:</w:t>
      </w:r>
      <w:r w:rsidRPr="009F7362">
        <w:rPr>
          <w:sz w:val="18"/>
          <w:szCs w:val="18"/>
        </w:rPr>
        <w:t xml:space="preserve"> Ministerio de Salud</w:t>
      </w:r>
      <w:r>
        <w:rPr>
          <w:sz w:val="18"/>
          <w:szCs w:val="18"/>
        </w:rPr>
        <w:t>.</w:t>
      </w:r>
    </w:p>
    <w:p w:rsidR="00F236D5" w:rsidRPr="0044681E" w:rsidRDefault="00F236D5" w:rsidP="00F236D5">
      <w:pPr>
        <w:pStyle w:val="H4G"/>
      </w:pPr>
      <w:r>
        <w:tab/>
      </w:r>
      <w:r w:rsidRPr="0044681E">
        <w:t>f)</w:t>
      </w:r>
      <w:r w:rsidRPr="0044681E">
        <w:tab/>
        <w:t>Tendencias de algunas enfermedades transmisibles y no transmisibles en</w:t>
      </w:r>
      <w:r>
        <w:br/>
      </w:r>
      <w:r w:rsidRPr="0044681E">
        <w:t>Nueva Zelandia</w:t>
      </w:r>
      <w:r w:rsidRPr="009F7362">
        <w:rPr>
          <w:i w:val="0"/>
          <w:sz w:val="18"/>
          <w:szCs w:val="18"/>
          <w:vertAlign w:val="superscript"/>
        </w:rPr>
        <w:footnoteReference w:id="8"/>
      </w:r>
    </w:p>
    <w:p w:rsidR="00F236D5" w:rsidRDefault="00F236D5" w:rsidP="00F236D5">
      <w:pPr>
        <w:pStyle w:val="SingleTxtG"/>
      </w:pPr>
      <w:r w:rsidRPr="0044681E">
        <w:t>90.</w:t>
      </w:r>
      <w:r w:rsidRPr="0044681E">
        <w:tab/>
        <w:t>En relación con un determinado grupo de enfermedades transmisibles y no transmisibles seleccionadas, los hombres del grupo étnico de los pueblos del Pacífico registraron una tasa de hospitalización sistemáticamente superior durante el período 2002-2006. Durante este período de cinco años, las mujeres de los grupos étnicos distintos del maorí y de los pueblos del Pacífico (</w:t>
      </w:r>
      <w:r>
        <w:t>"</w:t>
      </w:r>
      <w:r w:rsidRPr="0044681E">
        <w:t>Otros grupos étnicos</w:t>
      </w:r>
      <w:r>
        <w:t>"</w:t>
      </w:r>
      <w:r w:rsidRPr="0044681E">
        <w:t>) mostraron año tras año la tasa de hospitalización más baja.</w:t>
      </w:r>
    </w:p>
    <w:p w:rsidR="00F236D5" w:rsidRDefault="00F236D5" w:rsidP="00F236D5">
      <w:pPr>
        <w:pStyle w:val="Heading1"/>
        <w:keepLines/>
      </w:pPr>
      <w:r>
        <w:t>Cuadro 29</w:t>
      </w:r>
    </w:p>
    <w:p w:rsidR="00F236D5" w:rsidRDefault="00F236D5" w:rsidP="00F236D5">
      <w:pPr>
        <w:pStyle w:val="SingleTxtG"/>
        <w:keepNext/>
        <w:keepLines/>
        <w:jc w:val="left"/>
        <w:rPr>
          <w:b/>
        </w:rPr>
      </w:pPr>
      <w:r w:rsidRPr="009F7362">
        <w:rPr>
          <w:b/>
        </w:rPr>
        <w:t xml:space="preserve">Tasas de enfermedades no transmisibles normalizadas según la edad, desglosadas </w:t>
      </w:r>
      <w:r>
        <w:rPr>
          <w:b/>
        </w:rPr>
        <w:br/>
      </w:r>
      <w:r w:rsidRPr="009F7362">
        <w:rPr>
          <w:b/>
        </w:rPr>
        <w:t>por etnia</w:t>
      </w:r>
    </w:p>
    <w:p w:rsidR="00F236D5" w:rsidRPr="0044681E" w:rsidRDefault="00F236D5" w:rsidP="00F236D5">
      <w:pPr>
        <w:pStyle w:val="SingleTxtG"/>
        <w:keepNext/>
        <w:keepLines/>
        <w:spacing w:before="120" w:after="0"/>
        <w:ind w:left="1332" w:hanging="198"/>
        <w:jc w:val="left"/>
      </w:pPr>
      <w:r>
        <w:object w:dxaOrig="8575" w:dyaOrig="3972">
          <v:shape id="_x0000_i1039" type="#_x0000_t75" style="width:429pt;height:198.75pt" o:ole="">
            <v:imagedata r:id="rId34" o:title=""/>
          </v:shape>
          <o:OLEObject Type="Embed" ProgID="Word.Picture.8" ShapeID="_x0000_i1039" DrawAspect="Content" ObjectID="_1395889838" r:id="rId35"/>
        </w:object>
      </w:r>
      <w:r w:rsidRPr="001F1FB3">
        <w:rPr>
          <w:i/>
          <w:sz w:val="18"/>
          <w:szCs w:val="18"/>
        </w:rPr>
        <w:t>Fuente:</w:t>
      </w:r>
      <w:r w:rsidRPr="001F1FB3">
        <w:rPr>
          <w:sz w:val="18"/>
          <w:szCs w:val="18"/>
        </w:rPr>
        <w:t xml:space="preserve"> Ministerio de Salud</w:t>
      </w:r>
      <w:r>
        <w:rPr>
          <w:sz w:val="18"/>
          <w:szCs w:val="18"/>
        </w:rPr>
        <w:t>.</w:t>
      </w:r>
    </w:p>
    <w:p w:rsidR="00F236D5" w:rsidRPr="001F1FB3" w:rsidRDefault="00F236D5" w:rsidP="00F236D5">
      <w:pPr>
        <w:pStyle w:val="SingleTxtG"/>
        <w:spacing w:after="240"/>
        <w:ind w:firstLine="170"/>
        <w:jc w:val="left"/>
        <w:rPr>
          <w:sz w:val="18"/>
          <w:szCs w:val="18"/>
        </w:rPr>
      </w:pPr>
      <w:r w:rsidRPr="001F1FB3">
        <w:rPr>
          <w:i/>
          <w:sz w:val="18"/>
          <w:szCs w:val="18"/>
        </w:rPr>
        <w:t>Nota</w:t>
      </w:r>
      <w:r w:rsidRPr="001F1FB3">
        <w:rPr>
          <w:i/>
        </w:rPr>
        <w:t>:</w:t>
      </w:r>
      <w:r w:rsidRPr="001F1FB3">
        <w:rPr>
          <w:sz w:val="18"/>
          <w:szCs w:val="18"/>
        </w:rPr>
        <w:t xml:space="preserve"> Las enfermedades no transmisibles agrupadas son las siguientes: infarto de miocardio agudo, hipertensión, diabetes y enfermedad cerebrovascular.</w:t>
      </w:r>
    </w:p>
    <w:p w:rsidR="00F236D5" w:rsidRDefault="00F236D5" w:rsidP="00F236D5">
      <w:pPr>
        <w:pStyle w:val="Heading1"/>
        <w:keepLines/>
      </w:pPr>
      <w:r w:rsidRPr="0044681E">
        <w:t>Cuadro 30</w:t>
      </w:r>
    </w:p>
    <w:p w:rsidR="00F236D5" w:rsidRDefault="00F236D5" w:rsidP="00F236D5">
      <w:pPr>
        <w:pStyle w:val="SingleTxtG"/>
        <w:keepNext/>
        <w:keepLines/>
        <w:jc w:val="left"/>
        <w:rPr>
          <w:b/>
        </w:rPr>
      </w:pPr>
      <w:r w:rsidRPr="001F1FB3">
        <w:rPr>
          <w:b/>
        </w:rPr>
        <w:t xml:space="preserve">Tasas de enfermedades transmisibles normalizadas según la edad, desglosadas </w:t>
      </w:r>
      <w:r>
        <w:rPr>
          <w:b/>
        </w:rPr>
        <w:br/>
      </w:r>
      <w:r w:rsidRPr="001F1FB3">
        <w:rPr>
          <w:b/>
        </w:rPr>
        <w:t>por etnia</w:t>
      </w:r>
    </w:p>
    <w:bookmarkStart w:id="74" w:name="_MON_1366793041"/>
    <w:bookmarkStart w:id="75" w:name="_MON_1366793379"/>
    <w:bookmarkStart w:id="76" w:name="_MON_1366793431"/>
    <w:bookmarkStart w:id="77" w:name="_MON_1367223544"/>
    <w:bookmarkStart w:id="78" w:name="_MON_1367223575"/>
    <w:bookmarkStart w:id="79" w:name="_MON_1367223579"/>
    <w:bookmarkEnd w:id="74"/>
    <w:bookmarkEnd w:id="75"/>
    <w:bookmarkEnd w:id="76"/>
    <w:bookmarkEnd w:id="77"/>
    <w:bookmarkEnd w:id="78"/>
    <w:bookmarkEnd w:id="79"/>
    <w:p w:rsidR="00F236D5" w:rsidRPr="0044681E" w:rsidRDefault="00F236D5" w:rsidP="00F236D5">
      <w:pPr>
        <w:spacing w:line="240" w:lineRule="auto"/>
        <w:ind w:right="113"/>
        <w:jc w:val="center"/>
      </w:pPr>
      <w:r>
        <w:object w:dxaOrig="8976" w:dyaOrig="4331">
          <v:shape id="_x0000_i1040" type="#_x0000_t75" style="width:374.25pt;height:197.25pt" o:ole="">
            <v:imagedata r:id="rId36" o:title="" cropbottom="1317f" cropright="984f"/>
          </v:shape>
          <o:OLEObject Type="Embed" ProgID="Word.Picture.8" ShapeID="_x0000_i1040" DrawAspect="Content" ObjectID="_1395889839" r:id="rId37"/>
        </w:object>
      </w:r>
    </w:p>
    <w:p w:rsidR="00F236D5" w:rsidRPr="009F07A2" w:rsidRDefault="00F236D5" w:rsidP="00F236D5">
      <w:pPr>
        <w:pStyle w:val="SingleTxtG"/>
        <w:keepNext/>
        <w:keepLines/>
        <w:spacing w:before="120" w:after="0"/>
        <w:ind w:firstLine="153"/>
        <w:jc w:val="left"/>
        <w:rPr>
          <w:sz w:val="18"/>
          <w:szCs w:val="18"/>
        </w:rPr>
      </w:pPr>
      <w:r w:rsidRPr="009F07A2">
        <w:rPr>
          <w:i/>
          <w:sz w:val="18"/>
          <w:szCs w:val="18"/>
        </w:rPr>
        <w:t>Fuente:</w:t>
      </w:r>
      <w:r w:rsidRPr="009F07A2">
        <w:rPr>
          <w:sz w:val="18"/>
          <w:szCs w:val="18"/>
        </w:rPr>
        <w:t xml:space="preserve"> Ministerio de Salud</w:t>
      </w:r>
      <w:r>
        <w:rPr>
          <w:sz w:val="18"/>
          <w:szCs w:val="18"/>
        </w:rPr>
        <w:t>.</w:t>
      </w:r>
    </w:p>
    <w:p w:rsidR="00F236D5" w:rsidRPr="0044681E" w:rsidRDefault="00F236D5" w:rsidP="00F236D5">
      <w:pPr>
        <w:pStyle w:val="SingleTxtG"/>
        <w:keepNext/>
        <w:keepLines/>
        <w:spacing w:after="0"/>
        <w:ind w:firstLine="153"/>
        <w:jc w:val="left"/>
      </w:pPr>
      <w:r w:rsidRPr="009F07A2">
        <w:rPr>
          <w:i/>
          <w:sz w:val="18"/>
          <w:szCs w:val="18"/>
        </w:rPr>
        <w:t>Nota</w:t>
      </w:r>
      <w:r w:rsidRPr="009F07A2">
        <w:rPr>
          <w:sz w:val="18"/>
          <w:szCs w:val="18"/>
        </w:rPr>
        <w:t>: Las enfermedades transmisibles agrupadas son las siguientes: VIH/SIDA, hepatitis viral, enfermedades diarreicas, tuberculosis, fiebre reumática y cardiopatía reumática, infecciones agudas de las vías respiratorias (incluidas las vías respiratorias superiores e inferiores, influenza y neumonía).</w:t>
      </w:r>
    </w:p>
    <w:p w:rsidR="00F236D5" w:rsidRPr="0044681E" w:rsidRDefault="00F236D5" w:rsidP="00F236D5">
      <w:pPr>
        <w:pStyle w:val="H4G"/>
      </w:pPr>
      <w:r>
        <w:tab/>
      </w:r>
      <w:r w:rsidRPr="0044681E">
        <w:t>g)</w:t>
      </w:r>
      <w:r w:rsidRPr="0044681E">
        <w:tab/>
        <w:t xml:space="preserve">Hospitalizaciones de hombres y mujeres, desglosadas por determinadas enfermedades </w:t>
      </w:r>
    </w:p>
    <w:p w:rsidR="00F236D5" w:rsidRPr="0044681E" w:rsidRDefault="00F236D5" w:rsidP="00F236D5">
      <w:pPr>
        <w:pStyle w:val="SingleTxtG"/>
      </w:pPr>
      <w:r w:rsidRPr="0044681E">
        <w:t>91.</w:t>
      </w:r>
      <w:r w:rsidRPr="0044681E">
        <w:tab/>
        <w:t xml:space="preserve">El número de hospitalizaciones de hombres y mujeres fue similar respecto de todas las enfermedades excepto del infarto de miocardio agudo, que dio lugar a 7.940 hospitalizaciones de hombres frente a 4.846 de mujeres. Se registró un número reducido de hospitalizaciones por causa de fiebre reumática, VIH/SIDA y tuberculosis. </w:t>
      </w:r>
    </w:p>
    <w:p w:rsidR="00F236D5" w:rsidRDefault="00F236D5" w:rsidP="00F236D5">
      <w:pPr>
        <w:pStyle w:val="Heading1"/>
      </w:pPr>
      <w:r w:rsidRPr="0044681E">
        <w:t>Cuadro 31</w:t>
      </w:r>
    </w:p>
    <w:p w:rsidR="00F236D5" w:rsidRDefault="00F236D5" w:rsidP="00F236D5">
      <w:pPr>
        <w:pStyle w:val="SingleTxtG"/>
        <w:spacing w:after="0"/>
        <w:jc w:val="left"/>
        <w:rPr>
          <w:b/>
        </w:rPr>
      </w:pPr>
      <w:r w:rsidRPr="009F07A2">
        <w:rPr>
          <w:b/>
        </w:rPr>
        <w:t>Hospitalizaciones, desglosadas por determinadas enfermedades transmisibles</w:t>
      </w:r>
      <w:r>
        <w:rPr>
          <w:b/>
        </w:rPr>
        <w:br/>
      </w:r>
      <w:r w:rsidRPr="009F07A2">
        <w:rPr>
          <w:b/>
        </w:rPr>
        <w:t xml:space="preserve">y no transmisibles </w:t>
      </w:r>
    </w:p>
    <w:bookmarkStart w:id="80" w:name="_MON_1366797748"/>
    <w:bookmarkStart w:id="81" w:name="_MON_1366799540"/>
    <w:bookmarkStart w:id="82" w:name="_MON_1367223646"/>
    <w:bookmarkStart w:id="83" w:name="_MON_1367223787"/>
    <w:bookmarkEnd w:id="80"/>
    <w:bookmarkEnd w:id="81"/>
    <w:bookmarkEnd w:id="82"/>
    <w:bookmarkEnd w:id="83"/>
    <w:p w:rsidR="00F236D5" w:rsidRPr="0044681E" w:rsidRDefault="00F236D5" w:rsidP="00F236D5">
      <w:pPr>
        <w:spacing w:line="240" w:lineRule="auto"/>
        <w:jc w:val="right"/>
      </w:pPr>
      <w:r>
        <w:object w:dxaOrig="8456" w:dyaOrig="3971">
          <v:shape id="_x0000_i1041" type="#_x0000_t75" style="width:423pt;height:192.75pt" o:ole="">
            <v:imagedata r:id="rId38" o:title="" cropbottom="1832f"/>
          </v:shape>
          <o:OLEObject Type="Embed" ProgID="Word.Picture.8" ShapeID="_x0000_i1041" DrawAspect="Content" ObjectID="_1395889840" r:id="rId39"/>
        </w:object>
      </w:r>
    </w:p>
    <w:p w:rsidR="00F236D5" w:rsidRDefault="00F236D5" w:rsidP="00F236D5">
      <w:pPr>
        <w:spacing w:before="120" w:after="240"/>
        <w:ind w:left="1383" w:hanging="1383"/>
        <w:rPr>
          <w:sz w:val="18"/>
          <w:szCs w:val="18"/>
        </w:rPr>
      </w:pPr>
      <w:r>
        <w:rPr>
          <w:sz w:val="18"/>
          <w:szCs w:val="18"/>
        </w:rPr>
        <w:tab/>
      </w:r>
      <w:r w:rsidRPr="009F07A2">
        <w:rPr>
          <w:i/>
          <w:sz w:val="18"/>
          <w:szCs w:val="18"/>
        </w:rPr>
        <w:t>Fuente:</w:t>
      </w:r>
      <w:r w:rsidRPr="009F07A2">
        <w:rPr>
          <w:sz w:val="18"/>
          <w:szCs w:val="18"/>
        </w:rPr>
        <w:t xml:space="preserve"> Ministerio de Salud</w:t>
      </w:r>
      <w:r>
        <w:rPr>
          <w:sz w:val="18"/>
          <w:szCs w:val="18"/>
        </w:rPr>
        <w:t>.</w:t>
      </w:r>
    </w:p>
    <w:p w:rsidR="00F236D5" w:rsidRPr="009F07A2" w:rsidRDefault="00F236D5" w:rsidP="00F236D5">
      <w:pPr>
        <w:pStyle w:val="Heading1"/>
        <w:keepLines/>
        <w:jc w:val="left"/>
      </w:pPr>
      <w:r w:rsidRPr="009F07A2">
        <w:t>Cuadro 32</w:t>
      </w:r>
    </w:p>
    <w:p w:rsidR="00F236D5" w:rsidRDefault="00F236D5" w:rsidP="00F236D5">
      <w:pPr>
        <w:pStyle w:val="SingleTxtG"/>
        <w:keepNext/>
        <w:keepLines/>
        <w:jc w:val="left"/>
        <w:rPr>
          <w:b/>
        </w:rPr>
      </w:pPr>
      <w:r w:rsidRPr="009F07A2">
        <w:rPr>
          <w:b/>
        </w:rPr>
        <w:t>Tasas de enfermedades transmisibles y no transmisibles seleccionadas, desglosadas por etnia, 2006</w:t>
      </w:r>
    </w:p>
    <w:bookmarkStart w:id="84" w:name="_MON_1366799212"/>
    <w:bookmarkStart w:id="85" w:name="_MON_1366799634"/>
    <w:bookmarkStart w:id="86" w:name="_MON_1366801369"/>
    <w:bookmarkEnd w:id="84"/>
    <w:bookmarkEnd w:id="85"/>
    <w:bookmarkEnd w:id="86"/>
    <w:p w:rsidR="00F236D5" w:rsidRDefault="00F236D5" w:rsidP="00F236D5">
      <w:pPr>
        <w:pStyle w:val="SingleTxtG"/>
        <w:spacing w:after="0" w:line="240" w:lineRule="auto"/>
        <w:ind w:left="839"/>
        <w:jc w:val="left"/>
      </w:pPr>
      <w:r>
        <w:object w:dxaOrig="8971" w:dyaOrig="4330">
          <v:shape id="_x0000_i1042" type="#_x0000_t75" style="width:417.75pt;height:216.75pt" o:ole="">
            <v:imagedata r:id="rId40" o:title=""/>
          </v:shape>
          <o:OLEObject Type="Embed" ProgID="Word.Picture.8" ShapeID="_x0000_i1042" DrawAspect="Content" ObjectID="_1395889841" r:id="rId41"/>
        </w:object>
      </w:r>
      <w:r>
        <w:tab/>
      </w:r>
    </w:p>
    <w:p w:rsidR="00F236D5" w:rsidRPr="009F07A2" w:rsidRDefault="00F236D5" w:rsidP="00F236D5">
      <w:pPr>
        <w:pStyle w:val="SingleTxtG"/>
        <w:spacing w:after="240" w:line="240" w:lineRule="auto"/>
        <w:ind w:left="1332" w:hanging="170"/>
        <w:jc w:val="left"/>
      </w:pPr>
      <w:r w:rsidRPr="009475BB">
        <w:rPr>
          <w:i/>
          <w:sz w:val="18"/>
          <w:szCs w:val="18"/>
        </w:rPr>
        <w:t>Fuente:</w:t>
      </w:r>
      <w:r w:rsidRPr="009475BB">
        <w:rPr>
          <w:sz w:val="18"/>
          <w:szCs w:val="18"/>
        </w:rPr>
        <w:t xml:space="preserve"> Ministerio de Salud.</w:t>
      </w:r>
    </w:p>
    <w:p w:rsidR="00F236D5" w:rsidRPr="0044681E" w:rsidRDefault="00F236D5" w:rsidP="00F236D5">
      <w:pPr>
        <w:pStyle w:val="SingleTxtG"/>
      </w:pPr>
      <w:r w:rsidRPr="0044681E">
        <w:t>92.</w:t>
      </w:r>
      <w:r w:rsidRPr="0044681E">
        <w:tab/>
        <w:t>De los principales grupos étnicos, el de los pueblos del Pacífico registró tasas considerablemente más altas de infección aguda de las vías respiratorias inferiores, influenza y neumonía, diabetes, fiebre reumática y cardiopatía reumática en 2006.</w:t>
      </w:r>
    </w:p>
    <w:p w:rsidR="00F236D5" w:rsidRPr="0044681E" w:rsidRDefault="00F236D5" w:rsidP="00F236D5">
      <w:pPr>
        <w:pStyle w:val="SingleTxtG"/>
      </w:pPr>
      <w:r w:rsidRPr="0044681E">
        <w:t>93.</w:t>
      </w:r>
      <w:r w:rsidRPr="0044681E">
        <w:tab/>
        <w:t xml:space="preserve">A la luz de los datos sobre hospitalizaciones desglosados por grupo de edad correspondientes a 2006, los niños menores de 5 años muestran una tasa de hospitalización superior, pero </w:t>
      </w:r>
      <w:r>
        <w:t>e</w:t>
      </w:r>
      <w:r w:rsidRPr="0044681E">
        <w:t>sta disminuye en el grupo de 5 a 10 años de edad. El número de hospitalizaciones comienza a aumentar progresivamente entre los hombres de 40 a 45 años y las mujeres de 50 a 55 años a medida que avanza la edad.</w:t>
      </w:r>
    </w:p>
    <w:p w:rsidR="00F236D5" w:rsidRDefault="00F236D5" w:rsidP="00F236D5">
      <w:pPr>
        <w:pStyle w:val="Heading1"/>
        <w:keepLines/>
        <w:jc w:val="left"/>
        <w:rPr>
          <w:b/>
        </w:rPr>
      </w:pPr>
      <w:r w:rsidRPr="009F07A2">
        <w:t>Cuadro 33</w:t>
      </w:r>
    </w:p>
    <w:p w:rsidR="00F236D5" w:rsidRDefault="00F236D5" w:rsidP="00F236D5">
      <w:pPr>
        <w:pStyle w:val="SingleTxtG"/>
        <w:keepNext/>
        <w:keepLines/>
        <w:jc w:val="left"/>
        <w:rPr>
          <w:b/>
        </w:rPr>
      </w:pPr>
      <w:r w:rsidRPr="009475BB">
        <w:rPr>
          <w:b/>
        </w:rPr>
        <w:t xml:space="preserve">Tasas de hospitalización por enfermedades transmisibles y no transmisibles, </w:t>
      </w:r>
      <w:r w:rsidRPr="009475BB">
        <w:rPr>
          <w:b/>
        </w:rPr>
        <w:br/>
        <w:t>desglosadas por edad</w:t>
      </w:r>
    </w:p>
    <w:bookmarkStart w:id="87" w:name="_MON_1367224153"/>
    <w:bookmarkEnd w:id="87"/>
    <w:p w:rsidR="00F236D5" w:rsidRDefault="00F236D5" w:rsidP="00F236D5">
      <w:pPr>
        <w:pStyle w:val="SingleTxtG"/>
        <w:keepNext/>
        <w:keepLines/>
        <w:spacing w:after="0" w:line="240" w:lineRule="auto"/>
        <w:ind w:left="1304" w:hanging="170"/>
        <w:jc w:val="left"/>
      </w:pPr>
      <w:r>
        <w:object w:dxaOrig="8372" w:dyaOrig="4451">
          <v:shape id="_x0000_i1043" type="#_x0000_t75" style="width:418.5pt;height:222.75pt" o:ole="">
            <v:imagedata r:id="rId42" o:title=""/>
          </v:shape>
          <o:OLEObject Type="Embed" ProgID="Word.Picture.8" ShapeID="_x0000_i1043" DrawAspect="Content" ObjectID="_1395889842" r:id="rId43"/>
        </w:object>
      </w:r>
    </w:p>
    <w:p w:rsidR="00F236D5" w:rsidRPr="0044681E" w:rsidRDefault="00F236D5" w:rsidP="00F236D5">
      <w:pPr>
        <w:pStyle w:val="SingleTxtG"/>
        <w:keepNext/>
        <w:keepLines/>
        <w:spacing w:after="0"/>
        <w:ind w:left="1304" w:hanging="170"/>
        <w:jc w:val="left"/>
      </w:pPr>
      <w:r>
        <w:rPr>
          <w:i/>
          <w:sz w:val="18"/>
          <w:szCs w:val="18"/>
        </w:rPr>
        <w:tab/>
      </w:r>
      <w:r w:rsidRPr="009475BB">
        <w:rPr>
          <w:i/>
          <w:sz w:val="18"/>
          <w:szCs w:val="18"/>
        </w:rPr>
        <w:t xml:space="preserve">Fuente: </w:t>
      </w:r>
      <w:r w:rsidRPr="009475BB">
        <w:rPr>
          <w:sz w:val="18"/>
          <w:szCs w:val="18"/>
        </w:rPr>
        <w:t>Ministerio de Salud</w:t>
      </w:r>
      <w:r>
        <w:rPr>
          <w:sz w:val="18"/>
          <w:szCs w:val="18"/>
        </w:rPr>
        <w:t>.</w:t>
      </w:r>
    </w:p>
    <w:p w:rsidR="00F236D5" w:rsidRPr="0044681E" w:rsidRDefault="00F236D5" w:rsidP="00F236D5">
      <w:pPr>
        <w:pStyle w:val="H4G"/>
      </w:pPr>
      <w:r>
        <w:tab/>
      </w:r>
      <w:r w:rsidRPr="0044681E">
        <w:t>h)</w:t>
      </w:r>
      <w:r w:rsidRPr="0044681E">
        <w:tab/>
        <w:t>Utilización de los servicios de salud mental en Nueva Zelandia</w:t>
      </w:r>
    </w:p>
    <w:p w:rsidR="00F236D5" w:rsidRDefault="00F236D5" w:rsidP="00F236D5">
      <w:pPr>
        <w:pStyle w:val="SingleTxtG"/>
      </w:pPr>
      <w:r w:rsidRPr="0044681E">
        <w:t>94.</w:t>
      </w:r>
      <w:r w:rsidRPr="0044681E">
        <w:tab/>
        <w:t>En el cuadro 34 figuran datos correspondientes al ejercicio financiero 2006-2007 sobre la prestación de servicios secundarios de salud mental (servicios hospitalarios especializados o servicios ambulatorios de salud mental) y servicios de rehabilitación de alcohólicos y drogadictos financiados por el Gobierno (Base de datos nacional sobre salud mental).</w:t>
      </w:r>
    </w:p>
    <w:p w:rsidR="00F236D5" w:rsidRPr="0038447E" w:rsidRDefault="00F236D5" w:rsidP="00F236D5">
      <w:pPr>
        <w:pStyle w:val="Heading1"/>
        <w:keepLines/>
        <w:jc w:val="left"/>
      </w:pPr>
      <w:r w:rsidRPr="0038447E">
        <w:t>Cuadro 34</w:t>
      </w:r>
    </w:p>
    <w:p w:rsidR="00F236D5" w:rsidRPr="0038447E" w:rsidRDefault="00F236D5" w:rsidP="00F236D5">
      <w:pPr>
        <w:pStyle w:val="SingleTxtG"/>
        <w:keepNext/>
        <w:keepLines/>
        <w:jc w:val="left"/>
        <w:rPr>
          <w:b/>
        </w:rPr>
      </w:pPr>
      <w:r w:rsidRPr="0038447E">
        <w:rPr>
          <w:b/>
        </w:rPr>
        <w:t>Tasas de prestación de servicios de salud mental por cada 100.000 habitantes, normalizadas según la edad y desglosadas por grupo étnico y sexo, 2006-2007</w:t>
      </w:r>
    </w:p>
    <w:bookmarkStart w:id="88" w:name="_MON_1366800566"/>
    <w:bookmarkStart w:id="89" w:name="_MON_1366801055"/>
    <w:bookmarkStart w:id="90" w:name="_MON_1366801077"/>
    <w:bookmarkStart w:id="91" w:name="_MON_1366801481"/>
    <w:bookmarkStart w:id="92" w:name="_MON_1367224232"/>
    <w:bookmarkStart w:id="93" w:name="_MON_1367224272"/>
    <w:bookmarkStart w:id="94" w:name="_MON_1367224283"/>
    <w:bookmarkEnd w:id="88"/>
    <w:bookmarkEnd w:id="89"/>
    <w:bookmarkEnd w:id="90"/>
    <w:bookmarkEnd w:id="91"/>
    <w:bookmarkEnd w:id="92"/>
    <w:bookmarkEnd w:id="93"/>
    <w:bookmarkEnd w:id="94"/>
    <w:p w:rsidR="00F236D5" w:rsidRDefault="00F236D5" w:rsidP="00F236D5">
      <w:pPr>
        <w:keepNext/>
        <w:keepLines/>
        <w:jc w:val="center"/>
      </w:pPr>
      <w:r>
        <w:object w:dxaOrig="6676" w:dyaOrig="4152">
          <v:shape id="_x0000_i1044" type="#_x0000_t75" style="width:343.5pt;height:207pt" o:ole="">
            <v:imagedata r:id="rId44" o:title="" croptop="1025f" cropbottom="3326f" cropright="2326f"/>
            <w10:bordertop type="single" width="8"/>
            <w10:borderleft type="single" width="8"/>
            <w10:borderbottom type="single" width="8"/>
            <w10:borderright type="single" width="8"/>
          </v:shape>
          <o:OLEObject Type="Embed" ProgID="Word.Picture.8" ShapeID="_x0000_i1044" DrawAspect="Content" ObjectID="_1395889843" r:id="rId45"/>
        </w:object>
      </w:r>
    </w:p>
    <w:p w:rsidR="00F236D5" w:rsidRPr="0038447E" w:rsidRDefault="00F236D5" w:rsidP="00F236D5">
      <w:pPr>
        <w:keepNext/>
        <w:keepLines/>
        <w:spacing w:before="120" w:after="240"/>
        <w:ind w:left="1695" w:hanging="1151"/>
        <w:rPr>
          <w:sz w:val="18"/>
          <w:szCs w:val="18"/>
        </w:rPr>
      </w:pPr>
      <w:r>
        <w:rPr>
          <w:i/>
          <w:sz w:val="18"/>
          <w:szCs w:val="18"/>
        </w:rPr>
        <w:tab/>
      </w:r>
      <w:r w:rsidRPr="0038447E">
        <w:rPr>
          <w:i/>
          <w:sz w:val="18"/>
          <w:szCs w:val="18"/>
        </w:rPr>
        <w:t>Fuente:</w:t>
      </w:r>
      <w:r w:rsidRPr="0038447E">
        <w:rPr>
          <w:sz w:val="18"/>
          <w:szCs w:val="18"/>
        </w:rPr>
        <w:t xml:space="preserve"> Recopilación nacional de datos sobre salud mental</w:t>
      </w:r>
      <w:r>
        <w:rPr>
          <w:sz w:val="18"/>
          <w:szCs w:val="18"/>
        </w:rPr>
        <w:t>.</w:t>
      </w:r>
    </w:p>
    <w:p w:rsidR="00F236D5" w:rsidRPr="0044681E" w:rsidRDefault="00F236D5" w:rsidP="00F236D5">
      <w:pPr>
        <w:pStyle w:val="SingleTxtG"/>
      </w:pPr>
      <w:r w:rsidRPr="0044681E">
        <w:t>95.</w:t>
      </w:r>
      <w:r w:rsidRPr="0044681E">
        <w:tab/>
        <w:t>Se observan patrones diferentes en relación con los hombres y las mujeres. Las tasas correspondientes al grupo maorí fueron por lo general más elevadas para ambos sexos que las de los otros dos grupos étnicos.</w:t>
      </w:r>
    </w:p>
    <w:p w:rsidR="00F236D5" w:rsidRPr="0044681E" w:rsidRDefault="00F236D5" w:rsidP="00F236D5">
      <w:pPr>
        <w:pStyle w:val="SingleTxtG"/>
      </w:pPr>
      <w:r w:rsidRPr="0044681E">
        <w:t>96.</w:t>
      </w:r>
      <w:r w:rsidRPr="0044681E">
        <w:tab/>
        <w:t>En lo que respecta a los hombres, la mayor diferencia entre el grupo maorí y los otros dos grupos étnicos se observó en los adultos de 20 a 44 años. Los hombres de los grupos étnicos distintos del maorí y del de pueblos del Pacífico registraron tasas similares a las del grupo maorí hasta los 15 años, edad a partir de la cual esas tasas se aproximaron más a las del grupo de los pueblos del Pacífico. De los 55 años de edad en adelante, las diferencias entre los grupos étnicos eran mucho menos pronunciadas.</w:t>
      </w:r>
    </w:p>
    <w:p w:rsidR="00F236D5" w:rsidRDefault="00F236D5" w:rsidP="00F236D5">
      <w:pPr>
        <w:pStyle w:val="SingleTxtG"/>
      </w:pPr>
      <w:r w:rsidRPr="0044681E">
        <w:t>97.</w:t>
      </w:r>
      <w:r w:rsidRPr="0044681E">
        <w:tab/>
        <w:t xml:space="preserve">Entre las usuarias del grupo de pueblos del Pacífico se observa una distribución por edad más equilibrada. La tasa correspondiente a las mujeres maoríes mostró un ascenso agudo en el grupo de edad de 15 a 19 años y las tasas normalizadas según la edad alcanzaron su cifra máxima en el grupo de 35 a 39 años. Se registró asimismo un nivel notablemente más elevado en </w:t>
      </w:r>
    </w:p>
    <w:p w:rsidR="00F236D5" w:rsidRPr="00201FFB" w:rsidRDefault="00F236D5" w:rsidP="00F236D5">
      <w:pPr>
        <w:pStyle w:val="SingleTxtG"/>
      </w:pPr>
      <w:r w:rsidRPr="00201FFB">
        <w:t>las mujeres de 15 a 19 años de los grupos distintos del maorí y del de pueblos del Pacífico, cuya proporción superó la tasa maorí. Las tasas normalizadas según la edad de las usuarias del grupo de pueblos del Pacífico debe interpretarse con cautela dado que en este grupo se consideró un número menor de usuarias que en los demás grupos étnicos.</w:t>
      </w:r>
    </w:p>
    <w:p w:rsidR="00F236D5" w:rsidRPr="00201FFB" w:rsidRDefault="00F236D5" w:rsidP="00F236D5">
      <w:pPr>
        <w:pStyle w:val="H4G"/>
      </w:pPr>
      <w:r>
        <w:tab/>
      </w:r>
      <w:r w:rsidRPr="00201FFB">
        <w:t>i)</w:t>
      </w:r>
      <w:r w:rsidRPr="00201FFB">
        <w:tab/>
        <w:t>Datos no procedentes de hospitales</w:t>
      </w:r>
    </w:p>
    <w:p w:rsidR="00F236D5" w:rsidRPr="00201FFB" w:rsidRDefault="00F236D5" w:rsidP="00F236D5">
      <w:pPr>
        <w:pStyle w:val="SingleTxtG"/>
      </w:pPr>
      <w:r w:rsidRPr="00201FFB">
        <w:t>98.</w:t>
      </w:r>
      <w:r w:rsidRPr="00201FFB">
        <w:tab/>
        <w:t xml:space="preserve">No todas las enfermedades más frecuentes pueden describirse adecuadamente sobre la base de la información procedente de los hospitales. Por lo general muchas de ellas </w:t>
      </w:r>
      <w:r>
        <w:t>solo</w:t>
      </w:r>
      <w:r w:rsidRPr="00201FFB">
        <w:t xml:space="preserve"> serían atendidas a nivel primario (por un médico generalista) o no son lo suficientemente graves para justificar la hospitalización. Sin embargo, esas dolencias pueden dar lugar a enfermedades serias como la artritis, infecciones menos severas como problemas respiratorios y trastornos de ansiedad o depresión. Las encuestas sanitarias y la información que reúnen los médicos generalistas proporcionan indicios de la incidencia de esas enfermedades. Por ejemplo, en una encuesta realizada en 2004</w:t>
      </w:r>
      <w:r>
        <w:rPr>
          <w:rStyle w:val="FootnoteReference"/>
        </w:rPr>
        <w:footnoteReference w:id="9"/>
      </w:r>
      <w:r w:rsidRPr="00201FFB">
        <w:t xml:space="preserve"> se observa que los trastornos respiratorios leves constituyen el motivo más frecuente para consultar a un médico generalista. </w:t>
      </w:r>
    </w:p>
    <w:p w:rsidR="00F236D5" w:rsidRPr="00201FFB" w:rsidRDefault="00F236D5" w:rsidP="00F236D5">
      <w:pPr>
        <w:pStyle w:val="SingleTxtG"/>
      </w:pPr>
      <w:r w:rsidRPr="00201FFB">
        <w:t>99.</w:t>
      </w:r>
      <w:r w:rsidRPr="00201FFB">
        <w:tab/>
        <w:t>Con arreglo a la Ley sobre la salud de 1956, los médicos y laboratorios tienen la obligación de informar de todo caso relacionado con una serie de enfermedades infecciosas. En 2009 se comunicaron 19.856 casos de enfermedades sujetas a notificación, número que superó el de los dos años anteriores, aunque inferior al nivel registrado durante los siete años anteriores a 2007.</w:t>
      </w:r>
    </w:p>
    <w:p w:rsidR="00F236D5" w:rsidRPr="00201FFB" w:rsidRDefault="00F236D5" w:rsidP="00F236D5">
      <w:pPr>
        <w:pStyle w:val="SingleTxtG"/>
      </w:pPr>
      <w:r w:rsidRPr="00201FFB">
        <w:t>100.</w:t>
      </w:r>
      <w:r>
        <w:tab/>
      </w:r>
      <w:r w:rsidRPr="00201FFB">
        <w:t xml:space="preserve">El síndrome de inmunodeficiencia adquirida (SIDA) es una de las enfermedades que debe notificarse, contrariamente al virus de inmunodeficiencia humana (VIH). Cabe destacar, entre 2008 y 2009, una disminución estadísticamente significativa, de 48 a 28, de los casos de </w:t>
      </w:r>
      <w:r>
        <w:t>sida</w:t>
      </w:r>
      <w:r w:rsidRPr="00201FFB">
        <w:t xml:space="preserve"> comunicados, lo que representa una reducción del 42%, a razón de 0,6</w:t>
      </w:r>
      <w:r>
        <w:t> </w:t>
      </w:r>
      <w:r w:rsidRPr="00201FFB">
        <w:t>casos por cada 100.000 personas. De estos casos, el 35,7% de los pacientes pertenecían al grupo étnico europeo, el 25% al grupo maorí, el 14,3% al grupo de los pueblos del Pacífico, el 7,1</w:t>
      </w:r>
      <w:r>
        <w:t>%</w:t>
      </w:r>
      <w:r w:rsidRPr="00201FFB">
        <w:t xml:space="preserve"> al grupo asiático y el 17,9% a otros grupos étnicos. Del total de casos, el 53,6% eran hombres que habían contraído la enfermedad mediante relaciones sexuales con otros hombres y el 32</w:t>
      </w:r>
      <w:r>
        <w:t>,1</w:t>
      </w:r>
      <w:r w:rsidRPr="00201FFB">
        <w:t xml:space="preserve">% mediante relaciones heterosexuales. En 2009 se comunicaron dos muertes de </w:t>
      </w:r>
      <w:r>
        <w:t>sida</w:t>
      </w:r>
      <w:r>
        <w:rPr>
          <w:rStyle w:val="FootnoteReference"/>
        </w:rPr>
        <w:footnoteReference w:id="10"/>
      </w:r>
      <w:r w:rsidRPr="00201FFB">
        <w:t>.</w:t>
      </w:r>
    </w:p>
    <w:p w:rsidR="00F236D5" w:rsidRPr="00201FFB" w:rsidRDefault="00F236D5" w:rsidP="00F236D5">
      <w:pPr>
        <w:pStyle w:val="SingleTxtG"/>
      </w:pPr>
      <w:r w:rsidRPr="00201FFB">
        <w:t>101.</w:t>
      </w:r>
      <w:r w:rsidRPr="00201FFB">
        <w:tab/>
        <w:t>Desde 1996 se han comunicado diez casos de cólera (todos relacionados con viajes), el último en 2007. En 2009 se comunicaron tres casos de lepra.</w:t>
      </w:r>
    </w:p>
    <w:p w:rsidR="00F236D5" w:rsidRPr="00201FFB" w:rsidRDefault="00F236D5" w:rsidP="00F236D5">
      <w:pPr>
        <w:pStyle w:val="SingleTxtG"/>
      </w:pPr>
      <w:r w:rsidRPr="00201FFB">
        <w:t>102.</w:t>
      </w:r>
      <w:r w:rsidRPr="00201FFB">
        <w:tab/>
        <w:t>Con respecto a la fiebre tifoidea, tras décadas de una incidencia muy baja, desde 2000 se ha comunicado un número creciente de casos que se han vinculado a neozelandeses que han regresado de viajes, especialmente a Samoa, Fiji y la India. Se registraron 42 casos en 2006, 48 en 2007, 29 en 2008 y 35 en 2009.</w:t>
      </w:r>
    </w:p>
    <w:p w:rsidR="00F236D5" w:rsidRPr="00201FFB" w:rsidRDefault="00F236D5" w:rsidP="00F236D5">
      <w:pPr>
        <w:pStyle w:val="H4G"/>
      </w:pPr>
      <w:r>
        <w:tab/>
      </w:r>
      <w:r w:rsidRPr="00201FFB">
        <w:t>j)</w:t>
      </w:r>
      <w:r w:rsidRPr="00201FFB">
        <w:tab/>
        <w:t>Medios anticonceptivos</w:t>
      </w:r>
    </w:p>
    <w:p w:rsidR="00F236D5" w:rsidRPr="00201FFB" w:rsidRDefault="00F236D5" w:rsidP="00F236D5">
      <w:pPr>
        <w:pStyle w:val="SingleTxtG"/>
      </w:pPr>
      <w:r w:rsidRPr="00201FFB">
        <w:t>103.</w:t>
      </w:r>
      <w:r w:rsidRPr="00201FFB">
        <w:tab/>
        <w:t xml:space="preserve">En el cuadro 35 se indica, desglosado por edad y por grupo étnico, el porcentaje de medios anticonceptivos despachados en las farmacias de las comunidades a mujeres de 10 a 49 años durante el período 2008-2009. Estas cifras son estimaciones a la baja dado que no incluyen los anticonceptivos adquiridos por las parejas de las mujeres o los obtenidos por las mujeres de otras fuentes. </w:t>
      </w:r>
    </w:p>
    <w:p w:rsidR="00F236D5" w:rsidRPr="00393B81" w:rsidRDefault="00F236D5" w:rsidP="00F236D5">
      <w:pPr>
        <w:pStyle w:val="Heading1"/>
        <w:spacing w:line="240" w:lineRule="atLeast"/>
        <w:rPr>
          <w:szCs w:val="20"/>
          <w:lang w:val="es-ES_tradnl"/>
        </w:rPr>
      </w:pPr>
      <w:r w:rsidRPr="00393B81">
        <w:rPr>
          <w:szCs w:val="20"/>
          <w:lang w:val="es-ES_tradnl"/>
        </w:rPr>
        <w:t>Cuadro 35</w:t>
      </w:r>
    </w:p>
    <w:p w:rsidR="00F236D5" w:rsidRDefault="00F236D5" w:rsidP="00F236D5">
      <w:pPr>
        <w:pStyle w:val="SingleTxtG"/>
        <w:jc w:val="left"/>
        <w:rPr>
          <w:bCs/>
          <w:sz w:val="16"/>
          <w:szCs w:val="16"/>
          <w:lang w:val="es-ES_tradnl"/>
        </w:rPr>
      </w:pPr>
      <w:r w:rsidRPr="00393B81">
        <w:rPr>
          <w:b/>
          <w:bCs/>
          <w:lang w:val="es-ES_tradnl"/>
        </w:rPr>
        <w:t>Mujeres en edad de procrear que utilizan medios anticonceptivos o cuyas</w:t>
      </w:r>
      <w:r>
        <w:rPr>
          <w:b/>
          <w:bCs/>
          <w:lang w:val="es-ES_tradnl"/>
        </w:rPr>
        <w:br/>
      </w:r>
      <w:r w:rsidRPr="00393B81">
        <w:rPr>
          <w:b/>
          <w:bCs/>
          <w:lang w:val="es-ES_tradnl"/>
        </w:rPr>
        <w:t>parejas utilizan anticonceptivos</w:t>
      </w:r>
      <w:r>
        <w:rPr>
          <w:b/>
          <w:bCs/>
          <w:lang w:val="es-ES_tradnl"/>
        </w:rPr>
        <w:br/>
      </w:r>
      <w:r w:rsidRPr="00DC6B1B">
        <w:rPr>
          <w:bCs/>
          <w:sz w:val="16"/>
          <w:szCs w:val="16"/>
          <w:lang w:val="es-ES_tradnl"/>
        </w:rPr>
        <w:t>(En porcentaje)</w:t>
      </w:r>
    </w:p>
    <w:tbl>
      <w:tblPr>
        <w:tblStyle w:val="TableGrid"/>
        <w:tblW w:w="74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466"/>
        <w:gridCol w:w="1171"/>
        <w:gridCol w:w="849"/>
        <w:gridCol w:w="882"/>
        <w:gridCol w:w="1077"/>
        <w:gridCol w:w="742"/>
        <w:gridCol w:w="1218"/>
      </w:tblGrid>
      <w:tr w:rsidR="00F236D5" w:rsidRPr="002624EE" w:rsidTr="00310833">
        <w:trPr>
          <w:tblHeader/>
        </w:trPr>
        <w:tc>
          <w:tcPr>
            <w:tcW w:w="1466" w:type="dxa"/>
            <w:tcBorders>
              <w:top w:val="single" w:sz="4" w:space="0" w:color="auto"/>
              <w:bottom w:val="single" w:sz="12" w:space="0" w:color="auto"/>
            </w:tcBorders>
            <w:shd w:val="clear" w:color="auto" w:fill="auto"/>
            <w:vAlign w:val="bottom"/>
          </w:tcPr>
          <w:p w:rsidR="00F236D5" w:rsidRPr="002624EE" w:rsidRDefault="00F236D5" w:rsidP="00947046">
            <w:pPr>
              <w:pStyle w:val="SingleTxtG"/>
              <w:spacing w:before="80" w:after="80" w:line="200" w:lineRule="exact"/>
              <w:ind w:left="0" w:right="0"/>
              <w:jc w:val="left"/>
              <w:rPr>
                <w:bCs/>
                <w:i/>
                <w:sz w:val="16"/>
                <w:szCs w:val="16"/>
                <w:lang w:val="es-ES_tradnl"/>
              </w:rPr>
            </w:pPr>
          </w:p>
        </w:tc>
        <w:tc>
          <w:tcPr>
            <w:tcW w:w="1171" w:type="dxa"/>
            <w:tcBorders>
              <w:top w:val="single" w:sz="4" w:space="0" w:color="auto"/>
              <w:bottom w:val="single" w:sz="12" w:space="0" w:color="auto"/>
            </w:tcBorders>
            <w:shd w:val="clear" w:color="auto" w:fill="auto"/>
            <w:vAlign w:val="bottom"/>
          </w:tcPr>
          <w:p w:rsidR="00F236D5" w:rsidRPr="00393B81" w:rsidRDefault="00F236D5" w:rsidP="00947046">
            <w:pPr>
              <w:spacing w:before="80" w:after="80" w:line="200" w:lineRule="exact"/>
              <w:ind w:left="113"/>
              <w:jc w:val="right"/>
              <w:rPr>
                <w:i/>
                <w:sz w:val="16"/>
              </w:rPr>
            </w:pPr>
            <w:r>
              <w:rPr>
                <w:i/>
                <w:sz w:val="16"/>
              </w:rPr>
              <w:t>Todos los grupos étnicos</w:t>
            </w:r>
          </w:p>
        </w:tc>
        <w:tc>
          <w:tcPr>
            <w:tcW w:w="849" w:type="dxa"/>
            <w:tcBorders>
              <w:top w:val="single" w:sz="4" w:space="0" w:color="auto"/>
              <w:bottom w:val="single" w:sz="12" w:space="0" w:color="auto"/>
            </w:tcBorders>
            <w:shd w:val="clear" w:color="auto" w:fill="auto"/>
            <w:vAlign w:val="bottom"/>
          </w:tcPr>
          <w:p w:rsidR="00F236D5" w:rsidRPr="00393B81" w:rsidRDefault="00F236D5" w:rsidP="00947046">
            <w:pPr>
              <w:spacing w:before="80" w:after="80" w:line="200" w:lineRule="exact"/>
              <w:ind w:left="113"/>
              <w:jc w:val="right"/>
              <w:rPr>
                <w:i/>
                <w:sz w:val="16"/>
              </w:rPr>
            </w:pPr>
            <w:r>
              <w:rPr>
                <w:i/>
                <w:sz w:val="16"/>
              </w:rPr>
              <w:t>Europeo</w:t>
            </w:r>
          </w:p>
        </w:tc>
        <w:tc>
          <w:tcPr>
            <w:tcW w:w="882" w:type="dxa"/>
            <w:tcBorders>
              <w:top w:val="single" w:sz="4" w:space="0" w:color="auto"/>
              <w:bottom w:val="single" w:sz="12" w:space="0" w:color="auto"/>
            </w:tcBorders>
            <w:shd w:val="clear" w:color="auto" w:fill="auto"/>
            <w:vAlign w:val="bottom"/>
          </w:tcPr>
          <w:p w:rsidR="00F236D5" w:rsidRPr="00393B81" w:rsidRDefault="00F236D5" w:rsidP="00947046">
            <w:pPr>
              <w:spacing w:before="80" w:after="80" w:line="200" w:lineRule="exact"/>
              <w:ind w:left="113"/>
              <w:jc w:val="right"/>
              <w:rPr>
                <w:i/>
                <w:sz w:val="16"/>
              </w:rPr>
            </w:pPr>
            <w:r>
              <w:rPr>
                <w:i/>
                <w:sz w:val="16"/>
              </w:rPr>
              <w:t>Maorí</w:t>
            </w:r>
          </w:p>
        </w:tc>
        <w:tc>
          <w:tcPr>
            <w:tcW w:w="1077" w:type="dxa"/>
            <w:tcBorders>
              <w:top w:val="single" w:sz="4" w:space="0" w:color="auto"/>
              <w:bottom w:val="single" w:sz="12" w:space="0" w:color="auto"/>
            </w:tcBorders>
            <w:shd w:val="clear" w:color="auto" w:fill="auto"/>
            <w:vAlign w:val="bottom"/>
          </w:tcPr>
          <w:p w:rsidR="00F236D5" w:rsidRPr="00393B81" w:rsidRDefault="00F236D5" w:rsidP="00947046">
            <w:pPr>
              <w:spacing w:before="80" w:after="80" w:line="200" w:lineRule="exact"/>
              <w:ind w:left="113"/>
              <w:jc w:val="right"/>
              <w:rPr>
                <w:i/>
                <w:sz w:val="16"/>
              </w:rPr>
            </w:pPr>
            <w:r>
              <w:rPr>
                <w:i/>
                <w:sz w:val="16"/>
              </w:rPr>
              <w:t>Otros grupos étnicos</w:t>
            </w:r>
          </w:p>
        </w:tc>
        <w:tc>
          <w:tcPr>
            <w:tcW w:w="742" w:type="dxa"/>
            <w:tcBorders>
              <w:top w:val="single" w:sz="4" w:space="0" w:color="auto"/>
              <w:bottom w:val="single" w:sz="12" w:space="0" w:color="auto"/>
            </w:tcBorders>
            <w:shd w:val="clear" w:color="auto" w:fill="auto"/>
            <w:vAlign w:val="bottom"/>
          </w:tcPr>
          <w:p w:rsidR="00F236D5" w:rsidRPr="00393B81" w:rsidRDefault="00F236D5" w:rsidP="00947046">
            <w:pPr>
              <w:spacing w:before="80" w:after="80" w:line="200" w:lineRule="exact"/>
              <w:ind w:left="113"/>
              <w:jc w:val="right"/>
              <w:rPr>
                <w:i/>
                <w:sz w:val="16"/>
              </w:rPr>
            </w:pPr>
            <w:r>
              <w:rPr>
                <w:i/>
                <w:sz w:val="16"/>
              </w:rPr>
              <w:t>Asiático</w:t>
            </w:r>
          </w:p>
        </w:tc>
        <w:tc>
          <w:tcPr>
            <w:tcW w:w="1218" w:type="dxa"/>
            <w:tcBorders>
              <w:top w:val="single" w:sz="4" w:space="0" w:color="auto"/>
              <w:bottom w:val="single" w:sz="12" w:space="0" w:color="auto"/>
            </w:tcBorders>
            <w:shd w:val="clear" w:color="auto" w:fill="auto"/>
            <w:vAlign w:val="bottom"/>
          </w:tcPr>
          <w:p w:rsidR="00F236D5" w:rsidRPr="00393B81" w:rsidRDefault="00F236D5" w:rsidP="00947046">
            <w:pPr>
              <w:spacing w:before="80" w:after="80" w:line="200" w:lineRule="exact"/>
              <w:ind w:left="113"/>
              <w:jc w:val="right"/>
              <w:rPr>
                <w:i/>
                <w:sz w:val="16"/>
              </w:rPr>
            </w:pPr>
            <w:r>
              <w:rPr>
                <w:i/>
                <w:sz w:val="16"/>
              </w:rPr>
              <w:t>Pueblos</w:t>
            </w:r>
            <w:r>
              <w:rPr>
                <w:i/>
                <w:sz w:val="16"/>
              </w:rPr>
              <w:br/>
              <w:t>del Pacífico</w:t>
            </w:r>
          </w:p>
        </w:tc>
      </w:tr>
      <w:tr w:rsidR="00F236D5" w:rsidRPr="002624EE" w:rsidTr="00947046">
        <w:tc>
          <w:tcPr>
            <w:tcW w:w="1466" w:type="dxa"/>
            <w:tcBorders>
              <w:top w:val="single" w:sz="12" w:space="0" w:color="auto"/>
            </w:tcBorders>
            <w:shd w:val="clear" w:color="auto" w:fill="auto"/>
            <w:vAlign w:val="bottom"/>
          </w:tcPr>
          <w:p w:rsidR="00F236D5" w:rsidRPr="002624EE" w:rsidRDefault="00F236D5" w:rsidP="00947046">
            <w:pPr>
              <w:pStyle w:val="SingleTxtG"/>
              <w:spacing w:before="40" w:after="40" w:line="220" w:lineRule="exact"/>
              <w:ind w:left="0" w:right="0"/>
              <w:jc w:val="left"/>
              <w:rPr>
                <w:bCs/>
                <w:sz w:val="18"/>
                <w:szCs w:val="16"/>
                <w:lang w:val="es-ES_tradnl"/>
              </w:rPr>
            </w:pPr>
            <w:r>
              <w:rPr>
                <w:bCs/>
                <w:sz w:val="18"/>
                <w:szCs w:val="16"/>
                <w:lang w:val="es-ES_tradnl"/>
              </w:rPr>
              <w:t>10 a 14 años</w:t>
            </w:r>
          </w:p>
        </w:tc>
        <w:tc>
          <w:tcPr>
            <w:tcW w:w="1171" w:type="dxa"/>
            <w:tcBorders>
              <w:top w:val="single" w:sz="12" w:space="0" w:color="auto"/>
            </w:tcBorders>
            <w:shd w:val="clear" w:color="auto" w:fill="auto"/>
          </w:tcPr>
          <w:p w:rsidR="00F236D5" w:rsidRPr="002624EE" w:rsidRDefault="00F236D5" w:rsidP="00947046">
            <w:pPr>
              <w:spacing w:before="40" w:after="40" w:line="220" w:lineRule="exact"/>
              <w:jc w:val="right"/>
              <w:rPr>
                <w:sz w:val="18"/>
              </w:rPr>
            </w:pPr>
            <w:r w:rsidRPr="002624EE">
              <w:rPr>
                <w:sz w:val="18"/>
              </w:rPr>
              <w:t>1,1</w:t>
            </w:r>
          </w:p>
        </w:tc>
        <w:tc>
          <w:tcPr>
            <w:tcW w:w="849" w:type="dxa"/>
            <w:tcBorders>
              <w:top w:val="single" w:sz="12" w:space="0" w:color="auto"/>
            </w:tcBorders>
            <w:shd w:val="clear" w:color="auto" w:fill="auto"/>
          </w:tcPr>
          <w:p w:rsidR="00F236D5" w:rsidRPr="002624EE" w:rsidRDefault="00F236D5" w:rsidP="00947046">
            <w:pPr>
              <w:spacing w:before="40" w:after="40" w:line="220" w:lineRule="exact"/>
              <w:jc w:val="right"/>
              <w:rPr>
                <w:sz w:val="18"/>
              </w:rPr>
            </w:pPr>
            <w:r w:rsidRPr="002624EE">
              <w:rPr>
                <w:sz w:val="18"/>
              </w:rPr>
              <w:t>1,2</w:t>
            </w:r>
          </w:p>
        </w:tc>
        <w:tc>
          <w:tcPr>
            <w:tcW w:w="882" w:type="dxa"/>
            <w:tcBorders>
              <w:top w:val="single" w:sz="12" w:space="0" w:color="auto"/>
            </w:tcBorders>
            <w:shd w:val="clear" w:color="auto" w:fill="auto"/>
          </w:tcPr>
          <w:p w:rsidR="00F236D5" w:rsidRPr="002624EE" w:rsidRDefault="00F236D5" w:rsidP="00947046">
            <w:pPr>
              <w:spacing w:before="40" w:after="40" w:line="220" w:lineRule="exact"/>
              <w:jc w:val="right"/>
              <w:rPr>
                <w:sz w:val="18"/>
              </w:rPr>
            </w:pPr>
            <w:r w:rsidRPr="002624EE">
              <w:rPr>
                <w:sz w:val="18"/>
              </w:rPr>
              <w:t>1,4</w:t>
            </w:r>
          </w:p>
        </w:tc>
        <w:tc>
          <w:tcPr>
            <w:tcW w:w="1077" w:type="dxa"/>
            <w:tcBorders>
              <w:top w:val="single" w:sz="12" w:space="0" w:color="auto"/>
            </w:tcBorders>
            <w:shd w:val="clear" w:color="auto" w:fill="auto"/>
          </w:tcPr>
          <w:p w:rsidR="00F236D5" w:rsidRPr="002624EE" w:rsidRDefault="00F236D5" w:rsidP="00947046">
            <w:pPr>
              <w:spacing w:before="40" w:after="40" w:line="220" w:lineRule="exact"/>
              <w:jc w:val="right"/>
              <w:rPr>
                <w:sz w:val="18"/>
              </w:rPr>
            </w:pPr>
            <w:r w:rsidRPr="002624EE">
              <w:rPr>
                <w:sz w:val="18"/>
              </w:rPr>
              <w:t>0,4</w:t>
            </w:r>
          </w:p>
        </w:tc>
        <w:tc>
          <w:tcPr>
            <w:tcW w:w="742" w:type="dxa"/>
            <w:tcBorders>
              <w:top w:val="single" w:sz="12" w:space="0" w:color="auto"/>
            </w:tcBorders>
            <w:shd w:val="clear" w:color="auto" w:fill="auto"/>
          </w:tcPr>
          <w:p w:rsidR="00F236D5" w:rsidRPr="002624EE" w:rsidRDefault="00F236D5" w:rsidP="00947046">
            <w:pPr>
              <w:spacing w:before="40" w:after="40" w:line="220" w:lineRule="exact"/>
              <w:jc w:val="right"/>
              <w:rPr>
                <w:sz w:val="18"/>
              </w:rPr>
            </w:pPr>
            <w:r w:rsidRPr="002624EE">
              <w:rPr>
                <w:sz w:val="18"/>
              </w:rPr>
              <w:t>0,3</w:t>
            </w:r>
          </w:p>
        </w:tc>
        <w:tc>
          <w:tcPr>
            <w:tcW w:w="1218" w:type="dxa"/>
            <w:tcBorders>
              <w:top w:val="single" w:sz="12" w:space="0" w:color="auto"/>
            </w:tcBorders>
            <w:shd w:val="clear" w:color="auto" w:fill="auto"/>
          </w:tcPr>
          <w:p w:rsidR="00F236D5" w:rsidRPr="002624EE" w:rsidRDefault="00F236D5" w:rsidP="00947046">
            <w:pPr>
              <w:spacing w:before="40" w:after="40" w:line="220" w:lineRule="exact"/>
              <w:jc w:val="right"/>
              <w:rPr>
                <w:sz w:val="18"/>
              </w:rPr>
            </w:pPr>
            <w:r w:rsidRPr="002624EE">
              <w:rPr>
                <w:sz w:val="18"/>
              </w:rPr>
              <w:t>0,3</w:t>
            </w:r>
          </w:p>
        </w:tc>
      </w:tr>
      <w:tr w:rsidR="00F236D5" w:rsidRPr="002624EE" w:rsidTr="00947046">
        <w:tc>
          <w:tcPr>
            <w:tcW w:w="1466" w:type="dxa"/>
            <w:shd w:val="clear" w:color="auto" w:fill="auto"/>
            <w:vAlign w:val="bottom"/>
          </w:tcPr>
          <w:p w:rsidR="00F236D5" w:rsidRPr="002624EE" w:rsidRDefault="00F236D5" w:rsidP="00947046">
            <w:pPr>
              <w:pStyle w:val="SingleTxtG"/>
              <w:spacing w:before="40" w:after="40" w:line="220" w:lineRule="exact"/>
              <w:ind w:left="0" w:right="0"/>
              <w:jc w:val="left"/>
              <w:rPr>
                <w:bCs/>
                <w:sz w:val="18"/>
                <w:szCs w:val="16"/>
                <w:lang w:val="es-ES_tradnl"/>
              </w:rPr>
            </w:pPr>
            <w:r>
              <w:rPr>
                <w:bCs/>
                <w:sz w:val="18"/>
                <w:szCs w:val="16"/>
                <w:lang w:val="es-ES_tradnl"/>
              </w:rPr>
              <w:t>15 a 19 años</w:t>
            </w:r>
          </w:p>
        </w:tc>
        <w:tc>
          <w:tcPr>
            <w:tcW w:w="1171" w:type="dxa"/>
            <w:shd w:val="clear" w:color="auto" w:fill="auto"/>
          </w:tcPr>
          <w:p w:rsidR="00F236D5" w:rsidRPr="002624EE" w:rsidRDefault="00F236D5" w:rsidP="00947046">
            <w:pPr>
              <w:spacing w:before="40" w:after="40" w:line="220" w:lineRule="exact"/>
              <w:jc w:val="right"/>
              <w:rPr>
                <w:sz w:val="18"/>
              </w:rPr>
            </w:pPr>
            <w:r w:rsidRPr="002624EE">
              <w:rPr>
                <w:sz w:val="18"/>
              </w:rPr>
              <w:t>26,9</w:t>
            </w:r>
          </w:p>
        </w:tc>
        <w:tc>
          <w:tcPr>
            <w:tcW w:w="849" w:type="dxa"/>
            <w:shd w:val="clear" w:color="auto" w:fill="auto"/>
          </w:tcPr>
          <w:p w:rsidR="00F236D5" w:rsidRPr="002624EE" w:rsidRDefault="00F236D5" w:rsidP="00947046">
            <w:pPr>
              <w:spacing w:before="40" w:after="40" w:line="220" w:lineRule="exact"/>
              <w:jc w:val="right"/>
              <w:rPr>
                <w:sz w:val="18"/>
              </w:rPr>
            </w:pPr>
            <w:r w:rsidRPr="002624EE">
              <w:rPr>
                <w:sz w:val="18"/>
              </w:rPr>
              <w:t>34,9</w:t>
            </w:r>
          </w:p>
        </w:tc>
        <w:tc>
          <w:tcPr>
            <w:tcW w:w="882" w:type="dxa"/>
            <w:shd w:val="clear" w:color="auto" w:fill="auto"/>
          </w:tcPr>
          <w:p w:rsidR="00F236D5" w:rsidRPr="002624EE" w:rsidRDefault="00F236D5" w:rsidP="00947046">
            <w:pPr>
              <w:spacing w:before="40" w:after="40" w:line="220" w:lineRule="exact"/>
              <w:jc w:val="right"/>
              <w:rPr>
                <w:sz w:val="18"/>
              </w:rPr>
            </w:pPr>
            <w:r w:rsidRPr="002624EE">
              <w:rPr>
                <w:sz w:val="18"/>
              </w:rPr>
              <w:t>22,2</w:t>
            </w:r>
          </w:p>
        </w:tc>
        <w:tc>
          <w:tcPr>
            <w:tcW w:w="1077" w:type="dxa"/>
            <w:shd w:val="clear" w:color="auto" w:fill="auto"/>
          </w:tcPr>
          <w:p w:rsidR="00F236D5" w:rsidRPr="002624EE" w:rsidRDefault="00F236D5" w:rsidP="00947046">
            <w:pPr>
              <w:spacing w:before="40" w:after="40" w:line="220" w:lineRule="exact"/>
              <w:jc w:val="right"/>
              <w:rPr>
                <w:sz w:val="18"/>
              </w:rPr>
            </w:pPr>
            <w:r w:rsidRPr="002624EE">
              <w:rPr>
                <w:sz w:val="18"/>
              </w:rPr>
              <w:t>12,8</w:t>
            </w:r>
          </w:p>
        </w:tc>
        <w:tc>
          <w:tcPr>
            <w:tcW w:w="742" w:type="dxa"/>
            <w:shd w:val="clear" w:color="auto" w:fill="auto"/>
          </w:tcPr>
          <w:p w:rsidR="00F236D5" w:rsidRPr="002624EE" w:rsidRDefault="00F236D5" w:rsidP="00947046">
            <w:pPr>
              <w:spacing w:before="40" w:after="40" w:line="220" w:lineRule="exact"/>
              <w:jc w:val="right"/>
              <w:rPr>
                <w:sz w:val="18"/>
              </w:rPr>
            </w:pPr>
            <w:r w:rsidRPr="002624EE">
              <w:rPr>
                <w:sz w:val="18"/>
              </w:rPr>
              <w:t>7,8</w:t>
            </w:r>
          </w:p>
        </w:tc>
        <w:tc>
          <w:tcPr>
            <w:tcW w:w="1218" w:type="dxa"/>
            <w:shd w:val="clear" w:color="auto" w:fill="auto"/>
          </w:tcPr>
          <w:p w:rsidR="00F236D5" w:rsidRPr="002624EE" w:rsidRDefault="00F236D5" w:rsidP="00947046">
            <w:pPr>
              <w:spacing w:before="40" w:after="40" w:line="220" w:lineRule="exact"/>
              <w:jc w:val="right"/>
              <w:rPr>
                <w:sz w:val="18"/>
              </w:rPr>
            </w:pPr>
            <w:r w:rsidRPr="002624EE">
              <w:rPr>
                <w:sz w:val="18"/>
              </w:rPr>
              <w:t>8,2</w:t>
            </w:r>
          </w:p>
        </w:tc>
      </w:tr>
      <w:tr w:rsidR="00F236D5" w:rsidRPr="002624EE" w:rsidTr="00947046">
        <w:tc>
          <w:tcPr>
            <w:tcW w:w="1466" w:type="dxa"/>
            <w:shd w:val="clear" w:color="auto" w:fill="auto"/>
            <w:vAlign w:val="bottom"/>
          </w:tcPr>
          <w:p w:rsidR="00F236D5" w:rsidRPr="002624EE" w:rsidRDefault="00F236D5" w:rsidP="00947046">
            <w:pPr>
              <w:pStyle w:val="SingleTxtG"/>
              <w:spacing w:before="40" w:after="40" w:line="220" w:lineRule="exact"/>
              <w:ind w:left="0" w:right="0"/>
              <w:jc w:val="left"/>
              <w:rPr>
                <w:bCs/>
                <w:sz w:val="18"/>
                <w:szCs w:val="16"/>
                <w:lang w:val="es-ES_tradnl"/>
              </w:rPr>
            </w:pPr>
            <w:r>
              <w:rPr>
                <w:bCs/>
                <w:sz w:val="18"/>
                <w:szCs w:val="16"/>
                <w:lang w:val="es-ES_tradnl"/>
              </w:rPr>
              <w:t>20 a 24 años</w:t>
            </w:r>
          </w:p>
        </w:tc>
        <w:tc>
          <w:tcPr>
            <w:tcW w:w="1171" w:type="dxa"/>
            <w:shd w:val="clear" w:color="auto" w:fill="auto"/>
          </w:tcPr>
          <w:p w:rsidR="00F236D5" w:rsidRPr="002624EE" w:rsidRDefault="00F236D5" w:rsidP="00947046">
            <w:pPr>
              <w:spacing w:before="40" w:after="40" w:line="220" w:lineRule="exact"/>
              <w:jc w:val="right"/>
              <w:rPr>
                <w:sz w:val="18"/>
              </w:rPr>
            </w:pPr>
            <w:r w:rsidRPr="002624EE">
              <w:rPr>
                <w:sz w:val="18"/>
              </w:rPr>
              <w:t>39,0</w:t>
            </w:r>
          </w:p>
        </w:tc>
        <w:tc>
          <w:tcPr>
            <w:tcW w:w="849" w:type="dxa"/>
            <w:shd w:val="clear" w:color="auto" w:fill="auto"/>
          </w:tcPr>
          <w:p w:rsidR="00F236D5" w:rsidRPr="002624EE" w:rsidRDefault="00F236D5" w:rsidP="00947046">
            <w:pPr>
              <w:spacing w:before="40" w:after="40" w:line="220" w:lineRule="exact"/>
              <w:jc w:val="right"/>
              <w:rPr>
                <w:sz w:val="18"/>
              </w:rPr>
            </w:pPr>
            <w:r w:rsidRPr="002624EE">
              <w:rPr>
                <w:sz w:val="18"/>
              </w:rPr>
              <w:t>50,2</w:t>
            </w:r>
          </w:p>
        </w:tc>
        <w:tc>
          <w:tcPr>
            <w:tcW w:w="882" w:type="dxa"/>
            <w:shd w:val="clear" w:color="auto" w:fill="auto"/>
          </w:tcPr>
          <w:p w:rsidR="00F236D5" w:rsidRPr="002624EE" w:rsidRDefault="00F236D5" w:rsidP="00947046">
            <w:pPr>
              <w:spacing w:before="40" w:after="40" w:line="220" w:lineRule="exact"/>
              <w:jc w:val="right"/>
              <w:rPr>
                <w:sz w:val="18"/>
              </w:rPr>
            </w:pPr>
            <w:r w:rsidRPr="002624EE">
              <w:rPr>
                <w:sz w:val="18"/>
              </w:rPr>
              <w:t>26,3</w:t>
            </w:r>
          </w:p>
        </w:tc>
        <w:tc>
          <w:tcPr>
            <w:tcW w:w="1077" w:type="dxa"/>
            <w:shd w:val="clear" w:color="auto" w:fill="auto"/>
          </w:tcPr>
          <w:p w:rsidR="00F236D5" w:rsidRPr="002624EE" w:rsidRDefault="00F236D5" w:rsidP="00947046">
            <w:pPr>
              <w:spacing w:before="40" w:after="40" w:line="220" w:lineRule="exact"/>
              <w:jc w:val="right"/>
              <w:rPr>
                <w:sz w:val="18"/>
              </w:rPr>
            </w:pPr>
            <w:r w:rsidRPr="002624EE">
              <w:rPr>
                <w:sz w:val="18"/>
              </w:rPr>
              <w:t>26,6</w:t>
            </w:r>
          </w:p>
        </w:tc>
        <w:tc>
          <w:tcPr>
            <w:tcW w:w="742" w:type="dxa"/>
            <w:shd w:val="clear" w:color="auto" w:fill="auto"/>
          </w:tcPr>
          <w:p w:rsidR="00F236D5" w:rsidRPr="002624EE" w:rsidRDefault="00F236D5" w:rsidP="00947046">
            <w:pPr>
              <w:spacing w:before="40" w:after="40" w:line="220" w:lineRule="exact"/>
              <w:jc w:val="right"/>
              <w:rPr>
                <w:sz w:val="18"/>
              </w:rPr>
            </w:pPr>
            <w:r w:rsidRPr="002624EE">
              <w:rPr>
                <w:sz w:val="18"/>
              </w:rPr>
              <w:t>20,2</w:t>
            </w:r>
          </w:p>
        </w:tc>
        <w:tc>
          <w:tcPr>
            <w:tcW w:w="1218" w:type="dxa"/>
            <w:shd w:val="clear" w:color="auto" w:fill="auto"/>
          </w:tcPr>
          <w:p w:rsidR="00F236D5" w:rsidRPr="002624EE" w:rsidRDefault="00F236D5" w:rsidP="00947046">
            <w:pPr>
              <w:spacing w:before="40" w:after="40" w:line="220" w:lineRule="exact"/>
              <w:jc w:val="right"/>
              <w:rPr>
                <w:sz w:val="18"/>
              </w:rPr>
            </w:pPr>
            <w:r w:rsidRPr="002624EE">
              <w:rPr>
                <w:sz w:val="18"/>
              </w:rPr>
              <w:t>16,3</w:t>
            </w:r>
          </w:p>
        </w:tc>
      </w:tr>
      <w:tr w:rsidR="00F236D5" w:rsidRPr="002624EE" w:rsidTr="00947046">
        <w:tc>
          <w:tcPr>
            <w:tcW w:w="1466" w:type="dxa"/>
            <w:shd w:val="clear" w:color="auto" w:fill="auto"/>
            <w:vAlign w:val="bottom"/>
          </w:tcPr>
          <w:p w:rsidR="00F236D5" w:rsidRPr="002624EE" w:rsidRDefault="00F236D5" w:rsidP="00947046">
            <w:pPr>
              <w:pStyle w:val="SingleTxtG"/>
              <w:spacing w:before="40" w:after="40" w:line="220" w:lineRule="exact"/>
              <w:ind w:left="0" w:right="0"/>
              <w:jc w:val="left"/>
              <w:rPr>
                <w:bCs/>
                <w:sz w:val="18"/>
                <w:szCs w:val="16"/>
                <w:lang w:val="es-ES_tradnl"/>
              </w:rPr>
            </w:pPr>
            <w:r>
              <w:rPr>
                <w:bCs/>
                <w:sz w:val="18"/>
                <w:szCs w:val="16"/>
                <w:lang w:val="es-ES_tradnl"/>
              </w:rPr>
              <w:t>25 a 29 años</w:t>
            </w:r>
          </w:p>
        </w:tc>
        <w:tc>
          <w:tcPr>
            <w:tcW w:w="1171" w:type="dxa"/>
            <w:shd w:val="clear" w:color="auto" w:fill="auto"/>
          </w:tcPr>
          <w:p w:rsidR="00F236D5" w:rsidRPr="002624EE" w:rsidRDefault="00F236D5" w:rsidP="00947046">
            <w:pPr>
              <w:spacing w:before="40" w:after="40" w:line="220" w:lineRule="exact"/>
              <w:jc w:val="right"/>
              <w:rPr>
                <w:sz w:val="18"/>
              </w:rPr>
            </w:pPr>
            <w:r w:rsidRPr="002624EE">
              <w:rPr>
                <w:sz w:val="18"/>
              </w:rPr>
              <w:t>31,9</w:t>
            </w:r>
          </w:p>
        </w:tc>
        <w:tc>
          <w:tcPr>
            <w:tcW w:w="849" w:type="dxa"/>
            <w:shd w:val="clear" w:color="auto" w:fill="auto"/>
          </w:tcPr>
          <w:p w:rsidR="00F236D5" w:rsidRPr="002624EE" w:rsidRDefault="00F236D5" w:rsidP="00947046">
            <w:pPr>
              <w:spacing w:before="40" w:after="40" w:line="220" w:lineRule="exact"/>
              <w:jc w:val="right"/>
              <w:rPr>
                <w:sz w:val="18"/>
              </w:rPr>
            </w:pPr>
            <w:r w:rsidRPr="002624EE">
              <w:rPr>
                <w:sz w:val="18"/>
              </w:rPr>
              <w:t>40,7</w:t>
            </w:r>
          </w:p>
        </w:tc>
        <w:tc>
          <w:tcPr>
            <w:tcW w:w="882" w:type="dxa"/>
            <w:shd w:val="clear" w:color="auto" w:fill="auto"/>
          </w:tcPr>
          <w:p w:rsidR="00F236D5" w:rsidRPr="002624EE" w:rsidRDefault="00F236D5" w:rsidP="00947046">
            <w:pPr>
              <w:spacing w:before="40" w:after="40" w:line="220" w:lineRule="exact"/>
              <w:jc w:val="right"/>
              <w:rPr>
                <w:sz w:val="18"/>
              </w:rPr>
            </w:pPr>
            <w:r w:rsidRPr="002624EE">
              <w:rPr>
                <w:sz w:val="18"/>
              </w:rPr>
              <w:t>22,2</w:t>
            </w:r>
          </w:p>
        </w:tc>
        <w:tc>
          <w:tcPr>
            <w:tcW w:w="1077" w:type="dxa"/>
            <w:shd w:val="clear" w:color="auto" w:fill="auto"/>
          </w:tcPr>
          <w:p w:rsidR="00F236D5" w:rsidRPr="002624EE" w:rsidRDefault="00F236D5" w:rsidP="00947046">
            <w:pPr>
              <w:spacing w:before="40" w:after="40" w:line="220" w:lineRule="exact"/>
              <w:jc w:val="right"/>
              <w:rPr>
                <w:sz w:val="18"/>
              </w:rPr>
            </w:pPr>
            <w:r w:rsidRPr="002624EE">
              <w:rPr>
                <w:sz w:val="18"/>
              </w:rPr>
              <w:t>22,8</w:t>
            </w:r>
          </w:p>
        </w:tc>
        <w:tc>
          <w:tcPr>
            <w:tcW w:w="742" w:type="dxa"/>
            <w:shd w:val="clear" w:color="auto" w:fill="auto"/>
          </w:tcPr>
          <w:p w:rsidR="00F236D5" w:rsidRPr="002624EE" w:rsidRDefault="00F236D5" w:rsidP="00947046">
            <w:pPr>
              <w:spacing w:before="40" w:after="40" w:line="220" w:lineRule="exact"/>
              <w:jc w:val="right"/>
              <w:rPr>
                <w:sz w:val="18"/>
              </w:rPr>
            </w:pPr>
            <w:r w:rsidRPr="002624EE">
              <w:rPr>
                <w:sz w:val="18"/>
              </w:rPr>
              <w:t>18,8</w:t>
            </w:r>
          </w:p>
        </w:tc>
        <w:tc>
          <w:tcPr>
            <w:tcW w:w="1218" w:type="dxa"/>
            <w:shd w:val="clear" w:color="auto" w:fill="auto"/>
          </w:tcPr>
          <w:p w:rsidR="00F236D5" w:rsidRPr="002624EE" w:rsidRDefault="00F236D5" w:rsidP="00947046">
            <w:pPr>
              <w:spacing w:before="40" w:after="40" w:line="220" w:lineRule="exact"/>
              <w:jc w:val="right"/>
              <w:rPr>
                <w:sz w:val="18"/>
              </w:rPr>
            </w:pPr>
            <w:r w:rsidRPr="002624EE">
              <w:rPr>
                <w:sz w:val="18"/>
              </w:rPr>
              <w:t>15,7</w:t>
            </w:r>
          </w:p>
        </w:tc>
      </w:tr>
      <w:tr w:rsidR="00F236D5" w:rsidRPr="002624EE" w:rsidTr="00947046">
        <w:tc>
          <w:tcPr>
            <w:tcW w:w="1466" w:type="dxa"/>
            <w:shd w:val="clear" w:color="auto" w:fill="auto"/>
            <w:vAlign w:val="bottom"/>
          </w:tcPr>
          <w:p w:rsidR="00F236D5" w:rsidRPr="002624EE" w:rsidRDefault="00F236D5" w:rsidP="00947046">
            <w:pPr>
              <w:pStyle w:val="SingleTxtG"/>
              <w:spacing w:before="40" w:after="40" w:line="220" w:lineRule="exact"/>
              <w:ind w:left="0" w:right="0"/>
              <w:jc w:val="left"/>
              <w:rPr>
                <w:bCs/>
                <w:sz w:val="18"/>
                <w:szCs w:val="16"/>
                <w:lang w:val="es-ES_tradnl"/>
              </w:rPr>
            </w:pPr>
            <w:r>
              <w:rPr>
                <w:bCs/>
                <w:sz w:val="18"/>
                <w:szCs w:val="16"/>
                <w:lang w:val="es-ES_tradnl"/>
              </w:rPr>
              <w:t>30 a 34 años</w:t>
            </w:r>
          </w:p>
        </w:tc>
        <w:tc>
          <w:tcPr>
            <w:tcW w:w="1171" w:type="dxa"/>
            <w:shd w:val="clear" w:color="auto" w:fill="auto"/>
          </w:tcPr>
          <w:p w:rsidR="00F236D5" w:rsidRPr="002624EE" w:rsidRDefault="00F236D5" w:rsidP="00947046">
            <w:pPr>
              <w:spacing w:before="40" w:after="40" w:line="220" w:lineRule="exact"/>
              <w:jc w:val="right"/>
              <w:rPr>
                <w:sz w:val="18"/>
              </w:rPr>
            </w:pPr>
            <w:r w:rsidRPr="002624EE">
              <w:rPr>
                <w:sz w:val="18"/>
              </w:rPr>
              <w:t>25,2</w:t>
            </w:r>
          </w:p>
        </w:tc>
        <w:tc>
          <w:tcPr>
            <w:tcW w:w="849" w:type="dxa"/>
            <w:shd w:val="clear" w:color="auto" w:fill="auto"/>
          </w:tcPr>
          <w:p w:rsidR="00F236D5" w:rsidRPr="002624EE" w:rsidRDefault="00F236D5" w:rsidP="00947046">
            <w:pPr>
              <w:spacing w:before="40" w:after="40" w:line="220" w:lineRule="exact"/>
              <w:jc w:val="right"/>
              <w:rPr>
                <w:sz w:val="18"/>
              </w:rPr>
            </w:pPr>
            <w:r w:rsidRPr="002624EE">
              <w:rPr>
                <w:sz w:val="18"/>
              </w:rPr>
              <w:t>30,9</w:t>
            </w:r>
          </w:p>
        </w:tc>
        <w:tc>
          <w:tcPr>
            <w:tcW w:w="882" w:type="dxa"/>
            <w:shd w:val="clear" w:color="auto" w:fill="auto"/>
          </w:tcPr>
          <w:p w:rsidR="00F236D5" w:rsidRPr="002624EE" w:rsidRDefault="00F236D5" w:rsidP="00947046">
            <w:pPr>
              <w:spacing w:before="40" w:after="40" w:line="220" w:lineRule="exact"/>
              <w:jc w:val="right"/>
              <w:rPr>
                <w:sz w:val="18"/>
              </w:rPr>
            </w:pPr>
            <w:r w:rsidRPr="002624EE">
              <w:rPr>
                <w:sz w:val="18"/>
              </w:rPr>
              <w:t>17,8</w:t>
            </w:r>
          </w:p>
        </w:tc>
        <w:tc>
          <w:tcPr>
            <w:tcW w:w="1077" w:type="dxa"/>
            <w:shd w:val="clear" w:color="auto" w:fill="auto"/>
          </w:tcPr>
          <w:p w:rsidR="00F236D5" w:rsidRPr="002624EE" w:rsidRDefault="00F236D5" w:rsidP="00947046">
            <w:pPr>
              <w:spacing w:before="40" w:after="40" w:line="220" w:lineRule="exact"/>
              <w:jc w:val="right"/>
              <w:rPr>
                <w:sz w:val="18"/>
              </w:rPr>
            </w:pPr>
            <w:r w:rsidRPr="002624EE">
              <w:rPr>
                <w:sz w:val="18"/>
              </w:rPr>
              <w:t>19,1</w:t>
            </w:r>
          </w:p>
        </w:tc>
        <w:tc>
          <w:tcPr>
            <w:tcW w:w="742" w:type="dxa"/>
            <w:shd w:val="clear" w:color="auto" w:fill="auto"/>
          </w:tcPr>
          <w:p w:rsidR="00F236D5" w:rsidRPr="002624EE" w:rsidRDefault="00F236D5" w:rsidP="00947046">
            <w:pPr>
              <w:spacing w:before="40" w:after="40" w:line="220" w:lineRule="exact"/>
              <w:jc w:val="right"/>
              <w:rPr>
                <w:sz w:val="18"/>
              </w:rPr>
            </w:pPr>
            <w:r w:rsidRPr="002624EE">
              <w:rPr>
                <w:sz w:val="18"/>
              </w:rPr>
              <w:t>15,7</w:t>
            </w:r>
          </w:p>
        </w:tc>
        <w:tc>
          <w:tcPr>
            <w:tcW w:w="1218" w:type="dxa"/>
            <w:shd w:val="clear" w:color="auto" w:fill="auto"/>
          </w:tcPr>
          <w:p w:rsidR="00F236D5" w:rsidRPr="002624EE" w:rsidRDefault="00F236D5" w:rsidP="00947046">
            <w:pPr>
              <w:spacing w:before="40" w:after="40" w:line="220" w:lineRule="exact"/>
              <w:jc w:val="right"/>
              <w:rPr>
                <w:sz w:val="18"/>
              </w:rPr>
            </w:pPr>
            <w:r w:rsidRPr="002624EE">
              <w:rPr>
                <w:sz w:val="18"/>
              </w:rPr>
              <w:t>13,3</w:t>
            </w:r>
          </w:p>
        </w:tc>
      </w:tr>
      <w:tr w:rsidR="00F236D5" w:rsidRPr="002624EE" w:rsidTr="00947046">
        <w:tc>
          <w:tcPr>
            <w:tcW w:w="1466" w:type="dxa"/>
            <w:shd w:val="clear" w:color="auto" w:fill="auto"/>
            <w:vAlign w:val="bottom"/>
          </w:tcPr>
          <w:p w:rsidR="00F236D5" w:rsidRPr="002624EE" w:rsidRDefault="00F236D5" w:rsidP="00947046">
            <w:pPr>
              <w:pStyle w:val="SingleTxtG"/>
              <w:spacing w:before="40" w:after="40" w:line="220" w:lineRule="exact"/>
              <w:ind w:left="0" w:right="0"/>
              <w:jc w:val="left"/>
              <w:rPr>
                <w:bCs/>
                <w:sz w:val="18"/>
                <w:szCs w:val="16"/>
                <w:lang w:val="es-ES_tradnl"/>
              </w:rPr>
            </w:pPr>
            <w:r>
              <w:rPr>
                <w:bCs/>
                <w:sz w:val="18"/>
                <w:szCs w:val="16"/>
                <w:lang w:val="es-ES_tradnl"/>
              </w:rPr>
              <w:t>35 a 39 años</w:t>
            </w:r>
          </w:p>
        </w:tc>
        <w:tc>
          <w:tcPr>
            <w:tcW w:w="1171" w:type="dxa"/>
            <w:shd w:val="clear" w:color="auto" w:fill="auto"/>
          </w:tcPr>
          <w:p w:rsidR="00F236D5" w:rsidRPr="002624EE" w:rsidRDefault="00F236D5" w:rsidP="00947046">
            <w:pPr>
              <w:spacing w:before="40" w:after="40" w:line="220" w:lineRule="exact"/>
              <w:jc w:val="right"/>
              <w:rPr>
                <w:sz w:val="18"/>
              </w:rPr>
            </w:pPr>
            <w:r w:rsidRPr="002624EE">
              <w:rPr>
                <w:sz w:val="18"/>
              </w:rPr>
              <w:t>17,9</w:t>
            </w:r>
          </w:p>
        </w:tc>
        <w:tc>
          <w:tcPr>
            <w:tcW w:w="849" w:type="dxa"/>
            <w:shd w:val="clear" w:color="auto" w:fill="auto"/>
          </w:tcPr>
          <w:p w:rsidR="00F236D5" w:rsidRPr="002624EE" w:rsidRDefault="00F236D5" w:rsidP="00947046">
            <w:pPr>
              <w:spacing w:before="40" w:after="40" w:line="220" w:lineRule="exact"/>
              <w:jc w:val="right"/>
              <w:rPr>
                <w:sz w:val="18"/>
              </w:rPr>
            </w:pPr>
            <w:r w:rsidRPr="002624EE">
              <w:rPr>
                <w:sz w:val="18"/>
              </w:rPr>
              <w:t>21,1</w:t>
            </w:r>
          </w:p>
        </w:tc>
        <w:tc>
          <w:tcPr>
            <w:tcW w:w="882" w:type="dxa"/>
            <w:shd w:val="clear" w:color="auto" w:fill="auto"/>
          </w:tcPr>
          <w:p w:rsidR="00F236D5" w:rsidRPr="002624EE" w:rsidRDefault="00F236D5" w:rsidP="00947046">
            <w:pPr>
              <w:spacing w:before="40" w:after="40" w:line="220" w:lineRule="exact"/>
              <w:jc w:val="right"/>
              <w:rPr>
                <w:sz w:val="18"/>
              </w:rPr>
            </w:pPr>
            <w:r w:rsidRPr="002624EE">
              <w:rPr>
                <w:sz w:val="18"/>
              </w:rPr>
              <w:t>12,5</w:t>
            </w:r>
          </w:p>
        </w:tc>
        <w:tc>
          <w:tcPr>
            <w:tcW w:w="1077" w:type="dxa"/>
            <w:shd w:val="clear" w:color="auto" w:fill="auto"/>
          </w:tcPr>
          <w:p w:rsidR="00F236D5" w:rsidRPr="002624EE" w:rsidRDefault="00F236D5" w:rsidP="00947046">
            <w:pPr>
              <w:spacing w:before="40" w:after="40" w:line="220" w:lineRule="exact"/>
              <w:jc w:val="right"/>
              <w:rPr>
                <w:sz w:val="18"/>
              </w:rPr>
            </w:pPr>
            <w:r w:rsidRPr="002624EE">
              <w:rPr>
                <w:sz w:val="18"/>
              </w:rPr>
              <w:t>14,0</w:t>
            </w:r>
          </w:p>
        </w:tc>
        <w:tc>
          <w:tcPr>
            <w:tcW w:w="742" w:type="dxa"/>
            <w:shd w:val="clear" w:color="auto" w:fill="auto"/>
          </w:tcPr>
          <w:p w:rsidR="00F236D5" w:rsidRPr="002624EE" w:rsidRDefault="00F236D5" w:rsidP="00947046">
            <w:pPr>
              <w:spacing w:before="40" w:after="40" w:line="220" w:lineRule="exact"/>
              <w:jc w:val="right"/>
              <w:rPr>
                <w:sz w:val="18"/>
              </w:rPr>
            </w:pPr>
            <w:r w:rsidRPr="002624EE">
              <w:rPr>
                <w:sz w:val="18"/>
              </w:rPr>
              <w:t>11,8</w:t>
            </w:r>
          </w:p>
        </w:tc>
        <w:tc>
          <w:tcPr>
            <w:tcW w:w="1218" w:type="dxa"/>
            <w:shd w:val="clear" w:color="auto" w:fill="auto"/>
          </w:tcPr>
          <w:p w:rsidR="00F236D5" w:rsidRPr="002624EE" w:rsidRDefault="00F236D5" w:rsidP="00947046">
            <w:pPr>
              <w:spacing w:before="40" w:after="40" w:line="220" w:lineRule="exact"/>
              <w:jc w:val="right"/>
              <w:rPr>
                <w:sz w:val="18"/>
              </w:rPr>
            </w:pPr>
            <w:r w:rsidRPr="002624EE">
              <w:rPr>
                <w:sz w:val="18"/>
              </w:rPr>
              <w:t>9,9</w:t>
            </w:r>
          </w:p>
        </w:tc>
      </w:tr>
      <w:tr w:rsidR="00F236D5" w:rsidRPr="002624EE" w:rsidTr="00947046">
        <w:tc>
          <w:tcPr>
            <w:tcW w:w="1466" w:type="dxa"/>
            <w:shd w:val="clear" w:color="auto" w:fill="auto"/>
            <w:vAlign w:val="bottom"/>
          </w:tcPr>
          <w:p w:rsidR="00F236D5" w:rsidRPr="002624EE" w:rsidRDefault="00F236D5" w:rsidP="00947046">
            <w:pPr>
              <w:pStyle w:val="SingleTxtG"/>
              <w:spacing w:before="40" w:after="40" w:line="220" w:lineRule="exact"/>
              <w:ind w:left="0" w:right="0"/>
              <w:jc w:val="left"/>
              <w:rPr>
                <w:bCs/>
                <w:sz w:val="18"/>
                <w:szCs w:val="16"/>
                <w:lang w:val="es-ES_tradnl"/>
              </w:rPr>
            </w:pPr>
            <w:r>
              <w:rPr>
                <w:bCs/>
                <w:sz w:val="18"/>
                <w:szCs w:val="16"/>
                <w:lang w:val="es-ES_tradnl"/>
              </w:rPr>
              <w:t>40 a 44 años</w:t>
            </w:r>
          </w:p>
        </w:tc>
        <w:tc>
          <w:tcPr>
            <w:tcW w:w="1171" w:type="dxa"/>
            <w:shd w:val="clear" w:color="auto" w:fill="auto"/>
          </w:tcPr>
          <w:p w:rsidR="00F236D5" w:rsidRPr="002624EE" w:rsidRDefault="00F236D5" w:rsidP="00947046">
            <w:pPr>
              <w:spacing w:before="40" w:after="40" w:line="220" w:lineRule="exact"/>
              <w:jc w:val="right"/>
              <w:rPr>
                <w:sz w:val="18"/>
              </w:rPr>
            </w:pPr>
            <w:r w:rsidRPr="002624EE">
              <w:rPr>
                <w:sz w:val="18"/>
              </w:rPr>
              <w:t>10,8</w:t>
            </w:r>
          </w:p>
        </w:tc>
        <w:tc>
          <w:tcPr>
            <w:tcW w:w="849" w:type="dxa"/>
            <w:shd w:val="clear" w:color="auto" w:fill="auto"/>
          </w:tcPr>
          <w:p w:rsidR="00F236D5" w:rsidRPr="002624EE" w:rsidRDefault="00F236D5" w:rsidP="00947046">
            <w:pPr>
              <w:spacing w:before="40" w:after="40" w:line="220" w:lineRule="exact"/>
              <w:jc w:val="right"/>
              <w:rPr>
                <w:sz w:val="18"/>
              </w:rPr>
            </w:pPr>
            <w:r w:rsidRPr="002624EE">
              <w:rPr>
                <w:sz w:val="18"/>
              </w:rPr>
              <w:t>12,4</w:t>
            </w:r>
          </w:p>
        </w:tc>
        <w:tc>
          <w:tcPr>
            <w:tcW w:w="882" w:type="dxa"/>
            <w:shd w:val="clear" w:color="auto" w:fill="auto"/>
          </w:tcPr>
          <w:p w:rsidR="00F236D5" w:rsidRPr="002624EE" w:rsidRDefault="00F236D5" w:rsidP="00947046">
            <w:pPr>
              <w:spacing w:before="40" w:after="40" w:line="220" w:lineRule="exact"/>
              <w:jc w:val="right"/>
              <w:rPr>
                <w:sz w:val="18"/>
              </w:rPr>
            </w:pPr>
            <w:r w:rsidRPr="002624EE">
              <w:rPr>
                <w:sz w:val="18"/>
              </w:rPr>
              <w:t>7,6</w:t>
            </w:r>
          </w:p>
        </w:tc>
        <w:tc>
          <w:tcPr>
            <w:tcW w:w="1077" w:type="dxa"/>
            <w:shd w:val="clear" w:color="auto" w:fill="auto"/>
          </w:tcPr>
          <w:p w:rsidR="00F236D5" w:rsidRPr="002624EE" w:rsidRDefault="00F236D5" w:rsidP="00947046">
            <w:pPr>
              <w:spacing w:before="40" w:after="40" w:line="220" w:lineRule="exact"/>
              <w:jc w:val="right"/>
              <w:rPr>
                <w:sz w:val="18"/>
              </w:rPr>
            </w:pPr>
            <w:r w:rsidRPr="002624EE">
              <w:rPr>
                <w:sz w:val="18"/>
              </w:rPr>
              <w:t>8,1</w:t>
            </w:r>
          </w:p>
        </w:tc>
        <w:tc>
          <w:tcPr>
            <w:tcW w:w="742" w:type="dxa"/>
            <w:shd w:val="clear" w:color="auto" w:fill="auto"/>
          </w:tcPr>
          <w:p w:rsidR="00F236D5" w:rsidRPr="002624EE" w:rsidRDefault="00F236D5" w:rsidP="00947046">
            <w:pPr>
              <w:spacing w:before="40" w:after="40" w:line="220" w:lineRule="exact"/>
              <w:jc w:val="right"/>
              <w:rPr>
                <w:sz w:val="18"/>
              </w:rPr>
            </w:pPr>
            <w:r w:rsidRPr="002624EE">
              <w:rPr>
                <w:sz w:val="18"/>
              </w:rPr>
              <w:t>8,2</w:t>
            </w:r>
          </w:p>
        </w:tc>
        <w:tc>
          <w:tcPr>
            <w:tcW w:w="1218" w:type="dxa"/>
            <w:shd w:val="clear" w:color="auto" w:fill="auto"/>
          </w:tcPr>
          <w:p w:rsidR="00F236D5" w:rsidRPr="002624EE" w:rsidRDefault="00F236D5" w:rsidP="00947046">
            <w:pPr>
              <w:spacing w:before="40" w:after="40" w:line="220" w:lineRule="exact"/>
              <w:jc w:val="right"/>
              <w:rPr>
                <w:sz w:val="18"/>
              </w:rPr>
            </w:pPr>
            <w:r w:rsidRPr="002624EE">
              <w:rPr>
                <w:sz w:val="18"/>
              </w:rPr>
              <w:t>6,4</w:t>
            </w:r>
          </w:p>
        </w:tc>
      </w:tr>
      <w:tr w:rsidR="00F236D5" w:rsidRPr="002624EE" w:rsidTr="00947046">
        <w:tc>
          <w:tcPr>
            <w:tcW w:w="1466" w:type="dxa"/>
            <w:shd w:val="clear" w:color="auto" w:fill="auto"/>
            <w:vAlign w:val="bottom"/>
          </w:tcPr>
          <w:p w:rsidR="00F236D5" w:rsidRPr="002624EE" w:rsidRDefault="00F236D5" w:rsidP="00947046">
            <w:pPr>
              <w:pStyle w:val="SingleTxtG"/>
              <w:spacing w:before="40" w:after="40" w:line="220" w:lineRule="exact"/>
              <w:ind w:left="0" w:right="0"/>
              <w:jc w:val="left"/>
              <w:rPr>
                <w:bCs/>
                <w:sz w:val="18"/>
                <w:szCs w:val="16"/>
                <w:lang w:val="es-ES_tradnl"/>
              </w:rPr>
            </w:pPr>
            <w:r>
              <w:rPr>
                <w:bCs/>
                <w:sz w:val="18"/>
                <w:szCs w:val="16"/>
                <w:lang w:val="es-ES_tradnl"/>
              </w:rPr>
              <w:t>45 a 49 años</w:t>
            </w:r>
          </w:p>
        </w:tc>
        <w:tc>
          <w:tcPr>
            <w:tcW w:w="1171" w:type="dxa"/>
            <w:shd w:val="clear" w:color="auto" w:fill="auto"/>
          </w:tcPr>
          <w:p w:rsidR="00F236D5" w:rsidRPr="002624EE" w:rsidRDefault="00F236D5" w:rsidP="00947046">
            <w:pPr>
              <w:spacing w:before="40" w:after="40" w:line="220" w:lineRule="exact"/>
              <w:jc w:val="right"/>
              <w:rPr>
                <w:sz w:val="18"/>
              </w:rPr>
            </w:pPr>
            <w:r w:rsidRPr="002624EE">
              <w:rPr>
                <w:sz w:val="18"/>
              </w:rPr>
              <w:t>6,2</w:t>
            </w:r>
          </w:p>
        </w:tc>
        <w:tc>
          <w:tcPr>
            <w:tcW w:w="849" w:type="dxa"/>
            <w:shd w:val="clear" w:color="auto" w:fill="auto"/>
          </w:tcPr>
          <w:p w:rsidR="00F236D5" w:rsidRPr="002624EE" w:rsidRDefault="00F236D5" w:rsidP="00947046">
            <w:pPr>
              <w:spacing w:before="40" w:after="40" w:line="220" w:lineRule="exact"/>
              <w:jc w:val="right"/>
              <w:rPr>
                <w:sz w:val="18"/>
              </w:rPr>
            </w:pPr>
            <w:r w:rsidRPr="002624EE">
              <w:rPr>
                <w:sz w:val="18"/>
              </w:rPr>
              <w:t>7,0</w:t>
            </w:r>
          </w:p>
        </w:tc>
        <w:tc>
          <w:tcPr>
            <w:tcW w:w="882" w:type="dxa"/>
            <w:shd w:val="clear" w:color="auto" w:fill="auto"/>
          </w:tcPr>
          <w:p w:rsidR="00F236D5" w:rsidRPr="002624EE" w:rsidRDefault="00F236D5" w:rsidP="00947046">
            <w:pPr>
              <w:spacing w:before="40" w:after="40" w:line="220" w:lineRule="exact"/>
              <w:jc w:val="right"/>
              <w:rPr>
                <w:sz w:val="18"/>
              </w:rPr>
            </w:pPr>
            <w:r w:rsidRPr="002624EE">
              <w:rPr>
                <w:sz w:val="18"/>
              </w:rPr>
              <w:t>4,3</w:t>
            </w:r>
          </w:p>
        </w:tc>
        <w:tc>
          <w:tcPr>
            <w:tcW w:w="1077" w:type="dxa"/>
            <w:shd w:val="clear" w:color="auto" w:fill="auto"/>
          </w:tcPr>
          <w:p w:rsidR="00F236D5" w:rsidRPr="002624EE" w:rsidRDefault="00F236D5" w:rsidP="00947046">
            <w:pPr>
              <w:spacing w:before="40" w:after="40" w:line="220" w:lineRule="exact"/>
              <w:jc w:val="right"/>
              <w:rPr>
                <w:sz w:val="18"/>
              </w:rPr>
            </w:pPr>
            <w:r w:rsidRPr="002624EE">
              <w:rPr>
                <w:sz w:val="18"/>
              </w:rPr>
              <w:t>4,9</w:t>
            </w:r>
          </w:p>
        </w:tc>
        <w:tc>
          <w:tcPr>
            <w:tcW w:w="742" w:type="dxa"/>
            <w:shd w:val="clear" w:color="auto" w:fill="auto"/>
          </w:tcPr>
          <w:p w:rsidR="00F236D5" w:rsidRPr="002624EE" w:rsidRDefault="00F236D5" w:rsidP="00947046">
            <w:pPr>
              <w:spacing w:before="40" w:after="40" w:line="220" w:lineRule="exact"/>
              <w:jc w:val="right"/>
              <w:rPr>
                <w:sz w:val="18"/>
              </w:rPr>
            </w:pPr>
            <w:r w:rsidRPr="002624EE">
              <w:rPr>
                <w:sz w:val="18"/>
              </w:rPr>
              <w:t>4,5</w:t>
            </w:r>
          </w:p>
        </w:tc>
        <w:tc>
          <w:tcPr>
            <w:tcW w:w="1218" w:type="dxa"/>
            <w:shd w:val="clear" w:color="auto" w:fill="auto"/>
          </w:tcPr>
          <w:p w:rsidR="00F236D5" w:rsidRPr="002624EE" w:rsidRDefault="00F236D5" w:rsidP="00947046">
            <w:pPr>
              <w:spacing w:before="40" w:after="40" w:line="220" w:lineRule="exact"/>
              <w:jc w:val="right"/>
              <w:rPr>
                <w:sz w:val="18"/>
              </w:rPr>
            </w:pPr>
            <w:r w:rsidRPr="002624EE">
              <w:rPr>
                <w:sz w:val="18"/>
              </w:rPr>
              <w:t>3,4</w:t>
            </w:r>
          </w:p>
        </w:tc>
      </w:tr>
      <w:tr w:rsidR="00F236D5" w:rsidRPr="002624EE" w:rsidTr="00947046">
        <w:tc>
          <w:tcPr>
            <w:tcW w:w="1466" w:type="dxa"/>
            <w:tcBorders>
              <w:bottom w:val="single" w:sz="12" w:space="0" w:color="auto"/>
            </w:tcBorders>
            <w:shd w:val="clear" w:color="auto" w:fill="auto"/>
            <w:vAlign w:val="bottom"/>
          </w:tcPr>
          <w:p w:rsidR="00F236D5" w:rsidRPr="002624EE" w:rsidRDefault="00F236D5" w:rsidP="00947046">
            <w:pPr>
              <w:pStyle w:val="SingleTxtG"/>
              <w:spacing w:before="40" w:after="40" w:line="220" w:lineRule="exact"/>
              <w:ind w:left="0" w:right="0"/>
              <w:jc w:val="left"/>
              <w:rPr>
                <w:bCs/>
                <w:sz w:val="18"/>
                <w:szCs w:val="16"/>
                <w:lang w:val="es-ES_tradnl"/>
              </w:rPr>
            </w:pPr>
            <w:r>
              <w:rPr>
                <w:bCs/>
                <w:sz w:val="18"/>
                <w:szCs w:val="16"/>
                <w:lang w:val="es-ES_tradnl"/>
              </w:rPr>
              <w:t>Todas las edades</w:t>
            </w:r>
          </w:p>
        </w:tc>
        <w:tc>
          <w:tcPr>
            <w:tcW w:w="1171" w:type="dxa"/>
            <w:tcBorders>
              <w:bottom w:val="single" w:sz="12" w:space="0" w:color="auto"/>
            </w:tcBorders>
            <w:shd w:val="clear" w:color="auto" w:fill="auto"/>
          </w:tcPr>
          <w:p w:rsidR="00F236D5" w:rsidRPr="002624EE" w:rsidRDefault="00F236D5" w:rsidP="00947046">
            <w:pPr>
              <w:spacing w:before="40" w:after="40" w:line="220" w:lineRule="exact"/>
              <w:jc w:val="right"/>
              <w:rPr>
                <w:sz w:val="18"/>
              </w:rPr>
            </w:pPr>
            <w:r w:rsidRPr="002624EE">
              <w:rPr>
                <w:sz w:val="18"/>
              </w:rPr>
              <w:t>19,5</w:t>
            </w:r>
          </w:p>
        </w:tc>
        <w:tc>
          <w:tcPr>
            <w:tcW w:w="849" w:type="dxa"/>
            <w:tcBorders>
              <w:bottom w:val="single" w:sz="12" w:space="0" w:color="auto"/>
            </w:tcBorders>
            <w:shd w:val="clear" w:color="auto" w:fill="auto"/>
          </w:tcPr>
          <w:p w:rsidR="00F236D5" w:rsidRPr="002624EE" w:rsidRDefault="00F236D5" w:rsidP="00947046">
            <w:pPr>
              <w:spacing w:before="40" w:after="40" w:line="220" w:lineRule="exact"/>
              <w:jc w:val="right"/>
              <w:rPr>
                <w:sz w:val="18"/>
              </w:rPr>
            </w:pPr>
            <w:r w:rsidRPr="002624EE">
              <w:rPr>
                <w:sz w:val="18"/>
              </w:rPr>
              <w:t>23,7</w:t>
            </w:r>
          </w:p>
        </w:tc>
        <w:tc>
          <w:tcPr>
            <w:tcW w:w="882" w:type="dxa"/>
            <w:tcBorders>
              <w:bottom w:val="single" w:sz="12" w:space="0" w:color="auto"/>
            </w:tcBorders>
            <w:shd w:val="clear" w:color="auto" w:fill="auto"/>
          </w:tcPr>
          <w:p w:rsidR="00F236D5" w:rsidRPr="002624EE" w:rsidRDefault="00F236D5" w:rsidP="00947046">
            <w:pPr>
              <w:spacing w:before="40" w:after="40" w:line="220" w:lineRule="exact"/>
              <w:jc w:val="right"/>
              <w:rPr>
                <w:sz w:val="18"/>
              </w:rPr>
            </w:pPr>
            <w:r w:rsidRPr="002624EE">
              <w:rPr>
                <w:sz w:val="18"/>
              </w:rPr>
              <w:t>14,6</w:t>
            </w:r>
          </w:p>
        </w:tc>
        <w:tc>
          <w:tcPr>
            <w:tcW w:w="1077" w:type="dxa"/>
            <w:tcBorders>
              <w:bottom w:val="single" w:sz="12" w:space="0" w:color="auto"/>
            </w:tcBorders>
            <w:shd w:val="clear" w:color="auto" w:fill="auto"/>
          </w:tcPr>
          <w:p w:rsidR="00F236D5" w:rsidRPr="002624EE" w:rsidRDefault="00F236D5" w:rsidP="00947046">
            <w:pPr>
              <w:spacing w:before="40" w:after="40" w:line="220" w:lineRule="exact"/>
              <w:jc w:val="right"/>
              <w:rPr>
                <w:sz w:val="18"/>
              </w:rPr>
            </w:pPr>
            <w:r w:rsidRPr="002624EE">
              <w:rPr>
                <w:sz w:val="18"/>
              </w:rPr>
              <w:t>14,5</w:t>
            </w:r>
          </w:p>
        </w:tc>
        <w:tc>
          <w:tcPr>
            <w:tcW w:w="742" w:type="dxa"/>
            <w:tcBorders>
              <w:bottom w:val="single" w:sz="12" w:space="0" w:color="auto"/>
            </w:tcBorders>
            <w:shd w:val="clear" w:color="auto" w:fill="auto"/>
          </w:tcPr>
          <w:p w:rsidR="00F236D5" w:rsidRPr="002624EE" w:rsidRDefault="00F236D5" w:rsidP="00947046">
            <w:pPr>
              <w:spacing w:before="40" w:after="40" w:line="220" w:lineRule="exact"/>
              <w:jc w:val="right"/>
              <w:rPr>
                <w:sz w:val="18"/>
              </w:rPr>
            </w:pPr>
            <w:r w:rsidRPr="002624EE">
              <w:rPr>
                <w:sz w:val="18"/>
              </w:rPr>
              <w:t>11,3</w:t>
            </w:r>
          </w:p>
        </w:tc>
        <w:tc>
          <w:tcPr>
            <w:tcW w:w="1218" w:type="dxa"/>
            <w:tcBorders>
              <w:bottom w:val="single" w:sz="12" w:space="0" w:color="auto"/>
            </w:tcBorders>
            <w:shd w:val="clear" w:color="auto" w:fill="auto"/>
          </w:tcPr>
          <w:p w:rsidR="00F236D5" w:rsidRPr="002624EE" w:rsidRDefault="00F236D5" w:rsidP="00947046">
            <w:pPr>
              <w:spacing w:before="40" w:after="40" w:line="220" w:lineRule="exact"/>
              <w:jc w:val="right"/>
              <w:rPr>
                <w:sz w:val="18"/>
              </w:rPr>
            </w:pPr>
            <w:r w:rsidRPr="002624EE">
              <w:rPr>
                <w:sz w:val="18"/>
              </w:rPr>
              <w:t>9,2</w:t>
            </w:r>
          </w:p>
        </w:tc>
      </w:tr>
    </w:tbl>
    <w:p w:rsidR="00F236D5" w:rsidRPr="002624EE" w:rsidRDefault="00F236D5" w:rsidP="00F236D5">
      <w:pPr>
        <w:pStyle w:val="SingleTxtG"/>
        <w:spacing w:before="120" w:after="240"/>
        <w:ind w:left="1304"/>
        <w:rPr>
          <w:iCs/>
          <w:sz w:val="18"/>
          <w:szCs w:val="18"/>
          <w:lang w:val="es-ES_tradnl"/>
        </w:rPr>
      </w:pPr>
      <w:r w:rsidRPr="002624EE">
        <w:rPr>
          <w:i/>
          <w:iCs/>
          <w:sz w:val="18"/>
          <w:szCs w:val="18"/>
          <w:lang w:val="es-ES_tradnl"/>
        </w:rPr>
        <w:t xml:space="preserve">Fuente: </w:t>
      </w:r>
      <w:r w:rsidRPr="002624EE">
        <w:rPr>
          <w:iCs/>
          <w:sz w:val="18"/>
          <w:szCs w:val="18"/>
          <w:lang w:val="es-ES_tradnl"/>
        </w:rPr>
        <w:t>Ministerio de Salud</w:t>
      </w:r>
      <w:r>
        <w:rPr>
          <w:iCs/>
          <w:sz w:val="18"/>
          <w:szCs w:val="18"/>
          <w:lang w:val="es-ES_tradnl"/>
        </w:rPr>
        <w:t>.</w:t>
      </w:r>
    </w:p>
    <w:p w:rsidR="00F236D5" w:rsidRPr="00201FFB" w:rsidRDefault="00F236D5" w:rsidP="00F236D5">
      <w:pPr>
        <w:pStyle w:val="H4G"/>
      </w:pPr>
      <w:r>
        <w:tab/>
      </w:r>
      <w:r w:rsidRPr="00201FFB">
        <w:t>k)</w:t>
      </w:r>
      <w:r w:rsidRPr="00201FFB">
        <w:tab/>
        <w:t>Abortos</w:t>
      </w:r>
    </w:p>
    <w:p w:rsidR="00F236D5" w:rsidRPr="00201FFB" w:rsidRDefault="00F236D5" w:rsidP="00F236D5">
      <w:pPr>
        <w:pStyle w:val="SingleTxtG"/>
      </w:pPr>
      <w:r w:rsidRPr="00201FFB">
        <w:t>104.</w:t>
      </w:r>
      <w:r w:rsidRPr="00201FFB">
        <w:tab/>
        <w:t>En el ejercicio terminado en diciembre de 2008 se realizaron 17.940 abortos inducidos en Nueva Zelandia, cifra que reflejó una disminución respecto de 2007, en que el número de esos abortos fue de 18.382, y se situó a un nivel similar al de 2006. La tasa de aborto (número de abortos por cada 1.000 mujeres de 14 a 44 años de edad) aumentó de 19,6 en 2006 a 20,1 en 2007, para disminuir a 19,7 en 2008.</w:t>
      </w:r>
    </w:p>
    <w:p w:rsidR="00F236D5" w:rsidRPr="00201FFB" w:rsidRDefault="00F236D5" w:rsidP="00F236D5">
      <w:pPr>
        <w:pStyle w:val="H4G"/>
      </w:pPr>
      <w:r>
        <w:tab/>
      </w:r>
      <w:r w:rsidRPr="00201FFB">
        <w:t>l)</w:t>
      </w:r>
      <w:r w:rsidRPr="00201FFB">
        <w:tab/>
        <w:t>Nutrición y peso</w:t>
      </w:r>
    </w:p>
    <w:p w:rsidR="00F236D5" w:rsidRPr="00201FFB" w:rsidRDefault="00F236D5" w:rsidP="00F236D5">
      <w:pPr>
        <w:pStyle w:val="SingleTxtG"/>
      </w:pPr>
      <w:r w:rsidRPr="00201FFB">
        <w:t>105.</w:t>
      </w:r>
      <w:r w:rsidRPr="00201FFB">
        <w:tab/>
        <w:t>En Nueva Zelandia se realizan encuestas nacionales sobre la nutrición de los adultos o los niños cada cinco años. Los datos utilizados a continuación proceden de la encuesta de adultos de 1997 y la encuesta sobre niños de 2002.</w:t>
      </w:r>
    </w:p>
    <w:p w:rsidR="00F236D5" w:rsidRPr="00201FFB" w:rsidRDefault="00F236D5" w:rsidP="00F236D5">
      <w:pPr>
        <w:pStyle w:val="SingleTxtG"/>
      </w:pPr>
      <w:r w:rsidRPr="00201FFB">
        <w:t>106.</w:t>
      </w:r>
      <w:r w:rsidRPr="00201FFB">
        <w:tab/>
        <w:t>Se estima que la dieta de los neozelandeses (incluidos los adultos y los niños) contiene una proporción suficiente de la mayoría de las vitaminas. Sin embargo, es posible que la ingestión de vitamina A, riboflavina y ácido fólico de los adultos en las zonas más desaventajadas sea deficitaria en comparación con los de zonas menos necesitadas. Entre los adultos, las mujeres más jóvenes tienen con mayor frecuencia déficits de riboflavina y ácido fólico en comparación con las de edad más avanzada.</w:t>
      </w:r>
    </w:p>
    <w:p w:rsidR="00F236D5" w:rsidRPr="00201FFB" w:rsidRDefault="00F236D5" w:rsidP="00F236D5">
      <w:pPr>
        <w:pStyle w:val="SingleTxtG"/>
      </w:pPr>
      <w:r w:rsidRPr="00201FFB">
        <w:t>107.</w:t>
      </w:r>
      <w:r w:rsidRPr="00201FFB">
        <w:tab/>
        <w:t>Se estima asimismo que en general la dieta contiene una cantidad adecuada de minerales, aunque a la luz del desglose por edad o sexo algunos grupos muestran una mayor deficiencia de calcio, hierro, selenio y cinc. El déficit de calcio afectaba especialmente a los adole</w:t>
      </w:r>
      <w:r>
        <w:t>s</w:t>
      </w:r>
      <w:r w:rsidRPr="00201FFB">
        <w:t xml:space="preserve">centes y las mujeres adultas y la ingestión de hierro era un factor preocupante para las mujeres en edad de menstruar de todas las etnias, aunque los exámenes del nivel de hierro en la sangre mostraron que los índices de deficiencia de hierro y anemia eran muy inferiores a lo que podía suponerse a la luz de la cantidad de hierro contenida en la dieta. El grupo de 11 a </w:t>
      </w:r>
      <w:r>
        <w:t>14</w:t>
      </w:r>
      <w:r w:rsidRPr="00201FFB">
        <w:t xml:space="preserve"> años de edad tal vez sea el más vulnerable al déficit de cinc; en cuanto al selenio, su presencia en la dieta suele ser más reducida debido a que en Nueva Zelandia el suelo no es rico en este mineral.</w:t>
      </w:r>
    </w:p>
    <w:p w:rsidR="00F236D5" w:rsidRPr="00201FFB" w:rsidRDefault="00F236D5" w:rsidP="00F236D5">
      <w:pPr>
        <w:pStyle w:val="SingleTxtG"/>
      </w:pPr>
      <w:r w:rsidRPr="00201FFB">
        <w:t>108.</w:t>
      </w:r>
      <w:r w:rsidRPr="00201FFB">
        <w:tab/>
        <w:t xml:space="preserve">Según la Encuesta Nacional sobre la Salud en Nueva Zelandia de 2006-2007, la prevalencia de personas con un peso por debajo del normal se estimó en apenas un 3% de los niños de 2 a 4 años, sin mucha diferencia entre los niños y las niñas. Como en otros países desarrollados, en Nueva Zelandia existe considerablemente más preocupación por la proporción de personas con sobrepeso y por la obesidad infantil que por el número de personas delgadas o con un peso insuficiente. </w:t>
      </w:r>
    </w:p>
    <w:p w:rsidR="00F236D5" w:rsidRPr="00B0169E" w:rsidRDefault="00F236D5" w:rsidP="00F236D5">
      <w:pPr>
        <w:pStyle w:val="H23G"/>
      </w:pPr>
      <w:r>
        <w:tab/>
      </w:r>
      <w:r w:rsidRPr="00201FFB">
        <w:t>15.</w:t>
      </w:r>
      <w:r w:rsidRPr="00201FFB">
        <w:tab/>
        <w:t>Educación</w:t>
      </w:r>
    </w:p>
    <w:p w:rsidR="00F236D5" w:rsidRPr="00201FFB" w:rsidRDefault="00F236D5" w:rsidP="00F236D5">
      <w:pPr>
        <w:pStyle w:val="SingleTxtG"/>
      </w:pPr>
      <w:r w:rsidRPr="00201FFB">
        <w:t>109.</w:t>
      </w:r>
      <w:r w:rsidRPr="00201FFB">
        <w:tab/>
        <w:t>La educación es obligatoria para todas las personas en edad escolar, a saber, entre los 6 y los 16 años. No obstante, los padres de los alumnos que hayan cumplido15 años de edad pueden solicitar al Ministerio de Educación una dispensa de la escolaridad cuando esos estudiantes tengan problemas educativos o de conducta, o pocas probabilidades de sacar provecho de la asistencia a las escuelas a las que tienen acceso. Los padres deben proporcionar información detallada sobre los programas de formación o el empleo que emprendería el estudiante si se le concediera la dispensa.</w:t>
      </w:r>
    </w:p>
    <w:p w:rsidR="00F236D5" w:rsidRPr="004C515E" w:rsidRDefault="00F236D5" w:rsidP="00F236D5">
      <w:pPr>
        <w:pStyle w:val="Heading1"/>
        <w:spacing w:line="240" w:lineRule="atLeast"/>
        <w:rPr>
          <w:szCs w:val="20"/>
          <w:lang w:val="es-ES_tradnl"/>
        </w:rPr>
      </w:pPr>
      <w:r w:rsidRPr="004C515E">
        <w:rPr>
          <w:szCs w:val="20"/>
          <w:lang w:val="es-ES_tradnl"/>
        </w:rPr>
        <w:t>Cuadro 36</w:t>
      </w:r>
    </w:p>
    <w:p w:rsidR="00F236D5" w:rsidRDefault="00F236D5" w:rsidP="00F236D5">
      <w:pPr>
        <w:pStyle w:val="SingleTxtG"/>
        <w:jc w:val="left"/>
        <w:rPr>
          <w:b/>
          <w:bCs/>
          <w:lang w:val="es-ES_tradnl"/>
        </w:rPr>
      </w:pPr>
      <w:r w:rsidRPr="004C515E">
        <w:rPr>
          <w:b/>
          <w:bCs/>
          <w:lang w:val="es-ES_tradnl"/>
        </w:rPr>
        <w:t>Tasas de dispensa escolar por cada 1.000 estudiantes de 15 años de edad,</w:t>
      </w:r>
      <w:r>
        <w:rPr>
          <w:b/>
          <w:bCs/>
          <w:lang w:val="es-ES_tradnl"/>
        </w:rPr>
        <w:br/>
      </w:r>
      <w:r w:rsidRPr="004C515E">
        <w:rPr>
          <w:b/>
          <w:bCs/>
          <w:lang w:val="es-ES_tradnl"/>
        </w:rPr>
        <w:t>desglosadas por grupo étnico, con exclusión de los estudiantes internacionales</w:t>
      </w:r>
      <w:r>
        <w:rPr>
          <w:b/>
          <w:bCs/>
          <w:lang w:val="es-ES_tradnl"/>
        </w:rPr>
        <w:br/>
      </w:r>
      <w:r w:rsidRPr="004C515E">
        <w:rPr>
          <w:b/>
          <w:bCs/>
          <w:lang w:val="es-ES_tradnl"/>
        </w:rPr>
        <w:t>sujetos al pago de derechos de admisión, 2000-2009</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610"/>
        <w:gridCol w:w="576"/>
        <w:gridCol w:w="576"/>
        <w:gridCol w:w="576"/>
        <w:gridCol w:w="576"/>
        <w:gridCol w:w="576"/>
        <w:gridCol w:w="576"/>
        <w:gridCol w:w="576"/>
        <w:gridCol w:w="576"/>
        <w:gridCol w:w="576"/>
        <w:gridCol w:w="576"/>
      </w:tblGrid>
      <w:tr w:rsidR="00F236D5" w:rsidRPr="004363EC" w:rsidTr="00947046">
        <w:tc>
          <w:tcPr>
            <w:tcW w:w="1610" w:type="dxa"/>
            <w:tcBorders>
              <w:top w:val="single" w:sz="4" w:space="0" w:color="auto"/>
              <w:bottom w:val="single" w:sz="12" w:space="0" w:color="auto"/>
            </w:tcBorders>
            <w:shd w:val="clear" w:color="auto" w:fill="auto"/>
            <w:vAlign w:val="bottom"/>
          </w:tcPr>
          <w:p w:rsidR="00F236D5" w:rsidRPr="004363EC" w:rsidRDefault="00F236D5" w:rsidP="00947046">
            <w:pPr>
              <w:pStyle w:val="SingleTxtG"/>
              <w:spacing w:before="80" w:after="80" w:line="200" w:lineRule="exact"/>
              <w:ind w:left="0" w:right="0"/>
              <w:jc w:val="left"/>
              <w:rPr>
                <w:bCs/>
                <w:i/>
                <w:sz w:val="16"/>
                <w:lang w:val="es-ES_tradnl"/>
              </w:rPr>
            </w:pPr>
            <w:r w:rsidRPr="004363EC">
              <w:rPr>
                <w:bCs/>
                <w:i/>
                <w:sz w:val="16"/>
                <w:lang w:val="es-ES_tradnl"/>
              </w:rPr>
              <w:t>Grupo étnico</w:t>
            </w:r>
          </w:p>
        </w:tc>
        <w:tc>
          <w:tcPr>
            <w:tcW w:w="576" w:type="dxa"/>
            <w:tcBorders>
              <w:top w:val="single" w:sz="4" w:space="0" w:color="auto"/>
              <w:bottom w:val="single" w:sz="12" w:space="0" w:color="auto"/>
            </w:tcBorders>
            <w:shd w:val="clear" w:color="auto" w:fill="auto"/>
            <w:vAlign w:val="bottom"/>
          </w:tcPr>
          <w:p w:rsidR="00F236D5" w:rsidRPr="004C515E" w:rsidRDefault="00F236D5" w:rsidP="00947046">
            <w:pPr>
              <w:spacing w:before="80" w:after="80" w:line="200" w:lineRule="exact"/>
              <w:jc w:val="right"/>
              <w:rPr>
                <w:i/>
                <w:sz w:val="16"/>
              </w:rPr>
            </w:pPr>
            <w:r w:rsidRPr="004C515E">
              <w:rPr>
                <w:i/>
                <w:sz w:val="16"/>
              </w:rPr>
              <w:t>2000</w:t>
            </w:r>
          </w:p>
        </w:tc>
        <w:tc>
          <w:tcPr>
            <w:tcW w:w="576" w:type="dxa"/>
            <w:tcBorders>
              <w:top w:val="single" w:sz="4" w:space="0" w:color="auto"/>
              <w:bottom w:val="single" w:sz="12" w:space="0" w:color="auto"/>
            </w:tcBorders>
            <w:shd w:val="clear" w:color="auto" w:fill="auto"/>
            <w:vAlign w:val="bottom"/>
          </w:tcPr>
          <w:p w:rsidR="00F236D5" w:rsidRPr="004C515E" w:rsidRDefault="00F236D5" w:rsidP="00947046">
            <w:pPr>
              <w:spacing w:before="80" w:after="80" w:line="200" w:lineRule="exact"/>
              <w:jc w:val="right"/>
              <w:rPr>
                <w:i/>
                <w:sz w:val="16"/>
              </w:rPr>
            </w:pPr>
            <w:r w:rsidRPr="004C515E">
              <w:rPr>
                <w:i/>
                <w:sz w:val="16"/>
              </w:rPr>
              <w:t>2001</w:t>
            </w:r>
          </w:p>
        </w:tc>
        <w:tc>
          <w:tcPr>
            <w:tcW w:w="576" w:type="dxa"/>
            <w:tcBorders>
              <w:top w:val="single" w:sz="4" w:space="0" w:color="auto"/>
              <w:bottom w:val="single" w:sz="12" w:space="0" w:color="auto"/>
            </w:tcBorders>
            <w:shd w:val="clear" w:color="auto" w:fill="auto"/>
            <w:vAlign w:val="bottom"/>
          </w:tcPr>
          <w:p w:rsidR="00F236D5" w:rsidRPr="004C515E" w:rsidRDefault="00F236D5" w:rsidP="00947046">
            <w:pPr>
              <w:spacing w:before="80" w:after="80" w:line="200" w:lineRule="exact"/>
              <w:jc w:val="right"/>
              <w:rPr>
                <w:i/>
                <w:sz w:val="16"/>
              </w:rPr>
            </w:pPr>
            <w:r w:rsidRPr="004C515E">
              <w:rPr>
                <w:i/>
                <w:sz w:val="16"/>
              </w:rPr>
              <w:t>2002</w:t>
            </w:r>
          </w:p>
        </w:tc>
        <w:tc>
          <w:tcPr>
            <w:tcW w:w="576" w:type="dxa"/>
            <w:tcBorders>
              <w:top w:val="single" w:sz="4" w:space="0" w:color="auto"/>
              <w:bottom w:val="single" w:sz="12" w:space="0" w:color="auto"/>
            </w:tcBorders>
            <w:shd w:val="clear" w:color="auto" w:fill="auto"/>
            <w:vAlign w:val="bottom"/>
          </w:tcPr>
          <w:p w:rsidR="00F236D5" w:rsidRPr="004C515E" w:rsidRDefault="00F236D5" w:rsidP="00947046">
            <w:pPr>
              <w:spacing w:before="80" w:after="80" w:line="200" w:lineRule="exact"/>
              <w:jc w:val="right"/>
              <w:rPr>
                <w:i/>
                <w:sz w:val="16"/>
              </w:rPr>
            </w:pPr>
            <w:r w:rsidRPr="004C515E">
              <w:rPr>
                <w:i/>
                <w:sz w:val="16"/>
              </w:rPr>
              <w:t>2003</w:t>
            </w:r>
          </w:p>
        </w:tc>
        <w:tc>
          <w:tcPr>
            <w:tcW w:w="576" w:type="dxa"/>
            <w:tcBorders>
              <w:top w:val="single" w:sz="4" w:space="0" w:color="auto"/>
              <w:bottom w:val="single" w:sz="12" w:space="0" w:color="auto"/>
            </w:tcBorders>
            <w:shd w:val="clear" w:color="auto" w:fill="auto"/>
            <w:vAlign w:val="bottom"/>
          </w:tcPr>
          <w:p w:rsidR="00F236D5" w:rsidRPr="004C515E" w:rsidRDefault="00F236D5" w:rsidP="00947046">
            <w:pPr>
              <w:spacing w:before="80" w:after="80" w:line="200" w:lineRule="exact"/>
              <w:jc w:val="right"/>
              <w:rPr>
                <w:i/>
                <w:sz w:val="16"/>
              </w:rPr>
            </w:pPr>
            <w:r w:rsidRPr="004C515E">
              <w:rPr>
                <w:i/>
                <w:sz w:val="16"/>
              </w:rPr>
              <w:t>2004</w:t>
            </w:r>
          </w:p>
        </w:tc>
        <w:tc>
          <w:tcPr>
            <w:tcW w:w="576" w:type="dxa"/>
            <w:tcBorders>
              <w:top w:val="single" w:sz="4" w:space="0" w:color="auto"/>
              <w:bottom w:val="single" w:sz="12" w:space="0" w:color="auto"/>
            </w:tcBorders>
            <w:shd w:val="clear" w:color="auto" w:fill="auto"/>
            <w:vAlign w:val="bottom"/>
          </w:tcPr>
          <w:p w:rsidR="00F236D5" w:rsidRPr="004C515E" w:rsidRDefault="00F236D5" w:rsidP="00947046">
            <w:pPr>
              <w:spacing w:before="80" w:after="80" w:line="200" w:lineRule="exact"/>
              <w:jc w:val="right"/>
              <w:rPr>
                <w:i/>
                <w:sz w:val="16"/>
              </w:rPr>
            </w:pPr>
            <w:r w:rsidRPr="004C515E">
              <w:rPr>
                <w:i/>
                <w:sz w:val="16"/>
              </w:rPr>
              <w:t>2005</w:t>
            </w:r>
          </w:p>
        </w:tc>
        <w:tc>
          <w:tcPr>
            <w:tcW w:w="576" w:type="dxa"/>
            <w:tcBorders>
              <w:top w:val="single" w:sz="4" w:space="0" w:color="auto"/>
              <w:bottom w:val="single" w:sz="12" w:space="0" w:color="auto"/>
            </w:tcBorders>
            <w:shd w:val="clear" w:color="auto" w:fill="auto"/>
            <w:vAlign w:val="bottom"/>
          </w:tcPr>
          <w:p w:rsidR="00F236D5" w:rsidRPr="004C515E" w:rsidRDefault="00F236D5" w:rsidP="00947046">
            <w:pPr>
              <w:spacing w:before="80" w:after="80" w:line="200" w:lineRule="exact"/>
              <w:jc w:val="right"/>
              <w:rPr>
                <w:i/>
                <w:sz w:val="16"/>
              </w:rPr>
            </w:pPr>
            <w:r w:rsidRPr="004C515E">
              <w:rPr>
                <w:i/>
                <w:sz w:val="16"/>
              </w:rPr>
              <w:t>2006</w:t>
            </w:r>
          </w:p>
        </w:tc>
        <w:tc>
          <w:tcPr>
            <w:tcW w:w="576" w:type="dxa"/>
            <w:tcBorders>
              <w:top w:val="single" w:sz="4" w:space="0" w:color="auto"/>
              <w:bottom w:val="single" w:sz="12" w:space="0" w:color="auto"/>
            </w:tcBorders>
            <w:shd w:val="clear" w:color="auto" w:fill="auto"/>
            <w:vAlign w:val="bottom"/>
          </w:tcPr>
          <w:p w:rsidR="00F236D5" w:rsidRPr="004C515E" w:rsidRDefault="00F236D5" w:rsidP="00947046">
            <w:pPr>
              <w:spacing w:before="80" w:after="80" w:line="200" w:lineRule="exact"/>
              <w:jc w:val="right"/>
              <w:rPr>
                <w:i/>
                <w:sz w:val="16"/>
              </w:rPr>
            </w:pPr>
            <w:r w:rsidRPr="004C515E">
              <w:rPr>
                <w:i/>
                <w:sz w:val="16"/>
              </w:rPr>
              <w:t>2007</w:t>
            </w:r>
          </w:p>
        </w:tc>
        <w:tc>
          <w:tcPr>
            <w:tcW w:w="576" w:type="dxa"/>
            <w:tcBorders>
              <w:top w:val="single" w:sz="4" w:space="0" w:color="auto"/>
              <w:bottom w:val="single" w:sz="12" w:space="0" w:color="auto"/>
            </w:tcBorders>
            <w:shd w:val="clear" w:color="auto" w:fill="auto"/>
            <w:vAlign w:val="bottom"/>
          </w:tcPr>
          <w:p w:rsidR="00F236D5" w:rsidRPr="004C515E" w:rsidRDefault="00F236D5" w:rsidP="00947046">
            <w:pPr>
              <w:spacing w:before="80" w:after="80" w:line="200" w:lineRule="exact"/>
              <w:jc w:val="right"/>
              <w:rPr>
                <w:i/>
                <w:sz w:val="16"/>
              </w:rPr>
            </w:pPr>
            <w:r w:rsidRPr="004C515E">
              <w:rPr>
                <w:i/>
                <w:sz w:val="16"/>
              </w:rPr>
              <w:t>2008</w:t>
            </w:r>
          </w:p>
        </w:tc>
        <w:tc>
          <w:tcPr>
            <w:tcW w:w="576" w:type="dxa"/>
            <w:tcBorders>
              <w:top w:val="single" w:sz="4" w:space="0" w:color="auto"/>
              <w:bottom w:val="single" w:sz="12" w:space="0" w:color="auto"/>
            </w:tcBorders>
            <w:shd w:val="clear" w:color="auto" w:fill="auto"/>
            <w:vAlign w:val="bottom"/>
          </w:tcPr>
          <w:p w:rsidR="00F236D5" w:rsidRPr="004C515E" w:rsidRDefault="00F236D5" w:rsidP="00947046">
            <w:pPr>
              <w:spacing w:before="80" w:after="80" w:line="200" w:lineRule="exact"/>
              <w:jc w:val="right"/>
              <w:rPr>
                <w:i/>
                <w:sz w:val="16"/>
              </w:rPr>
            </w:pPr>
            <w:r w:rsidRPr="004C515E">
              <w:rPr>
                <w:i/>
                <w:sz w:val="16"/>
              </w:rPr>
              <w:t>2009</w:t>
            </w:r>
          </w:p>
        </w:tc>
      </w:tr>
      <w:tr w:rsidR="00F236D5" w:rsidRPr="004363EC" w:rsidTr="00947046">
        <w:tc>
          <w:tcPr>
            <w:tcW w:w="1610" w:type="dxa"/>
            <w:tcBorders>
              <w:top w:val="single" w:sz="12" w:space="0" w:color="auto"/>
            </w:tcBorders>
            <w:shd w:val="clear" w:color="auto" w:fill="auto"/>
          </w:tcPr>
          <w:p w:rsidR="00F236D5" w:rsidRPr="00211189" w:rsidRDefault="00F236D5" w:rsidP="00947046">
            <w:pPr>
              <w:spacing w:before="40" w:after="40" w:line="220" w:lineRule="exact"/>
              <w:rPr>
                <w:sz w:val="18"/>
              </w:rPr>
            </w:pPr>
            <w:r>
              <w:rPr>
                <w:sz w:val="18"/>
              </w:rPr>
              <w:t>Maorí</w:t>
            </w:r>
          </w:p>
        </w:tc>
        <w:tc>
          <w:tcPr>
            <w:tcW w:w="576" w:type="dxa"/>
            <w:tcBorders>
              <w:top w:val="single" w:sz="12"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134</w:t>
            </w:r>
            <w:r>
              <w:rPr>
                <w:sz w:val="18"/>
              </w:rPr>
              <w:t>,</w:t>
            </w:r>
            <w:r w:rsidRPr="00211189">
              <w:rPr>
                <w:sz w:val="18"/>
              </w:rPr>
              <w:t>2</w:t>
            </w:r>
          </w:p>
        </w:tc>
        <w:tc>
          <w:tcPr>
            <w:tcW w:w="576" w:type="dxa"/>
            <w:tcBorders>
              <w:top w:val="single" w:sz="12"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139</w:t>
            </w:r>
            <w:r>
              <w:rPr>
                <w:sz w:val="18"/>
              </w:rPr>
              <w:t>,</w:t>
            </w:r>
            <w:r w:rsidRPr="00211189">
              <w:rPr>
                <w:sz w:val="18"/>
              </w:rPr>
              <w:t>6</w:t>
            </w:r>
          </w:p>
        </w:tc>
        <w:tc>
          <w:tcPr>
            <w:tcW w:w="576" w:type="dxa"/>
            <w:tcBorders>
              <w:top w:val="single" w:sz="12"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151</w:t>
            </w:r>
            <w:r>
              <w:rPr>
                <w:sz w:val="18"/>
              </w:rPr>
              <w:t>,</w:t>
            </w:r>
            <w:r w:rsidRPr="00211189">
              <w:rPr>
                <w:sz w:val="18"/>
              </w:rPr>
              <w:t>5</w:t>
            </w:r>
          </w:p>
        </w:tc>
        <w:tc>
          <w:tcPr>
            <w:tcW w:w="576" w:type="dxa"/>
            <w:tcBorders>
              <w:top w:val="single" w:sz="12"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153</w:t>
            </w:r>
            <w:r>
              <w:rPr>
                <w:sz w:val="18"/>
              </w:rPr>
              <w:t>,</w:t>
            </w:r>
            <w:r w:rsidRPr="00211189">
              <w:rPr>
                <w:sz w:val="18"/>
              </w:rPr>
              <w:t>4</w:t>
            </w:r>
          </w:p>
        </w:tc>
        <w:tc>
          <w:tcPr>
            <w:tcW w:w="576" w:type="dxa"/>
            <w:tcBorders>
              <w:top w:val="single" w:sz="12"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138</w:t>
            </w:r>
            <w:r>
              <w:rPr>
                <w:sz w:val="18"/>
              </w:rPr>
              <w:t>,</w:t>
            </w:r>
            <w:r w:rsidRPr="00211189">
              <w:rPr>
                <w:sz w:val="18"/>
              </w:rPr>
              <w:t>7</w:t>
            </w:r>
          </w:p>
        </w:tc>
        <w:tc>
          <w:tcPr>
            <w:tcW w:w="576" w:type="dxa"/>
            <w:tcBorders>
              <w:top w:val="single" w:sz="12"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156</w:t>
            </w:r>
            <w:r>
              <w:rPr>
                <w:sz w:val="18"/>
              </w:rPr>
              <w:t>,</w:t>
            </w:r>
            <w:r w:rsidRPr="00211189">
              <w:rPr>
                <w:sz w:val="18"/>
              </w:rPr>
              <w:t>9</w:t>
            </w:r>
          </w:p>
        </w:tc>
        <w:tc>
          <w:tcPr>
            <w:tcW w:w="576" w:type="dxa"/>
            <w:tcBorders>
              <w:top w:val="single" w:sz="12"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150</w:t>
            </w:r>
            <w:r>
              <w:rPr>
                <w:sz w:val="18"/>
              </w:rPr>
              <w:t>,</w:t>
            </w:r>
            <w:r w:rsidRPr="00211189">
              <w:rPr>
                <w:sz w:val="18"/>
              </w:rPr>
              <w:t>5</w:t>
            </w:r>
          </w:p>
        </w:tc>
        <w:tc>
          <w:tcPr>
            <w:tcW w:w="576" w:type="dxa"/>
            <w:tcBorders>
              <w:top w:val="single" w:sz="12"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73</w:t>
            </w:r>
            <w:r>
              <w:rPr>
                <w:sz w:val="18"/>
              </w:rPr>
              <w:t>,</w:t>
            </w:r>
            <w:r w:rsidRPr="00211189">
              <w:rPr>
                <w:sz w:val="18"/>
              </w:rPr>
              <w:t>3</w:t>
            </w:r>
          </w:p>
        </w:tc>
        <w:tc>
          <w:tcPr>
            <w:tcW w:w="576" w:type="dxa"/>
            <w:tcBorders>
              <w:top w:val="single" w:sz="12"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25</w:t>
            </w:r>
            <w:r>
              <w:rPr>
                <w:sz w:val="18"/>
              </w:rPr>
              <w:t>,</w:t>
            </w:r>
            <w:r w:rsidRPr="00211189">
              <w:rPr>
                <w:sz w:val="18"/>
              </w:rPr>
              <w:t>1</w:t>
            </w:r>
          </w:p>
        </w:tc>
        <w:tc>
          <w:tcPr>
            <w:tcW w:w="576" w:type="dxa"/>
            <w:tcBorders>
              <w:top w:val="single" w:sz="12"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21</w:t>
            </w:r>
            <w:r>
              <w:rPr>
                <w:sz w:val="18"/>
              </w:rPr>
              <w:t>,</w:t>
            </w:r>
            <w:r w:rsidRPr="00211189">
              <w:rPr>
                <w:sz w:val="18"/>
              </w:rPr>
              <w:t>2</w:t>
            </w:r>
          </w:p>
        </w:tc>
      </w:tr>
      <w:tr w:rsidR="00F236D5" w:rsidRPr="004363EC" w:rsidTr="00947046">
        <w:tc>
          <w:tcPr>
            <w:tcW w:w="1610" w:type="dxa"/>
            <w:shd w:val="clear" w:color="auto" w:fill="auto"/>
          </w:tcPr>
          <w:p w:rsidR="00F236D5" w:rsidRPr="00211189" w:rsidRDefault="00F236D5" w:rsidP="00947046">
            <w:pPr>
              <w:spacing w:before="40" w:after="40" w:line="220" w:lineRule="exact"/>
              <w:rPr>
                <w:sz w:val="18"/>
              </w:rPr>
            </w:pPr>
            <w:r>
              <w:rPr>
                <w:sz w:val="18"/>
              </w:rPr>
              <w:t>Pueblos del Pacífico</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54</w:t>
            </w:r>
            <w:r>
              <w:rPr>
                <w:sz w:val="18"/>
              </w:rPr>
              <w:t>,</w:t>
            </w:r>
            <w:r w:rsidRPr="00211189">
              <w:rPr>
                <w:sz w:val="18"/>
              </w:rPr>
              <w:t>9</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48</w:t>
            </w:r>
            <w:r>
              <w:rPr>
                <w:sz w:val="18"/>
              </w:rPr>
              <w:t>,</w:t>
            </w:r>
            <w:r w:rsidRPr="00211189">
              <w:rPr>
                <w:sz w:val="18"/>
              </w:rPr>
              <w:t>3</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52</w:t>
            </w:r>
            <w:r>
              <w:rPr>
                <w:sz w:val="18"/>
              </w:rPr>
              <w:t>,</w:t>
            </w:r>
            <w:r w:rsidRPr="00211189">
              <w:rPr>
                <w:sz w:val="18"/>
              </w:rPr>
              <w:t>4</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58</w:t>
            </w:r>
            <w:r>
              <w:rPr>
                <w:sz w:val="18"/>
              </w:rPr>
              <w:t>,</w:t>
            </w:r>
            <w:r w:rsidRPr="00211189">
              <w:rPr>
                <w:sz w:val="18"/>
              </w:rPr>
              <w:t>4</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54</w:t>
            </w:r>
            <w:r>
              <w:rPr>
                <w:sz w:val="18"/>
              </w:rPr>
              <w:t>,</w:t>
            </w:r>
            <w:r w:rsidRPr="00211189">
              <w:rPr>
                <w:sz w:val="18"/>
              </w:rPr>
              <w:t>0</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62</w:t>
            </w:r>
            <w:r>
              <w:rPr>
                <w:sz w:val="18"/>
              </w:rPr>
              <w:t>,</w:t>
            </w:r>
            <w:r w:rsidRPr="00211189">
              <w:rPr>
                <w:sz w:val="18"/>
              </w:rPr>
              <w:t>7</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54</w:t>
            </w:r>
            <w:r>
              <w:rPr>
                <w:sz w:val="18"/>
              </w:rPr>
              <w:t>,</w:t>
            </w:r>
            <w:r w:rsidRPr="00211189">
              <w:rPr>
                <w:sz w:val="18"/>
              </w:rPr>
              <w:t>3</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32</w:t>
            </w:r>
            <w:r>
              <w:rPr>
                <w:sz w:val="18"/>
              </w:rPr>
              <w:t>,</w:t>
            </w:r>
            <w:r w:rsidRPr="00211189">
              <w:rPr>
                <w:sz w:val="18"/>
              </w:rPr>
              <w:t>6</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6</w:t>
            </w:r>
            <w:r>
              <w:rPr>
                <w:sz w:val="18"/>
              </w:rPr>
              <w:t>,</w:t>
            </w:r>
            <w:r w:rsidRPr="00211189">
              <w:rPr>
                <w:sz w:val="18"/>
              </w:rPr>
              <w:t>7</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5</w:t>
            </w:r>
            <w:r>
              <w:rPr>
                <w:sz w:val="18"/>
              </w:rPr>
              <w:t>,</w:t>
            </w:r>
            <w:r w:rsidRPr="00211189">
              <w:rPr>
                <w:sz w:val="18"/>
              </w:rPr>
              <w:t>7</w:t>
            </w:r>
          </w:p>
        </w:tc>
      </w:tr>
      <w:tr w:rsidR="00F236D5" w:rsidRPr="004363EC" w:rsidTr="00947046">
        <w:tc>
          <w:tcPr>
            <w:tcW w:w="1610" w:type="dxa"/>
            <w:shd w:val="clear" w:color="auto" w:fill="auto"/>
          </w:tcPr>
          <w:p w:rsidR="00F236D5" w:rsidRPr="00211189" w:rsidRDefault="00F236D5" w:rsidP="00947046">
            <w:pPr>
              <w:spacing w:before="40" w:after="40" w:line="220" w:lineRule="exact"/>
              <w:rPr>
                <w:sz w:val="18"/>
              </w:rPr>
            </w:pPr>
            <w:r>
              <w:rPr>
                <w:sz w:val="18"/>
              </w:rPr>
              <w:t>Asiático</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5</w:t>
            </w:r>
            <w:r>
              <w:rPr>
                <w:sz w:val="18"/>
              </w:rPr>
              <w:t>,</w:t>
            </w:r>
            <w:r w:rsidRPr="00211189">
              <w:rPr>
                <w:sz w:val="18"/>
              </w:rPr>
              <w:t>1</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4</w:t>
            </w:r>
            <w:r>
              <w:rPr>
                <w:sz w:val="18"/>
              </w:rPr>
              <w:t>,</w:t>
            </w:r>
            <w:r w:rsidRPr="00211189">
              <w:rPr>
                <w:sz w:val="18"/>
              </w:rPr>
              <w:t>7</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6</w:t>
            </w:r>
            <w:r>
              <w:rPr>
                <w:sz w:val="18"/>
              </w:rPr>
              <w:t>,</w:t>
            </w:r>
            <w:r w:rsidRPr="00211189">
              <w:rPr>
                <w:sz w:val="18"/>
              </w:rPr>
              <w:t>0</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3</w:t>
            </w:r>
            <w:r>
              <w:rPr>
                <w:sz w:val="18"/>
              </w:rPr>
              <w:t>,</w:t>
            </w:r>
            <w:r w:rsidRPr="00211189">
              <w:rPr>
                <w:sz w:val="18"/>
              </w:rPr>
              <w:t>9</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5</w:t>
            </w:r>
            <w:r>
              <w:rPr>
                <w:sz w:val="18"/>
              </w:rPr>
              <w:t>,</w:t>
            </w:r>
            <w:r w:rsidRPr="00211189">
              <w:rPr>
                <w:sz w:val="18"/>
              </w:rPr>
              <w:t>1</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3</w:t>
            </w:r>
            <w:r>
              <w:rPr>
                <w:sz w:val="18"/>
              </w:rPr>
              <w:t>,</w:t>
            </w:r>
            <w:r w:rsidRPr="00211189">
              <w:rPr>
                <w:sz w:val="18"/>
              </w:rPr>
              <w:t>9</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5</w:t>
            </w:r>
            <w:r>
              <w:rPr>
                <w:sz w:val="18"/>
              </w:rPr>
              <w:t>,</w:t>
            </w:r>
            <w:r w:rsidRPr="00211189">
              <w:rPr>
                <w:sz w:val="18"/>
              </w:rPr>
              <w:t>1</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1</w:t>
            </w:r>
            <w:r>
              <w:rPr>
                <w:sz w:val="18"/>
              </w:rPr>
              <w:t>,</w:t>
            </w:r>
            <w:r w:rsidRPr="00211189">
              <w:rPr>
                <w:sz w:val="18"/>
              </w:rPr>
              <w:t>5</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x</w:t>
            </w:r>
          </w:p>
        </w:tc>
        <w:tc>
          <w:tcPr>
            <w:tcW w:w="576" w:type="dxa"/>
            <w:shd w:val="clear" w:color="auto" w:fill="auto"/>
            <w:vAlign w:val="bottom"/>
          </w:tcPr>
          <w:p w:rsidR="00F236D5" w:rsidRPr="00211189" w:rsidRDefault="00F236D5" w:rsidP="00947046">
            <w:pPr>
              <w:spacing w:before="40" w:after="40" w:line="220" w:lineRule="exact"/>
              <w:jc w:val="right"/>
              <w:rPr>
                <w:sz w:val="18"/>
              </w:rPr>
            </w:pPr>
            <w:r w:rsidRPr="00211189">
              <w:rPr>
                <w:sz w:val="18"/>
              </w:rPr>
              <w:t>x</w:t>
            </w:r>
          </w:p>
        </w:tc>
      </w:tr>
      <w:tr w:rsidR="00F236D5" w:rsidRPr="004363EC" w:rsidTr="00947046">
        <w:tc>
          <w:tcPr>
            <w:tcW w:w="1610" w:type="dxa"/>
            <w:tcBorders>
              <w:bottom w:val="single" w:sz="4" w:space="0" w:color="auto"/>
            </w:tcBorders>
            <w:shd w:val="clear" w:color="auto" w:fill="auto"/>
          </w:tcPr>
          <w:p w:rsidR="00F236D5" w:rsidRPr="00211189" w:rsidRDefault="00F236D5" w:rsidP="00947046">
            <w:pPr>
              <w:spacing w:before="40" w:after="40" w:line="220" w:lineRule="exact"/>
              <w:rPr>
                <w:sz w:val="18"/>
              </w:rPr>
            </w:pPr>
            <w:r w:rsidRPr="00211189">
              <w:rPr>
                <w:sz w:val="18"/>
              </w:rPr>
              <w:t>Europe</w:t>
            </w:r>
            <w:r>
              <w:rPr>
                <w:sz w:val="18"/>
              </w:rPr>
              <w:t>o</w:t>
            </w:r>
            <w:r w:rsidRPr="00211189">
              <w:rPr>
                <w:sz w:val="18"/>
              </w:rPr>
              <w:t>/P</w:t>
            </w:r>
            <w:r>
              <w:rPr>
                <w:sz w:val="18"/>
              </w:rPr>
              <w:t>a</w:t>
            </w:r>
            <w:r w:rsidRPr="00211189">
              <w:rPr>
                <w:sz w:val="18"/>
              </w:rPr>
              <w:t>keh</w:t>
            </w:r>
            <w:r>
              <w:rPr>
                <w:sz w:val="18"/>
              </w:rPr>
              <w:t>a</w:t>
            </w:r>
          </w:p>
        </w:tc>
        <w:tc>
          <w:tcPr>
            <w:tcW w:w="576" w:type="dxa"/>
            <w:tcBorders>
              <w:bottom w:val="single" w:sz="4"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48</w:t>
            </w:r>
            <w:r>
              <w:rPr>
                <w:sz w:val="18"/>
              </w:rPr>
              <w:t>,</w:t>
            </w:r>
            <w:r w:rsidRPr="00211189">
              <w:rPr>
                <w:sz w:val="18"/>
              </w:rPr>
              <w:t>6</w:t>
            </w:r>
          </w:p>
        </w:tc>
        <w:tc>
          <w:tcPr>
            <w:tcW w:w="576" w:type="dxa"/>
            <w:tcBorders>
              <w:bottom w:val="single" w:sz="4"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53</w:t>
            </w:r>
            <w:r>
              <w:rPr>
                <w:sz w:val="18"/>
              </w:rPr>
              <w:t>,</w:t>
            </w:r>
            <w:r w:rsidRPr="00211189">
              <w:rPr>
                <w:sz w:val="18"/>
              </w:rPr>
              <w:t>9</w:t>
            </w:r>
          </w:p>
        </w:tc>
        <w:tc>
          <w:tcPr>
            <w:tcW w:w="576" w:type="dxa"/>
            <w:tcBorders>
              <w:bottom w:val="single" w:sz="4"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55</w:t>
            </w:r>
            <w:r>
              <w:rPr>
                <w:sz w:val="18"/>
              </w:rPr>
              <w:t>,</w:t>
            </w:r>
            <w:r w:rsidRPr="00211189">
              <w:rPr>
                <w:sz w:val="18"/>
              </w:rPr>
              <w:t>3</w:t>
            </w:r>
          </w:p>
        </w:tc>
        <w:tc>
          <w:tcPr>
            <w:tcW w:w="576" w:type="dxa"/>
            <w:tcBorders>
              <w:bottom w:val="single" w:sz="4"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53</w:t>
            </w:r>
            <w:r>
              <w:rPr>
                <w:sz w:val="18"/>
              </w:rPr>
              <w:t>,</w:t>
            </w:r>
            <w:r w:rsidRPr="00211189">
              <w:rPr>
                <w:sz w:val="18"/>
              </w:rPr>
              <w:t>8</w:t>
            </w:r>
          </w:p>
        </w:tc>
        <w:tc>
          <w:tcPr>
            <w:tcW w:w="576" w:type="dxa"/>
            <w:tcBorders>
              <w:bottom w:val="single" w:sz="4"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55</w:t>
            </w:r>
            <w:r>
              <w:rPr>
                <w:sz w:val="18"/>
              </w:rPr>
              <w:t>,</w:t>
            </w:r>
            <w:r w:rsidRPr="00211189">
              <w:rPr>
                <w:sz w:val="18"/>
              </w:rPr>
              <w:t>7</w:t>
            </w:r>
          </w:p>
        </w:tc>
        <w:tc>
          <w:tcPr>
            <w:tcW w:w="576" w:type="dxa"/>
            <w:tcBorders>
              <w:bottom w:val="single" w:sz="4"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54</w:t>
            </w:r>
            <w:r>
              <w:rPr>
                <w:sz w:val="18"/>
              </w:rPr>
              <w:t>,</w:t>
            </w:r>
            <w:r w:rsidRPr="00211189">
              <w:rPr>
                <w:sz w:val="18"/>
              </w:rPr>
              <w:t>9</w:t>
            </w:r>
          </w:p>
        </w:tc>
        <w:tc>
          <w:tcPr>
            <w:tcW w:w="576" w:type="dxa"/>
            <w:tcBorders>
              <w:bottom w:val="single" w:sz="4"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48</w:t>
            </w:r>
            <w:r>
              <w:rPr>
                <w:sz w:val="18"/>
              </w:rPr>
              <w:t>,</w:t>
            </w:r>
            <w:r w:rsidRPr="00211189">
              <w:rPr>
                <w:sz w:val="18"/>
              </w:rPr>
              <w:t>8</w:t>
            </w:r>
          </w:p>
        </w:tc>
        <w:tc>
          <w:tcPr>
            <w:tcW w:w="576" w:type="dxa"/>
            <w:tcBorders>
              <w:bottom w:val="single" w:sz="4"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23</w:t>
            </w:r>
            <w:r>
              <w:rPr>
                <w:sz w:val="18"/>
              </w:rPr>
              <w:t>,</w:t>
            </w:r>
            <w:r w:rsidRPr="00211189">
              <w:rPr>
                <w:sz w:val="18"/>
              </w:rPr>
              <w:t>2</w:t>
            </w:r>
          </w:p>
        </w:tc>
        <w:tc>
          <w:tcPr>
            <w:tcW w:w="576" w:type="dxa"/>
            <w:tcBorders>
              <w:bottom w:val="single" w:sz="4"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8</w:t>
            </w:r>
            <w:r>
              <w:rPr>
                <w:sz w:val="18"/>
              </w:rPr>
              <w:t>,</w:t>
            </w:r>
            <w:r w:rsidRPr="00211189">
              <w:rPr>
                <w:sz w:val="18"/>
              </w:rPr>
              <w:t>3</w:t>
            </w:r>
          </w:p>
        </w:tc>
        <w:tc>
          <w:tcPr>
            <w:tcW w:w="576" w:type="dxa"/>
            <w:tcBorders>
              <w:bottom w:val="single" w:sz="4" w:space="0" w:color="auto"/>
            </w:tcBorders>
            <w:shd w:val="clear" w:color="auto" w:fill="auto"/>
            <w:vAlign w:val="bottom"/>
          </w:tcPr>
          <w:p w:rsidR="00F236D5" w:rsidRPr="00211189" w:rsidRDefault="00F236D5" w:rsidP="00947046">
            <w:pPr>
              <w:spacing w:before="40" w:after="40" w:line="220" w:lineRule="exact"/>
              <w:jc w:val="right"/>
              <w:rPr>
                <w:sz w:val="18"/>
              </w:rPr>
            </w:pPr>
            <w:r w:rsidRPr="00211189">
              <w:rPr>
                <w:sz w:val="18"/>
              </w:rPr>
              <w:t>7</w:t>
            </w:r>
            <w:r>
              <w:rPr>
                <w:sz w:val="18"/>
              </w:rPr>
              <w:t>,</w:t>
            </w:r>
            <w:r w:rsidRPr="00211189">
              <w:rPr>
                <w:sz w:val="18"/>
              </w:rPr>
              <w:t>6</w:t>
            </w:r>
          </w:p>
        </w:tc>
      </w:tr>
      <w:tr w:rsidR="00F236D5" w:rsidRPr="004363EC" w:rsidTr="00947046">
        <w:tc>
          <w:tcPr>
            <w:tcW w:w="1610" w:type="dxa"/>
            <w:tcBorders>
              <w:top w:val="single" w:sz="4" w:space="0" w:color="auto"/>
              <w:bottom w:val="single" w:sz="12" w:space="0" w:color="auto"/>
            </w:tcBorders>
            <w:shd w:val="clear" w:color="auto" w:fill="auto"/>
            <w:vAlign w:val="bottom"/>
          </w:tcPr>
          <w:p w:rsidR="00F236D5" w:rsidRPr="004363EC" w:rsidRDefault="00F236D5" w:rsidP="00947046">
            <w:pPr>
              <w:pStyle w:val="XLargeG"/>
              <w:spacing w:before="80" w:after="80" w:line="220" w:lineRule="exact"/>
              <w:ind w:left="284" w:right="0"/>
              <w:rPr>
                <w:b w:val="0"/>
                <w:bCs/>
                <w:sz w:val="18"/>
                <w:lang w:val="es-ES_tradnl"/>
              </w:rPr>
            </w:pPr>
            <w:r w:rsidRPr="007103EB">
              <w:rPr>
                <w:sz w:val="18"/>
                <w:lang w:val="es-ES_tradnl"/>
              </w:rPr>
              <w:t>Total</w:t>
            </w:r>
          </w:p>
        </w:tc>
        <w:tc>
          <w:tcPr>
            <w:tcW w:w="576" w:type="dxa"/>
            <w:tcBorders>
              <w:top w:val="single" w:sz="4" w:space="0" w:color="auto"/>
              <w:bottom w:val="single" w:sz="12" w:space="0" w:color="auto"/>
            </w:tcBorders>
            <w:shd w:val="clear" w:color="auto" w:fill="auto"/>
            <w:vAlign w:val="bottom"/>
          </w:tcPr>
          <w:p w:rsidR="00F236D5" w:rsidRPr="004363EC" w:rsidRDefault="00F236D5" w:rsidP="00947046">
            <w:pPr>
              <w:spacing w:before="80" w:after="80" w:line="220" w:lineRule="exact"/>
              <w:jc w:val="right"/>
              <w:rPr>
                <w:b/>
                <w:sz w:val="18"/>
              </w:rPr>
            </w:pPr>
            <w:r w:rsidRPr="004363EC">
              <w:rPr>
                <w:b/>
                <w:sz w:val="18"/>
              </w:rPr>
              <w:t>63</w:t>
            </w:r>
            <w:r>
              <w:rPr>
                <w:b/>
                <w:sz w:val="18"/>
              </w:rPr>
              <w:t>,</w:t>
            </w:r>
            <w:r w:rsidRPr="004363EC">
              <w:rPr>
                <w:b/>
                <w:sz w:val="18"/>
              </w:rPr>
              <w:t>4</w:t>
            </w:r>
          </w:p>
        </w:tc>
        <w:tc>
          <w:tcPr>
            <w:tcW w:w="576" w:type="dxa"/>
            <w:tcBorders>
              <w:top w:val="single" w:sz="4" w:space="0" w:color="auto"/>
              <w:bottom w:val="single" w:sz="12" w:space="0" w:color="auto"/>
            </w:tcBorders>
            <w:shd w:val="clear" w:color="auto" w:fill="auto"/>
            <w:vAlign w:val="bottom"/>
          </w:tcPr>
          <w:p w:rsidR="00F236D5" w:rsidRPr="004363EC" w:rsidRDefault="00F236D5" w:rsidP="00947046">
            <w:pPr>
              <w:spacing w:before="80" w:after="80" w:line="220" w:lineRule="exact"/>
              <w:jc w:val="right"/>
              <w:rPr>
                <w:b/>
                <w:sz w:val="18"/>
              </w:rPr>
            </w:pPr>
            <w:r w:rsidRPr="004363EC">
              <w:rPr>
                <w:b/>
                <w:sz w:val="18"/>
              </w:rPr>
              <w:t>66</w:t>
            </w:r>
            <w:r>
              <w:rPr>
                <w:b/>
                <w:sz w:val="18"/>
              </w:rPr>
              <w:t>,</w:t>
            </w:r>
            <w:r w:rsidRPr="004363EC">
              <w:rPr>
                <w:b/>
                <w:sz w:val="18"/>
              </w:rPr>
              <w:t>4</w:t>
            </w:r>
          </w:p>
        </w:tc>
        <w:tc>
          <w:tcPr>
            <w:tcW w:w="576" w:type="dxa"/>
            <w:tcBorders>
              <w:top w:val="single" w:sz="4" w:space="0" w:color="auto"/>
              <w:bottom w:val="single" w:sz="12" w:space="0" w:color="auto"/>
            </w:tcBorders>
            <w:shd w:val="clear" w:color="auto" w:fill="auto"/>
            <w:vAlign w:val="bottom"/>
          </w:tcPr>
          <w:p w:rsidR="00F236D5" w:rsidRPr="004363EC" w:rsidRDefault="00F236D5" w:rsidP="00947046">
            <w:pPr>
              <w:spacing w:before="80" w:after="80" w:line="220" w:lineRule="exact"/>
              <w:jc w:val="right"/>
              <w:rPr>
                <w:b/>
                <w:sz w:val="18"/>
              </w:rPr>
            </w:pPr>
            <w:r w:rsidRPr="004363EC">
              <w:rPr>
                <w:b/>
                <w:sz w:val="18"/>
              </w:rPr>
              <w:t>69</w:t>
            </w:r>
            <w:r>
              <w:rPr>
                <w:b/>
                <w:sz w:val="18"/>
              </w:rPr>
              <w:t>,</w:t>
            </w:r>
            <w:r w:rsidRPr="004363EC">
              <w:rPr>
                <w:b/>
                <w:sz w:val="18"/>
              </w:rPr>
              <w:t>8</w:t>
            </w:r>
          </w:p>
        </w:tc>
        <w:tc>
          <w:tcPr>
            <w:tcW w:w="576" w:type="dxa"/>
            <w:tcBorders>
              <w:top w:val="single" w:sz="4" w:space="0" w:color="auto"/>
              <w:bottom w:val="single" w:sz="12" w:space="0" w:color="auto"/>
            </w:tcBorders>
            <w:shd w:val="clear" w:color="auto" w:fill="auto"/>
            <w:vAlign w:val="bottom"/>
          </w:tcPr>
          <w:p w:rsidR="00F236D5" w:rsidRPr="004363EC" w:rsidRDefault="00F236D5" w:rsidP="00947046">
            <w:pPr>
              <w:spacing w:before="80" w:after="80" w:line="220" w:lineRule="exact"/>
              <w:jc w:val="right"/>
              <w:rPr>
                <w:b/>
                <w:sz w:val="18"/>
              </w:rPr>
            </w:pPr>
            <w:r w:rsidRPr="004363EC">
              <w:rPr>
                <w:b/>
                <w:sz w:val="18"/>
              </w:rPr>
              <w:t>68</w:t>
            </w:r>
            <w:r>
              <w:rPr>
                <w:b/>
                <w:sz w:val="18"/>
              </w:rPr>
              <w:t>,</w:t>
            </w:r>
            <w:r w:rsidRPr="004363EC">
              <w:rPr>
                <w:b/>
                <w:sz w:val="18"/>
              </w:rPr>
              <w:t>9</w:t>
            </w:r>
          </w:p>
        </w:tc>
        <w:tc>
          <w:tcPr>
            <w:tcW w:w="576" w:type="dxa"/>
            <w:tcBorders>
              <w:top w:val="single" w:sz="4" w:space="0" w:color="auto"/>
              <w:bottom w:val="single" w:sz="12" w:space="0" w:color="auto"/>
            </w:tcBorders>
            <w:shd w:val="clear" w:color="auto" w:fill="auto"/>
            <w:vAlign w:val="bottom"/>
          </w:tcPr>
          <w:p w:rsidR="00F236D5" w:rsidRPr="004363EC" w:rsidRDefault="00F236D5" w:rsidP="00947046">
            <w:pPr>
              <w:spacing w:before="80" w:after="80" w:line="220" w:lineRule="exact"/>
              <w:jc w:val="right"/>
              <w:rPr>
                <w:b/>
                <w:sz w:val="18"/>
              </w:rPr>
            </w:pPr>
            <w:r w:rsidRPr="004363EC">
              <w:rPr>
                <w:b/>
                <w:sz w:val="18"/>
              </w:rPr>
              <w:t>67</w:t>
            </w:r>
            <w:r>
              <w:rPr>
                <w:b/>
                <w:sz w:val="18"/>
              </w:rPr>
              <w:t>,</w:t>
            </w:r>
            <w:r w:rsidRPr="004363EC">
              <w:rPr>
                <w:b/>
                <w:sz w:val="18"/>
              </w:rPr>
              <w:t>3</w:t>
            </w:r>
          </w:p>
        </w:tc>
        <w:tc>
          <w:tcPr>
            <w:tcW w:w="576" w:type="dxa"/>
            <w:tcBorders>
              <w:top w:val="single" w:sz="4" w:space="0" w:color="auto"/>
              <w:bottom w:val="single" w:sz="12" w:space="0" w:color="auto"/>
            </w:tcBorders>
            <w:shd w:val="clear" w:color="auto" w:fill="auto"/>
            <w:vAlign w:val="bottom"/>
          </w:tcPr>
          <w:p w:rsidR="00F236D5" w:rsidRPr="004363EC" w:rsidRDefault="00F236D5" w:rsidP="00947046">
            <w:pPr>
              <w:spacing w:before="80" w:after="80" w:line="220" w:lineRule="exact"/>
              <w:jc w:val="right"/>
              <w:rPr>
                <w:b/>
                <w:sz w:val="18"/>
              </w:rPr>
            </w:pPr>
            <w:r w:rsidRPr="004363EC">
              <w:rPr>
                <w:b/>
                <w:sz w:val="18"/>
              </w:rPr>
              <w:t>71</w:t>
            </w:r>
            <w:r>
              <w:rPr>
                <w:b/>
                <w:sz w:val="18"/>
              </w:rPr>
              <w:t>,</w:t>
            </w:r>
            <w:r w:rsidRPr="004363EC">
              <w:rPr>
                <w:b/>
                <w:sz w:val="18"/>
              </w:rPr>
              <w:t>1</w:t>
            </w:r>
          </w:p>
        </w:tc>
        <w:tc>
          <w:tcPr>
            <w:tcW w:w="576" w:type="dxa"/>
            <w:tcBorders>
              <w:top w:val="single" w:sz="4" w:space="0" w:color="auto"/>
              <w:bottom w:val="single" w:sz="12" w:space="0" w:color="auto"/>
            </w:tcBorders>
            <w:shd w:val="clear" w:color="auto" w:fill="auto"/>
            <w:vAlign w:val="bottom"/>
          </w:tcPr>
          <w:p w:rsidR="00F236D5" w:rsidRPr="004363EC" w:rsidRDefault="00F236D5" w:rsidP="00947046">
            <w:pPr>
              <w:spacing w:before="80" w:after="80" w:line="220" w:lineRule="exact"/>
              <w:jc w:val="right"/>
              <w:rPr>
                <w:b/>
                <w:sz w:val="18"/>
              </w:rPr>
            </w:pPr>
            <w:r w:rsidRPr="004363EC">
              <w:rPr>
                <w:b/>
                <w:sz w:val="18"/>
              </w:rPr>
              <w:t>65</w:t>
            </w:r>
            <w:r>
              <w:rPr>
                <w:b/>
                <w:sz w:val="18"/>
              </w:rPr>
              <w:t>,</w:t>
            </w:r>
            <w:r w:rsidRPr="004363EC">
              <w:rPr>
                <w:b/>
                <w:sz w:val="18"/>
              </w:rPr>
              <w:t>3</w:t>
            </w:r>
          </w:p>
        </w:tc>
        <w:tc>
          <w:tcPr>
            <w:tcW w:w="576" w:type="dxa"/>
            <w:tcBorders>
              <w:top w:val="single" w:sz="4" w:space="0" w:color="auto"/>
              <w:bottom w:val="single" w:sz="12" w:space="0" w:color="auto"/>
            </w:tcBorders>
            <w:shd w:val="clear" w:color="auto" w:fill="auto"/>
            <w:vAlign w:val="bottom"/>
          </w:tcPr>
          <w:p w:rsidR="00F236D5" w:rsidRPr="004363EC" w:rsidRDefault="00F236D5" w:rsidP="00947046">
            <w:pPr>
              <w:spacing w:before="80" w:after="80" w:line="220" w:lineRule="exact"/>
              <w:jc w:val="right"/>
              <w:rPr>
                <w:b/>
                <w:sz w:val="18"/>
              </w:rPr>
            </w:pPr>
            <w:r w:rsidRPr="004363EC">
              <w:rPr>
                <w:b/>
                <w:sz w:val="18"/>
              </w:rPr>
              <w:t>32</w:t>
            </w:r>
            <w:r>
              <w:rPr>
                <w:b/>
                <w:sz w:val="18"/>
              </w:rPr>
              <w:t>,</w:t>
            </w:r>
            <w:r w:rsidRPr="004363EC">
              <w:rPr>
                <w:b/>
                <w:sz w:val="18"/>
              </w:rPr>
              <w:t>4</w:t>
            </w:r>
          </w:p>
        </w:tc>
        <w:tc>
          <w:tcPr>
            <w:tcW w:w="576" w:type="dxa"/>
            <w:tcBorders>
              <w:top w:val="single" w:sz="4" w:space="0" w:color="auto"/>
              <w:bottom w:val="single" w:sz="12" w:space="0" w:color="auto"/>
            </w:tcBorders>
            <w:shd w:val="clear" w:color="auto" w:fill="auto"/>
            <w:vAlign w:val="bottom"/>
          </w:tcPr>
          <w:p w:rsidR="00F236D5" w:rsidRPr="004363EC" w:rsidRDefault="00F236D5" w:rsidP="00947046">
            <w:pPr>
              <w:spacing w:before="80" w:after="80" w:line="220" w:lineRule="exact"/>
              <w:jc w:val="right"/>
              <w:rPr>
                <w:b/>
                <w:sz w:val="18"/>
              </w:rPr>
            </w:pPr>
            <w:r w:rsidRPr="004363EC">
              <w:rPr>
                <w:b/>
                <w:sz w:val="18"/>
              </w:rPr>
              <w:t>11</w:t>
            </w:r>
            <w:r>
              <w:rPr>
                <w:b/>
                <w:sz w:val="18"/>
              </w:rPr>
              <w:t>,</w:t>
            </w:r>
            <w:r w:rsidRPr="004363EC">
              <w:rPr>
                <w:b/>
                <w:sz w:val="18"/>
              </w:rPr>
              <w:t>0</w:t>
            </w:r>
          </w:p>
        </w:tc>
        <w:tc>
          <w:tcPr>
            <w:tcW w:w="576" w:type="dxa"/>
            <w:tcBorders>
              <w:top w:val="single" w:sz="4" w:space="0" w:color="auto"/>
              <w:bottom w:val="single" w:sz="12" w:space="0" w:color="auto"/>
            </w:tcBorders>
            <w:shd w:val="clear" w:color="auto" w:fill="auto"/>
            <w:vAlign w:val="bottom"/>
          </w:tcPr>
          <w:p w:rsidR="00F236D5" w:rsidRPr="004363EC" w:rsidRDefault="00F236D5" w:rsidP="00947046">
            <w:pPr>
              <w:spacing w:before="80" w:after="80" w:line="220" w:lineRule="exact"/>
              <w:jc w:val="right"/>
              <w:rPr>
                <w:b/>
                <w:sz w:val="18"/>
              </w:rPr>
            </w:pPr>
            <w:r w:rsidRPr="004363EC">
              <w:rPr>
                <w:b/>
                <w:sz w:val="18"/>
              </w:rPr>
              <w:t>9</w:t>
            </w:r>
            <w:r>
              <w:rPr>
                <w:b/>
                <w:sz w:val="18"/>
              </w:rPr>
              <w:t>,</w:t>
            </w:r>
            <w:r w:rsidRPr="004363EC">
              <w:rPr>
                <w:b/>
                <w:sz w:val="18"/>
              </w:rPr>
              <w:t>6</w:t>
            </w:r>
          </w:p>
        </w:tc>
      </w:tr>
    </w:tbl>
    <w:p w:rsidR="00F236D5" w:rsidRPr="004363EC" w:rsidRDefault="00F236D5" w:rsidP="00F236D5">
      <w:pPr>
        <w:pStyle w:val="SingleTxtG"/>
        <w:spacing w:before="120" w:after="240"/>
        <w:ind w:left="1304"/>
        <w:rPr>
          <w:iCs/>
          <w:sz w:val="18"/>
          <w:szCs w:val="18"/>
          <w:lang w:val="es-ES_tradnl"/>
        </w:rPr>
      </w:pPr>
      <w:r w:rsidRPr="004363EC">
        <w:rPr>
          <w:i/>
          <w:iCs/>
          <w:sz w:val="18"/>
          <w:szCs w:val="18"/>
          <w:lang w:val="es-ES_tradnl"/>
        </w:rPr>
        <w:t xml:space="preserve">Fuente: </w:t>
      </w:r>
      <w:r w:rsidRPr="004363EC">
        <w:rPr>
          <w:iCs/>
          <w:sz w:val="18"/>
          <w:szCs w:val="18"/>
          <w:lang w:val="es-ES_tradnl"/>
        </w:rPr>
        <w:t>Ministerio de Educación</w:t>
      </w:r>
      <w:r>
        <w:rPr>
          <w:iCs/>
          <w:sz w:val="18"/>
          <w:szCs w:val="18"/>
          <w:lang w:val="es-ES_tradnl"/>
        </w:rPr>
        <w:t>.</w:t>
      </w:r>
    </w:p>
    <w:p w:rsidR="00F236D5" w:rsidRPr="004363EC" w:rsidRDefault="00F236D5" w:rsidP="00F236D5">
      <w:pPr>
        <w:pStyle w:val="Heading1"/>
        <w:spacing w:line="240" w:lineRule="atLeast"/>
        <w:rPr>
          <w:szCs w:val="20"/>
          <w:lang w:val="es-ES_tradnl"/>
        </w:rPr>
      </w:pPr>
      <w:r w:rsidRPr="004363EC">
        <w:rPr>
          <w:szCs w:val="20"/>
          <w:lang w:val="es-ES_tradnl"/>
        </w:rPr>
        <w:t>Cuadro 37</w:t>
      </w:r>
    </w:p>
    <w:p w:rsidR="00F236D5" w:rsidRDefault="00F236D5" w:rsidP="00F236D5">
      <w:pPr>
        <w:pStyle w:val="SingleTxtG"/>
        <w:jc w:val="left"/>
        <w:rPr>
          <w:b/>
          <w:bCs/>
          <w:lang w:val="es-ES_tradnl"/>
        </w:rPr>
      </w:pPr>
      <w:r w:rsidRPr="004363EC">
        <w:rPr>
          <w:b/>
          <w:bCs/>
          <w:lang w:val="es-ES_tradnl"/>
        </w:rPr>
        <w:t>Tasas de dispensa escolar por cada 1.000 estudiantes de 15 años de edad,</w:t>
      </w:r>
      <w:r>
        <w:rPr>
          <w:b/>
          <w:bCs/>
          <w:lang w:val="es-ES_tradnl"/>
        </w:rPr>
        <w:br/>
      </w:r>
      <w:r w:rsidRPr="004363EC">
        <w:rPr>
          <w:b/>
          <w:bCs/>
          <w:lang w:val="es-ES_tradnl"/>
        </w:rPr>
        <w:t>desglosadas por género y grupo étnico, 2009</w:t>
      </w:r>
    </w:p>
    <w:tbl>
      <w:tblPr>
        <w:tblStyle w:val="TableGrid"/>
        <w:tblW w:w="7370" w:type="dxa"/>
        <w:tblInd w:w="1134"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456"/>
        <w:gridCol w:w="2457"/>
        <w:gridCol w:w="2457"/>
      </w:tblGrid>
      <w:tr w:rsidR="00F236D5" w:rsidRPr="007103EB" w:rsidTr="00947046">
        <w:trPr>
          <w:trHeight w:val="240"/>
          <w:tblHeader/>
        </w:trPr>
        <w:tc>
          <w:tcPr>
            <w:tcW w:w="2456" w:type="dxa"/>
            <w:tcBorders>
              <w:top w:val="single" w:sz="4" w:space="0" w:color="auto"/>
              <w:bottom w:val="single" w:sz="12" w:space="0" w:color="auto"/>
            </w:tcBorders>
            <w:shd w:val="clear" w:color="auto" w:fill="auto"/>
            <w:vAlign w:val="bottom"/>
          </w:tcPr>
          <w:p w:rsidR="00F236D5" w:rsidRPr="007103EB" w:rsidRDefault="00F236D5" w:rsidP="00947046">
            <w:pPr>
              <w:spacing w:before="80" w:after="80" w:line="200" w:lineRule="exact"/>
              <w:rPr>
                <w:i/>
                <w:sz w:val="16"/>
              </w:rPr>
            </w:pPr>
            <w:r>
              <w:rPr>
                <w:i/>
                <w:sz w:val="16"/>
              </w:rPr>
              <w:t>Grupo étnico</w:t>
            </w:r>
          </w:p>
        </w:tc>
        <w:tc>
          <w:tcPr>
            <w:tcW w:w="2457" w:type="dxa"/>
            <w:tcBorders>
              <w:top w:val="single" w:sz="4" w:space="0" w:color="auto"/>
              <w:bottom w:val="single" w:sz="12" w:space="0" w:color="auto"/>
            </w:tcBorders>
            <w:shd w:val="clear" w:color="auto" w:fill="auto"/>
            <w:vAlign w:val="bottom"/>
          </w:tcPr>
          <w:p w:rsidR="00F236D5" w:rsidRPr="007103EB" w:rsidRDefault="00F236D5" w:rsidP="00947046">
            <w:pPr>
              <w:spacing w:before="80" w:after="80" w:line="200" w:lineRule="exact"/>
              <w:ind w:left="113"/>
              <w:jc w:val="right"/>
              <w:rPr>
                <w:i/>
                <w:sz w:val="16"/>
              </w:rPr>
            </w:pPr>
            <w:r>
              <w:rPr>
                <w:i/>
                <w:sz w:val="16"/>
              </w:rPr>
              <w:t>Mujer</w:t>
            </w:r>
          </w:p>
        </w:tc>
        <w:tc>
          <w:tcPr>
            <w:tcW w:w="2457" w:type="dxa"/>
            <w:tcBorders>
              <w:top w:val="single" w:sz="4" w:space="0" w:color="auto"/>
              <w:bottom w:val="single" w:sz="12" w:space="0" w:color="auto"/>
            </w:tcBorders>
            <w:shd w:val="clear" w:color="auto" w:fill="auto"/>
            <w:vAlign w:val="bottom"/>
          </w:tcPr>
          <w:p w:rsidR="00F236D5" w:rsidRPr="007103EB" w:rsidRDefault="00F236D5" w:rsidP="00947046">
            <w:pPr>
              <w:spacing w:before="80" w:after="80" w:line="200" w:lineRule="exact"/>
              <w:ind w:left="113"/>
              <w:jc w:val="right"/>
              <w:rPr>
                <w:i/>
                <w:sz w:val="16"/>
              </w:rPr>
            </w:pPr>
            <w:r>
              <w:rPr>
                <w:i/>
                <w:sz w:val="16"/>
              </w:rPr>
              <w:t>Hombre</w:t>
            </w:r>
          </w:p>
        </w:tc>
      </w:tr>
      <w:tr w:rsidR="00F236D5" w:rsidRPr="007103EB" w:rsidTr="00947046">
        <w:trPr>
          <w:trHeight w:val="240"/>
        </w:trPr>
        <w:tc>
          <w:tcPr>
            <w:tcW w:w="2456" w:type="dxa"/>
            <w:tcBorders>
              <w:top w:val="single" w:sz="12" w:space="0" w:color="auto"/>
            </w:tcBorders>
            <w:shd w:val="clear" w:color="auto" w:fill="auto"/>
          </w:tcPr>
          <w:p w:rsidR="00F236D5" w:rsidRPr="007103EB" w:rsidRDefault="00F236D5" w:rsidP="00947046">
            <w:pPr>
              <w:spacing w:before="40" w:after="40" w:line="220" w:lineRule="exact"/>
              <w:rPr>
                <w:sz w:val="18"/>
              </w:rPr>
            </w:pPr>
            <w:r>
              <w:rPr>
                <w:sz w:val="18"/>
              </w:rPr>
              <w:t>Maorí</w:t>
            </w:r>
          </w:p>
        </w:tc>
        <w:tc>
          <w:tcPr>
            <w:tcW w:w="2457" w:type="dxa"/>
            <w:tcBorders>
              <w:top w:val="single" w:sz="12" w:space="0" w:color="auto"/>
            </w:tcBorders>
            <w:shd w:val="clear" w:color="auto" w:fill="auto"/>
            <w:vAlign w:val="bottom"/>
          </w:tcPr>
          <w:p w:rsidR="00F236D5" w:rsidRPr="007103EB" w:rsidRDefault="00F236D5" w:rsidP="00947046">
            <w:pPr>
              <w:spacing w:before="40" w:after="40" w:line="220" w:lineRule="exact"/>
              <w:ind w:left="113"/>
              <w:jc w:val="right"/>
              <w:rPr>
                <w:sz w:val="18"/>
              </w:rPr>
            </w:pPr>
            <w:r w:rsidRPr="007103EB">
              <w:rPr>
                <w:sz w:val="18"/>
              </w:rPr>
              <w:t>15</w:t>
            </w:r>
            <w:r>
              <w:rPr>
                <w:sz w:val="18"/>
              </w:rPr>
              <w:t>,</w:t>
            </w:r>
            <w:r w:rsidRPr="007103EB">
              <w:rPr>
                <w:sz w:val="18"/>
              </w:rPr>
              <w:t>2</w:t>
            </w:r>
          </w:p>
        </w:tc>
        <w:tc>
          <w:tcPr>
            <w:tcW w:w="2457" w:type="dxa"/>
            <w:tcBorders>
              <w:top w:val="single" w:sz="12" w:space="0" w:color="auto"/>
            </w:tcBorders>
            <w:shd w:val="clear" w:color="auto" w:fill="auto"/>
            <w:vAlign w:val="bottom"/>
          </w:tcPr>
          <w:p w:rsidR="00F236D5" w:rsidRPr="007103EB" w:rsidRDefault="00F236D5" w:rsidP="00947046">
            <w:pPr>
              <w:spacing w:before="40" w:after="40" w:line="220" w:lineRule="exact"/>
              <w:ind w:left="113"/>
              <w:jc w:val="right"/>
              <w:rPr>
                <w:sz w:val="18"/>
              </w:rPr>
            </w:pPr>
            <w:r w:rsidRPr="007103EB">
              <w:rPr>
                <w:sz w:val="18"/>
              </w:rPr>
              <w:t>26</w:t>
            </w:r>
            <w:r>
              <w:rPr>
                <w:sz w:val="18"/>
              </w:rPr>
              <w:t>,</w:t>
            </w:r>
            <w:r w:rsidRPr="007103EB">
              <w:rPr>
                <w:sz w:val="18"/>
              </w:rPr>
              <w:t>8</w:t>
            </w:r>
          </w:p>
        </w:tc>
      </w:tr>
      <w:tr w:rsidR="00F236D5" w:rsidRPr="007103EB" w:rsidTr="00947046">
        <w:trPr>
          <w:trHeight w:val="240"/>
        </w:trPr>
        <w:tc>
          <w:tcPr>
            <w:tcW w:w="2456" w:type="dxa"/>
            <w:shd w:val="clear" w:color="auto" w:fill="auto"/>
          </w:tcPr>
          <w:p w:rsidR="00F236D5" w:rsidRPr="007103EB" w:rsidRDefault="00F236D5" w:rsidP="00947046">
            <w:pPr>
              <w:spacing w:before="40" w:after="40" w:line="220" w:lineRule="exact"/>
              <w:rPr>
                <w:sz w:val="18"/>
              </w:rPr>
            </w:pPr>
            <w:r>
              <w:rPr>
                <w:sz w:val="18"/>
              </w:rPr>
              <w:t>Pueblos del Pacífico</w:t>
            </w:r>
          </w:p>
        </w:tc>
        <w:tc>
          <w:tcPr>
            <w:tcW w:w="2457" w:type="dxa"/>
            <w:shd w:val="clear" w:color="auto" w:fill="auto"/>
            <w:vAlign w:val="bottom"/>
          </w:tcPr>
          <w:p w:rsidR="00F236D5" w:rsidRPr="007103EB" w:rsidRDefault="00F236D5" w:rsidP="00947046">
            <w:pPr>
              <w:spacing w:before="40" w:after="40" w:line="220" w:lineRule="exact"/>
              <w:ind w:left="113"/>
              <w:jc w:val="right"/>
              <w:rPr>
                <w:sz w:val="18"/>
              </w:rPr>
            </w:pPr>
            <w:r w:rsidRPr="007103EB">
              <w:rPr>
                <w:sz w:val="18"/>
              </w:rPr>
              <w:t>3</w:t>
            </w:r>
            <w:r>
              <w:rPr>
                <w:sz w:val="18"/>
              </w:rPr>
              <w:t>,</w:t>
            </w:r>
            <w:r w:rsidRPr="007103EB">
              <w:rPr>
                <w:sz w:val="18"/>
              </w:rPr>
              <w:t>5</w:t>
            </w:r>
          </w:p>
        </w:tc>
        <w:tc>
          <w:tcPr>
            <w:tcW w:w="2457" w:type="dxa"/>
            <w:shd w:val="clear" w:color="auto" w:fill="auto"/>
            <w:vAlign w:val="bottom"/>
          </w:tcPr>
          <w:p w:rsidR="00F236D5" w:rsidRPr="007103EB" w:rsidRDefault="00F236D5" w:rsidP="00947046">
            <w:pPr>
              <w:spacing w:before="40" w:after="40" w:line="220" w:lineRule="exact"/>
              <w:ind w:left="113"/>
              <w:jc w:val="right"/>
              <w:rPr>
                <w:sz w:val="18"/>
              </w:rPr>
            </w:pPr>
            <w:r w:rsidRPr="007103EB">
              <w:rPr>
                <w:sz w:val="18"/>
              </w:rPr>
              <w:t>7</w:t>
            </w:r>
            <w:r>
              <w:rPr>
                <w:sz w:val="18"/>
              </w:rPr>
              <w:t>,</w:t>
            </w:r>
            <w:r w:rsidRPr="007103EB">
              <w:rPr>
                <w:sz w:val="18"/>
              </w:rPr>
              <w:t>9</w:t>
            </w:r>
          </w:p>
        </w:tc>
      </w:tr>
      <w:tr w:rsidR="00F236D5" w:rsidRPr="007103EB" w:rsidTr="00947046">
        <w:trPr>
          <w:trHeight w:val="240"/>
        </w:trPr>
        <w:tc>
          <w:tcPr>
            <w:tcW w:w="2456" w:type="dxa"/>
            <w:shd w:val="clear" w:color="auto" w:fill="auto"/>
          </w:tcPr>
          <w:p w:rsidR="00F236D5" w:rsidRPr="007103EB" w:rsidRDefault="00F236D5" w:rsidP="00947046">
            <w:pPr>
              <w:spacing w:before="40" w:after="40" w:line="220" w:lineRule="exact"/>
              <w:rPr>
                <w:sz w:val="18"/>
              </w:rPr>
            </w:pPr>
            <w:r>
              <w:rPr>
                <w:sz w:val="18"/>
              </w:rPr>
              <w:t>Asiático</w:t>
            </w:r>
          </w:p>
        </w:tc>
        <w:tc>
          <w:tcPr>
            <w:tcW w:w="2457" w:type="dxa"/>
            <w:shd w:val="clear" w:color="auto" w:fill="auto"/>
            <w:vAlign w:val="bottom"/>
          </w:tcPr>
          <w:p w:rsidR="00F236D5" w:rsidRPr="007103EB" w:rsidRDefault="00F236D5" w:rsidP="00947046">
            <w:pPr>
              <w:spacing w:before="40" w:after="40" w:line="220" w:lineRule="exact"/>
              <w:ind w:left="113"/>
              <w:jc w:val="right"/>
              <w:rPr>
                <w:sz w:val="18"/>
              </w:rPr>
            </w:pPr>
            <w:r w:rsidRPr="007103EB">
              <w:rPr>
                <w:sz w:val="18"/>
              </w:rPr>
              <w:t>x</w:t>
            </w:r>
          </w:p>
        </w:tc>
        <w:tc>
          <w:tcPr>
            <w:tcW w:w="2457" w:type="dxa"/>
            <w:shd w:val="clear" w:color="auto" w:fill="auto"/>
            <w:vAlign w:val="bottom"/>
          </w:tcPr>
          <w:p w:rsidR="00F236D5" w:rsidRPr="007103EB" w:rsidRDefault="00F236D5" w:rsidP="00947046">
            <w:pPr>
              <w:spacing w:before="40" w:after="40" w:line="220" w:lineRule="exact"/>
              <w:ind w:left="113"/>
              <w:jc w:val="right"/>
              <w:rPr>
                <w:sz w:val="18"/>
              </w:rPr>
            </w:pPr>
            <w:r w:rsidRPr="007103EB">
              <w:rPr>
                <w:sz w:val="18"/>
              </w:rPr>
              <w:t>x</w:t>
            </w:r>
          </w:p>
        </w:tc>
      </w:tr>
      <w:tr w:rsidR="00F236D5" w:rsidRPr="007103EB" w:rsidTr="00947046">
        <w:trPr>
          <w:trHeight w:val="240"/>
        </w:trPr>
        <w:tc>
          <w:tcPr>
            <w:tcW w:w="2456" w:type="dxa"/>
            <w:tcBorders>
              <w:bottom w:val="single" w:sz="4" w:space="0" w:color="auto"/>
            </w:tcBorders>
            <w:shd w:val="clear" w:color="auto" w:fill="auto"/>
          </w:tcPr>
          <w:p w:rsidR="00F236D5" w:rsidRPr="007103EB" w:rsidRDefault="00F236D5" w:rsidP="00947046">
            <w:pPr>
              <w:spacing w:before="40" w:after="40" w:line="220" w:lineRule="exact"/>
              <w:rPr>
                <w:sz w:val="18"/>
              </w:rPr>
            </w:pPr>
            <w:r w:rsidRPr="007103EB">
              <w:rPr>
                <w:sz w:val="18"/>
              </w:rPr>
              <w:t>Europe</w:t>
            </w:r>
            <w:r>
              <w:rPr>
                <w:sz w:val="18"/>
              </w:rPr>
              <w:t>o</w:t>
            </w:r>
            <w:r w:rsidRPr="007103EB">
              <w:rPr>
                <w:sz w:val="18"/>
              </w:rPr>
              <w:t>/P</w:t>
            </w:r>
            <w:r>
              <w:rPr>
                <w:sz w:val="18"/>
              </w:rPr>
              <w:t>a</w:t>
            </w:r>
            <w:r w:rsidRPr="007103EB">
              <w:rPr>
                <w:sz w:val="18"/>
              </w:rPr>
              <w:t>keh</w:t>
            </w:r>
            <w:r>
              <w:rPr>
                <w:sz w:val="18"/>
              </w:rPr>
              <w:t>a</w:t>
            </w:r>
          </w:p>
        </w:tc>
        <w:tc>
          <w:tcPr>
            <w:tcW w:w="2457" w:type="dxa"/>
            <w:tcBorders>
              <w:bottom w:val="single" w:sz="4" w:space="0" w:color="auto"/>
            </w:tcBorders>
            <w:shd w:val="clear" w:color="auto" w:fill="auto"/>
            <w:vAlign w:val="bottom"/>
          </w:tcPr>
          <w:p w:rsidR="00F236D5" w:rsidRPr="007103EB" w:rsidRDefault="00F236D5" w:rsidP="00947046">
            <w:pPr>
              <w:spacing w:before="40" w:after="40" w:line="220" w:lineRule="exact"/>
              <w:ind w:left="113"/>
              <w:jc w:val="right"/>
              <w:rPr>
                <w:sz w:val="18"/>
              </w:rPr>
            </w:pPr>
            <w:r w:rsidRPr="007103EB">
              <w:rPr>
                <w:sz w:val="18"/>
              </w:rPr>
              <w:t>4</w:t>
            </w:r>
            <w:r>
              <w:rPr>
                <w:sz w:val="18"/>
              </w:rPr>
              <w:t>,</w:t>
            </w:r>
            <w:r w:rsidRPr="007103EB">
              <w:rPr>
                <w:sz w:val="18"/>
              </w:rPr>
              <w:t>0</w:t>
            </w:r>
          </w:p>
        </w:tc>
        <w:tc>
          <w:tcPr>
            <w:tcW w:w="2457" w:type="dxa"/>
            <w:tcBorders>
              <w:bottom w:val="single" w:sz="4" w:space="0" w:color="auto"/>
            </w:tcBorders>
            <w:shd w:val="clear" w:color="auto" w:fill="auto"/>
            <w:vAlign w:val="bottom"/>
          </w:tcPr>
          <w:p w:rsidR="00F236D5" w:rsidRPr="007103EB" w:rsidRDefault="00F236D5" w:rsidP="00947046">
            <w:pPr>
              <w:spacing w:before="40" w:after="40" w:line="220" w:lineRule="exact"/>
              <w:ind w:left="113"/>
              <w:jc w:val="right"/>
              <w:rPr>
                <w:sz w:val="18"/>
              </w:rPr>
            </w:pPr>
            <w:r w:rsidRPr="007103EB">
              <w:rPr>
                <w:sz w:val="18"/>
              </w:rPr>
              <w:t>11</w:t>
            </w:r>
            <w:r>
              <w:rPr>
                <w:sz w:val="18"/>
              </w:rPr>
              <w:t>,</w:t>
            </w:r>
            <w:r w:rsidRPr="007103EB">
              <w:rPr>
                <w:sz w:val="18"/>
              </w:rPr>
              <w:t>1</w:t>
            </w:r>
          </w:p>
        </w:tc>
      </w:tr>
      <w:tr w:rsidR="00F236D5" w:rsidRPr="007103EB" w:rsidTr="00947046">
        <w:trPr>
          <w:trHeight w:val="240"/>
        </w:trPr>
        <w:tc>
          <w:tcPr>
            <w:tcW w:w="2456" w:type="dxa"/>
            <w:tcBorders>
              <w:top w:val="single" w:sz="4" w:space="0" w:color="auto"/>
              <w:bottom w:val="single" w:sz="12" w:space="0" w:color="auto"/>
            </w:tcBorders>
            <w:shd w:val="clear" w:color="auto" w:fill="auto"/>
          </w:tcPr>
          <w:p w:rsidR="00F236D5" w:rsidRPr="007103EB" w:rsidRDefault="00F236D5" w:rsidP="00947046">
            <w:pPr>
              <w:pStyle w:val="XLargeG"/>
              <w:spacing w:before="80" w:after="80" w:line="220" w:lineRule="exact"/>
              <w:ind w:left="284" w:right="0"/>
              <w:rPr>
                <w:sz w:val="18"/>
              </w:rPr>
            </w:pPr>
            <w:r w:rsidRPr="007103EB">
              <w:rPr>
                <w:sz w:val="18"/>
              </w:rPr>
              <w:t>Total</w:t>
            </w:r>
          </w:p>
        </w:tc>
        <w:tc>
          <w:tcPr>
            <w:tcW w:w="2457" w:type="dxa"/>
            <w:tcBorders>
              <w:top w:val="single" w:sz="4" w:space="0" w:color="auto"/>
              <w:bottom w:val="single" w:sz="12" w:space="0" w:color="auto"/>
            </w:tcBorders>
            <w:shd w:val="clear" w:color="auto" w:fill="auto"/>
            <w:vAlign w:val="bottom"/>
          </w:tcPr>
          <w:p w:rsidR="00F236D5" w:rsidRPr="007103EB" w:rsidRDefault="00F236D5" w:rsidP="00947046">
            <w:pPr>
              <w:spacing w:before="80" w:after="80" w:line="220" w:lineRule="exact"/>
              <w:ind w:left="113"/>
              <w:jc w:val="right"/>
              <w:rPr>
                <w:b/>
                <w:sz w:val="18"/>
              </w:rPr>
            </w:pPr>
            <w:r w:rsidRPr="007103EB">
              <w:rPr>
                <w:b/>
                <w:sz w:val="18"/>
              </w:rPr>
              <w:t>5</w:t>
            </w:r>
            <w:r>
              <w:rPr>
                <w:b/>
                <w:sz w:val="18"/>
              </w:rPr>
              <w:t>,</w:t>
            </w:r>
            <w:r w:rsidRPr="007103EB">
              <w:rPr>
                <w:b/>
                <w:sz w:val="18"/>
              </w:rPr>
              <w:t>9</w:t>
            </w:r>
          </w:p>
        </w:tc>
        <w:tc>
          <w:tcPr>
            <w:tcW w:w="2457" w:type="dxa"/>
            <w:tcBorders>
              <w:top w:val="single" w:sz="4" w:space="0" w:color="auto"/>
              <w:bottom w:val="single" w:sz="12" w:space="0" w:color="auto"/>
            </w:tcBorders>
            <w:shd w:val="clear" w:color="auto" w:fill="auto"/>
            <w:vAlign w:val="bottom"/>
          </w:tcPr>
          <w:p w:rsidR="00F236D5" w:rsidRPr="007103EB" w:rsidRDefault="00F236D5" w:rsidP="00947046">
            <w:pPr>
              <w:spacing w:before="80" w:after="80" w:line="220" w:lineRule="exact"/>
              <w:ind w:left="113"/>
              <w:jc w:val="right"/>
              <w:rPr>
                <w:b/>
                <w:sz w:val="18"/>
              </w:rPr>
            </w:pPr>
            <w:r w:rsidRPr="007103EB">
              <w:rPr>
                <w:b/>
                <w:sz w:val="18"/>
              </w:rPr>
              <w:t>13</w:t>
            </w:r>
            <w:r>
              <w:rPr>
                <w:b/>
                <w:sz w:val="18"/>
              </w:rPr>
              <w:t>,</w:t>
            </w:r>
            <w:r w:rsidRPr="007103EB">
              <w:rPr>
                <w:b/>
                <w:sz w:val="18"/>
              </w:rPr>
              <w:t>1</w:t>
            </w:r>
          </w:p>
        </w:tc>
      </w:tr>
    </w:tbl>
    <w:p w:rsidR="00F236D5" w:rsidRPr="007103EB" w:rsidRDefault="00F236D5" w:rsidP="00F236D5">
      <w:pPr>
        <w:pStyle w:val="SingleTxtG"/>
        <w:spacing w:before="120" w:after="0"/>
        <w:ind w:left="1304"/>
        <w:rPr>
          <w:iCs/>
          <w:sz w:val="18"/>
          <w:szCs w:val="18"/>
          <w:lang w:val="es-ES_tradnl"/>
        </w:rPr>
      </w:pPr>
      <w:r w:rsidRPr="007103EB">
        <w:rPr>
          <w:i/>
          <w:iCs/>
          <w:sz w:val="18"/>
          <w:szCs w:val="18"/>
          <w:lang w:val="es-ES_tradnl"/>
        </w:rPr>
        <w:t xml:space="preserve">Fuente: </w:t>
      </w:r>
      <w:r w:rsidRPr="007103EB">
        <w:rPr>
          <w:iCs/>
          <w:sz w:val="18"/>
          <w:szCs w:val="18"/>
          <w:lang w:val="es-ES_tradnl"/>
        </w:rPr>
        <w:t>Ministerio de Educación</w:t>
      </w:r>
      <w:r>
        <w:rPr>
          <w:iCs/>
          <w:sz w:val="18"/>
          <w:szCs w:val="18"/>
          <w:lang w:val="es-ES_tradnl"/>
        </w:rPr>
        <w:t>.</w:t>
      </w:r>
    </w:p>
    <w:p w:rsidR="00F236D5" w:rsidRPr="009A7278" w:rsidRDefault="00F236D5" w:rsidP="00F236D5">
      <w:pPr>
        <w:ind w:left="1134" w:right="1134" w:firstLine="170"/>
        <w:rPr>
          <w:sz w:val="18"/>
          <w:szCs w:val="18"/>
        </w:rPr>
      </w:pPr>
      <w:r w:rsidRPr="00165D4A">
        <w:rPr>
          <w:i/>
          <w:sz w:val="18"/>
          <w:szCs w:val="18"/>
          <w:vertAlign w:val="superscript"/>
        </w:rPr>
        <w:t>1</w:t>
      </w:r>
      <w:r w:rsidRPr="00165D4A">
        <w:rPr>
          <w:i/>
          <w:sz w:val="18"/>
          <w:szCs w:val="18"/>
        </w:rPr>
        <w:t xml:space="preserve">  </w:t>
      </w:r>
      <w:r w:rsidRPr="009A7278">
        <w:rPr>
          <w:sz w:val="18"/>
          <w:szCs w:val="18"/>
        </w:rPr>
        <w:t>Los datos (cuadros 36 y 37) están expresados como proporción y no como números absolutos a fin de permitir la comparación entre grupos.</w:t>
      </w:r>
    </w:p>
    <w:p w:rsidR="00F236D5" w:rsidRPr="009A7278" w:rsidRDefault="00F236D5" w:rsidP="00F236D5">
      <w:pPr>
        <w:ind w:left="1134" w:right="1134" w:firstLine="170"/>
        <w:rPr>
          <w:sz w:val="18"/>
          <w:szCs w:val="18"/>
        </w:rPr>
      </w:pPr>
      <w:r w:rsidRPr="00165D4A">
        <w:rPr>
          <w:i/>
          <w:sz w:val="18"/>
          <w:szCs w:val="18"/>
          <w:vertAlign w:val="superscript"/>
        </w:rPr>
        <w:t>2</w:t>
      </w:r>
      <w:r w:rsidRPr="00165D4A">
        <w:rPr>
          <w:i/>
          <w:sz w:val="18"/>
          <w:szCs w:val="18"/>
        </w:rPr>
        <w:t xml:space="preserve">  </w:t>
      </w:r>
      <w:r w:rsidRPr="009A7278">
        <w:rPr>
          <w:sz w:val="18"/>
          <w:szCs w:val="18"/>
        </w:rPr>
        <w:t xml:space="preserve">En la categoría x (véase </w:t>
      </w:r>
      <w:r w:rsidRPr="009A7278">
        <w:rPr>
          <w:i/>
          <w:sz w:val="18"/>
          <w:szCs w:val="18"/>
        </w:rPr>
        <w:t>supra</w:t>
      </w:r>
      <w:r w:rsidRPr="009A7278">
        <w:rPr>
          <w:sz w:val="18"/>
          <w:szCs w:val="18"/>
        </w:rPr>
        <w:t>) hubo menos de cinco dispensas y/o estudiantes.</w:t>
      </w:r>
    </w:p>
    <w:p w:rsidR="00F236D5" w:rsidRPr="009A7278" w:rsidRDefault="00F236D5" w:rsidP="00F236D5">
      <w:pPr>
        <w:spacing w:after="240"/>
        <w:ind w:left="1134" w:right="1134" w:firstLine="170"/>
        <w:rPr>
          <w:sz w:val="18"/>
          <w:szCs w:val="18"/>
        </w:rPr>
      </w:pPr>
      <w:r w:rsidRPr="00165D4A">
        <w:rPr>
          <w:i/>
          <w:sz w:val="18"/>
          <w:szCs w:val="18"/>
          <w:vertAlign w:val="superscript"/>
        </w:rPr>
        <w:t>3</w:t>
      </w:r>
      <w:r>
        <w:rPr>
          <w:sz w:val="18"/>
          <w:szCs w:val="18"/>
        </w:rPr>
        <w:t xml:space="preserve">  </w:t>
      </w:r>
      <w:r w:rsidRPr="009A7278">
        <w:rPr>
          <w:sz w:val="18"/>
          <w:szCs w:val="18"/>
        </w:rPr>
        <w:t>El orden de prioridad de los grupos étnicos es el siguiente: grupo maorí; grupo de pueblos del Pacífico; grupo asiático; otros grupos étnicos distintos del grupo europeo/Pakeha; y grupo europeo/Pakeha. Debido a la codificación inadecuada de la categoría "Otros grupos étnicos" en 2000 y 2001, esta categoría no se muestra por separado sino se incluye en el total. La denominación "europeo/Pakeha" se refiere a las personas que se identifican como europeos neozelandeses, europeos de otro origen, o europeos (sin mayor precisión). Por ejemplo, incluye, aunque no exclusivamente, a los que se identifican como australianos (excluidos los aborígenes australianos), británicos e irlandeses, americanos o estadounidenses, españoles y ucranianos.</w:t>
      </w:r>
    </w:p>
    <w:p w:rsidR="00F236D5" w:rsidRPr="00201FFB" w:rsidRDefault="00F236D5" w:rsidP="00F236D5">
      <w:pPr>
        <w:pStyle w:val="SingleTxtG"/>
      </w:pPr>
      <w:r w:rsidRPr="00201FFB">
        <w:t>110.</w:t>
      </w:r>
      <w:r w:rsidRPr="00201FFB">
        <w:tab/>
        <w:t>El porcentaje de estudiantes maoríes que asistió a la escuela hasta la edad de 17,5</w:t>
      </w:r>
      <w:r>
        <w:t> </w:t>
      </w:r>
      <w:r w:rsidRPr="00201FFB">
        <w:t>años aumentó del 39,4% en 2005 al 45,8% en 2009.</w:t>
      </w:r>
    </w:p>
    <w:p w:rsidR="00F236D5" w:rsidRPr="009A7278" w:rsidRDefault="00F236D5" w:rsidP="00F236D5">
      <w:pPr>
        <w:pStyle w:val="H4G"/>
      </w:pPr>
      <w:r>
        <w:rPr>
          <w:i w:val="0"/>
        </w:rPr>
        <w:tab/>
      </w:r>
      <w:r w:rsidRPr="009A7278">
        <w:t>a)</w:t>
      </w:r>
      <w:r w:rsidRPr="009A7278">
        <w:tab/>
        <w:t>Proporción de alumnos por maestro</w:t>
      </w:r>
    </w:p>
    <w:p w:rsidR="00F236D5" w:rsidRPr="00E172B2" w:rsidRDefault="00F236D5" w:rsidP="00F236D5">
      <w:pPr>
        <w:pStyle w:val="Heading1"/>
        <w:keepLines/>
        <w:spacing w:line="240" w:lineRule="atLeast"/>
        <w:rPr>
          <w:szCs w:val="20"/>
          <w:lang w:val="es-ES_tradnl"/>
        </w:rPr>
      </w:pPr>
      <w:r w:rsidRPr="00E172B2">
        <w:rPr>
          <w:szCs w:val="20"/>
          <w:lang w:val="es-ES_tradnl"/>
        </w:rPr>
        <w:t>Cuadro 38</w:t>
      </w:r>
    </w:p>
    <w:p w:rsidR="00F236D5" w:rsidRDefault="00F236D5" w:rsidP="00F236D5">
      <w:pPr>
        <w:pStyle w:val="SingleTxtG"/>
        <w:keepNext/>
        <w:keepLines/>
        <w:jc w:val="left"/>
        <w:rPr>
          <w:b/>
          <w:bCs/>
          <w:lang w:val="es-ES_tradnl"/>
        </w:rPr>
      </w:pPr>
      <w:r w:rsidRPr="00E172B2">
        <w:rPr>
          <w:b/>
          <w:bCs/>
          <w:lang w:val="es-ES_tradnl"/>
        </w:rPr>
        <w:t>Proporción</w:t>
      </w:r>
      <w:r w:rsidRPr="00F91112">
        <w:rPr>
          <w:bCs/>
          <w:lang w:val="es-ES_tradnl"/>
        </w:rPr>
        <w:t xml:space="preserve">* </w:t>
      </w:r>
      <w:r w:rsidRPr="00E172B2">
        <w:rPr>
          <w:b/>
          <w:bCs/>
          <w:lang w:val="es-ES_tradnl"/>
        </w:rPr>
        <w:t>de alumnos por maestro en escuelas estatales y escuelas integradas estatales, 2003-2009</w:t>
      </w:r>
    </w:p>
    <w:tbl>
      <w:tblPr>
        <w:tblW w:w="7370" w:type="dxa"/>
        <w:tblInd w:w="1134" w:type="dxa"/>
        <w:tblBorders>
          <w:top w:val="single" w:sz="4" w:space="0" w:color="auto"/>
        </w:tblBorders>
        <w:tblCellMar>
          <w:left w:w="0" w:type="dxa"/>
          <w:right w:w="0" w:type="dxa"/>
        </w:tblCellMar>
        <w:tblLook w:val="0000" w:firstRow="0" w:lastRow="0" w:firstColumn="0" w:lastColumn="0" w:noHBand="0" w:noVBand="0"/>
      </w:tblPr>
      <w:tblGrid>
        <w:gridCol w:w="2212"/>
        <w:gridCol w:w="749"/>
        <w:gridCol w:w="749"/>
        <w:gridCol w:w="749"/>
        <w:gridCol w:w="749"/>
        <w:gridCol w:w="749"/>
        <w:gridCol w:w="669"/>
        <w:gridCol w:w="744"/>
      </w:tblGrid>
      <w:tr w:rsidR="00F236D5" w:rsidRPr="00E172B2" w:rsidTr="00947046">
        <w:trPr>
          <w:trHeight w:val="255"/>
          <w:tblHeader/>
        </w:trPr>
        <w:tc>
          <w:tcPr>
            <w:tcW w:w="1501" w:type="pct"/>
            <w:tcBorders>
              <w:top w:val="single" w:sz="4" w:space="0" w:color="auto"/>
              <w:bottom w:val="single" w:sz="12" w:space="0" w:color="auto"/>
            </w:tcBorders>
            <w:shd w:val="clear" w:color="auto" w:fill="auto"/>
            <w:noWrap/>
            <w:vAlign w:val="bottom"/>
          </w:tcPr>
          <w:p w:rsidR="00F236D5" w:rsidRPr="00E172B2" w:rsidRDefault="00F236D5" w:rsidP="00947046">
            <w:pPr>
              <w:keepNext/>
              <w:spacing w:before="80" w:after="80" w:line="200" w:lineRule="exact"/>
              <w:rPr>
                <w:i/>
                <w:sz w:val="16"/>
              </w:rPr>
            </w:pPr>
            <w:r w:rsidRPr="00E172B2">
              <w:rPr>
                <w:i/>
                <w:sz w:val="16"/>
              </w:rPr>
              <w:t xml:space="preserve"> </w:t>
            </w:r>
          </w:p>
        </w:tc>
        <w:tc>
          <w:tcPr>
            <w:tcW w:w="508" w:type="pct"/>
            <w:tcBorders>
              <w:top w:val="single" w:sz="4" w:space="0" w:color="auto"/>
              <w:bottom w:val="single" w:sz="12" w:space="0" w:color="auto"/>
            </w:tcBorders>
            <w:shd w:val="clear" w:color="auto" w:fill="auto"/>
            <w:noWrap/>
            <w:vAlign w:val="bottom"/>
          </w:tcPr>
          <w:p w:rsidR="00F236D5" w:rsidRPr="00E172B2" w:rsidRDefault="00F236D5" w:rsidP="00947046">
            <w:pPr>
              <w:keepNext/>
              <w:spacing w:before="80" w:after="80" w:line="200" w:lineRule="exact"/>
              <w:ind w:left="113"/>
              <w:jc w:val="right"/>
              <w:rPr>
                <w:i/>
                <w:sz w:val="16"/>
              </w:rPr>
            </w:pPr>
            <w:r w:rsidRPr="00E172B2">
              <w:rPr>
                <w:i/>
                <w:sz w:val="16"/>
              </w:rPr>
              <w:t>2003</w:t>
            </w:r>
          </w:p>
        </w:tc>
        <w:tc>
          <w:tcPr>
            <w:tcW w:w="508" w:type="pct"/>
            <w:tcBorders>
              <w:top w:val="single" w:sz="4" w:space="0" w:color="auto"/>
              <w:bottom w:val="single" w:sz="12" w:space="0" w:color="auto"/>
            </w:tcBorders>
            <w:shd w:val="clear" w:color="auto" w:fill="auto"/>
            <w:noWrap/>
            <w:vAlign w:val="bottom"/>
          </w:tcPr>
          <w:p w:rsidR="00F236D5" w:rsidRPr="00E172B2" w:rsidRDefault="00F236D5" w:rsidP="00947046">
            <w:pPr>
              <w:keepNext/>
              <w:spacing w:before="80" w:after="80" w:line="200" w:lineRule="exact"/>
              <w:ind w:left="113"/>
              <w:jc w:val="right"/>
              <w:rPr>
                <w:i/>
                <w:sz w:val="16"/>
              </w:rPr>
            </w:pPr>
            <w:r w:rsidRPr="00E172B2">
              <w:rPr>
                <w:i/>
                <w:sz w:val="16"/>
              </w:rPr>
              <w:t>2004</w:t>
            </w:r>
          </w:p>
        </w:tc>
        <w:tc>
          <w:tcPr>
            <w:tcW w:w="508" w:type="pct"/>
            <w:tcBorders>
              <w:top w:val="single" w:sz="4" w:space="0" w:color="auto"/>
              <w:bottom w:val="single" w:sz="12" w:space="0" w:color="auto"/>
            </w:tcBorders>
            <w:shd w:val="clear" w:color="auto" w:fill="auto"/>
            <w:noWrap/>
            <w:vAlign w:val="bottom"/>
          </w:tcPr>
          <w:p w:rsidR="00F236D5" w:rsidRPr="00E172B2" w:rsidRDefault="00F236D5" w:rsidP="00947046">
            <w:pPr>
              <w:keepNext/>
              <w:spacing w:before="80" w:after="80" w:line="200" w:lineRule="exact"/>
              <w:ind w:left="113"/>
              <w:jc w:val="right"/>
              <w:rPr>
                <w:i/>
                <w:sz w:val="16"/>
              </w:rPr>
            </w:pPr>
            <w:r w:rsidRPr="00E172B2">
              <w:rPr>
                <w:i/>
                <w:sz w:val="16"/>
              </w:rPr>
              <w:t>2005</w:t>
            </w:r>
          </w:p>
        </w:tc>
        <w:tc>
          <w:tcPr>
            <w:tcW w:w="508" w:type="pct"/>
            <w:tcBorders>
              <w:top w:val="single" w:sz="4" w:space="0" w:color="auto"/>
              <w:bottom w:val="single" w:sz="12" w:space="0" w:color="auto"/>
            </w:tcBorders>
            <w:shd w:val="clear" w:color="auto" w:fill="auto"/>
            <w:noWrap/>
            <w:vAlign w:val="bottom"/>
          </w:tcPr>
          <w:p w:rsidR="00F236D5" w:rsidRPr="00E172B2" w:rsidRDefault="00F236D5" w:rsidP="00947046">
            <w:pPr>
              <w:keepNext/>
              <w:spacing w:before="80" w:after="80" w:line="200" w:lineRule="exact"/>
              <w:ind w:left="113"/>
              <w:jc w:val="right"/>
              <w:rPr>
                <w:i/>
                <w:sz w:val="16"/>
              </w:rPr>
            </w:pPr>
            <w:r w:rsidRPr="00E172B2">
              <w:rPr>
                <w:i/>
                <w:sz w:val="16"/>
              </w:rPr>
              <w:t>2006</w:t>
            </w:r>
          </w:p>
        </w:tc>
        <w:tc>
          <w:tcPr>
            <w:tcW w:w="508" w:type="pct"/>
            <w:tcBorders>
              <w:top w:val="single" w:sz="4" w:space="0" w:color="auto"/>
              <w:bottom w:val="single" w:sz="12" w:space="0" w:color="auto"/>
            </w:tcBorders>
            <w:shd w:val="clear" w:color="auto" w:fill="auto"/>
            <w:noWrap/>
            <w:vAlign w:val="bottom"/>
          </w:tcPr>
          <w:p w:rsidR="00F236D5" w:rsidRPr="00E172B2" w:rsidRDefault="00F236D5" w:rsidP="00947046">
            <w:pPr>
              <w:keepNext/>
              <w:spacing w:before="80" w:after="80" w:line="200" w:lineRule="exact"/>
              <w:ind w:left="113"/>
              <w:jc w:val="right"/>
              <w:rPr>
                <w:i/>
                <w:sz w:val="16"/>
              </w:rPr>
            </w:pPr>
            <w:r w:rsidRPr="00E172B2">
              <w:rPr>
                <w:i/>
                <w:sz w:val="16"/>
              </w:rPr>
              <w:t>2007</w:t>
            </w:r>
          </w:p>
        </w:tc>
        <w:tc>
          <w:tcPr>
            <w:tcW w:w="454" w:type="pct"/>
            <w:tcBorders>
              <w:top w:val="single" w:sz="4" w:space="0" w:color="auto"/>
              <w:bottom w:val="single" w:sz="12" w:space="0" w:color="auto"/>
            </w:tcBorders>
            <w:shd w:val="clear" w:color="auto" w:fill="auto"/>
            <w:noWrap/>
            <w:vAlign w:val="bottom"/>
          </w:tcPr>
          <w:p w:rsidR="00F236D5" w:rsidRPr="00E172B2" w:rsidRDefault="00F236D5" w:rsidP="00947046">
            <w:pPr>
              <w:keepNext/>
              <w:spacing w:before="80" w:after="80" w:line="200" w:lineRule="exact"/>
              <w:ind w:left="113"/>
              <w:jc w:val="right"/>
              <w:rPr>
                <w:i/>
                <w:sz w:val="16"/>
              </w:rPr>
            </w:pPr>
            <w:r w:rsidRPr="00E172B2">
              <w:rPr>
                <w:i/>
                <w:sz w:val="16"/>
              </w:rPr>
              <w:t>2008</w:t>
            </w:r>
          </w:p>
        </w:tc>
        <w:tc>
          <w:tcPr>
            <w:tcW w:w="506" w:type="pct"/>
            <w:tcBorders>
              <w:top w:val="single" w:sz="4" w:space="0" w:color="auto"/>
              <w:bottom w:val="single" w:sz="12" w:space="0" w:color="auto"/>
            </w:tcBorders>
            <w:shd w:val="clear" w:color="auto" w:fill="auto"/>
            <w:noWrap/>
            <w:vAlign w:val="bottom"/>
          </w:tcPr>
          <w:p w:rsidR="00F236D5" w:rsidRPr="00E172B2" w:rsidRDefault="00F236D5" w:rsidP="00947046">
            <w:pPr>
              <w:keepNext/>
              <w:spacing w:before="80" w:after="80" w:line="200" w:lineRule="exact"/>
              <w:ind w:left="113"/>
              <w:jc w:val="right"/>
              <w:rPr>
                <w:i/>
                <w:sz w:val="16"/>
              </w:rPr>
            </w:pPr>
            <w:r w:rsidRPr="00E172B2">
              <w:rPr>
                <w:i/>
                <w:sz w:val="16"/>
              </w:rPr>
              <w:t>2009</w:t>
            </w:r>
          </w:p>
        </w:tc>
      </w:tr>
      <w:tr w:rsidR="00F236D5" w:rsidRPr="00E172B2" w:rsidTr="00947046">
        <w:trPr>
          <w:trHeight w:val="255"/>
        </w:trPr>
        <w:tc>
          <w:tcPr>
            <w:tcW w:w="1501" w:type="pct"/>
            <w:tcBorders>
              <w:top w:val="single" w:sz="12" w:space="0" w:color="auto"/>
            </w:tcBorders>
            <w:shd w:val="clear" w:color="auto" w:fill="auto"/>
            <w:noWrap/>
          </w:tcPr>
          <w:p w:rsidR="00F236D5" w:rsidRPr="00E172B2" w:rsidRDefault="00F236D5" w:rsidP="00947046">
            <w:pPr>
              <w:spacing w:before="40" w:after="40" w:line="220" w:lineRule="exact"/>
              <w:rPr>
                <w:sz w:val="18"/>
              </w:rPr>
            </w:pPr>
            <w:r>
              <w:rPr>
                <w:sz w:val="18"/>
              </w:rPr>
              <w:t>Proporción general</w:t>
            </w:r>
            <w:r w:rsidRPr="00165D4A">
              <w:t>**</w:t>
            </w:r>
          </w:p>
        </w:tc>
        <w:tc>
          <w:tcPr>
            <w:tcW w:w="508" w:type="pct"/>
            <w:tcBorders>
              <w:top w:val="single" w:sz="12" w:space="0" w:color="auto"/>
            </w:tcBorders>
            <w:shd w:val="clear" w:color="auto" w:fill="auto"/>
            <w:noWrap/>
            <w:vAlign w:val="bottom"/>
          </w:tcPr>
          <w:p w:rsidR="00F236D5" w:rsidRPr="00E172B2" w:rsidRDefault="00F236D5" w:rsidP="00947046">
            <w:pPr>
              <w:spacing w:before="40" w:after="40" w:line="220" w:lineRule="exact"/>
              <w:ind w:left="113"/>
              <w:jc w:val="right"/>
              <w:rPr>
                <w:sz w:val="18"/>
              </w:rPr>
            </w:pPr>
          </w:p>
        </w:tc>
        <w:tc>
          <w:tcPr>
            <w:tcW w:w="508" w:type="pct"/>
            <w:tcBorders>
              <w:top w:val="single" w:sz="12" w:space="0" w:color="auto"/>
            </w:tcBorders>
            <w:shd w:val="clear" w:color="auto" w:fill="auto"/>
            <w:noWrap/>
            <w:vAlign w:val="bottom"/>
          </w:tcPr>
          <w:p w:rsidR="00F236D5" w:rsidRPr="00E172B2" w:rsidRDefault="00F236D5" w:rsidP="00947046">
            <w:pPr>
              <w:spacing w:before="40" w:after="40" w:line="220" w:lineRule="exact"/>
              <w:ind w:left="113"/>
              <w:jc w:val="right"/>
              <w:rPr>
                <w:sz w:val="18"/>
              </w:rPr>
            </w:pPr>
          </w:p>
        </w:tc>
        <w:tc>
          <w:tcPr>
            <w:tcW w:w="508" w:type="pct"/>
            <w:tcBorders>
              <w:top w:val="single" w:sz="12" w:space="0" w:color="auto"/>
            </w:tcBorders>
            <w:shd w:val="clear" w:color="auto" w:fill="auto"/>
            <w:noWrap/>
            <w:vAlign w:val="bottom"/>
          </w:tcPr>
          <w:p w:rsidR="00F236D5" w:rsidRPr="00E172B2" w:rsidRDefault="00F236D5" w:rsidP="00947046">
            <w:pPr>
              <w:spacing w:before="40" w:after="40" w:line="220" w:lineRule="exact"/>
              <w:ind w:left="113"/>
              <w:jc w:val="right"/>
              <w:rPr>
                <w:sz w:val="18"/>
              </w:rPr>
            </w:pPr>
          </w:p>
        </w:tc>
        <w:tc>
          <w:tcPr>
            <w:tcW w:w="508" w:type="pct"/>
            <w:tcBorders>
              <w:top w:val="single" w:sz="12" w:space="0" w:color="auto"/>
            </w:tcBorders>
            <w:shd w:val="clear" w:color="auto" w:fill="auto"/>
            <w:noWrap/>
            <w:vAlign w:val="bottom"/>
          </w:tcPr>
          <w:p w:rsidR="00F236D5" w:rsidRPr="00E172B2" w:rsidRDefault="00F236D5" w:rsidP="00947046">
            <w:pPr>
              <w:spacing w:before="40" w:after="40" w:line="220" w:lineRule="exact"/>
              <w:ind w:left="113"/>
              <w:jc w:val="right"/>
              <w:rPr>
                <w:sz w:val="18"/>
              </w:rPr>
            </w:pPr>
          </w:p>
        </w:tc>
        <w:tc>
          <w:tcPr>
            <w:tcW w:w="508" w:type="pct"/>
            <w:tcBorders>
              <w:top w:val="single" w:sz="12" w:space="0" w:color="auto"/>
            </w:tcBorders>
            <w:shd w:val="clear" w:color="auto" w:fill="auto"/>
            <w:noWrap/>
            <w:vAlign w:val="bottom"/>
          </w:tcPr>
          <w:p w:rsidR="00F236D5" w:rsidRPr="00E172B2" w:rsidRDefault="00F236D5" w:rsidP="00947046">
            <w:pPr>
              <w:spacing w:before="40" w:after="40" w:line="220" w:lineRule="exact"/>
              <w:ind w:left="113"/>
              <w:jc w:val="right"/>
              <w:rPr>
                <w:sz w:val="18"/>
              </w:rPr>
            </w:pPr>
          </w:p>
        </w:tc>
        <w:tc>
          <w:tcPr>
            <w:tcW w:w="454" w:type="pct"/>
            <w:tcBorders>
              <w:top w:val="single" w:sz="12" w:space="0" w:color="auto"/>
            </w:tcBorders>
            <w:shd w:val="clear" w:color="auto" w:fill="auto"/>
            <w:noWrap/>
            <w:vAlign w:val="bottom"/>
          </w:tcPr>
          <w:p w:rsidR="00F236D5" w:rsidRPr="00E172B2" w:rsidRDefault="00F236D5" w:rsidP="00947046">
            <w:pPr>
              <w:spacing w:before="40" w:after="40" w:line="220" w:lineRule="exact"/>
              <w:ind w:left="113"/>
              <w:jc w:val="right"/>
              <w:rPr>
                <w:sz w:val="18"/>
              </w:rPr>
            </w:pPr>
          </w:p>
        </w:tc>
        <w:tc>
          <w:tcPr>
            <w:tcW w:w="506" w:type="pct"/>
            <w:tcBorders>
              <w:top w:val="single" w:sz="12" w:space="0" w:color="auto"/>
            </w:tcBorders>
            <w:shd w:val="clear" w:color="auto" w:fill="auto"/>
            <w:noWrap/>
            <w:vAlign w:val="bottom"/>
          </w:tcPr>
          <w:p w:rsidR="00F236D5" w:rsidRPr="00E172B2" w:rsidRDefault="00F236D5" w:rsidP="00947046">
            <w:pPr>
              <w:spacing w:before="40" w:after="40" w:line="220" w:lineRule="exact"/>
              <w:ind w:left="113"/>
              <w:jc w:val="right"/>
              <w:rPr>
                <w:sz w:val="18"/>
              </w:rPr>
            </w:pPr>
          </w:p>
        </w:tc>
      </w:tr>
      <w:tr w:rsidR="00F236D5" w:rsidRPr="00E172B2" w:rsidTr="00947046">
        <w:trPr>
          <w:trHeight w:val="255"/>
        </w:trPr>
        <w:tc>
          <w:tcPr>
            <w:tcW w:w="1501" w:type="pct"/>
            <w:shd w:val="clear" w:color="auto" w:fill="auto"/>
            <w:noWrap/>
          </w:tcPr>
          <w:p w:rsidR="00F236D5" w:rsidRPr="00E172B2" w:rsidRDefault="00F236D5" w:rsidP="00947046">
            <w:pPr>
              <w:spacing w:before="40" w:after="40" w:line="220" w:lineRule="exact"/>
              <w:ind w:left="284"/>
              <w:rPr>
                <w:sz w:val="18"/>
              </w:rPr>
            </w:pPr>
            <w:r>
              <w:rPr>
                <w:sz w:val="18"/>
              </w:rPr>
              <w:t>Primaria/media</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19</w:t>
            </w:r>
            <w:r>
              <w:rPr>
                <w:sz w:val="18"/>
              </w:rPr>
              <w:t>,</w:t>
            </w:r>
            <w:r w:rsidRPr="00E172B2">
              <w:rPr>
                <w:sz w:val="18"/>
              </w:rPr>
              <w:t>1</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18</w:t>
            </w:r>
            <w:r>
              <w:rPr>
                <w:sz w:val="18"/>
              </w:rPr>
              <w:t>,</w:t>
            </w:r>
            <w:r w:rsidRPr="00E172B2">
              <w:rPr>
                <w:sz w:val="18"/>
              </w:rPr>
              <w:t>8</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18</w:t>
            </w:r>
            <w:r>
              <w:rPr>
                <w:sz w:val="18"/>
              </w:rPr>
              <w:t>,</w:t>
            </w:r>
            <w:r w:rsidRPr="00E172B2">
              <w:rPr>
                <w:sz w:val="18"/>
              </w:rPr>
              <w:t>8</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18</w:t>
            </w:r>
            <w:r>
              <w:rPr>
                <w:sz w:val="18"/>
              </w:rPr>
              <w:t>,</w:t>
            </w:r>
            <w:r w:rsidRPr="00E172B2">
              <w:rPr>
                <w:sz w:val="18"/>
              </w:rPr>
              <w:t>4</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18</w:t>
            </w:r>
            <w:r>
              <w:rPr>
                <w:sz w:val="18"/>
              </w:rPr>
              <w:t>,</w:t>
            </w:r>
            <w:r w:rsidRPr="00E172B2">
              <w:rPr>
                <w:sz w:val="18"/>
              </w:rPr>
              <w:t>1</w:t>
            </w:r>
          </w:p>
        </w:tc>
        <w:tc>
          <w:tcPr>
            <w:tcW w:w="454"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17</w:t>
            </w:r>
            <w:r>
              <w:rPr>
                <w:sz w:val="18"/>
              </w:rPr>
              <w:t>,</w:t>
            </w:r>
            <w:r w:rsidRPr="00E172B2">
              <w:rPr>
                <w:sz w:val="18"/>
              </w:rPr>
              <w:t>9</w:t>
            </w:r>
          </w:p>
        </w:tc>
        <w:tc>
          <w:tcPr>
            <w:tcW w:w="506"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17</w:t>
            </w:r>
            <w:r>
              <w:rPr>
                <w:sz w:val="18"/>
              </w:rPr>
              <w:t>,</w:t>
            </w:r>
            <w:r w:rsidRPr="00E172B2">
              <w:rPr>
                <w:sz w:val="18"/>
              </w:rPr>
              <w:t>2</w:t>
            </w:r>
          </w:p>
        </w:tc>
      </w:tr>
      <w:tr w:rsidR="00F236D5" w:rsidRPr="00E172B2" w:rsidTr="00947046">
        <w:trPr>
          <w:trHeight w:val="255"/>
        </w:trPr>
        <w:tc>
          <w:tcPr>
            <w:tcW w:w="1501" w:type="pct"/>
            <w:shd w:val="clear" w:color="auto" w:fill="auto"/>
            <w:noWrap/>
          </w:tcPr>
          <w:p w:rsidR="00F236D5" w:rsidRPr="00E172B2" w:rsidRDefault="00F236D5" w:rsidP="00947046">
            <w:pPr>
              <w:spacing w:before="40" w:after="40" w:line="220" w:lineRule="exact"/>
              <w:ind w:left="284"/>
              <w:rPr>
                <w:sz w:val="18"/>
              </w:rPr>
            </w:pPr>
            <w:r>
              <w:rPr>
                <w:sz w:val="18"/>
              </w:rPr>
              <w:t>Combinada</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13</w:t>
            </w:r>
            <w:r>
              <w:rPr>
                <w:sz w:val="18"/>
              </w:rPr>
              <w:t>,</w:t>
            </w:r>
            <w:r w:rsidRPr="00E172B2">
              <w:rPr>
                <w:sz w:val="18"/>
              </w:rPr>
              <w:t>5</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13</w:t>
            </w:r>
            <w:r>
              <w:rPr>
                <w:sz w:val="18"/>
              </w:rPr>
              <w:t>,</w:t>
            </w:r>
            <w:r w:rsidRPr="00E172B2">
              <w:rPr>
                <w:sz w:val="18"/>
              </w:rPr>
              <w:t>4</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12</w:t>
            </w:r>
            <w:r>
              <w:rPr>
                <w:sz w:val="18"/>
              </w:rPr>
              <w:t>,</w:t>
            </w:r>
            <w:r w:rsidRPr="00E172B2">
              <w:rPr>
                <w:sz w:val="18"/>
              </w:rPr>
              <w:t>7</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12</w:t>
            </w:r>
            <w:r>
              <w:rPr>
                <w:sz w:val="18"/>
              </w:rPr>
              <w:t>,</w:t>
            </w:r>
            <w:r w:rsidRPr="00E172B2">
              <w:rPr>
                <w:sz w:val="18"/>
              </w:rPr>
              <w:t>3</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12</w:t>
            </w:r>
            <w:r>
              <w:rPr>
                <w:sz w:val="18"/>
              </w:rPr>
              <w:t>,</w:t>
            </w:r>
            <w:r w:rsidRPr="00E172B2">
              <w:rPr>
                <w:sz w:val="18"/>
              </w:rPr>
              <w:t>2</w:t>
            </w:r>
          </w:p>
        </w:tc>
        <w:tc>
          <w:tcPr>
            <w:tcW w:w="454"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12</w:t>
            </w:r>
            <w:r>
              <w:rPr>
                <w:sz w:val="18"/>
              </w:rPr>
              <w:t>,</w:t>
            </w:r>
            <w:r w:rsidRPr="00E172B2">
              <w:rPr>
                <w:sz w:val="18"/>
              </w:rPr>
              <w:t>1</w:t>
            </w:r>
          </w:p>
        </w:tc>
        <w:tc>
          <w:tcPr>
            <w:tcW w:w="506"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11</w:t>
            </w:r>
            <w:r>
              <w:rPr>
                <w:sz w:val="18"/>
              </w:rPr>
              <w:t>,</w:t>
            </w:r>
            <w:r w:rsidRPr="00E172B2">
              <w:rPr>
                <w:sz w:val="18"/>
              </w:rPr>
              <w:t>9</w:t>
            </w:r>
          </w:p>
        </w:tc>
      </w:tr>
      <w:tr w:rsidR="00F236D5" w:rsidRPr="00E172B2" w:rsidTr="00947046">
        <w:trPr>
          <w:trHeight w:val="255"/>
        </w:trPr>
        <w:tc>
          <w:tcPr>
            <w:tcW w:w="1501" w:type="pct"/>
            <w:shd w:val="clear" w:color="auto" w:fill="auto"/>
            <w:noWrap/>
          </w:tcPr>
          <w:p w:rsidR="00F236D5" w:rsidRPr="00E172B2" w:rsidRDefault="00F236D5" w:rsidP="00947046">
            <w:pPr>
              <w:spacing w:before="40" w:after="40" w:line="220" w:lineRule="exact"/>
              <w:ind w:left="284"/>
              <w:rPr>
                <w:sz w:val="18"/>
              </w:rPr>
            </w:pPr>
            <w:r>
              <w:rPr>
                <w:sz w:val="18"/>
              </w:rPr>
              <w:t>Secundaria</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15</w:t>
            </w:r>
            <w:r>
              <w:rPr>
                <w:sz w:val="18"/>
              </w:rPr>
              <w:t>,</w:t>
            </w:r>
            <w:r w:rsidRPr="00E172B2">
              <w:rPr>
                <w:sz w:val="18"/>
              </w:rPr>
              <w:t>4</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15</w:t>
            </w:r>
            <w:r>
              <w:rPr>
                <w:sz w:val="18"/>
              </w:rPr>
              <w:t>,</w:t>
            </w:r>
            <w:r w:rsidRPr="00E172B2">
              <w:rPr>
                <w:sz w:val="18"/>
              </w:rPr>
              <w:t>2</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14</w:t>
            </w:r>
            <w:r>
              <w:rPr>
                <w:sz w:val="18"/>
              </w:rPr>
              <w:t>,</w:t>
            </w:r>
            <w:r w:rsidRPr="00E172B2">
              <w:rPr>
                <w:sz w:val="18"/>
              </w:rPr>
              <w:t>8</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14</w:t>
            </w:r>
            <w:r>
              <w:rPr>
                <w:sz w:val="18"/>
              </w:rPr>
              <w:t>,</w:t>
            </w:r>
            <w:r w:rsidRPr="00E172B2">
              <w:rPr>
                <w:sz w:val="18"/>
              </w:rPr>
              <w:t>5</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14</w:t>
            </w:r>
            <w:r>
              <w:rPr>
                <w:sz w:val="18"/>
              </w:rPr>
              <w:t>,</w:t>
            </w:r>
            <w:r w:rsidRPr="00E172B2">
              <w:rPr>
                <w:sz w:val="18"/>
              </w:rPr>
              <w:t>4</w:t>
            </w:r>
          </w:p>
        </w:tc>
        <w:tc>
          <w:tcPr>
            <w:tcW w:w="454"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14</w:t>
            </w:r>
            <w:r>
              <w:rPr>
                <w:sz w:val="18"/>
              </w:rPr>
              <w:t>,</w:t>
            </w:r>
            <w:r w:rsidRPr="00E172B2">
              <w:rPr>
                <w:sz w:val="18"/>
              </w:rPr>
              <w:t>3</w:t>
            </w:r>
          </w:p>
        </w:tc>
        <w:tc>
          <w:tcPr>
            <w:tcW w:w="506"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14</w:t>
            </w:r>
            <w:r>
              <w:rPr>
                <w:sz w:val="18"/>
              </w:rPr>
              <w:t>,</w:t>
            </w:r>
            <w:r w:rsidRPr="00E172B2">
              <w:rPr>
                <w:sz w:val="18"/>
              </w:rPr>
              <w:t>4</w:t>
            </w:r>
          </w:p>
        </w:tc>
      </w:tr>
      <w:tr w:rsidR="00F236D5" w:rsidRPr="00E172B2" w:rsidTr="00947046">
        <w:trPr>
          <w:trHeight w:val="255"/>
        </w:trPr>
        <w:tc>
          <w:tcPr>
            <w:tcW w:w="1501" w:type="pct"/>
            <w:shd w:val="clear" w:color="auto" w:fill="auto"/>
            <w:noWrap/>
          </w:tcPr>
          <w:p w:rsidR="00F236D5" w:rsidRPr="00E172B2" w:rsidRDefault="00F236D5" w:rsidP="00947046">
            <w:pPr>
              <w:spacing w:before="40" w:after="40" w:line="220" w:lineRule="exact"/>
              <w:rPr>
                <w:sz w:val="18"/>
              </w:rPr>
            </w:pPr>
            <w:r>
              <w:rPr>
                <w:sz w:val="18"/>
              </w:rPr>
              <w:t>Proporción general por aula</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p>
        </w:tc>
        <w:tc>
          <w:tcPr>
            <w:tcW w:w="454" w:type="pct"/>
            <w:shd w:val="clear" w:color="auto" w:fill="auto"/>
            <w:noWrap/>
            <w:vAlign w:val="bottom"/>
          </w:tcPr>
          <w:p w:rsidR="00F236D5" w:rsidRPr="00E172B2" w:rsidRDefault="00F236D5" w:rsidP="00947046">
            <w:pPr>
              <w:spacing w:before="40" w:after="40" w:line="220" w:lineRule="exact"/>
              <w:ind w:left="113"/>
              <w:jc w:val="right"/>
              <w:rPr>
                <w:sz w:val="18"/>
              </w:rPr>
            </w:pPr>
          </w:p>
        </w:tc>
        <w:tc>
          <w:tcPr>
            <w:tcW w:w="506" w:type="pct"/>
            <w:shd w:val="clear" w:color="auto" w:fill="auto"/>
            <w:noWrap/>
            <w:vAlign w:val="bottom"/>
          </w:tcPr>
          <w:p w:rsidR="00F236D5" w:rsidRPr="00E172B2" w:rsidRDefault="00F236D5" w:rsidP="00947046">
            <w:pPr>
              <w:spacing w:before="40" w:after="40" w:line="220" w:lineRule="exact"/>
              <w:ind w:left="113"/>
              <w:jc w:val="right"/>
              <w:rPr>
                <w:sz w:val="18"/>
              </w:rPr>
            </w:pPr>
          </w:p>
        </w:tc>
      </w:tr>
      <w:tr w:rsidR="00F236D5" w:rsidRPr="00E172B2" w:rsidTr="00947046">
        <w:trPr>
          <w:trHeight w:val="255"/>
        </w:trPr>
        <w:tc>
          <w:tcPr>
            <w:tcW w:w="1501" w:type="pct"/>
            <w:shd w:val="clear" w:color="auto" w:fill="auto"/>
            <w:noWrap/>
          </w:tcPr>
          <w:p w:rsidR="00F236D5" w:rsidRPr="00E172B2" w:rsidRDefault="00F236D5" w:rsidP="00947046">
            <w:pPr>
              <w:spacing w:before="40" w:after="40" w:line="220" w:lineRule="exact"/>
              <w:ind w:left="284"/>
              <w:rPr>
                <w:sz w:val="18"/>
              </w:rPr>
            </w:pPr>
            <w:r>
              <w:rPr>
                <w:sz w:val="18"/>
              </w:rPr>
              <w:t>Primaria/media</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22</w:t>
            </w:r>
            <w:r>
              <w:rPr>
                <w:sz w:val="18"/>
              </w:rPr>
              <w:t>,</w:t>
            </w:r>
            <w:r w:rsidRPr="00E172B2">
              <w:rPr>
                <w:sz w:val="18"/>
              </w:rPr>
              <w:t>7</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23</w:t>
            </w:r>
            <w:r>
              <w:rPr>
                <w:sz w:val="18"/>
              </w:rPr>
              <w:t>,</w:t>
            </w:r>
            <w:r w:rsidRPr="00E172B2">
              <w:rPr>
                <w:sz w:val="18"/>
              </w:rPr>
              <w:t>1</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23</w:t>
            </w:r>
            <w:r>
              <w:rPr>
                <w:sz w:val="18"/>
              </w:rPr>
              <w:t>,</w:t>
            </w:r>
            <w:r w:rsidRPr="00E172B2">
              <w:rPr>
                <w:sz w:val="18"/>
              </w:rPr>
              <w:t>9</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23</w:t>
            </w:r>
            <w:r>
              <w:rPr>
                <w:sz w:val="18"/>
              </w:rPr>
              <w:t>,</w:t>
            </w:r>
            <w:r w:rsidRPr="00E172B2">
              <w:rPr>
                <w:sz w:val="18"/>
              </w:rPr>
              <w:t>9</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23</w:t>
            </w:r>
            <w:r>
              <w:rPr>
                <w:sz w:val="18"/>
              </w:rPr>
              <w:t>,</w:t>
            </w:r>
            <w:r w:rsidRPr="00E172B2">
              <w:rPr>
                <w:sz w:val="18"/>
              </w:rPr>
              <w:t>2</w:t>
            </w:r>
          </w:p>
        </w:tc>
        <w:tc>
          <w:tcPr>
            <w:tcW w:w="454"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22</w:t>
            </w:r>
            <w:r>
              <w:rPr>
                <w:sz w:val="18"/>
              </w:rPr>
              <w:t>,</w:t>
            </w:r>
            <w:r w:rsidRPr="00E172B2">
              <w:rPr>
                <w:sz w:val="18"/>
              </w:rPr>
              <w:t>8</w:t>
            </w:r>
          </w:p>
        </w:tc>
        <w:tc>
          <w:tcPr>
            <w:tcW w:w="506"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23</w:t>
            </w:r>
            <w:r>
              <w:rPr>
                <w:sz w:val="18"/>
              </w:rPr>
              <w:t>,</w:t>
            </w:r>
            <w:r w:rsidRPr="00E172B2">
              <w:rPr>
                <w:sz w:val="18"/>
              </w:rPr>
              <w:t>8</w:t>
            </w:r>
          </w:p>
        </w:tc>
      </w:tr>
      <w:tr w:rsidR="00F236D5" w:rsidRPr="00E172B2" w:rsidTr="00947046">
        <w:trPr>
          <w:trHeight w:val="255"/>
        </w:trPr>
        <w:tc>
          <w:tcPr>
            <w:tcW w:w="1501" w:type="pct"/>
            <w:shd w:val="clear" w:color="auto" w:fill="auto"/>
            <w:noWrap/>
          </w:tcPr>
          <w:p w:rsidR="00F236D5" w:rsidRPr="00E172B2" w:rsidRDefault="00F236D5" w:rsidP="00947046">
            <w:pPr>
              <w:spacing w:before="40" w:after="40" w:line="220" w:lineRule="exact"/>
              <w:ind w:left="284"/>
              <w:rPr>
                <w:sz w:val="18"/>
              </w:rPr>
            </w:pPr>
            <w:r>
              <w:rPr>
                <w:sz w:val="18"/>
              </w:rPr>
              <w:t>Combinada</w:t>
            </w:r>
            <w:r w:rsidRPr="00165D4A">
              <w:t>***</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17</w:t>
            </w:r>
            <w:r>
              <w:rPr>
                <w:sz w:val="18"/>
              </w:rPr>
              <w:t>,</w:t>
            </w:r>
            <w:r w:rsidRPr="00E172B2">
              <w:rPr>
                <w:sz w:val="18"/>
              </w:rPr>
              <w:t>6</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16</w:t>
            </w:r>
            <w:r>
              <w:rPr>
                <w:sz w:val="18"/>
              </w:rPr>
              <w:t>,</w:t>
            </w:r>
            <w:r w:rsidRPr="00E172B2">
              <w:rPr>
                <w:sz w:val="18"/>
              </w:rPr>
              <w:t>7</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16</w:t>
            </w:r>
            <w:r>
              <w:rPr>
                <w:sz w:val="18"/>
              </w:rPr>
              <w:t>,</w:t>
            </w:r>
            <w:r w:rsidRPr="00E172B2">
              <w:rPr>
                <w:sz w:val="18"/>
              </w:rPr>
              <w:t>4</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15</w:t>
            </w:r>
            <w:r>
              <w:rPr>
                <w:sz w:val="18"/>
              </w:rPr>
              <w:t>,</w:t>
            </w:r>
            <w:r w:rsidRPr="00E172B2">
              <w:rPr>
                <w:sz w:val="18"/>
              </w:rPr>
              <w:t>4</w:t>
            </w:r>
          </w:p>
        </w:tc>
        <w:tc>
          <w:tcPr>
            <w:tcW w:w="508"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15</w:t>
            </w:r>
            <w:r>
              <w:rPr>
                <w:sz w:val="18"/>
              </w:rPr>
              <w:t>,</w:t>
            </w:r>
            <w:r w:rsidRPr="00E172B2">
              <w:rPr>
                <w:sz w:val="18"/>
              </w:rPr>
              <w:t>5</w:t>
            </w:r>
          </w:p>
        </w:tc>
        <w:tc>
          <w:tcPr>
            <w:tcW w:w="454"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14</w:t>
            </w:r>
            <w:r>
              <w:rPr>
                <w:sz w:val="18"/>
              </w:rPr>
              <w:t>,</w:t>
            </w:r>
            <w:r w:rsidRPr="00E172B2">
              <w:rPr>
                <w:sz w:val="18"/>
              </w:rPr>
              <w:t>4</w:t>
            </w:r>
          </w:p>
        </w:tc>
        <w:tc>
          <w:tcPr>
            <w:tcW w:w="506" w:type="pct"/>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14</w:t>
            </w:r>
            <w:r>
              <w:rPr>
                <w:sz w:val="18"/>
              </w:rPr>
              <w:t>,</w:t>
            </w:r>
            <w:r w:rsidRPr="00E172B2">
              <w:rPr>
                <w:sz w:val="18"/>
              </w:rPr>
              <w:t>7</w:t>
            </w:r>
          </w:p>
        </w:tc>
      </w:tr>
      <w:tr w:rsidR="00F236D5" w:rsidRPr="00E172B2" w:rsidTr="00947046">
        <w:trPr>
          <w:trHeight w:val="255"/>
        </w:trPr>
        <w:tc>
          <w:tcPr>
            <w:tcW w:w="1501" w:type="pct"/>
            <w:tcBorders>
              <w:bottom w:val="single" w:sz="12" w:space="0" w:color="auto"/>
            </w:tcBorders>
            <w:shd w:val="clear" w:color="auto" w:fill="auto"/>
            <w:noWrap/>
          </w:tcPr>
          <w:p w:rsidR="00F236D5" w:rsidRPr="00E172B2" w:rsidRDefault="00F236D5" w:rsidP="00947046">
            <w:pPr>
              <w:spacing w:before="40" w:after="40" w:line="220" w:lineRule="exact"/>
              <w:ind w:left="284"/>
              <w:rPr>
                <w:sz w:val="18"/>
              </w:rPr>
            </w:pPr>
            <w:r>
              <w:rPr>
                <w:sz w:val="18"/>
              </w:rPr>
              <w:t>Secundaria</w:t>
            </w:r>
          </w:p>
        </w:tc>
        <w:tc>
          <w:tcPr>
            <w:tcW w:w="508" w:type="pct"/>
            <w:tcBorders>
              <w:bottom w:val="single" w:sz="12" w:space="0" w:color="auto"/>
            </w:tcBorders>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18</w:t>
            </w:r>
            <w:r>
              <w:rPr>
                <w:sz w:val="18"/>
              </w:rPr>
              <w:t>,</w:t>
            </w:r>
            <w:r w:rsidRPr="00E172B2">
              <w:rPr>
                <w:sz w:val="18"/>
              </w:rPr>
              <w:t>6</w:t>
            </w:r>
          </w:p>
        </w:tc>
        <w:tc>
          <w:tcPr>
            <w:tcW w:w="508" w:type="pct"/>
            <w:tcBorders>
              <w:bottom w:val="single" w:sz="12" w:space="0" w:color="auto"/>
            </w:tcBorders>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18</w:t>
            </w:r>
            <w:r>
              <w:rPr>
                <w:sz w:val="18"/>
              </w:rPr>
              <w:t>,</w:t>
            </w:r>
            <w:r w:rsidRPr="00E172B2">
              <w:rPr>
                <w:sz w:val="18"/>
              </w:rPr>
              <w:t>4</w:t>
            </w:r>
          </w:p>
        </w:tc>
        <w:tc>
          <w:tcPr>
            <w:tcW w:w="508" w:type="pct"/>
            <w:tcBorders>
              <w:bottom w:val="single" w:sz="12" w:space="0" w:color="auto"/>
            </w:tcBorders>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18</w:t>
            </w:r>
            <w:r>
              <w:rPr>
                <w:sz w:val="18"/>
              </w:rPr>
              <w:t>,</w:t>
            </w:r>
            <w:r w:rsidRPr="00E172B2">
              <w:rPr>
                <w:sz w:val="18"/>
              </w:rPr>
              <w:t>0</w:t>
            </w:r>
          </w:p>
        </w:tc>
        <w:tc>
          <w:tcPr>
            <w:tcW w:w="508" w:type="pct"/>
            <w:tcBorders>
              <w:bottom w:val="single" w:sz="12" w:space="0" w:color="auto"/>
            </w:tcBorders>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17</w:t>
            </w:r>
            <w:r>
              <w:rPr>
                <w:sz w:val="18"/>
              </w:rPr>
              <w:t>,</w:t>
            </w:r>
            <w:r w:rsidRPr="00E172B2">
              <w:rPr>
                <w:sz w:val="18"/>
              </w:rPr>
              <w:t>7</w:t>
            </w:r>
          </w:p>
        </w:tc>
        <w:tc>
          <w:tcPr>
            <w:tcW w:w="508" w:type="pct"/>
            <w:tcBorders>
              <w:bottom w:val="single" w:sz="12" w:space="0" w:color="auto"/>
            </w:tcBorders>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17</w:t>
            </w:r>
            <w:r>
              <w:rPr>
                <w:sz w:val="18"/>
              </w:rPr>
              <w:t>,</w:t>
            </w:r>
            <w:r w:rsidRPr="00E172B2">
              <w:rPr>
                <w:sz w:val="18"/>
              </w:rPr>
              <w:t>6</w:t>
            </w:r>
          </w:p>
        </w:tc>
        <w:tc>
          <w:tcPr>
            <w:tcW w:w="454" w:type="pct"/>
            <w:tcBorders>
              <w:bottom w:val="single" w:sz="12" w:space="0" w:color="auto"/>
            </w:tcBorders>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17</w:t>
            </w:r>
            <w:r>
              <w:rPr>
                <w:sz w:val="18"/>
              </w:rPr>
              <w:t>,</w:t>
            </w:r>
            <w:r w:rsidRPr="00E172B2">
              <w:rPr>
                <w:sz w:val="18"/>
              </w:rPr>
              <w:t>3</w:t>
            </w:r>
          </w:p>
        </w:tc>
        <w:tc>
          <w:tcPr>
            <w:tcW w:w="506" w:type="pct"/>
            <w:tcBorders>
              <w:bottom w:val="single" w:sz="12" w:space="0" w:color="auto"/>
            </w:tcBorders>
            <w:shd w:val="clear" w:color="auto" w:fill="auto"/>
            <w:noWrap/>
            <w:vAlign w:val="bottom"/>
          </w:tcPr>
          <w:p w:rsidR="00F236D5" w:rsidRPr="00E172B2" w:rsidRDefault="00F236D5" w:rsidP="00947046">
            <w:pPr>
              <w:spacing w:before="40" w:after="40" w:line="220" w:lineRule="exact"/>
              <w:ind w:left="113"/>
              <w:jc w:val="right"/>
              <w:rPr>
                <w:sz w:val="18"/>
              </w:rPr>
            </w:pPr>
            <w:r w:rsidRPr="00E172B2">
              <w:rPr>
                <w:sz w:val="18"/>
              </w:rPr>
              <w:t>17</w:t>
            </w:r>
            <w:r>
              <w:rPr>
                <w:sz w:val="18"/>
              </w:rPr>
              <w:t>,</w:t>
            </w:r>
            <w:r w:rsidRPr="00E172B2">
              <w:rPr>
                <w:sz w:val="18"/>
              </w:rPr>
              <w:t>3</w:t>
            </w:r>
          </w:p>
        </w:tc>
      </w:tr>
    </w:tbl>
    <w:p w:rsidR="00F236D5" w:rsidRPr="00E172B2" w:rsidRDefault="00F236D5" w:rsidP="00F236D5">
      <w:pPr>
        <w:pStyle w:val="SingleTxtG"/>
        <w:spacing w:before="120" w:after="0"/>
        <w:ind w:left="1304"/>
        <w:rPr>
          <w:iCs/>
          <w:sz w:val="18"/>
          <w:szCs w:val="18"/>
          <w:lang w:val="es-ES_tradnl"/>
        </w:rPr>
      </w:pPr>
      <w:r w:rsidRPr="00E172B2">
        <w:rPr>
          <w:i/>
          <w:iCs/>
          <w:sz w:val="18"/>
          <w:szCs w:val="18"/>
          <w:lang w:val="es-ES_tradnl"/>
        </w:rPr>
        <w:t xml:space="preserve">Fuente: </w:t>
      </w:r>
      <w:r w:rsidRPr="00E172B2">
        <w:rPr>
          <w:iCs/>
          <w:sz w:val="18"/>
          <w:szCs w:val="18"/>
          <w:lang w:val="es-ES_tradnl"/>
        </w:rPr>
        <w:t>Ministerio de Educación</w:t>
      </w:r>
      <w:r>
        <w:rPr>
          <w:iCs/>
          <w:sz w:val="18"/>
          <w:szCs w:val="18"/>
          <w:lang w:val="es-ES_tradnl"/>
        </w:rPr>
        <w:t>.</w:t>
      </w:r>
    </w:p>
    <w:p w:rsidR="00F236D5" w:rsidRPr="00E172B2" w:rsidRDefault="00F236D5" w:rsidP="00F236D5">
      <w:pPr>
        <w:pStyle w:val="SingleTxtG"/>
        <w:spacing w:after="0"/>
        <w:ind w:left="1304"/>
        <w:rPr>
          <w:i/>
          <w:iCs/>
          <w:sz w:val="18"/>
          <w:szCs w:val="18"/>
          <w:lang w:val="es-ES_tradnl"/>
        </w:rPr>
      </w:pPr>
      <w:r>
        <w:rPr>
          <w:i/>
          <w:iCs/>
          <w:sz w:val="18"/>
          <w:szCs w:val="18"/>
          <w:lang w:val="es-ES_tradnl"/>
        </w:rPr>
        <w:t>Notas</w:t>
      </w:r>
    </w:p>
    <w:p w:rsidR="00F236D5" w:rsidRPr="00E172B2" w:rsidRDefault="00F236D5" w:rsidP="00F236D5">
      <w:pPr>
        <w:ind w:left="1134" w:right="1134" w:firstLine="170"/>
        <w:rPr>
          <w:sz w:val="18"/>
          <w:szCs w:val="18"/>
        </w:rPr>
      </w:pPr>
      <w:r w:rsidRPr="00165D4A">
        <w:t>*</w:t>
      </w:r>
      <w:r w:rsidRPr="00E172B2">
        <w:rPr>
          <w:sz w:val="18"/>
          <w:szCs w:val="18"/>
        </w:rPr>
        <w:t xml:space="preserve"> </w:t>
      </w:r>
      <w:r>
        <w:rPr>
          <w:sz w:val="18"/>
          <w:szCs w:val="18"/>
        </w:rPr>
        <w:t xml:space="preserve"> </w:t>
      </w:r>
      <w:r w:rsidRPr="00E172B2">
        <w:rPr>
          <w:sz w:val="18"/>
          <w:szCs w:val="18"/>
        </w:rPr>
        <w:t>La proporción se basa en las listas de julio para la enseñanza primaria y media y en las listas de marzo para la enseñanza secundaria.</w:t>
      </w:r>
    </w:p>
    <w:p w:rsidR="00F236D5" w:rsidRPr="00E172B2" w:rsidRDefault="00F236D5" w:rsidP="00F236D5">
      <w:pPr>
        <w:ind w:left="1134" w:right="1134" w:firstLine="170"/>
        <w:rPr>
          <w:sz w:val="18"/>
          <w:szCs w:val="18"/>
        </w:rPr>
      </w:pPr>
      <w:r w:rsidRPr="00165D4A">
        <w:t>**</w:t>
      </w:r>
      <w:r>
        <w:rPr>
          <w:sz w:val="18"/>
          <w:szCs w:val="18"/>
        </w:rPr>
        <w:t xml:space="preserve">  </w:t>
      </w:r>
      <w:r w:rsidRPr="00E172B2">
        <w:rPr>
          <w:sz w:val="18"/>
          <w:szCs w:val="18"/>
        </w:rPr>
        <w:t>Incluye a los directores, los profesores de educación especial y demás personal docente.</w:t>
      </w:r>
    </w:p>
    <w:p w:rsidR="00F236D5" w:rsidRPr="00E172B2" w:rsidRDefault="00F236D5" w:rsidP="00F236D5">
      <w:pPr>
        <w:ind w:left="1134" w:right="1134" w:firstLine="170"/>
        <w:rPr>
          <w:sz w:val="18"/>
          <w:szCs w:val="18"/>
        </w:rPr>
      </w:pPr>
      <w:r w:rsidRPr="00165D4A">
        <w:t>***</w:t>
      </w:r>
      <w:r>
        <w:rPr>
          <w:sz w:val="18"/>
          <w:szCs w:val="18"/>
        </w:rPr>
        <w:t xml:space="preserve">  </w:t>
      </w:r>
      <w:r w:rsidRPr="00E172B2">
        <w:rPr>
          <w:sz w:val="18"/>
          <w:szCs w:val="18"/>
        </w:rPr>
        <w:t xml:space="preserve">Las escuelas combinadas imparten enseñanza primaria y secundaria y no siempre ofrecen todos los niveles académicos anuales para estudiantes mayores. </w:t>
      </w:r>
    </w:p>
    <w:p w:rsidR="00F236D5" w:rsidRPr="00B0169E" w:rsidRDefault="00F236D5" w:rsidP="00F236D5">
      <w:pPr>
        <w:pStyle w:val="H4G"/>
      </w:pPr>
      <w:r>
        <w:tab/>
      </w:r>
      <w:r w:rsidRPr="00201FFB">
        <w:t>b)</w:t>
      </w:r>
      <w:r w:rsidRPr="00201FFB">
        <w:tab/>
        <w:t>Alfabetización</w:t>
      </w:r>
    </w:p>
    <w:p w:rsidR="00F236D5" w:rsidRPr="00201FFB" w:rsidRDefault="00F236D5" w:rsidP="00F236D5">
      <w:pPr>
        <w:pStyle w:val="SingleTxtG"/>
      </w:pPr>
      <w:r w:rsidRPr="00201FFB">
        <w:t>111.</w:t>
      </w:r>
      <w:r w:rsidRPr="00201FFB">
        <w:tab/>
        <w:t>Se evaluó la capacidad de lectura de los estudiantes de 15 años de edad por medio del Programa Internacional de Evaluación de Estudiantes (PISA), una encuesta internacional normalizada de la OCDE. En la evaluación de 2006, la nota media de lectura de los 30 países de la OCDE fue de 492 puntos. La nota media de lectura obtenida por los estudiantes del grupo étnico europeo ascendió a 542. Este puntaje fue considerablemente superior a la media de 528 obtenida por los estudiantes del grupo asiático, la cual a su vez superó con creces el promedio alcanzado por los estudiantes maoríes, de 477, y por los estudiantes del grupo de pueblos del Pacífico, de 461.</w:t>
      </w:r>
    </w:p>
    <w:p w:rsidR="00F236D5" w:rsidRPr="00201FFB" w:rsidRDefault="00F236D5" w:rsidP="00F236D5">
      <w:pPr>
        <w:pStyle w:val="SingleTxtG"/>
      </w:pPr>
      <w:r w:rsidRPr="00201FFB">
        <w:t>112.</w:t>
      </w:r>
      <w:r w:rsidRPr="00201FFB">
        <w:tab/>
        <w:t>No se observó diferencia estadística alguna entre el resultado medio de los estudiantes maoríes y el correspondiente a los del grupo de pueblos del Pacífico. Mientras que, en promedio, la capacidad de lectura de los estudiantes de los grupos europeo y asiático superó notablemente la media de los 30 países de la OCDE, el promedio obtenido por los estudiantes de los grupos maorí y de pueblos del Pacífico a ese respecto fue claramente inferior a la media de la OCDE. Los datos muestran una correlación entre el bajo nivel de rendimiento escolar y una situación socioeconómica inferior.</w:t>
      </w:r>
      <w:r>
        <w:t xml:space="preserve"> </w:t>
      </w:r>
    </w:p>
    <w:p w:rsidR="00F236D5" w:rsidRPr="00201FFB" w:rsidRDefault="00F236D5" w:rsidP="00F236D5">
      <w:pPr>
        <w:pStyle w:val="SingleTxtG"/>
      </w:pPr>
      <w:r w:rsidRPr="00201FFB">
        <w:t>113.</w:t>
      </w:r>
      <w:r w:rsidRPr="00201FFB">
        <w:tab/>
        <w:t xml:space="preserve">En 2006, Nueva Zelandia participó en el estudio sobre alfabetización de adultos y aptitudes para la vida, un estudio comparativo internacional. En este estudio se evaluaron las aptitudes de participantes de 16 a 65 años, incluido su </w:t>
      </w:r>
      <w:r>
        <w:t>"</w:t>
      </w:r>
      <w:r w:rsidRPr="00201FFB">
        <w:t>capacidad de lectura de prosa</w:t>
      </w:r>
      <w:r>
        <w:t>"</w:t>
      </w:r>
      <w:r w:rsidRPr="00201FFB">
        <w:t>, es decir, su capacidad para leer y comprender varios párrafos de texto corrido en inglés. Los resultados del estudio mostraron que la capacidad de lectura y comprensión de las mujeres era relativamente más fuerte que la de los hombres. El puntaje medio obtenido por las mujeres fue de 279 (en una escala de 0 a 500), frente al de 275 obtenido por los varones.</w:t>
      </w:r>
    </w:p>
    <w:p w:rsidR="00F236D5" w:rsidRPr="00201FFB" w:rsidRDefault="00F236D5" w:rsidP="00F236D5">
      <w:pPr>
        <w:pStyle w:val="SingleTxtG"/>
        <w:keepLines/>
      </w:pPr>
      <w:r w:rsidRPr="00201FFB">
        <w:t>114.</w:t>
      </w:r>
      <w:r w:rsidRPr="00201FFB">
        <w:tab/>
        <w:t>En promedio, los adultos neozelandeses del grupo étnico europeo obtuvieron resultados significativamente mejores en lectura y comprensión de textos que los adultos de los grupos maorí, asiático y de pueblos del Pacífico. Los puntajes medios obtenidos fueron respectivamente de 287, 258, 248 y 233.</w:t>
      </w:r>
    </w:p>
    <w:p w:rsidR="00F236D5" w:rsidRPr="00B0169E" w:rsidRDefault="00F236D5" w:rsidP="00F236D5">
      <w:pPr>
        <w:pStyle w:val="H4G"/>
      </w:pPr>
      <w:r>
        <w:tab/>
      </w:r>
      <w:r w:rsidRPr="00201FFB">
        <w:t>c)</w:t>
      </w:r>
      <w:r w:rsidRPr="00201FFB">
        <w:tab/>
        <w:t>Rendimiento académico</w:t>
      </w:r>
    </w:p>
    <w:p w:rsidR="00F236D5" w:rsidRPr="00201FFB" w:rsidRDefault="00F236D5" w:rsidP="00F236D5">
      <w:pPr>
        <w:pStyle w:val="SingleTxtG"/>
      </w:pPr>
      <w:r w:rsidRPr="00201FFB">
        <w:t>115.</w:t>
      </w:r>
      <w:r w:rsidRPr="00201FFB">
        <w:tab/>
        <w:t xml:space="preserve">Las tasas de rendimiento académico en la enseñanza secundaria han venido mejorando desde 2002, lo que explica que </w:t>
      </w:r>
      <w:r>
        <w:t>solo</w:t>
      </w:r>
      <w:r w:rsidRPr="00201FFB">
        <w:t xml:space="preserve"> un 6,2% del total de estudiantes haya egresado con un rendimiento bajo o nulo en 2008.</w:t>
      </w:r>
    </w:p>
    <w:p w:rsidR="00F236D5" w:rsidRPr="00201FFB" w:rsidRDefault="00F236D5" w:rsidP="00F236D5">
      <w:pPr>
        <w:pStyle w:val="SingleTxtG"/>
      </w:pPr>
      <w:r w:rsidRPr="00201FFB">
        <w:t>116.</w:t>
      </w:r>
      <w:r w:rsidRPr="00201FFB">
        <w:tab/>
        <w:t>El Certificado Nacional de Rendimiento Escolar se estableció en 2002. Los estudiantes secundarios toman cursos basados en normas de rendimiento y unidades académicas en los niveles 1, 2 y 3 con miras a acumular los créditos necesarios para la obtención del Certificado. Los créditos pueden obtenerse mediante evaluaciones internas y externas.</w:t>
      </w:r>
    </w:p>
    <w:p w:rsidR="00F236D5" w:rsidRPr="00201FFB" w:rsidRDefault="00F236D5" w:rsidP="00F236D5">
      <w:pPr>
        <w:pStyle w:val="SingleTxtG"/>
      </w:pPr>
      <w:r w:rsidRPr="00201FFB">
        <w:t>117.</w:t>
      </w:r>
      <w:r w:rsidRPr="00201FFB">
        <w:tab/>
        <w:t>En 2008, el 69,9</w:t>
      </w:r>
      <w:r>
        <w:t>%</w:t>
      </w:r>
      <w:r w:rsidRPr="00201FFB">
        <w:t xml:space="preserve"> de los egresados de las escuelas obtuvo como mínimo el Certificado del nivel 2, lo que representa un aumento del 33% respecto de 2003. El 84,2% de los estudiantes del grupo étnico asiático y el 74,5% de los del grupo europeo obtuvieron por lo menos el Certificado del nivel 2 en 2008, en comparación con el 62,4% de los estudiantes del grupo de pueblos del Pacífico y el 49,3% de los estudiantes maoríes.</w:t>
      </w:r>
    </w:p>
    <w:p w:rsidR="00F236D5" w:rsidRPr="00201FFB" w:rsidRDefault="00F236D5" w:rsidP="00F236D5">
      <w:pPr>
        <w:pStyle w:val="SingleTxtG"/>
      </w:pPr>
      <w:r w:rsidRPr="00201FFB">
        <w:t>118.</w:t>
      </w:r>
      <w:r w:rsidRPr="00201FFB">
        <w:tab/>
        <w:t>En 2008, el 42</w:t>
      </w:r>
      <w:r>
        <w:t>,</w:t>
      </w:r>
      <w:r w:rsidRPr="00201FFB">
        <w:t xml:space="preserve">8% de los egresados de las escuelas alcanzó como mínimo una calificación de ingreso a la universidad que les permitiría pasar directamente a los estudios superiores para la obtención de un título, lo que muestra un aumento del 49% frente al porcentaje de 2003. En 2008, el 65,3% de los estudiantes del grupo asiático, el 48,3% de los estudiantes del grupo europeo, el 22,8% de los estudiantes del grupo de pueblos del Pacífico y el 20,3% de los estudiantes maoríes obtuvieron una calificación suficiente para ingresar en la universidad. </w:t>
      </w:r>
    </w:p>
    <w:p w:rsidR="00F236D5" w:rsidRPr="00201FFB" w:rsidRDefault="00F236D5" w:rsidP="00F236D5">
      <w:pPr>
        <w:pStyle w:val="H23G"/>
      </w:pPr>
      <w:r>
        <w:tab/>
      </w:r>
      <w:r w:rsidRPr="00201FFB">
        <w:t>16.</w:t>
      </w:r>
      <w:r w:rsidRPr="00201FFB">
        <w:tab/>
        <w:t>Procesos políticos</w:t>
      </w:r>
    </w:p>
    <w:p w:rsidR="00F236D5" w:rsidRPr="00201FFB" w:rsidRDefault="00F236D5" w:rsidP="00F236D5">
      <w:pPr>
        <w:pStyle w:val="SingleTxtG"/>
      </w:pPr>
      <w:r w:rsidRPr="00201FFB">
        <w:t>119.</w:t>
      </w:r>
      <w:r w:rsidRPr="00201FFB">
        <w:tab/>
        <w:t xml:space="preserve">El 8 de noviembre de 2008, día de las elecciones parlamentarias, </w:t>
      </w:r>
      <w:r>
        <w:t>2.991.000</w:t>
      </w:r>
      <w:r w:rsidRPr="00201FFB">
        <w:t xml:space="preserve"> personas, o el 95,31% del total de votantes autorizados, se habían inscrito para votar. Para tener derecho a voto en Nueva Zelandia, las personas deben haber cumplido 18 años de edad, ser ciudadanos o residentes permanentes de Nueva Zelandia y haber vivido en el país durante más de un año de forma continua.</w:t>
      </w:r>
    </w:p>
    <w:p w:rsidR="00F236D5" w:rsidRPr="00201FFB" w:rsidRDefault="00F236D5" w:rsidP="00F236D5">
      <w:pPr>
        <w:pStyle w:val="SingleTxtG"/>
      </w:pPr>
      <w:r w:rsidRPr="00201FFB">
        <w:t>120.</w:t>
      </w:r>
      <w:r w:rsidRPr="00201FFB">
        <w:tab/>
        <w:t xml:space="preserve">En el contexto de la elección parlamentaria de 2008 se interpusieron 464 quejas. De </w:t>
      </w:r>
      <w:r>
        <w:t>e</w:t>
      </w:r>
      <w:r w:rsidRPr="00201FFB">
        <w:t xml:space="preserve">stas, 44 se referían a la administración, 223 a presuntas infracciones por parte de partidos políticos, candidatos o terceros, 189 a cuestiones legislativas de carácter general y </w:t>
      </w:r>
      <w:r>
        <w:t>8</w:t>
      </w:r>
      <w:r w:rsidRPr="00201FFB">
        <w:t xml:space="preserve"> a </w:t>
      </w:r>
      <w:r>
        <w:t>"</w:t>
      </w:r>
      <w:r w:rsidRPr="00201FFB">
        <w:t>cuestiones varias</w:t>
      </w:r>
      <w:r>
        <w:t>"</w:t>
      </w:r>
      <w:r w:rsidRPr="00201FFB">
        <w:t>.</w:t>
      </w:r>
      <w:r>
        <w:t xml:space="preserve"> </w:t>
      </w:r>
      <w:r w:rsidRPr="00201FFB">
        <w:t>Dado que muchas de las quejas recibidas por la Oficina Electoral Principal no suponían infracciones de la ley electoral, se resolvieron mediante una aclaración del tenor de la ley. En estos casos, por lo general se informó a los autores de la queja de la posibilidad de presentar una comunicación al Comité Especial sobre Justicia y Elecciones cuando hiciera su examen de la elección general.</w:t>
      </w:r>
    </w:p>
    <w:p w:rsidR="00F236D5" w:rsidRPr="00201FFB" w:rsidRDefault="00F236D5" w:rsidP="00F236D5">
      <w:pPr>
        <w:pStyle w:val="SingleTxtG"/>
      </w:pPr>
      <w:r w:rsidRPr="00201FFB">
        <w:t>121.</w:t>
      </w:r>
      <w:r w:rsidRPr="00201FFB">
        <w:tab/>
        <w:t xml:space="preserve">Del total de quejas sobre presuntas infracciones, la Oficina Electoral Principal llevó a cabo investigaciones sobre 81 de ellas y remitió </w:t>
      </w:r>
      <w:r>
        <w:t>3</w:t>
      </w:r>
      <w:r w:rsidRPr="00201FFB">
        <w:t xml:space="preserve"> a la </w:t>
      </w:r>
      <w:r>
        <w:t>p</w:t>
      </w:r>
      <w:r w:rsidRPr="00201FFB">
        <w:t xml:space="preserve">olicía. No se inició ninguna acción judicial. Además, la Oficina Electoral Principal puso en marcha investigaciones sobre presuntos casos de doble votación y no declaración de gastos y donaciones por parte de candidatos. De los 58 casos de presunta doble votación remitidos a la </w:t>
      </w:r>
      <w:r>
        <w:t>p</w:t>
      </w:r>
      <w:r w:rsidRPr="00201FFB">
        <w:t xml:space="preserve">olicía para su investigación ulterior, </w:t>
      </w:r>
      <w:r>
        <w:t>2</w:t>
      </w:r>
      <w:r w:rsidRPr="00201FFB">
        <w:t xml:space="preserve"> fueron objeto de procesos judiciales. Asimismo, se remitieron a la </w:t>
      </w:r>
      <w:r>
        <w:t>p</w:t>
      </w:r>
      <w:r w:rsidRPr="00201FFB">
        <w:t xml:space="preserve">olicía </w:t>
      </w:r>
      <w:r>
        <w:t>9</w:t>
      </w:r>
      <w:r w:rsidRPr="00201FFB">
        <w:t xml:space="preserve"> casos de no declaración por parte de candidatos, </w:t>
      </w:r>
      <w:r>
        <w:t>2</w:t>
      </w:r>
      <w:r w:rsidRPr="00201FFB">
        <w:t xml:space="preserve"> de los cuales fueron llevados a los tribunales.</w:t>
      </w:r>
    </w:p>
    <w:p w:rsidR="00F236D5" w:rsidRPr="00201FFB" w:rsidRDefault="00F236D5" w:rsidP="00F236D5">
      <w:pPr>
        <w:pStyle w:val="SingleTxtG"/>
      </w:pPr>
      <w:r w:rsidRPr="00201FFB">
        <w:t>122.</w:t>
      </w:r>
      <w:r w:rsidRPr="00201FFB">
        <w:tab/>
        <w:t xml:space="preserve">El número de votantes en la elección general de 2008 ascendió al 79,46% de los inscritos para votar, mientras que en las elecciones de autoridades locales de 2007 esa proporción fue del 44%. Las elecciones a nivel nacional y subnacional se celebran con arreglo a calendarios establecidos por ley. </w:t>
      </w:r>
    </w:p>
    <w:p w:rsidR="00F236D5" w:rsidRPr="00201FFB" w:rsidRDefault="00F236D5" w:rsidP="00F236D5">
      <w:pPr>
        <w:pStyle w:val="SingleTxtG"/>
      </w:pPr>
      <w:r w:rsidRPr="00201FFB">
        <w:t>123.</w:t>
      </w:r>
      <w:r w:rsidRPr="00201FFB">
        <w:tab/>
        <w:t>La actual distribución de los escaños parlamentarios es la siguiente: 58 del Partido Nacional, 43 del Partido Laborista, 9 del Partido Verde, 5 del partido ACT New Zealand, 5</w:t>
      </w:r>
      <w:r>
        <w:t> </w:t>
      </w:r>
      <w:r w:rsidRPr="00201FFB">
        <w:t>del Partido Maorí, 1 del Partido Progresista de Jim Anderton y 1 del partido Futuro Unido.</w:t>
      </w:r>
    </w:p>
    <w:p w:rsidR="00F236D5" w:rsidRPr="00B0169E" w:rsidRDefault="00F236D5" w:rsidP="00F236D5">
      <w:pPr>
        <w:pStyle w:val="H23G"/>
      </w:pPr>
      <w:r>
        <w:tab/>
      </w:r>
      <w:r w:rsidRPr="00201FFB">
        <w:t>17.</w:t>
      </w:r>
      <w:r w:rsidRPr="00201FFB">
        <w:tab/>
        <w:t>Propiedad de los medios de información</w:t>
      </w:r>
    </w:p>
    <w:p w:rsidR="00F236D5" w:rsidRPr="00201FFB" w:rsidRDefault="00F236D5" w:rsidP="00F236D5">
      <w:pPr>
        <w:pStyle w:val="SingleTxtG"/>
      </w:pPr>
      <w:r w:rsidRPr="00201FFB">
        <w:t>124.</w:t>
      </w:r>
      <w:r w:rsidRPr="00201FFB">
        <w:tab/>
        <w:t>De los seis canales de televisión autorizados para hacer emisiones, tres (TV One, TV2 y Maori Television) son propiedad del Estado y otros tres (TV3, C4 y Prime) son empresas privadas. TV One y TV2 dependen en gran medida de los ingresos derivados de la publicidad. El Servicio de Televisión Maorí, inaugurado en 2004, cuenta con considerable financiación del Gobierno y atrae a muchos espectadores no maoríes. Dos grandes cadenas de radio privadas atraen a la mayoría de los radioescuchas. Existen asimismo cadenas de radio no comerciales y públicas que reciben financiación gubernamental por conducto de New Zealand On Air, una entidad cercana a la Corona, que también ofrece fondos, sobre una base competitiva, para la producción de programas locales que salen al aire a través de todos los principales canales de televisión. Dos grandes empresas con sede en Australia son propietarias de la mayoría de los diarios y semanarios impresos.</w:t>
      </w:r>
    </w:p>
    <w:p w:rsidR="00F236D5" w:rsidRPr="00201FFB" w:rsidRDefault="00F236D5" w:rsidP="00F236D5">
      <w:pPr>
        <w:pStyle w:val="H23G"/>
      </w:pPr>
      <w:r>
        <w:tab/>
      </w:r>
      <w:r w:rsidRPr="00201FFB">
        <w:t>18.</w:t>
      </w:r>
      <w:r w:rsidRPr="00201FFB">
        <w:tab/>
        <w:t>Delito</w:t>
      </w:r>
    </w:p>
    <w:p w:rsidR="00F236D5" w:rsidRPr="00201FFB" w:rsidRDefault="00F236D5" w:rsidP="00F236D5">
      <w:pPr>
        <w:pStyle w:val="SingleTxtG"/>
      </w:pPr>
      <w:r w:rsidRPr="00201FFB">
        <w:t>125.</w:t>
      </w:r>
      <w:r w:rsidRPr="00201FFB">
        <w:tab/>
        <w:t>Los datos que figuran en el cuadro 39 se refieren a los delitos registrados y no a los procesos conexos.</w:t>
      </w:r>
    </w:p>
    <w:p w:rsidR="00F236D5" w:rsidRDefault="00F236D5" w:rsidP="00F236D5">
      <w:pPr>
        <w:pStyle w:val="Heading1"/>
        <w:spacing w:line="240" w:lineRule="atLeast"/>
        <w:rPr>
          <w:szCs w:val="20"/>
          <w:lang w:val="es-ES_tradnl"/>
        </w:rPr>
      </w:pPr>
      <w:r w:rsidRPr="00F91112">
        <w:rPr>
          <w:szCs w:val="20"/>
          <w:lang w:val="es-ES_tradnl"/>
        </w:rPr>
        <w:t>Cuadro 39</w:t>
      </w:r>
    </w:p>
    <w:p w:rsidR="00F236D5" w:rsidRPr="00F91112" w:rsidRDefault="00F236D5" w:rsidP="00F236D5">
      <w:pPr>
        <w:pStyle w:val="SingleTxtG"/>
        <w:jc w:val="left"/>
        <w:rPr>
          <w:b/>
          <w:bCs/>
          <w:lang w:val="es-ES_tradnl"/>
        </w:rPr>
      </w:pPr>
      <w:r w:rsidRPr="00F91112">
        <w:rPr>
          <w:b/>
          <w:bCs/>
          <w:lang w:val="es-ES_tradnl"/>
        </w:rPr>
        <w:t>Delitos registrados</w:t>
      </w:r>
    </w:p>
    <w:tbl>
      <w:tblPr>
        <w:tblStyle w:val="TableGrid"/>
        <w:tblW w:w="9639"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838"/>
        <w:gridCol w:w="723"/>
        <w:gridCol w:w="1221"/>
        <w:gridCol w:w="723"/>
        <w:gridCol w:w="1220"/>
        <w:gridCol w:w="723"/>
        <w:gridCol w:w="1221"/>
        <w:gridCol w:w="741"/>
        <w:gridCol w:w="1229"/>
      </w:tblGrid>
      <w:tr w:rsidR="00F236D5" w:rsidRPr="00FF1AEE" w:rsidTr="00947046">
        <w:trPr>
          <w:trHeight w:val="240"/>
          <w:tblHeader/>
        </w:trPr>
        <w:tc>
          <w:tcPr>
            <w:tcW w:w="1876" w:type="dxa"/>
            <w:tcBorders>
              <w:top w:val="single" w:sz="4" w:space="0" w:color="auto"/>
              <w:bottom w:val="single" w:sz="12" w:space="0" w:color="auto"/>
            </w:tcBorders>
            <w:shd w:val="clear" w:color="auto" w:fill="auto"/>
            <w:vAlign w:val="bottom"/>
          </w:tcPr>
          <w:p w:rsidR="00F236D5" w:rsidRPr="00FF1AEE" w:rsidRDefault="00F236D5" w:rsidP="00947046">
            <w:pPr>
              <w:spacing w:before="80" w:after="80" w:line="200" w:lineRule="exact"/>
              <w:rPr>
                <w:i/>
                <w:sz w:val="16"/>
              </w:rPr>
            </w:pPr>
          </w:p>
        </w:tc>
        <w:tc>
          <w:tcPr>
            <w:tcW w:w="737" w:type="dxa"/>
            <w:tcBorders>
              <w:top w:val="single" w:sz="4" w:space="0" w:color="auto"/>
              <w:bottom w:val="single" w:sz="12" w:space="0" w:color="auto"/>
            </w:tcBorders>
            <w:shd w:val="clear" w:color="auto" w:fill="auto"/>
            <w:vAlign w:val="bottom"/>
          </w:tcPr>
          <w:p w:rsidR="00F236D5" w:rsidRPr="00FF1AEE" w:rsidRDefault="00F236D5" w:rsidP="00947046">
            <w:pPr>
              <w:spacing w:before="80" w:after="80" w:line="200" w:lineRule="exact"/>
              <w:ind w:right="28"/>
              <w:jc w:val="right"/>
              <w:rPr>
                <w:i/>
                <w:sz w:val="16"/>
              </w:rPr>
            </w:pPr>
            <w:r>
              <w:rPr>
                <w:i/>
                <w:sz w:val="16"/>
              </w:rPr>
              <w:t>Total</w:t>
            </w:r>
            <w:r>
              <w:rPr>
                <w:i/>
                <w:sz w:val="16"/>
              </w:rPr>
              <w:br/>
              <w:t>en 2005</w:t>
            </w:r>
          </w:p>
        </w:tc>
        <w:tc>
          <w:tcPr>
            <w:tcW w:w="1246" w:type="dxa"/>
            <w:tcBorders>
              <w:top w:val="single" w:sz="4" w:space="0" w:color="auto"/>
              <w:bottom w:val="single" w:sz="12" w:space="0" w:color="auto"/>
            </w:tcBorders>
            <w:shd w:val="clear" w:color="auto" w:fill="auto"/>
            <w:vAlign w:val="bottom"/>
          </w:tcPr>
          <w:p w:rsidR="00F236D5" w:rsidRPr="00FF1AEE" w:rsidRDefault="00F236D5" w:rsidP="00947046">
            <w:pPr>
              <w:spacing w:before="80" w:after="80" w:line="200" w:lineRule="exact"/>
              <w:jc w:val="right"/>
              <w:rPr>
                <w:i/>
                <w:sz w:val="16"/>
              </w:rPr>
            </w:pPr>
            <w:r>
              <w:rPr>
                <w:i/>
                <w:sz w:val="16"/>
              </w:rPr>
              <w:t xml:space="preserve">Tasa de 2005 </w:t>
            </w:r>
            <w:r>
              <w:rPr>
                <w:i/>
                <w:sz w:val="16"/>
              </w:rPr>
              <w:br/>
              <w:t>por cada 100.000</w:t>
            </w:r>
          </w:p>
        </w:tc>
        <w:tc>
          <w:tcPr>
            <w:tcW w:w="737" w:type="dxa"/>
            <w:tcBorders>
              <w:top w:val="single" w:sz="4" w:space="0" w:color="auto"/>
              <w:bottom w:val="single" w:sz="12" w:space="0" w:color="auto"/>
            </w:tcBorders>
            <w:shd w:val="clear" w:color="auto" w:fill="auto"/>
            <w:vAlign w:val="bottom"/>
          </w:tcPr>
          <w:p w:rsidR="00F236D5" w:rsidRPr="00FF1AEE" w:rsidRDefault="00F236D5" w:rsidP="00947046">
            <w:pPr>
              <w:spacing w:before="80" w:after="80" w:line="200" w:lineRule="exact"/>
              <w:ind w:right="57"/>
              <w:jc w:val="right"/>
              <w:rPr>
                <w:i/>
                <w:sz w:val="16"/>
              </w:rPr>
            </w:pPr>
            <w:r>
              <w:rPr>
                <w:i/>
                <w:sz w:val="16"/>
              </w:rPr>
              <w:t xml:space="preserve">Total </w:t>
            </w:r>
            <w:r>
              <w:rPr>
                <w:i/>
                <w:sz w:val="16"/>
              </w:rPr>
              <w:br/>
              <w:t>en 2006</w:t>
            </w:r>
          </w:p>
        </w:tc>
        <w:tc>
          <w:tcPr>
            <w:tcW w:w="1245" w:type="dxa"/>
            <w:tcBorders>
              <w:top w:val="single" w:sz="4" w:space="0" w:color="auto"/>
              <w:bottom w:val="single" w:sz="12" w:space="0" w:color="auto"/>
            </w:tcBorders>
            <w:shd w:val="clear" w:color="auto" w:fill="auto"/>
            <w:vAlign w:val="bottom"/>
          </w:tcPr>
          <w:p w:rsidR="00F236D5" w:rsidRPr="00FF1AEE" w:rsidRDefault="00F236D5" w:rsidP="00947046">
            <w:pPr>
              <w:spacing w:before="80" w:after="80" w:line="200" w:lineRule="exact"/>
              <w:jc w:val="right"/>
              <w:rPr>
                <w:i/>
                <w:sz w:val="16"/>
              </w:rPr>
            </w:pPr>
            <w:r>
              <w:rPr>
                <w:i/>
                <w:sz w:val="16"/>
              </w:rPr>
              <w:t>Tasa de 2006</w:t>
            </w:r>
            <w:r>
              <w:rPr>
                <w:i/>
                <w:sz w:val="16"/>
              </w:rPr>
              <w:br/>
              <w:t>por cada 100.000</w:t>
            </w:r>
          </w:p>
        </w:tc>
        <w:tc>
          <w:tcPr>
            <w:tcW w:w="737" w:type="dxa"/>
            <w:tcBorders>
              <w:top w:val="single" w:sz="4" w:space="0" w:color="auto"/>
              <w:bottom w:val="single" w:sz="12" w:space="0" w:color="auto"/>
            </w:tcBorders>
            <w:shd w:val="clear" w:color="auto" w:fill="auto"/>
            <w:vAlign w:val="bottom"/>
          </w:tcPr>
          <w:p w:rsidR="00F236D5" w:rsidRPr="00FF1AEE" w:rsidRDefault="00F236D5" w:rsidP="00947046">
            <w:pPr>
              <w:spacing w:before="80" w:after="80" w:line="200" w:lineRule="exact"/>
              <w:ind w:right="28"/>
              <w:jc w:val="right"/>
              <w:rPr>
                <w:i/>
                <w:sz w:val="16"/>
              </w:rPr>
            </w:pPr>
            <w:r>
              <w:rPr>
                <w:i/>
                <w:sz w:val="16"/>
              </w:rPr>
              <w:t>Total</w:t>
            </w:r>
            <w:r>
              <w:rPr>
                <w:i/>
                <w:sz w:val="16"/>
              </w:rPr>
              <w:br/>
              <w:t>en 2007</w:t>
            </w:r>
          </w:p>
        </w:tc>
        <w:tc>
          <w:tcPr>
            <w:tcW w:w="1246" w:type="dxa"/>
            <w:tcBorders>
              <w:top w:val="single" w:sz="4" w:space="0" w:color="auto"/>
              <w:bottom w:val="single" w:sz="12" w:space="0" w:color="auto"/>
            </w:tcBorders>
            <w:shd w:val="clear" w:color="auto" w:fill="auto"/>
            <w:vAlign w:val="bottom"/>
          </w:tcPr>
          <w:p w:rsidR="00F236D5" w:rsidRPr="00FF1AEE" w:rsidRDefault="00F236D5" w:rsidP="00947046">
            <w:pPr>
              <w:spacing w:before="80" w:after="80" w:line="200" w:lineRule="exact"/>
              <w:jc w:val="right"/>
              <w:rPr>
                <w:i/>
                <w:sz w:val="16"/>
              </w:rPr>
            </w:pPr>
            <w:r>
              <w:rPr>
                <w:i/>
                <w:sz w:val="16"/>
              </w:rPr>
              <w:t>Tasa de 2007</w:t>
            </w:r>
            <w:r>
              <w:rPr>
                <w:i/>
                <w:sz w:val="16"/>
              </w:rPr>
              <w:br/>
              <w:t>por cada 100.000</w:t>
            </w:r>
          </w:p>
        </w:tc>
        <w:tc>
          <w:tcPr>
            <w:tcW w:w="756" w:type="dxa"/>
            <w:tcBorders>
              <w:top w:val="single" w:sz="4" w:space="0" w:color="auto"/>
              <w:bottom w:val="single" w:sz="12" w:space="0" w:color="auto"/>
            </w:tcBorders>
            <w:shd w:val="clear" w:color="auto" w:fill="auto"/>
            <w:vAlign w:val="bottom"/>
          </w:tcPr>
          <w:p w:rsidR="00F236D5" w:rsidRPr="00FF1AEE" w:rsidRDefault="00F236D5" w:rsidP="00947046">
            <w:pPr>
              <w:spacing w:before="80" w:after="80" w:line="200" w:lineRule="exact"/>
              <w:ind w:right="28"/>
              <w:jc w:val="right"/>
              <w:rPr>
                <w:i/>
                <w:sz w:val="16"/>
              </w:rPr>
            </w:pPr>
            <w:r>
              <w:rPr>
                <w:i/>
                <w:sz w:val="16"/>
              </w:rPr>
              <w:t>Total</w:t>
            </w:r>
            <w:r>
              <w:rPr>
                <w:i/>
                <w:sz w:val="16"/>
              </w:rPr>
              <w:br/>
              <w:t>en 2008</w:t>
            </w:r>
          </w:p>
        </w:tc>
        <w:tc>
          <w:tcPr>
            <w:tcW w:w="1254" w:type="dxa"/>
            <w:tcBorders>
              <w:top w:val="single" w:sz="4" w:space="0" w:color="auto"/>
              <w:bottom w:val="single" w:sz="12" w:space="0" w:color="auto"/>
            </w:tcBorders>
            <w:shd w:val="clear" w:color="auto" w:fill="auto"/>
            <w:vAlign w:val="bottom"/>
          </w:tcPr>
          <w:p w:rsidR="00F236D5" w:rsidRPr="00FF1AEE" w:rsidRDefault="00F236D5" w:rsidP="00947046">
            <w:pPr>
              <w:spacing w:before="80" w:after="80" w:line="200" w:lineRule="exact"/>
              <w:ind w:right="28"/>
              <w:jc w:val="right"/>
              <w:rPr>
                <w:i/>
                <w:sz w:val="16"/>
              </w:rPr>
            </w:pPr>
            <w:r>
              <w:rPr>
                <w:i/>
                <w:sz w:val="16"/>
              </w:rPr>
              <w:t>Tasa de 2008</w:t>
            </w:r>
            <w:r>
              <w:rPr>
                <w:i/>
                <w:sz w:val="16"/>
              </w:rPr>
              <w:br/>
              <w:t>por cada 100.000</w:t>
            </w:r>
          </w:p>
        </w:tc>
      </w:tr>
      <w:tr w:rsidR="00F236D5" w:rsidRPr="00FF1AEE" w:rsidTr="00947046">
        <w:trPr>
          <w:trHeight w:val="240"/>
        </w:trPr>
        <w:tc>
          <w:tcPr>
            <w:tcW w:w="1876" w:type="dxa"/>
            <w:tcBorders>
              <w:top w:val="single" w:sz="12" w:space="0" w:color="auto"/>
            </w:tcBorders>
            <w:shd w:val="clear" w:color="auto" w:fill="auto"/>
            <w:vAlign w:val="bottom"/>
          </w:tcPr>
          <w:p w:rsidR="00F236D5" w:rsidRPr="00FF1AEE" w:rsidRDefault="00F236D5" w:rsidP="00947046">
            <w:pPr>
              <w:spacing w:before="40" w:after="40" w:line="220" w:lineRule="exact"/>
              <w:rPr>
                <w:sz w:val="18"/>
              </w:rPr>
            </w:pPr>
            <w:r>
              <w:rPr>
                <w:sz w:val="18"/>
              </w:rPr>
              <w:t>Homicidio intencional</w:t>
            </w:r>
          </w:p>
        </w:tc>
        <w:tc>
          <w:tcPr>
            <w:tcW w:w="737" w:type="dxa"/>
            <w:tcBorders>
              <w:top w:val="single" w:sz="12" w:space="0" w:color="auto"/>
            </w:tcBorders>
            <w:shd w:val="clear" w:color="auto" w:fill="auto"/>
            <w:vAlign w:val="bottom"/>
          </w:tcPr>
          <w:p w:rsidR="00F236D5" w:rsidRPr="00FF1AEE" w:rsidRDefault="00F236D5" w:rsidP="00947046">
            <w:pPr>
              <w:spacing w:before="40" w:after="40" w:line="220" w:lineRule="exact"/>
              <w:ind w:right="28"/>
              <w:jc w:val="right"/>
              <w:rPr>
                <w:sz w:val="18"/>
              </w:rPr>
            </w:pPr>
            <w:r w:rsidRPr="00FF1AEE">
              <w:rPr>
                <w:sz w:val="18"/>
              </w:rPr>
              <w:t>61</w:t>
            </w:r>
          </w:p>
        </w:tc>
        <w:tc>
          <w:tcPr>
            <w:tcW w:w="1246" w:type="dxa"/>
            <w:tcBorders>
              <w:top w:val="single" w:sz="12" w:space="0" w:color="auto"/>
            </w:tcBorders>
            <w:shd w:val="clear" w:color="auto" w:fill="auto"/>
            <w:vAlign w:val="bottom"/>
          </w:tcPr>
          <w:p w:rsidR="00F236D5" w:rsidRPr="00FF1AEE" w:rsidRDefault="00F236D5" w:rsidP="00947046">
            <w:pPr>
              <w:spacing w:before="40" w:after="40" w:line="220" w:lineRule="exact"/>
              <w:jc w:val="right"/>
              <w:rPr>
                <w:sz w:val="18"/>
              </w:rPr>
            </w:pPr>
            <w:r w:rsidRPr="00FF1AEE">
              <w:rPr>
                <w:sz w:val="18"/>
              </w:rPr>
              <w:t>1</w:t>
            </w:r>
            <w:r>
              <w:rPr>
                <w:sz w:val="18"/>
              </w:rPr>
              <w:t>,</w:t>
            </w:r>
            <w:r w:rsidRPr="00FF1AEE">
              <w:rPr>
                <w:sz w:val="18"/>
              </w:rPr>
              <w:t>46</w:t>
            </w:r>
          </w:p>
        </w:tc>
        <w:tc>
          <w:tcPr>
            <w:tcW w:w="737" w:type="dxa"/>
            <w:tcBorders>
              <w:top w:val="single" w:sz="12" w:space="0" w:color="auto"/>
            </w:tcBorders>
            <w:shd w:val="clear" w:color="auto" w:fill="auto"/>
            <w:vAlign w:val="bottom"/>
          </w:tcPr>
          <w:p w:rsidR="00F236D5" w:rsidRPr="00FF1AEE" w:rsidRDefault="00F236D5" w:rsidP="00947046">
            <w:pPr>
              <w:spacing w:before="40" w:after="40" w:line="220" w:lineRule="exact"/>
              <w:ind w:right="57"/>
              <w:jc w:val="right"/>
              <w:rPr>
                <w:sz w:val="18"/>
              </w:rPr>
            </w:pPr>
            <w:r w:rsidRPr="00FF1AEE">
              <w:rPr>
                <w:sz w:val="18"/>
              </w:rPr>
              <w:t>49</w:t>
            </w:r>
          </w:p>
        </w:tc>
        <w:tc>
          <w:tcPr>
            <w:tcW w:w="1245" w:type="dxa"/>
            <w:tcBorders>
              <w:top w:val="single" w:sz="12" w:space="0" w:color="auto"/>
            </w:tcBorders>
            <w:shd w:val="clear" w:color="auto" w:fill="auto"/>
            <w:vAlign w:val="bottom"/>
          </w:tcPr>
          <w:p w:rsidR="00F236D5" w:rsidRPr="00FF1AEE" w:rsidRDefault="00F236D5" w:rsidP="00947046">
            <w:pPr>
              <w:spacing w:before="40" w:after="40" w:line="220" w:lineRule="exact"/>
              <w:jc w:val="right"/>
              <w:rPr>
                <w:sz w:val="18"/>
              </w:rPr>
            </w:pPr>
            <w:r w:rsidRPr="00FF1AEE">
              <w:rPr>
                <w:sz w:val="18"/>
              </w:rPr>
              <w:t>1</w:t>
            </w:r>
            <w:r>
              <w:rPr>
                <w:sz w:val="18"/>
              </w:rPr>
              <w:t>,</w:t>
            </w:r>
            <w:r w:rsidRPr="00FF1AEE">
              <w:rPr>
                <w:sz w:val="18"/>
              </w:rPr>
              <w:t>16</w:t>
            </w:r>
          </w:p>
        </w:tc>
        <w:tc>
          <w:tcPr>
            <w:tcW w:w="737" w:type="dxa"/>
            <w:tcBorders>
              <w:top w:val="single" w:sz="12" w:space="0" w:color="auto"/>
            </w:tcBorders>
            <w:shd w:val="clear" w:color="auto" w:fill="auto"/>
            <w:vAlign w:val="bottom"/>
          </w:tcPr>
          <w:p w:rsidR="00F236D5" w:rsidRPr="00FF1AEE" w:rsidRDefault="00F236D5" w:rsidP="00947046">
            <w:pPr>
              <w:spacing w:before="40" w:after="40" w:line="220" w:lineRule="exact"/>
              <w:ind w:right="28"/>
              <w:jc w:val="right"/>
              <w:rPr>
                <w:sz w:val="18"/>
              </w:rPr>
            </w:pPr>
            <w:r w:rsidRPr="00FF1AEE">
              <w:rPr>
                <w:sz w:val="18"/>
              </w:rPr>
              <w:t>48</w:t>
            </w:r>
          </w:p>
        </w:tc>
        <w:tc>
          <w:tcPr>
            <w:tcW w:w="1246" w:type="dxa"/>
            <w:tcBorders>
              <w:top w:val="single" w:sz="12" w:space="0" w:color="auto"/>
            </w:tcBorders>
            <w:shd w:val="clear" w:color="auto" w:fill="auto"/>
            <w:vAlign w:val="bottom"/>
          </w:tcPr>
          <w:p w:rsidR="00F236D5" w:rsidRPr="00FF1AEE" w:rsidRDefault="00F236D5" w:rsidP="00947046">
            <w:pPr>
              <w:spacing w:before="40" w:after="40" w:line="220" w:lineRule="exact"/>
              <w:jc w:val="right"/>
              <w:rPr>
                <w:sz w:val="18"/>
              </w:rPr>
            </w:pPr>
            <w:r w:rsidRPr="00FF1AEE">
              <w:rPr>
                <w:sz w:val="18"/>
              </w:rPr>
              <w:t>1</w:t>
            </w:r>
            <w:r>
              <w:rPr>
                <w:sz w:val="18"/>
              </w:rPr>
              <w:t>,</w:t>
            </w:r>
            <w:r w:rsidRPr="00FF1AEE">
              <w:rPr>
                <w:sz w:val="18"/>
              </w:rPr>
              <w:t>12</w:t>
            </w:r>
          </w:p>
        </w:tc>
        <w:tc>
          <w:tcPr>
            <w:tcW w:w="756" w:type="dxa"/>
            <w:tcBorders>
              <w:top w:val="single" w:sz="12" w:space="0" w:color="auto"/>
            </w:tcBorders>
            <w:shd w:val="clear" w:color="auto" w:fill="auto"/>
            <w:vAlign w:val="bottom"/>
          </w:tcPr>
          <w:p w:rsidR="00F236D5" w:rsidRPr="00FF1AEE" w:rsidRDefault="00F236D5" w:rsidP="00947046">
            <w:pPr>
              <w:spacing w:before="40" w:after="40" w:line="220" w:lineRule="exact"/>
              <w:ind w:right="28"/>
              <w:jc w:val="right"/>
              <w:rPr>
                <w:sz w:val="18"/>
              </w:rPr>
            </w:pPr>
            <w:r w:rsidRPr="00FF1AEE">
              <w:rPr>
                <w:sz w:val="18"/>
              </w:rPr>
              <w:t>53</w:t>
            </w:r>
          </w:p>
        </w:tc>
        <w:tc>
          <w:tcPr>
            <w:tcW w:w="1254" w:type="dxa"/>
            <w:tcBorders>
              <w:top w:val="single" w:sz="12" w:space="0" w:color="auto"/>
            </w:tcBorders>
            <w:shd w:val="clear" w:color="auto" w:fill="auto"/>
            <w:vAlign w:val="bottom"/>
          </w:tcPr>
          <w:p w:rsidR="00F236D5" w:rsidRPr="00FF1AEE" w:rsidRDefault="00F236D5" w:rsidP="00947046">
            <w:pPr>
              <w:spacing w:before="40" w:after="40" w:line="220" w:lineRule="exact"/>
              <w:ind w:right="28"/>
              <w:jc w:val="right"/>
              <w:rPr>
                <w:sz w:val="18"/>
              </w:rPr>
            </w:pPr>
            <w:r w:rsidRPr="00FF1AEE">
              <w:rPr>
                <w:sz w:val="18"/>
              </w:rPr>
              <w:t>1</w:t>
            </w:r>
            <w:r>
              <w:rPr>
                <w:sz w:val="18"/>
              </w:rPr>
              <w:t>,</w:t>
            </w:r>
            <w:r w:rsidRPr="00FF1AEE">
              <w:rPr>
                <w:sz w:val="18"/>
              </w:rPr>
              <w:t>23</w:t>
            </w:r>
          </w:p>
        </w:tc>
      </w:tr>
      <w:tr w:rsidR="00F236D5" w:rsidRPr="00FF1AEE" w:rsidTr="00947046">
        <w:trPr>
          <w:trHeight w:val="240"/>
        </w:trPr>
        <w:tc>
          <w:tcPr>
            <w:tcW w:w="1876" w:type="dxa"/>
            <w:shd w:val="clear" w:color="auto" w:fill="auto"/>
            <w:vAlign w:val="bottom"/>
          </w:tcPr>
          <w:p w:rsidR="00F236D5" w:rsidRPr="00FF1AEE" w:rsidRDefault="00F236D5" w:rsidP="00947046">
            <w:pPr>
              <w:spacing w:before="40" w:after="40" w:line="220" w:lineRule="exact"/>
              <w:rPr>
                <w:sz w:val="18"/>
              </w:rPr>
            </w:pPr>
            <w:r>
              <w:rPr>
                <w:sz w:val="18"/>
              </w:rPr>
              <w:t>Agresión</w:t>
            </w:r>
          </w:p>
        </w:tc>
        <w:tc>
          <w:tcPr>
            <w:tcW w:w="737" w:type="dxa"/>
            <w:shd w:val="clear" w:color="auto" w:fill="auto"/>
            <w:vAlign w:val="bottom"/>
          </w:tcPr>
          <w:p w:rsidR="00F236D5" w:rsidRPr="00FF1AEE" w:rsidRDefault="00F236D5" w:rsidP="00947046">
            <w:pPr>
              <w:spacing w:before="40" w:after="40" w:line="220" w:lineRule="exact"/>
              <w:ind w:right="28"/>
              <w:jc w:val="right"/>
              <w:rPr>
                <w:sz w:val="18"/>
              </w:rPr>
            </w:pPr>
          </w:p>
        </w:tc>
        <w:tc>
          <w:tcPr>
            <w:tcW w:w="1246" w:type="dxa"/>
            <w:shd w:val="clear" w:color="auto" w:fill="auto"/>
            <w:vAlign w:val="bottom"/>
          </w:tcPr>
          <w:p w:rsidR="00F236D5" w:rsidRPr="00FF1AEE" w:rsidRDefault="00F236D5" w:rsidP="00947046">
            <w:pPr>
              <w:spacing w:before="40" w:after="40" w:line="220" w:lineRule="exact"/>
              <w:jc w:val="right"/>
              <w:rPr>
                <w:sz w:val="18"/>
              </w:rPr>
            </w:pPr>
          </w:p>
        </w:tc>
        <w:tc>
          <w:tcPr>
            <w:tcW w:w="737" w:type="dxa"/>
            <w:shd w:val="clear" w:color="auto" w:fill="auto"/>
            <w:vAlign w:val="bottom"/>
          </w:tcPr>
          <w:p w:rsidR="00F236D5" w:rsidRPr="00FF1AEE" w:rsidRDefault="00F236D5" w:rsidP="00947046">
            <w:pPr>
              <w:spacing w:before="40" w:after="40" w:line="220" w:lineRule="exact"/>
              <w:ind w:right="57"/>
              <w:jc w:val="right"/>
              <w:rPr>
                <w:sz w:val="18"/>
              </w:rPr>
            </w:pPr>
          </w:p>
        </w:tc>
        <w:tc>
          <w:tcPr>
            <w:tcW w:w="1245" w:type="dxa"/>
            <w:shd w:val="clear" w:color="auto" w:fill="auto"/>
            <w:vAlign w:val="bottom"/>
          </w:tcPr>
          <w:p w:rsidR="00F236D5" w:rsidRPr="00FF1AEE" w:rsidRDefault="00F236D5" w:rsidP="00947046">
            <w:pPr>
              <w:spacing w:before="40" w:after="40" w:line="220" w:lineRule="exact"/>
              <w:jc w:val="right"/>
              <w:rPr>
                <w:sz w:val="18"/>
              </w:rPr>
            </w:pPr>
          </w:p>
        </w:tc>
        <w:tc>
          <w:tcPr>
            <w:tcW w:w="737" w:type="dxa"/>
            <w:shd w:val="clear" w:color="auto" w:fill="auto"/>
            <w:vAlign w:val="bottom"/>
          </w:tcPr>
          <w:p w:rsidR="00F236D5" w:rsidRPr="00FF1AEE" w:rsidRDefault="00F236D5" w:rsidP="00947046">
            <w:pPr>
              <w:spacing w:before="40" w:after="40" w:line="220" w:lineRule="exact"/>
              <w:ind w:right="28"/>
              <w:jc w:val="right"/>
              <w:rPr>
                <w:sz w:val="18"/>
              </w:rPr>
            </w:pPr>
            <w:r>
              <w:rPr>
                <w:sz w:val="18"/>
              </w:rPr>
              <w:t xml:space="preserve">1 </w:t>
            </w:r>
            <w:r w:rsidRPr="00FF1AEE">
              <w:rPr>
                <w:sz w:val="18"/>
              </w:rPr>
              <w:t>000</w:t>
            </w:r>
          </w:p>
        </w:tc>
        <w:tc>
          <w:tcPr>
            <w:tcW w:w="1246" w:type="dxa"/>
            <w:shd w:val="clear" w:color="auto" w:fill="auto"/>
            <w:vAlign w:val="bottom"/>
          </w:tcPr>
          <w:p w:rsidR="00F236D5" w:rsidRPr="00FF1AEE" w:rsidRDefault="00F236D5" w:rsidP="00947046">
            <w:pPr>
              <w:spacing w:before="40" w:after="40" w:line="220" w:lineRule="exact"/>
              <w:jc w:val="right"/>
              <w:rPr>
                <w:sz w:val="18"/>
              </w:rPr>
            </w:pPr>
            <w:r w:rsidRPr="00FF1AEE">
              <w:rPr>
                <w:sz w:val="18"/>
              </w:rPr>
              <w:t>23</w:t>
            </w:r>
            <w:r>
              <w:rPr>
                <w:sz w:val="18"/>
              </w:rPr>
              <w:t>,</w:t>
            </w:r>
            <w:r w:rsidRPr="00FF1AEE">
              <w:rPr>
                <w:sz w:val="18"/>
              </w:rPr>
              <w:t>51</w:t>
            </w:r>
          </w:p>
        </w:tc>
        <w:tc>
          <w:tcPr>
            <w:tcW w:w="756" w:type="dxa"/>
            <w:shd w:val="clear" w:color="auto" w:fill="auto"/>
            <w:vAlign w:val="bottom"/>
          </w:tcPr>
          <w:p w:rsidR="00F236D5" w:rsidRPr="00FF1AEE" w:rsidRDefault="00F236D5" w:rsidP="00947046">
            <w:pPr>
              <w:spacing w:before="40" w:after="40" w:line="220" w:lineRule="exact"/>
              <w:ind w:right="28"/>
              <w:jc w:val="right"/>
              <w:rPr>
                <w:sz w:val="18"/>
              </w:rPr>
            </w:pPr>
            <w:r w:rsidRPr="00FF1AEE">
              <w:rPr>
                <w:sz w:val="18"/>
              </w:rPr>
              <w:t>998</w:t>
            </w:r>
          </w:p>
        </w:tc>
        <w:tc>
          <w:tcPr>
            <w:tcW w:w="1254" w:type="dxa"/>
            <w:shd w:val="clear" w:color="auto" w:fill="auto"/>
            <w:vAlign w:val="bottom"/>
          </w:tcPr>
          <w:p w:rsidR="00F236D5" w:rsidRPr="00FF1AEE" w:rsidRDefault="00F236D5" w:rsidP="00947046">
            <w:pPr>
              <w:spacing w:before="40" w:after="40" w:line="220" w:lineRule="exact"/>
              <w:ind w:right="28"/>
              <w:jc w:val="right"/>
              <w:rPr>
                <w:sz w:val="18"/>
              </w:rPr>
            </w:pPr>
            <w:r w:rsidRPr="00FF1AEE">
              <w:rPr>
                <w:sz w:val="18"/>
              </w:rPr>
              <w:t>23</w:t>
            </w:r>
            <w:r>
              <w:rPr>
                <w:sz w:val="18"/>
              </w:rPr>
              <w:t>,</w:t>
            </w:r>
            <w:r w:rsidRPr="00FF1AEE">
              <w:rPr>
                <w:sz w:val="18"/>
              </w:rPr>
              <w:t>25</w:t>
            </w:r>
          </w:p>
        </w:tc>
      </w:tr>
      <w:tr w:rsidR="00F236D5" w:rsidRPr="00FF1AEE" w:rsidTr="00947046">
        <w:trPr>
          <w:trHeight w:val="240"/>
        </w:trPr>
        <w:tc>
          <w:tcPr>
            <w:tcW w:w="1876" w:type="dxa"/>
            <w:shd w:val="clear" w:color="auto" w:fill="auto"/>
            <w:vAlign w:val="bottom"/>
          </w:tcPr>
          <w:p w:rsidR="00F236D5" w:rsidRPr="00FF1AEE" w:rsidRDefault="00F236D5" w:rsidP="00947046">
            <w:pPr>
              <w:spacing w:before="40" w:after="40" w:line="220" w:lineRule="exact"/>
              <w:rPr>
                <w:sz w:val="18"/>
              </w:rPr>
            </w:pPr>
            <w:r>
              <w:rPr>
                <w:sz w:val="18"/>
              </w:rPr>
              <w:t>Violación</w:t>
            </w:r>
          </w:p>
        </w:tc>
        <w:tc>
          <w:tcPr>
            <w:tcW w:w="737" w:type="dxa"/>
            <w:shd w:val="clear" w:color="auto" w:fill="auto"/>
            <w:vAlign w:val="bottom"/>
          </w:tcPr>
          <w:p w:rsidR="00F236D5" w:rsidRPr="00FF1AEE" w:rsidRDefault="00F236D5" w:rsidP="00947046">
            <w:pPr>
              <w:spacing w:before="40" w:after="40" w:line="220" w:lineRule="exact"/>
              <w:ind w:right="28"/>
              <w:jc w:val="right"/>
              <w:rPr>
                <w:sz w:val="18"/>
              </w:rPr>
            </w:pPr>
            <w:r>
              <w:rPr>
                <w:sz w:val="18"/>
              </w:rPr>
              <w:t xml:space="preserve">1 </w:t>
            </w:r>
            <w:r w:rsidRPr="00FF1AEE">
              <w:rPr>
                <w:sz w:val="18"/>
              </w:rPr>
              <w:t>127</w:t>
            </w:r>
          </w:p>
        </w:tc>
        <w:tc>
          <w:tcPr>
            <w:tcW w:w="1246" w:type="dxa"/>
            <w:shd w:val="clear" w:color="auto" w:fill="auto"/>
            <w:vAlign w:val="bottom"/>
          </w:tcPr>
          <w:p w:rsidR="00F236D5" w:rsidRPr="00FF1AEE" w:rsidRDefault="00F236D5" w:rsidP="00947046">
            <w:pPr>
              <w:spacing w:before="40" w:after="40" w:line="220" w:lineRule="exact"/>
              <w:jc w:val="right"/>
              <w:rPr>
                <w:sz w:val="18"/>
              </w:rPr>
            </w:pPr>
            <w:r w:rsidRPr="00FF1AEE">
              <w:rPr>
                <w:sz w:val="18"/>
              </w:rPr>
              <w:t>27</w:t>
            </w:r>
            <w:r>
              <w:rPr>
                <w:sz w:val="18"/>
              </w:rPr>
              <w:t>,</w:t>
            </w:r>
            <w:r w:rsidRPr="00FF1AEE">
              <w:rPr>
                <w:sz w:val="18"/>
              </w:rPr>
              <w:t>08</w:t>
            </w:r>
          </w:p>
        </w:tc>
        <w:tc>
          <w:tcPr>
            <w:tcW w:w="737" w:type="dxa"/>
            <w:shd w:val="clear" w:color="auto" w:fill="auto"/>
            <w:vAlign w:val="bottom"/>
          </w:tcPr>
          <w:p w:rsidR="00F236D5" w:rsidRPr="00FF1AEE" w:rsidRDefault="00F236D5" w:rsidP="00947046">
            <w:pPr>
              <w:spacing w:before="40" w:after="40" w:line="220" w:lineRule="exact"/>
              <w:ind w:right="57"/>
              <w:jc w:val="right"/>
              <w:rPr>
                <w:sz w:val="18"/>
              </w:rPr>
            </w:pPr>
            <w:r>
              <w:rPr>
                <w:sz w:val="18"/>
              </w:rPr>
              <w:t xml:space="preserve">1 </w:t>
            </w:r>
            <w:r w:rsidRPr="00FF1AEE">
              <w:rPr>
                <w:sz w:val="18"/>
              </w:rPr>
              <w:t>336</w:t>
            </w:r>
          </w:p>
        </w:tc>
        <w:tc>
          <w:tcPr>
            <w:tcW w:w="1245" w:type="dxa"/>
            <w:shd w:val="clear" w:color="auto" w:fill="auto"/>
            <w:vAlign w:val="bottom"/>
          </w:tcPr>
          <w:p w:rsidR="00F236D5" w:rsidRPr="00FF1AEE" w:rsidRDefault="00F236D5" w:rsidP="00947046">
            <w:pPr>
              <w:spacing w:before="40" w:after="40" w:line="220" w:lineRule="exact"/>
              <w:jc w:val="right"/>
              <w:rPr>
                <w:sz w:val="18"/>
              </w:rPr>
            </w:pPr>
            <w:r w:rsidRPr="00FF1AEE">
              <w:rPr>
                <w:sz w:val="18"/>
              </w:rPr>
              <w:t>31</w:t>
            </w:r>
            <w:r>
              <w:rPr>
                <w:sz w:val="18"/>
              </w:rPr>
              <w:t>,</w:t>
            </w:r>
            <w:r w:rsidRPr="00FF1AEE">
              <w:rPr>
                <w:sz w:val="18"/>
              </w:rPr>
              <w:t>72</w:t>
            </w:r>
          </w:p>
        </w:tc>
        <w:tc>
          <w:tcPr>
            <w:tcW w:w="737" w:type="dxa"/>
            <w:shd w:val="clear" w:color="auto" w:fill="auto"/>
            <w:vAlign w:val="bottom"/>
          </w:tcPr>
          <w:p w:rsidR="00F236D5" w:rsidRPr="00FF1AEE" w:rsidRDefault="00F236D5" w:rsidP="00947046">
            <w:pPr>
              <w:spacing w:before="40" w:after="40" w:line="220" w:lineRule="exact"/>
              <w:ind w:right="28"/>
              <w:jc w:val="right"/>
              <w:rPr>
                <w:sz w:val="18"/>
              </w:rPr>
            </w:pPr>
            <w:r>
              <w:rPr>
                <w:sz w:val="18"/>
              </w:rPr>
              <w:t xml:space="preserve">1 </w:t>
            </w:r>
            <w:r w:rsidRPr="00FF1AEE">
              <w:rPr>
                <w:sz w:val="18"/>
              </w:rPr>
              <w:t>314</w:t>
            </w:r>
          </w:p>
        </w:tc>
        <w:tc>
          <w:tcPr>
            <w:tcW w:w="1246" w:type="dxa"/>
            <w:shd w:val="clear" w:color="auto" w:fill="auto"/>
            <w:vAlign w:val="bottom"/>
          </w:tcPr>
          <w:p w:rsidR="00F236D5" w:rsidRPr="00FF1AEE" w:rsidRDefault="00F236D5" w:rsidP="00947046">
            <w:pPr>
              <w:spacing w:before="40" w:after="40" w:line="220" w:lineRule="exact"/>
              <w:jc w:val="right"/>
              <w:rPr>
                <w:sz w:val="18"/>
              </w:rPr>
            </w:pPr>
            <w:r w:rsidRPr="00FF1AEE">
              <w:rPr>
                <w:sz w:val="18"/>
              </w:rPr>
              <w:t>30</w:t>
            </w:r>
            <w:r>
              <w:rPr>
                <w:sz w:val="18"/>
              </w:rPr>
              <w:t>,</w:t>
            </w:r>
            <w:r w:rsidRPr="00FF1AEE">
              <w:rPr>
                <w:sz w:val="18"/>
              </w:rPr>
              <w:t>89</w:t>
            </w:r>
          </w:p>
        </w:tc>
        <w:tc>
          <w:tcPr>
            <w:tcW w:w="756" w:type="dxa"/>
            <w:shd w:val="clear" w:color="auto" w:fill="auto"/>
            <w:vAlign w:val="bottom"/>
          </w:tcPr>
          <w:p w:rsidR="00F236D5" w:rsidRPr="00FF1AEE" w:rsidRDefault="00F236D5" w:rsidP="00947046">
            <w:pPr>
              <w:spacing w:before="40" w:after="40" w:line="220" w:lineRule="exact"/>
              <w:ind w:right="28"/>
              <w:jc w:val="right"/>
              <w:rPr>
                <w:sz w:val="18"/>
              </w:rPr>
            </w:pPr>
            <w:r>
              <w:rPr>
                <w:sz w:val="18"/>
              </w:rPr>
              <w:t xml:space="preserve">1 </w:t>
            </w:r>
            <w:r w:rsidRPr="00FF1AEE">
              <w:rPr>
                <w:sz w:val="18"/>
              </w:rPr>
              <w:t>308</w:t>
            </w:r>
          </w:p>
        </w:tc>
        <w:tc>
          <w:tcPr>
            <w:tcW w:w="1254" w:type="dxa"/>
            <w:shd w:val="clear" w:color="auto" w:fill="auto"/>
            <w:vAlign w:val="bottom"/>
          </w:tcPr>
          <w:p w:rsidR="00F236D5" w:rsidRPr="00FF1AEE" w:rsidRDefault="00F236D5" w:rsidP="00947046">
            <w:pPr>
              <w:spacing w:before="40" w:after="40" w:line="220" w:lineRule="exact"/>
              <w:ind w:right="28"/>
              <w:jc w:val="right"/>
              <w:rPr>
                <w:sz w:val="18"/>
              </w:rPr>
            </w:pPr>
            <w:r w:rsidRPr="00FF1AEE">
              <w:rPr>
                <w:sz w:val="18"/>
              </w:rPr>
              <w:t>30</w:t>
            </w:r>
            <w:r>
              <w:rPr>
                <w:sz w:val="18"/>
              </w:rPr>
              <w:t>,</w:t>
            </w:r>
            <w:r w:rsidRPr="00FF1AEE">
              <w:rPr>
                <w:sz w:val="18"/>
              </w:rPr>
              <w:t>47</w:t>
            </w:r>
          </w:p>
        </w:tc>
      </w:tr>
      <w:tr w:rsidR="00F236D5" w:rsidRPr="00FF1AEE" w:rsidTr="00947046">
        <w:trPr>
          <w:trHeight w:val="240"/>
        </w:trPr>
        <w:tc>
          <w:tcPr>
            <w:tcW w:w="1876" w:type="dxa"/>
            <w:shd w:val="clear" w:color="auto" w:fill="auto"/>
            <w:vAlign w:val="bottom"/>
          </w:tcPr>
          <w:p w:rsidR="00F236D5" w:rsidRPr="001D30F4" w:rsidRDefault="00F236D5" w:rsidP="00947046">
            <w:pPr>
              <w:spacing w:before="40" w:after="40" w:line="220" w:lineRule="exact"/>
              <w:rPr>
                <w:sz w:val="18"/>
              </w:rPr>
            </w:pPr>
            <w:r w:rsidRPr="001D30F4">
              <w:rPr>
                <w:sz w:val="18"/>
              </w:rPr>
              <w:t xml:space="preserve">Delitos de violencia </w:t>
            </w:r>
            <w:r>
              <w:rPr>
                <w:sz w:val="18"/>
              </w:rPr>
              <w:br/>
            </w:r>
            <w:r w:rsidRPr="001D30F4">
              <w:rPr>
                <w:sz w:val="18"/>
              </w:rPr>
              <w:t>sexual contra niños</w:t>
            </w:r>
          </w:p>
        </w:tc>
        <w:tc>
          <w:tcPr>
            <w:tcW w:w="737" w:type="dxa"/>
            <w:shd w:val="clear" w:color="auto" w:fill="auto"/>
            <w:vAlign w:val="bottom"/>
          </w:tcPr>
          <w:p w:rsidR="00F236D5" w:rsidRPr="001D30F4" w:rsidRDefault="00F236D5" w:rsidP="00947046">
            <w:pPr>
              <w:spacing w:before="40" w:after="40" w:line="220" w:lineRule="exact"/>
              <w:ind w:right="28"/>
              <w:jc w:val="right"/>
              <w:rPr>
                <w:sz w:val="18"/>
              </w:rPr>
            </w:pPr>
          </w:p>
        </w:tc>
        <w:tc>
          <w:tcPr>
            <w:tcW w:w="1246" w:type="dxa"/>
            <w:shd w:val="clear" w:color="auto" w:fill="auto"/>
            <w:vAlign w:val="bottom"/>
          </w:tcPr>
          <w:p w:rsidR="00F236D5" w:rsidRPr="001D30F4" w:rsidRDefault="00F236D5" w:rsidP="00947046">
            <w:pPr>
              <w:spacing w:before="40" w:after="40" w:line="220" w:lineRule="exact"/>
              <w:jc w:val="right"/>
              <w:rPr>
                <w:sz w:val="18"/>
              </w:rPr>
            </w:pPr>
          </w:p>
        </w:tc>
        <w:tc>
          <w:tcPr>
            <w:tcW w:w="737" w:type="dxa"/>
            <w:shd w:val="clear" w:color="auto" w:fill="auto"/>
            <w:vAlign w:val="bottom"/>
          </w:tcPr>
          <w:p w:rsidR="00F236D5" w:rsidRPr="001D30F4" w:rsidRDefault="00F236D5" w:rsidP="00947046">
            <w:pPr>
              <w:spacing w:before="40" w:after="40" w:line="220" w:lineRule="exact"/>
              <w:ind w:right="57"/>
              <w:jc w:val="right"/>
              <w:rPr>
                <w:sz w:val="18"/>
              </w:rPr>
            </w:pPr>
          </w:p>
        </w:tc>
        <w:tc>
          <w:tcPr>
            <w:tcW w:w="1245" w:type="dxa"/>
            <w:shd w:val="clear" w:color="auto" w:fill="auto"/>
            <w:vAlign w:val="bottom"/>
          </w:tcPr>
          <w:p w:rsidR="00F236D5" w:rsidRPr="001D30F4" w:rsidRDefault="00F236D5" w:rsidP="00947046">
            <w:pPr>
              <w:spacing w:before="40" w:after="40" w:line="220" w:lineRule="exact"/>
              <w:jc w:val="right"/>
              <w:rPr>
                <w:sz w:val="18"/>
              </w:rPr>
            </w:pPr>
          </w:p>
        </w:tc>
        <w:tc>
          <w:tcPr>
            <w:tcW w:w="737" w:type="dxa"/>
            <w:shd w:val="clear" w:color="auto" w:fill="auto"/>
            <w:vAlign w:val="bottom"/>
          </w:tcPr>
          <w:p w:rsidR="00F236D5" w:rsidRPr="00FF1AEE" w:rsidRDefault="00F236D5" w:rsidP="00947046">
            <w:pPr>
              <w:spacing w:before="40" w:after="40" w:line="220" w:lineRule="exact"/>
              <w:ind w:right="28"/>
              <w:jc w:val="right"/>
              <w:rPr>
                <w:sz w:val="18"/>
              </w:rPr>
            </w:pPr>
            <w:r>
              <w:rPr>
                <w:sz w:val="18"/>
              </w:rPr>
              <w:t xml:space="preserve">1 </w:t>
            </w:r>
            <w:r w:rsidRPr="00FF1AEE">
              <w:rPr>
                <w:sz w:val="18"/>
              </w:rPr>
              <w:t>057</w:t>
            </w:r>
          </w:p>
        </w:tc>
        <w:tc>
          <w:tcPr>
            <w:tcW w:w="1246" w:type="dxa"/>
            <w:shd w:val="clear" w:color="auto" w:fill="auto"/>
            <w:vAlign w:val="bottom"/>
          </w:tcPr>
          <w:p w:rsidR="00F236D5" w:rsidRPr="00FF1AEE" w:rsidRDefault="00F236D5" w:rsidP="00947046">
            <w:pPr>
              <w:spacing w:before="40" w:after="40" w:line="220" w:lineRule="exact"/>
              <w:jc w:val="right"/>
              <w:rPr>
                <w:sz w:val="18"/>
              </w:rPr>
            </w:pPr>
            <w:r w:rsidRPr="00FF1AEE">
              <w:rPr>
                <w:sz w:val="18"/>
              </w:rPr>
              <w:t>24</w:t>
            </w:r>
            <w:r>
              <w:rPr>
                <w:sz w:val="18"/>
              </w:rPr>
              <w:t>,</w:t>
            </w:r>
            <w:r w:rsidRPr="00FF1AEE">
              <w:rPr>
                <w:sz w:val="18"/>
              </w:rPr>
              <w:t>85</w:t>
            </w:r>
          </w:p>
        </w:tc>
        <w:tc>
          <w:tcPr>
            <w:tcW w:w="756" w:type="dxa"/>
            <w:shd w:val="clear" w:color="auto" w:fill="auto"/>
            <w:vAlign w:val="bottom"/>
          </w:tcPr>
          <w:p w:rsidR="00F236D5" w:rsidRPr="00FF1AEE" w:rsidRDefault="00F236D5" w:rsidP="00947046">
            <w:pPr>
              <w:spacing w:before="40" w:after="40" w:line="220" w:lineRule="exact"/>
              <w:ind w:right="28"/>
              <w:jc w:val="right"/>
              <w:rPr>
                <w:sz w:val="18"/>
              </w:rPr>
            </w:pPr>
            <w:r>
              <w:rPr>
                <w:sz w:val="18"/>
              </w:rPr>
              <w:t xml:space="preserve">1 </w:t>
            </w:r>
            <w:r w:rsidRPr="00FF1AEE">
              <w:rPr>
                <w:sz w:val="18"/>
              </w:rPr>
              <w:t>414</w:t>
            </w:r>
          </w:p>
        </w:tc>
        <w:tc>
          <w:tcPr>
            <w:tcW w:w="1254" w:type="dxa"/>
            <w:shd w:val="clear" w:color="auto" w:fill="auto"/>
            <w:vAlign w:val="bottom"/>
          </w:tcPr>
          <w:p w:rsidR="00F236D5" w:rsidRPr="00FF1AEE" w:rsidRDefault="00F236D5" w:rsidP="00947046">
            <w:pPr>
              <w:spacing w:before="40" w:after="40" w:line="220" w:lineRule="exact"/>
              <w:ind w:right="28"/>
              <w:jc w:val="right"/>
              <w:rPr>
                <w:sz w:val="18"/>
              </w:rPr>
            </w:pPr>
            <w:r w:rsidRPr="00FF1AEE">
              <w:rPr>
                <w:sz w:val="18"/>
              </w:rPr>
              <w:t>32</w:t>
            </w:r>
            <w:r>
              <w:rPr>
                <w:sz w:val="18"/>
              </w:rPr>
              <w:t>,</w:t>
            </w:r>
            <w:r w:rsidRPr="00FF1AEE">
              <w:rPr>
                <w:sz w:val="18"/>
              </w:rPr>
              <w:t>94</w:t>
            </w:r>
          </w:p>
        </w:tc>
      </w:tr>
      <w:tr w:rsidR="00F236D5" w:rsidRPr="00FF1AEE" w:rsidTr="00947046">
        <w:trPr>
          <w:trHeight w:val="240"/>
        </w:trPr>
        <w:tc>
          <w:tcPr>
            <w:tcW w:w="1876" w:type="dxa"/>
            <w:shd w:val="clear" w:color="auto" w:fill="auto"/>
            <w:vAlign w:val="bottom"/>
          </w:tcPr>
          <w:p w:rsidR="00F236D5" w:rsidRPr="00FF1AEE" w:rsidRDefault="00F236D5" w:rsidP="00947046">
            <w:pPr>
              <w:spacing w:before="40" w:after="40" w:line="220" w:lineRule="exact"/>
              <w:rPr>
                <w:sz w:val="18"/>
              </w:rPr>
            </w:pPr>
            <w:r>
              <w:rPr>
                <w:sz w:val="18"/>
              </w:rPr>
              <w:t>Robo</w:t>
            </w:r>
          </w:p>
        </w:tc>
        <w:tc>
          <w:tcPr>
            <w:tcW w:w="737" w:type="dxa"/>
            <w:shd w:val="clear" w:color="auto" w:fill="auto"/>
            <w:vAlign w:val="bottom"/>
          </w:tcPr>
          <w:p w:rsidR="00F236D5" w:rsidRPr="00FF1AEE" w:rsidRDefault="00F236D5" w:rsidP="00947046">
            <w:pPr>
              <w:spacing w:before="40" w:after="40" w:line="220" w:lineRule="exact"/>
              <w:ind w:right="28"/>
              <w:jc w:val="right"/>
              <w:rPr>
                <w:sz w:val="18"/>
              </w:rPr>
            </w:pPr>
            <w:r>
              <w:rPr>
                <w:sz w:val="18"/>
              </w:rPr>
              <w:t xml:space="preserve">2 </w:t>
            </w:r>
            <w:r w:rsidRPr="00FF1AEE">
              <w:rPr>
                <w:sz w:val="18"/>
              </w:rPr>
              <w:t>019</w:t>
            </w:r>
          </w:p>
        </w:tc>
        <w:tc>
          <w:tcPr>
            <w:tcW w:w="1246" w:type="dxa"/>
            <w:shd w:val="clear" w:color="auto" w:fill="auto"/>
            <w:vAlign w:val="bottom"/>
          </w:tcPr>
          <w:p w:rsidR="00F236D5" w:rsidRPr="00FF1AEE" w:rsidRDefault="00F236D5" w:rsidP="00947046">
            <w:pPr>
              <w:spacing w:before="40" w:after="40" w:line="220" w:lineRule="exact"/>
              <w:jc w:val="right"/>
              <w:rPr>
                <w:sz w:val="18"/>
              </w:rPr>
            </w:pPr>
            <w:r w:rsidRPr="00FF1AEE">
              <w:rPr>
                <w:sz w:val="18"/>
              </w:rPr>
              <w:t>48</w:t>
            </w:r>
            <w:r>
              <w:rPr>
                <w:sz w:val="18"/>
              </w:rPr>
              <w:t>,</w:t>
            </w:r>
            <w:r w:rsidRPr="00FF1AEE">
              <w:rPr>
                <w:sz w:val="18"/>
              </w:rPr>
              <w:t>52</w:t>
            </w:r>
          </w:p>
        </w:tc>
        <w:tc>
          <w:tcPr>
            <w:tcW w:w="737" w:type="dxa"/>
            <w:shd w:val="clear" w:color="auto" w:fill="auto"/>
            <w:vAlign w:val="bottom"/>
          </w:tcPr>
          <w:p w:rsidR="00F236D5" w:rsidRPr="00FF1AEE" w:rsidRDefault="00F236D5" w:rsidP="00947046">
            <w:pPr>
              <w:spacing w:before="40" w:after="40" w:line="220" w:lineRule="exact"/>
              <w:ind w:right="57"/>
              <w:jc w:val="right"/>
              <w:rPr>
                <w:sz w:val="18"/>
              </w:rPr>
            </w:pPr>
            <w:r>
              <w:rPr>
                <w:sz w:val="18"/>
              </w:rPr>
              <w:t xml:space="preserve">2 </w:t>
            </w:r>
            <w:r w:rsidRPr="00FF1AEE">
              <w:rPr>
                <w:sz w:val="18"/>
              </w:rPr>
              <w:t>481</w:t>
            </w:r>
          </w:p>
        </w:tc>
        <w:tc>
          <w:tcPr>
            <w:tcW w:w="1245" w:type="dxa"/>
            <w:shd w:val="clear" w:color="auto" w:fill="auto"/>
            <w:vAlign w:val="bottom"/>
          </w:tcPr>
          <w:p w:rsidR="00F236D5" w:rsidRPr="00FF1AEE" w:rsidRDefault="00F236D5" w:rsidP="00947046">
            <w:pPr>
              <w:spacing w:before="40" w:after="40" w:line="220" w:lineRule="exact"/>
              <w:jc w:val="right"/>
              <w:rPr>
                <w:sz w:val="18"/>
              </w:rPr>
            </w:pPr>
            <w:r w:rsidRPr="00FF1AEE">
              <w:rPr>
                <w:sz w:val="18"/>
              </w:rPr>
              <w:t>58</w:t>
            </w:r>
            <w:r>
              <w:rPr>
                <w:sz w:val="18"/>
              </w:rPr>
              <w:t>,</w:t>
            </w:r>
            <w:r w:rsidRPr="00FF1AEE">
              <w:rPr>
                <w:sz w:val="18"/>
              </w:rPr>
              <w:t>91</w:t>
            </w:r>
          </w:p>
        </w:tc>
        <w:tc>
          <w:tcPr>
            <w:tcW w:w="737" w:type="dxa"/>
            <w:shd w:val="clear" w:color="auto" w:fill="auto"/>
            <w:vAlign w:val="bottom"/>
          </w:tcPr>
          <w:p w:rsidR="00F236D5" w:rsidRPr="00FF1AEE" w:rsidRDefault="00F236D5" w:rsidP="00947046">
            <w:pPr>
              <w:spacing w:before="40" w:after="40" w:line="220" w:lineRule="exact"/>
              <w:ind w:right="28"/>
              <w:jc w:val="right"/>
              <w:rPr>
                <w:sz w:val="18"/>
              </w:rPr>
            </w:pPr>
            <w:r>
              <w:rPr>
                <w:sz w:val="18"/>
              </w:rPr>
              <w:t xml:space="preserve">2 </w:t>
            </w:r>
            <w:r w:rsidRPr="00FF1AEE">
              <w:rPr>
                <w:sz w:val="18"/>
              </w:rPr>
              <w:t>294</w:t>
            </w:r>
          </w:p>
        </w:tc>
        <w:tc>
          <w:tcPr>
            <w:tcW w:w="1246" w:type="dxa"/>
            <w:shd w:val="clear" w:color="auto" w:fill="auto"/>
            <w:vAlign w:val="bottom"/>
          </w:tcPr>
          <w:p w:rsidR="00F236D5" w:rsidRPr="00FF1AEE" w:rsidRDefault="00F236D5" w:rsidP="00947046">
            <w:pPr>
              <w:spacing w:before="40" w:after="40" w:line="220" w:lineRule="exact"/>
              <w:jc w:val="right"/>
              <w:rPr>
                <w:sz w:val="18"/>
              </w:rPr>
            </w:pPr>
            <w:r w:rsidRPr="00FF1AEE">
              <w:rPr>
                <w:sz w:val="18"/>
              </w:rPr>
              <w:t>53</w:t>
            </w:r>
            <w:r>
              <w:rPr>
                <w:sz w:val="18"/>
              </w:rPr>
              <w:t>,</w:t>
            </w:r>
            <w:r w:rsidRPr="00FF1AEE">
              <w:rPr>
                <w:sz w:val="18"/>
              </w:rPr>
              <w:t>94</w:t>
            </w:r>
          </w:p>
        </w:tc>
        <w:tc>
          <w:tcPr>
            <w:tcW w:w="756" w:type="dxa"/>
            <w:shd w:val="clear" w:color="auto" w:fill="auto"/>
            <w:vAlign w:val="bottom"/>
          </w:tcPr>
          <w:p w:rsidR="00F236D5" w:rsidRPr="00FF1AEE" w:rsidRDefault="00F236D5" w:rsidP="00947046">
            <w:pPr>
              <w:spacing w:before="40" w:after="40" w:line="220" w:lineRule="exact"/>
              <w:ind w:right="28"/>
              <w:jc w:val="right"/>
              <w:rPr>
                <w:sz w:val="18"/>
              </w:rPr>
            </w:pPr>
            <w:r>
              <w:rPr>
                <w:sz w:val="18"/>
              </w:rPr>
              <w:t xml:space="preserve">2 </w:t>
            </w:r>
            <w:r w:rsidRPr="00FF1AEE">
              <w:rPr>
                <w:sz w:val="18"/>
              </w:rPr>
              <w:t>234</w:t>
            </w:r>
          </w:p>
        </w:tc>
        <w:tc>
          <w:tcPr>
            <w:tcW w:w="1254" w:type="dxa"/>
            <w:shd w:val="clear" w:color="auto" w:fill="auto"/>
            <w:vAlign w:val="bottom"/>
          </w:tcPr>
          <w:p w:rsidR="00F236D5" w:rsidRPr="00FF1AEE" w:rsidRDefault="00F236D5" w:rsidP="00947046">
            <w:pPr>
              <w:spacing w:before="40" w:after="40" w:line="220" w:lineRule="exact"/>
              <w:ind w:right="28"/>
              <w:jc w:val="right"/>
              <w:rPr>
                <w:sz w:val="18"/>
              </w:rPr>
            </w:pPr>
            <w:r w:rsidRPr="00FF1AEE">
              <w:rPr>
                <w:sz w:val="18"/>
              </w:rPr>
              <w:t>52</w:t>
            </w:r>
            <w:r>
              <w:rPr>
                <w:sz w:val="18"/>
              </w:rPr>
              <w:t>,</w:t>
            </w:r>
            <w:r w:rsidRPr="00FF1AEE">
              <w:rPr>
                <w:sz w:val="18"/>
              </w:rPr>
              <w:t>05</w:t>
            </w:r>
          </w:p>
        </w:tc>
      </w:tr>
    </w:tbl>
    <w:p w:rsidR="00F236D5" w:rsidRPr="00EA0677" w:rsidRDefault="00F236D5" w:rsidP="00F236D5">
      <w:pPr>
        <w:suppressAutoHyphens/>
        <w:spacing w:before="120" w:after="240"/>
        <w:ind w:right="1134" w:firstLine="170"/>
        <w:rPr>
          <w:sz w:val="18"/>
          <w:szCs w:val="18"/>
          <w:lang w:eastAsia="en-US"/>
        </w:rPr>
      </w:pPr>
      <w:r w:rsidRPr="00EA0677">
        <w:rPr>
          <w:i/>
          <w:sz w:val="18"/>
          <w:szCs w:val="18"/>
          <w:lang w:eastAsia="en-US"/>
        </w:rPr>
        <w:t xml:space="preserve">Fuente: </w:t>
      </w:r>
      <w:r w:rsidRPr="00EA0677">
        <w:rPr>
          <w:sz w:val="18"/>
          <w:szCs w:val="18"/>
          <w:lang w:eastAsia="en-US"/>
        </w:rPr>
        <w:t>Policía de Nueva Zelandia</w:t>
      </w:r>
      <w:r>
        <w:rPr>
          <w:sz w:val="18"/>
          <w:szCs w:val="18"/>
          <w:lang w:eastAsia="en-US"/>
        </w:rPr>
        <w:t>.</w:t>
      </w:r>
    </w:p>
    <w:p w:rsidR="00F236D5" w:rsidRPr="00201FFB" w:rsidRDefault="00F236D5" w:rsidP="00F236D5">
      <w:pPr>
        <w:pStyle w:val="SingleTxtG"/>
      </w:pPr>
      <w:r w:rsidRPr="00201FFB">
        <w:t>126.</w:t>
      </w:r>
      <w:r w:rsidRPr="00201FFB">
        <w:tab/>
        <w:t>La definición de agresión se modificó en 2006 a fin de incluir la agresión común. Las cifras correspondientes a 2007-2008 se refieren a todos los delitos en que hubo intención de causar lesión física grave o en los que de hecho se causó lesión física grave como consecuencia de la agresión independientemente de la intención.</w:t>
      </w:r>
    </w:p>
    <w:p w:rsidR="00F236D5" w:rsidRPr="00201FFB" w:rsidRDefault="00F236D5" w:rsidP="00F236D5">
      <w:pPr>
        <w:pStyle w:val="SingleTxtG"/>
      </w:pPr>
      <w:r w:rsidRPr="00201FFB">
        <w:t>127.</w:t>
      </w:r>
      <w:r w:rsidRPr="00201FFB">
        <w:tab/>
        <w:t>Hasta la fecha no se han registrado casos de trata de personas en Nueva Zelandia.</w:t>
      </w:r>
    </w:p>
    <w:p w:rsidR="00F236D5" w:rsidRPr="00201FFB" w:rsidRDefault="00F236D5" w:rsidP="00F236D5">
      <w:pPr>
        <w:pStyle w:val="SingleTxtG"/>
      </w:pPr>
      <w:r w:rsidRPr="00201FFB">
        <w:t>128.</w:t>
      </w:r>
      <w:r w:rsidRPr="00201FFB">
        <w:tab/>
        <w:t>La mutilación genital femenina es ilegal en Nueva Zelandia y no hay indicios documentados de que se haya practicado en el país. Existe información de carácter anecdótico sobre familias que envían a sus hijas al extranjero para que se les aplique ese procedimiento. Los delitos de honor y las agresiones con ácido son extremadamente raros.</w:t>
      </w:r>
    </w:p>
    <w:p w:rsidR="00F236D5" w:rsidRPr="00B0169E" w:rsidRDefault="00F236D5" w:rsidP="00F236D5">
      <w:pPr>
        <w:pStyle w:val="H4G"/>
      </w:pPr>
      <w:r>
        <w:tab/>
      </w:r>
      <w:r w:rsidRPr="00201FFB">
        <w:t>a)</w:t>
      </w:r>
      <w:r w:rsidRPr="00201FFB">
        <w:tab/>
        <w:t>Detención preventiva</w:t>
      </w:r>
    </w:p>
    <w:p w:rsidR="00F236D5" w:rsidRDefault="00F236D5" w:rsidP="00F236D5">
      <w:pPr>
        <w:pStyle w:val="Heading1"/>
        <w:spacing w:line="240" w:lineRule="atLeast"/>
        <w:rPr>
          <w:szCs w:val="20"/>
          <w:lang w:val="es-ES_tradnl"/>
        </w:rPr>
      </w:pPr>
      <w:r w:rsidRPr="00EA0677">
        <w:rPr>
          <w:szCs w:val="20"/>
          <w:lang w:val="es-ES_tradnl"/>
        </w:rPr>
        <w:t>Cuadro 40</w:t>
      </w:r>
    </w:p>
    <w:p w:rsidR="00F236D5" w:rsidRDefault="00F236D5" w:rsidP="00F236D5">
      <w:pPr>
        <w:pStyle w:val="SingleTxtG"/>
        <w:jc w:val="left"/>
        <w:rPr>
          <w:b/>
          <w:bCs/>
          <w:lang w:val="es-ES_tradnl"/>
        </w:rPr>
      </w:pPr>
      <w:r w:rsidRPr="00EA0677">
        <w:rPr>
          <w:b/>
          <w:bCs/>
          <w:lang w:val="es-ES_tradnl"/>
        </w:rPr>
        <w:t>Duración media de la detención preventiva</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5116"/>
        <w:gridCol w:w="2254"/>
      </w:tblGrid>
      <w:tr w:rsidR="00F236D5" w:rsidRPr="00EA0677" w:rsidTr="00947046">
        <w:trPr>
          <w:trHeight w:val="240"/>
          <w:tblHeader/>
        </w:trPr>
        <w:tc>
          <w:tcPr>
            <w:tcW w:w="5116" w:type="dxa"/>
            <w:tcBorders>
              <w:top w:val="single" w:sz="4" w:space="0" w:color="auto"/>
              <w:bottom w:val="single" w:sz="12" w:space="0" w:color="auto"/>
            </w:tcBorders>
            <w:shd w:val="clear" w:color="auto" w:fill="auto"/>
            <w:vAlign w:val="bottom"/>
          </w:tcPr>
          <w:p w:rsidR="00F236D5" w:rsidRPr="00EA0677" w:rsidRDefault="00F236D5" w:rsidP="00947046">
            <w:pPr>
              <w:spacing w:before="80" w:after="80" w:line="200" w:lineRule="exact"/>
              <w:rPr>
                <w:i/>
                <w:sz w:val="16"/>
              </w:rPr>
            </w:pPr>
            <w:r>
              <w:rPr>
                <w:i/>
                <w:sz w:val="16"/>
              </w:rPr>
              <w:t>Ejercicio terminado en</w:t>
            </w:r>
          </w:p>
        </w:tc>
        <w:tc>
          <w:tcPr>
            <w:tcW w:w="2254" w:type="dxa"/>
            <w:tcBorders>
              <w:top w:val="single" w:sz="4" w:space="0" w:color="auto"/>
              <w:bottom w:val="single" w:sz="12" w:space="0" w:color="auto"/>
            </w:tcBorders>
            <w:shd w:val="clear" w:color="auto" w:fill="auto"/>
            <w:vAlign w:val="bottom"/>
          </w:tcPr>
          <w:p w:rsidR="00F236D5" w:rsidRPr="00EA0677" w:rsidRDefault="00F236D5" w:rsidP="00947046">
            <w:pPr>
              <w:spacing w:before="80" w:after="80" w:line="200" w:lineRule="exact"/>
              <w:ind w:left="113"/>
              <w:jc w:val="right"/>
              <w:rPr>
                <w:i/>
                <w:sz w:val="16"/>
              </w:rPr>
            </w:pPr>
            <w:r>
              <w:rPr>
                <w:i/>
                <w:sz w:val="16"/>
              </w:rPr>
              <w:t>Días</w:t>
            </w:r>
          </w:p>
        </w:tc>
      </w:tr>
      <w:tr w:rsidR="00F236D5" w:rsidRPr="00EA0677" w:rsidTr="00947046">
        <w:trPr>
          <w:trHeight w:val="240"/>
        </w:trPr>
        <w:tc>
          <w:tcPr>
            <w:tcW w:w="5116" w:type="dxa"/>
            <w:tcBorders>
              <w:top w:val="single" w:sz="12" w:space="0" w:color="auto"/>
            </w:tcBorders>
            <w:shd w:val="clear" w:color="auto" w:fill="auto"/>
          </w:tcPr>
          <w:p w:rsidR="00F236D5" w:rsidRPr="00EA0677" w:rsidRDefault="00F236D5" w:rsidP="00947046">
            <w:pPr>
              <w:spacing w:before="40" w:after="40" w:line="220" w:lineRule="exact"/>
              <w:rPr>
                <w:sz w:val="18"/>
              </w:rPr>
            </w:pPr>
            <w:r>
              <w:rPr>
                <w:sz w:val="18"/>
              </w:rPr>
              <w:t>Junio de 2004</w:t>
            </w:r>
          </w:p>
        </w:tc>
        <w:tc>
          <w:tcPr>
            <w:tcW w:w="2254" w:type="dxa"/>
            <w:tcBorders>
              <w:top w:val="single" w:sz="12" w:space="0" w:color="auto"/>
            </w:tcBorders>
            <w:shd w:val="clear" w:color="auto" w:fill="auto"/>
            <w:vAlign w:val="bottom"/>
          </w:tcPr>
          <w:p w:rsidR="00F236D5" w:rsidRPr="00EA0677" w:rsidRDefault="00F236D5" w:rsidP="00947046">
            <w:pPr>
              <w:spacing w:before="40" w:after="40" w:line="220" w:lineRule="exact"/>
              <w:ind w:left="113"/>
              <w:jc w:val="right"/>
              <w:rPr>
                <w:sz w:val="18"/>
              </w:rPr>
            </w:pPr>
            <w:r w:rsidRPr="00EA0677">
              <w:rPr>
                <w:sz w:val="18"/>
              </w:rPr>
              <w:t>45</w:t>
            </w:r>
            <w:r>
              <w:rPr>
                <w:sz w:val="18"/>
              </w:rPr>
              <w:t>,</w:t>
            </w:r>
            <w:r w:rsidRPr="00EA0677">
              <w:rPr>
                <w:sz w:val="18"/>
              </w:rPr>
              <w:t>8</w:t>
            </w:r>
          </w:p>
        </w:tc>
      </w:tr>
      <w:tr w:rsidR="00F236D5" w:rsidRPr="00EA0677" w:rsidTr="00947046">
        <w:trPr>
          <w:trHeight w:val="240"/>
        </w:trPr>
        <w:tc>
          <w:tcPr>
            <w:tcW w:w="5116" w:type="dxa"/>
            <w:shd w:val="clear" w:color="auto" w:fill="auto"/>
          </w:tcPr>
          <w:p w:rsidR="00F236D5" w:rsidRPr="00EA0677" w:rsidRDefault="00F236D5" w:rsidP="00947046">
            <w:pPr>
              <w:spacing w:before="40" w:after="40" w:line="220" w:lineRule="exact"/>
              <w:rPr>
                <w:sz w:val="18"/>
              </w:rPr>
            </w:pPr>
            <w:r>
              <w:rPr>
                <w:sz w:val="18"/>
              </w:rPr>
              <w:t>Junio de 2005</w:t>
            </w:r>
          </w:p>
        </w:tc>
        <w:tc>
          <w:tcPr>
            <w:tcW w:w="2254" w:type="dxa"/>
            <w:shd w:val="clear" w:color="auto" w:fill="auto"/>
            <w:vAlign w:val="bottom"/>
          </w:tcPr>
          <w:p w:rsidR="00F236D5" w:rsidRPr="00EA0677" w:rsidRDefault="00F236D5" w:rsidP="00947046">
            <w:pPr>
              <w:spacing w:before="40" w:after="40" w:line="220" w:lineRule="exact"/>
              <w:ind w:left="113"/>
              <w:jc w:val="right"/>
              <w:rPr>
                <w:sz w:val="18"/>
              </w:rPr>
            </w:pPr>
            <w:r w:rsidRPr="00EA0677">
              <w:rPr>
                <w:sz w:val="18"/>
              </w:rPr>
              <w:t>44</w:t>
            </w:r>
            <w:r>
              <w:rPr>
                <w:sz w:val="18"/>
              </w:rPr>
              <w:t>,</w:t>
            </w:r>
            <w:r w:rsidRPr="00EA0677">
              <w:rPr>
                <w:sz w:val="18"/>
              </w:rPr>
              <w:t>5</w:t>
            </w:r>
          </w:p>
        </w:tc>
      </w:tr>
      <w:tr w:rsidR="00F236D5" w:rsidRPr="00EA0677" w:rsidTr="00947046">
        <w:trPr>
          <w:trHeight w:val="240"/>
        </w:trPr>
        <w:tc>
          <w:tcPr>
            <w:tcW w:w="5116" w:type="dxa"/>
            <w:shd w:val="clear" w:color="auto" w:fill="auto"/>
          </w:tcPr>
          <w:p w:rsidR="00F236D5" w:rsidRDefault="00F236D5" w:rsidP="00947046">
            <w:pPr>
              <w:spacing w:before="40" w:after="40" w:line="220" w:lineRule="exact"/>
            </w:pPr>
            <w:r w:rsidRPr="00322AEB">
              <w:rPr>
                <w:sz w:val="18"/>
              </w:rPr>
              <w:t>Junio de 200</w:t>
            </w:r>
            <w:r>
              <w:rPr>
                <w:sz w:val="18"/>
              </w:rPr>
              <w:t>6</w:t>
            </w:r>
          </w:p>
        </w:tc>
        <w:tc>
          <w:tcPr>
            <w:tcW w:w="2254" w:type="dxa"/>
            <w:shd w:val="clear" w:color="auto" w:fill="auto"/>
            <w:vAlign w:val="bottom"/>
          </w:tcPr>
          <w:p w:rsidR="00F236D5" w:rsidRPr="00EA0677" w:rsidRDefault="00F236D5" w:rsidP="00947046">
            <w:pPr>
              <w:spacing w:before="40" w:after="40" w:line="220" w:lineRule="exact"/>
              <w:ind w:left="113"/>
              <w:jc w:val="right"/>
              <w:rPr>
                <w:sz w:val="18"/>
              </w:rPr>
            </w:pPr>
            <w:r w:rsidRPr="00EA0677">
              <w:rPr>
                <w:sz w:val="18"/>
              </w:rPr>
              <w:t>48</w:t>
            </w:r>
            <w:r>
              <w:rPr>
                <w:sz w:val="18"/>
              </w:rPr>
              <w:t>,</w:t>
            </w:r>
            <w:r w:rsidRPr="00EA0677">
              <w:rPr>
                <w:sz w:val="18"/>
              </w:rPr>
              <w:t>8</w:t>
            </w:r>
          </w:p>
        </w:tc>
      </w:tr>
      <w:tr w:rsidR="00F236D5" w:rsidRPr="00EA0677" w:rsidTr="00947046">
        <w:trPr>
          <w:trHeight w:val="240"/>
        </w:trPr>
        <w:tc>
          <w:tcPr>
            <w:tcW w:w="5116" w:type="dxa"/>
            <w:shd w:val="clear" w:color="auto" w:fill="auto"/>
          </w:tcPr>
          <w:p w:rsidR="00F236D5" w:rsidRDefault="00F236D5" w:rsidP="00947046">
            <w:pPr>
              <w:spacing w:before="40" w:after="40" w:line="220" w:lineRule="exact"/>
            </w:pPr>
            <w:r w:rsidRPr="00322AEB">
              <w:rPr>
                <w:sz w:val="18"/>
              </w:rPr>
              <w:t>Junio de 200</w:t>
            </w:r>
            <w:r>
              <w:rPr>
                <w:sz w:val="18"/>
              </w:rPr>
              <w:t>7</w:t>
            </w:r>
          </w:p>
        </w:tc>
        <w:tc>
          <w:tcPr>
            <w:tcW w:w="2254" w:type="dxa"/>
            <w:shd w:val="clear" w:color="auto" w:fill="auto"/>
            <w:vAlign w:val="bottom"/>
          </w:tcPr>
          <w:p w:rsidR="00F236D5" w:rsidRPr="00EA0677" w:rsidRDefault="00F236D5" w:rsidP="00947046">
            <w:pPr>
              <w:spacing w:before="40" w:after="40" w:line="220" w:lineRule="exact"/>
              <w:ind w:left="113"/>
              <w:jc w:val="right"/>
              <w:rPr>
                <w:sz w:val="18"/>
              </w:rPr>
            </w:pPr>
            <w:r w:rsidRPr="00EA0677">
              <w:rPr>
                <w:sz w:val="18"/>
              </w:rPr>
              <w:t>51</w:t>
            </w:r>
            <w:r>
              <w:rPr>
                <w:sz w:val="18"/>
              </w:rPr>
              <w:t>,</w:t>
            </w:r>
            <w:r w:rsidRPr="00EA0677">
              <w:rPr>
                <w:sz w:val="18"/>
              </w:rPr>
              <w:t>6</w:t>
            </w:r>
          </w:p>
        </w:tc>
      </w:tr>
      <w:tr w:rsidR="00F236D5" w:rsidRPr="00EA0677" w:rsidTr="00947046">
        <w:trPr>
          <w:trHeight w:val="240"/>
        </w:trPr>
        <w:tc>
          <w:tcPr>
            <w:tcW w:w="5116" w:type="dxa"/>
            <w:shd w:val="clear" w:color="auto" w:fill="auto"/>
          </w:tcPr>
          <w:p w:rsidR="00F236D5" w:rsidRDefault="00F236D5" w:rsidP="00947046">
            <w:pPr>
              <w:spacing w:before="40" w:after="40" w:line="220" w:lineRule="exact"/>
            </w:pPr>
            <w:r>
              <w:rPr>
                <w:sz w:val="18"/>
              </w:rPr>
              <w:t>Junio de 2008</w:t>
            </w:r>
          </w:p>
        </w:tc>
        <w:tc>
          <w:tcPr>
            <w:tcW w:w="2254" w:type="dxa"/>
            <w:shd w:val="clear" w:color="auto" w:fill="auto"/>
            <w:vAlign w:val="bottom"/>
          </w:tcPr>
          <w:p w:rsidR="00F236D5" w:rsidRPr="00EA0677" w:rsidRDefault="00F236D5" w:rsidP="00947046">
            <w:pPr>
              <w:spacing w:before="40" w:after="40" w:line="220" w:lineRule="exact"/>
              <w:ind w:left="113"/>
              <w:jc w:val="right"/>
              <w:rPr>
                <w:sz w:val="18"/>
              </w:rPr>
            </w:pPr>
            <w:r w:rsidRPr="00EA0677">
              <w:rPr>
                <w:sz w:val="18"/>
              </w:rPr>
              <w:t>56</w:t>
            </w:r>
            <w:r>
              <w:rPr>
                <w:sz w:val="18"/>
              </w:rPr>
              <w:t>,</w:t>
            </w:r>
            <w:r w:rsidRPr="00EA0677">
              <w:rPr>
                <w:sz w:val="18"/>
              </w:rPr>
              <w:t>1</w:t>
            </w:r>
          </w:p>
        </w:tc>
      </w:tr>
      <w:tr w:rsidR="00F236D5" w:rsidRPr="00EA0677" w:rsidTr="00947046">
        <w:trPr>
          <w:trHeight w:val="240"/>
        </w:trPr>
        <w:tc>
          <w:tcPr>
            <w:tcW w:w="5116" w:type="dxa"/>
            <w:tcBorders>
              <w:bottom w:val="single" w:sz="12" w:space="0" w:color="auto"/>
            </w:tcBorders>
            <w:shd w:val="clear" w:color="auto" w:fill="auto"/>
          </w:tcPr>
          <w:p w:rsidR="00F236D5" w:rsidRDefault="00F236D5" w:rsidP="00947046">
            <w:pPr>
              <w:spacing w:before="40" w:after="40" w:line="220" w:lineRule="exact"/>
            </w:pPr>
            <w:r w:rsidRPr="00322AEB">
              <w:rPr>
                <w:sz w:val="18"/>
              </w:rPr>
              <w:t>Junio de 200</w:t>
            </w:r>
            <w:r>
              <w:rPr>
                <w:sz w:val="18"/>
              </w:rPr>
              <w:t>9</w:t>
            </w:r>
          </w:p>
        </w:tc>
        <w:tc>
          <w:tcPr>
            <w:tcW w:w="2254" w:type="dxa"/>
            <w:tcBorders>
              <w:bottom w:val="single" w:sz="12" w:space="0" w:color="auto"/>
            </w:tcBorders>
            <w:shd w:val="clear" w:color="auto" w:fill="auto"/>
            <w:vAlign w:val="bottom"/>
          </w:tcPr>
          <w:p w:rsidR="00F236D5" w:rsidRPr="00EA0677" w:rsidRDefault="00F236D5" w:rsidP="00947046">
            <w:pPr>
              <w:spacing w:before="40" w:after="40" w:line="220" w:lineRule="exact"/>
              <w:ind w:left="113"/>
              <w:jc w:val="right"/>
              <w:rPr>
                <w:sz w:val="18"/>
              </w:rPr>
            </w:pPr>
            <w:r w:rsidRPr="00EA0677">
              <w:rPr>
                <w:sz w:val="18"/>
              </w:rPr>
              <w:t>56</w:t>
            </w:r>
            <w:r>
              <w:rPr>
                <w:sz w:val="18"/>
              </w:rPr>
              <w:t>,</w:t>
            </w:r>
            <w:r w:rsidRPr="00EA0677">
              <w:rPr>
                <w:sz w:val="18"/>
              </w:rPr>
              <w:t>2</w:t>
            </w:r>
          </w:p>
        </w:tc>
      </w:tr>
    </w:tbl>
    <w:p w:rsidR="00F236D5" w:rsidRPr="00505277" w:rsidRDefault="00F236D5" w:rsidP="00F236D5">
      <w:pPr>
        <w:pStyle w:val="SingleTxtG"/>
        <w:spacing w:before="120" w:after="240"/>
        <w:ind w:left="1304"/>
        <w:rPr>
          <w:iCs/>
          <w:sz w:val="18"/>
          <w:szCs w:val="18"/>
          <w:lang w:val="es-ES_tradnl"/>
        </w:rPr>
      </w:pPr>
      <w:r w:rsidRPr="00505277">
        <w:rPr>
          <w:i/>
          <w:iCs/>
          <w:sz w:val="18"/>
          <w:szCs w:val="18"/>
          <w:lang w:val="es-ES_tradnl"/>
        </w:rPr>
        <w:t>Fuente:</w:t>
      </w:r>
      <w:r w:rsidRPr="00505277">
        <w:rPr>
          <w:iCs/>
          <w:sz w:val="18"/>
          <w:szCs w:val="18"/>
          <w:lang w:val="es-ES_tradnl"/>
        </w:rPr>
        <w:t xml:space="preserve"> Ministerio de Justicia</w:t>
      </w:r>
      <w:r>
        <w:rPr>
          <w:iCs/>
          <w:sz w:val="18"/>
          <w:szCs w:val="18"/>
          <w:lang w:val="es-ES_tradnl"/>
        </w:rPr>
        <w:t>.</w:t>
      </w:r>
    </w:p>
    <w:p w:rsidR="00F236D5" w:rsidRPr="00201FFB" w:rsidRDefault="00F236D5" w:rsidP="00F236D5">
      <w:pPr>
        <w:pStyle w:val="H4G"/>
      </w:pPr>
      <w:r>
        <w:tab/>
      </w:r>
      <w:r w:rsidRPr="00201FFB">
        <w:t>b)</w:t>
      </w:r>
      <w:r w:rsidRPr="00201FFB">
        <w:tab/>
        <w:t>Población penitenciaria</w:t>
      </w:r>
    </w:p>
    <w:p w:rsidR="00F236D5" w:rsidRPr="00201FFB" w:rsidRDefault="00F236D5" w:rsidP="00F236D5">
      <w:pPr>
        <w:pStyle w:val="SingleTxtG"/>
      </w:pPr>
      <w:r w:rsidRPr="00201FFB">
        <w:t>129.</w:t>
      </w:r>
      <w:r w:rsidRPr="00201FFB">
        <w:tab/>
        <w:t>En 2007, la población penitenciaria en Nueva Zelandia ascendía a 7.534 personas, lo que representa una proporción de 177,16 por cada 100.000 habitantes. Ese número se elevó a 7.860 (183,15 por cada 100.000) en 2008 y a 8.244 (189,64 por cada 100.000) en 2009. Dicha población incluye a los reclusos en prisiones, establecimientos penitenciarios o instituciones correccionales pero excluye a las personas detenidas por razones administrativas de carácter no penal, incluidas las que tienen investigaciones pendientes sobre su situación de inmigración. En febrero de 2010, los maoríes representaban poco más del 51% del total de reclusos, y en el caso de las mujeres maoríes casi el 60% de la población penitenciaria femenina. Esta proporción excesiva de los maoríes en la población penitenciaria no ha cambiado significativamente en los últimos cinco años.</w:t>
      </w:r>
    </w:p>
    <w:p w:rsidR="00F236D5" w:rsidRPr="00B816F6" w:rsidRDefault="00F236D5" w:rsidP="00F236D5">
      <w:pPr>
        <w:pStyle w:val="SingleTxtG"/>
      </w:pPr>
      <w:r w:rsidRPr="00B816F6">
        <w:t>de las mujeres maoríes casi el 60% de la población penitenciaria femenina. Esta proporción excesiva de los maoríes en la población penitenciaria no ha cambiado significativamente en los últimos cinco años.</w:t>
      </w:r>
    </w:p>
    <w:p w:rsidR="00F236D5" w:rsidRPr="00B816F6" w:rsidRDefault="00F236D5" w:rsidP="00F236D5">
      <w:pPr>
        <w:pStyle w:val="SingleTxtG"/>
      </w:pPr>
      <w:r w:rsidRPr="00B816F6">
        <w:t>130.</w:t>
      </w:r>
      <w:r w:rsidRPr="00B816F6">
        <w:tab/>
        <w:t>La "población penitenciaria" descrita en el cuadro 41 incluye a los reclusos en prisión preventiva, mientras que en la categoría "reclusos con sentencia firme" figuran únicamente los presos condenados. La pena indeterminada se refiere a la detención preventiva y a las condenas de prisión perpetua.</w:t>
      </w:r>
    </w:p>
    <w:p w:rsidR="00F236D5" w:rsidRPr="00B816F6" w:rsidRDefault="00F236D5" w:rsidP="00F236D5">
      <w:pPr>
        <w:pStyle w:val="Heading1"/>
      </w:pPr>
      <w:r w:rsidRPr="00B816F6">
        <w:t>Cuadro 41</w:t>
      </w:r>
    </w:p>
    <w:p w:rsidR="00F236D5" w:rsidRPr="00B816F6" w:rsidRDefault="00F236D5" w:rsidP="00F236D5">
      <w:pPr>
        <w:pStyle w:val="SingleTxtG"/>
        <w:jc w:val="left"/>
        <w:rPr>
          <w:b/>
        </w:rPr>
      </w:pPr>
      <w:r w:rsidRPr="00B816F6">
        <w:rPr>
          <w:b/>
        </w:rPr>
        <w:t>Población penitenciaria, desglosada por delito y duración de la pena,</w:t>
      </w:r>
      <w:r w:rsidRPr="00B816F6">
        <w:rPr>
          <w:b/>
        </w:rPr>
        <w:br/>
        <w:t>al 30 de junio de 2010</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782"/>
        <w:gridCol w:w="1195"/>
        <w:gridCol w:w="1198"/>
        <w:gridCol w:w="1195"/>
      </w:tblGrid>
      <w:tr w:rsidR="00F236D5" w:rsidRPr="00B816F6" w:rsidTr="00947046">
        <w:trPr>
          <w:trHeight w:val="255"/>
          <w:tblHeader/>
        </w:trPr>
        <w:tc>
          <w:tcPr>
            <w:tcW w:w="3782" w:type="dxa"/>
            <w:tcBorders>
              <w:top w:val="single" w:sz="4" w:space="0" w:color="auto"/>
              <w:bottom w:val="single" w:sz="12" w:space="0" w:color="auto"/>
            </w:tcBorders>
            <w:shd w:val="clear" w:color="auto" w:fill="auto"/>
            <w:noWrap/>
            <w:vAlign w:val="bottom"/>
          </w:tcPr>
          <w:p w:rsidR="00F236D5" w:rsidRPr="00B816F6" w:rsidRDefault="00F236D5" w:rsidP="00947046">
            <w:pPr>
              <w:spacing w:before="80" w:after="80" w:line="200" w:lineRule="exact"/>
              <w:ind w:right="113"/>
              <w:rPr>
                <w:i/>
                <w:sz w:val="16"/>
              </w:rPr>
            </w:pPr>
          </w:p>
        </w:tc>
        <w:tc>
          <w:tcPr>
            <w:tcW w:w="1195" w:type="dxa"/>
            <w:tcBorders>
              <w:top w:val="single" w:sz="4" w:space="0" w:color="auto"/>
              <w:bottom w:val="single" w:sz="12" w:space="0" w:color="auto"/>
            </w:tcBorders>
            <w:shd w:val="clear" w:color="auto" w:fill="auto"/>
            <w:noWrap/>
            <w:vAlign w:val="bottom"/>
          </w:tcPr>
          <w:p w:rsidR="00F236D5" w:rsidRPr="00B816F6" w:rsidRDefault="00F236D5" w:rsidP="00947046">
            <w:pPr>
              <w:spacing w:before="80" w:after="80" w:line="200" w:lineRule="exact"/>
              <w:jc w:val="right"/>
              <w:rPr>
                <w:i/>
                <w:sz w:val="16"/>
              </w:rPr>
            </w:pPr>
            <w:r w:rsidRPr="00B816F6">
              <w:rPr>
                <w:i/>
                <w:sz w:val="16"/>
              </w:rPr>
              <w:t>Hombres</w:t>
            </w:r>
          </w:p>
        </w:tc>
        <w:tc>
          <w:tcPr>
            <w:tcW w:w="1198" w:type="dxa"/>
            <w:tcBorders>
              <w:top w:val="single" w:sz="4" w:space="0" w:color="auto"/>
              <w:bottom w:val="single" w:sz="12" w:space="0" w:color="auto"/>
            </w:tcBorders>
            <w:shd w:val="clear" w:color="auto" w:fill="auto"/>
            <w:noWrap/>
            <w:vAlign w:val="bottom"/>
          </w:tcPr>
          <w:p w:rsidR="00F236D5" w:rsidRPr="00B816F6" w:rsidRDefault="00F236D5" w:rsidP="00947046">
            <w:pPr>
              <w:spacing w:before="80" w:after="80" w:line="200" w:lineRule="exact"/>
              <w:jc w:val="right"/>
              <w:rPr>
                <w:i/>
                <w:sz w:val="16"/>
              </w:rPr>
            </w:pPr>
            <w:r w:rsidRPr="00B816F6">
              <w:rPr>
                <w:i/>
                <w:sz w:val="16"/>
              </w:rPr>
              <w:t>Mujeres</w:t>
            </w:r>
          </w:p>
        </w:tc>
        <w:tc>
          <w:tcPr>
            <w:tcW w:w="1195" w:type="dxa"/>
            <w:tcBorders>
              <w:top w:val="single" w:sz="4" w:space="0" w:color="auto"/>
              <w:bottom w:val="single" w:sz="12" w:space="0" w:color="auto"/>
            </w:tcBorders>
            <w:shd w:val="clear" w:color="auto" w:fill="auto"/>
            <w:noWrap/>
            <w:vAlign w:val="bottom"/>
          </w:tcPr>
          <w:p w:rsidR="00F236D5" w:rsidRPr="00B816F6" w:rsidRDefault="00F236D5" w:rsidP="00947046">
            <w:pPr>
              <w:spacing w:before="80" w:after="80" w:line="200" w:lineRule="exact"/>
              <w:jc w:val="right"/>
              <w:rPr>
                <w:i/>
                <w:sz w:val="16"/>
              </w:rPr>
            </w:pPr>
            <w:r w:rsidRPr="00B816F6">
              <w:rPr>
                <w:i/>
                <w:sz w:val="16"/>
              </w:rPr>
              <w:t>Total</w:t>
            </w:r>
          </w:p>
        </w:tc>
      </w:tr>
      <w:tr w:rsidR="00F236D5" w:rsidRPr="00B816F6" w:rsidTr="00947046">
        <w:trPr>
          <w:trHeight w:val="255"/>
        </w:trPr>
        <w:tc>
          <w:tcPr>
            <w:tcW w:w="3782" w:type="dxa"/>
            <w:tcBorders>
              <w:top w:val="single" w:sz="12" w:space="0" w:color="auto"/>
            </w:tcBorders>
            <w:shd w:val="clear" w:color="auto" w:fill="auto"/>
            <w:noWrap/>
            <w:vAlign w:val="bottom"/>
          </w:tcPr>
          <w:p w:rsidR="00F236D5" w:rsidRPr="00B816F6" w:rsidRDefault="00F236D5" w:rsidP="00947046">
            <w:pPr>
              <w:spacing w:before="40" w:after="40" w:line="220" w:lineRule="exact"/>
              <w:ind w:right="113"/>
              <w:rPr>
                <w:sz w:val="18"/>
              </w:rPr>
            </w:pPr>
            <w:r w:rsidRPr="00B816F6">
              <w:rPr>
                <w:sz w:val="18"/>
              </w:rPr>
              <w:t>Presos con sentencia firme</w:t>
            </w:r>
          </w:p>
        </w:tc>
        <w:tc>
          <w:tcPr>
            <w:tcW w:w="1195" w:type="dxa"/>
            <w:tcBorders>
              <w:top w:val="single" w:sz="12" w:space="0" w:color="auto"/>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6 487</w:t>
            </w:r>
          </w:p>
        </w:tc>
        <w:tc>
          <w:tcPr>
            <w:tcW w:w="1198" w:type="dxa"/>
            <w:tcBorders>
              <w:top w:val="single" w:sz="12" w:space="0" w:color="auto"/>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429</w:t>
            </w:r>
          </w:p>
        </w:tc>
        <w:tc>
          <w:tcPr>
            <w:tcW w:w="1195" w:type="dxa"/>
            <w:tcBorders>
              <w:top w:val="single" w:sz="12" w:space="0" w:color="auto"/>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6 916</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right="113"/>
              <w:rPr>
                <w:sz w:val="18"/>
              </w:rPr>
            </w:pPr>
            <w:r w:rsidRPr="00B816F6">
              <w:rPr>
                <w:sz w:val="18"/>
              </w:rPr>
              <w:t>Duración de la pena</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p>
        </w:tc>
        <w:tc>
          <w:tcPr>
            <w:tcW w:w="1198" w:type="dxa"/>
            <w:shd w:val="clear" w:color="auto" w:fill="auto"/>
            <w:noWrap/>
            <w:vAlign w:val="bottom"/>
          </w:tcPr>
          <w:p w:rsidR="00F236D5" w:rsidRPr="00B816F6" w:rsidRDefault="00F236D5" w:rsidP="00947046">
            <w:pPr>
              <w:spacing w:before="40" w:after="40" w:line="220" w:lineRule="exact"/>
              <w:jc w:val="right"/>
              <w:rPr>
                <w:sz w:val="18"/>
              </w:rPr>
            </w:pPr>
          </w:p>
        </w:tc>
        <w:tc>
          <w:tcPr>
            <w:tcW w:w="1195" w:type="dxa"/>
            <w:shd w:val="clear" w:color="auto" w:fill="auto"/>
            <w:noWrap/>
            <w:vAlign w:val="bottom"/>
          </w:tcPr>
          <w:p w:rsidR="00F236D5" w:rsidRPr="00B816F6" w:rsidRDefault="00F236D5" w:rsidP="00947046">
            <w:pPr>
              <w:spacing w:before="40" w:after="40" w:line="220" w:lineRule="exact"/>
              <w:jc w:val="right"/>
              <w:rPr>
                <w:sz w:val="18"/>
              </w:rPr>
            </w:pP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Menos de 2 años</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1 787</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191</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1 978</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2 a 5 años</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2 384</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157</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2 541</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5 a 10 años</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1 238</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47</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1 285</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 xml:space="preserve">Más 10 años </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392</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3</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395</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Pena indeterminada</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686</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31</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717</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right="113"/>
              <w:rPr>
                <w:sz w:val="18"/>
              </w:rPr>
            </w:pPr>
            <w:r w:rsidRPr="00B816F6">
              <w:rPr>
                <w:sz w:val="18"/>
              </w:rPr>
              <w:t>Delito más grave</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p>
        </w:tc>
        <w:tc>
          <w:tcPr>
            <w:tcW w:w="1198" w:type="dxa"/>
            <w:shd w:val="clear" w:color="auto" w:fill="auto"/>
            <w:noWrap/>
            <w:vAlign w:val="bottom"/>
          </w:tcPr>
          <w:p w:rsidR="00F236D5" w:rsidRPr="00B816F6" w:rsidRDefault="00F236D5" w:rsidP="00947046">
            <w:pPr>
              <w:spacing w:before="40" w:after="40" w:line="220" w:lineRule="exact"/>
              <w:jc w:val="right"/>
              <w:rPr>
                <w:sz w:val="18"/>
              </w:rPr>
            </w:pPr>
          </w:p>
        </w:tc>
        <w:tc>
          <w:tcPr>
            <w:tcW w:w="1195" w:type="dxa"/>
            <w:shd w:val="clear" w:color="auto" w:fill="auto"/>
            <w:noWrap/>
            <w:vAlign w:val="bottom"/>
          </w:tcPr>
          <w:p w:rsidR="00F236D5" w:rsidRPr="00B816F6" w:rsidRDefault="00F236D5" w:rsidP="00947046">
            <w:pPr>
              <w:spacing w:before="40" w:after="40" w:line="220" w:lineRule="exact"/>
              <w:jc w:val="right"/>
              <w:rPr>
                <w:sz w:val="18"/>
              </w:rPr>
            </w:pP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Delitos administrativos</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63</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10</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73</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Deshonestidad</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1 153</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114</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1 267</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Drogas y delitos antisociales</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809</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93</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902</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Justicia (varios)</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57</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8</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65</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Abusos a bienes</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26</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27</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Daños a bienes</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107</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15</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122</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Delitos sexuales</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1 400</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1 402</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Tránsito</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212</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22</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234</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Violencia</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2 644</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162</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2 806</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Aún no registrados</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16</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18</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Población penitenciaria</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8 195</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551</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8 746</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right="113"/>
              <w:rPr>
                <w:sz w:val="18"/>
              </w:rPr>
            </w:pPr>
            <w:r w:rsidRPr="00B816F6">
              <w:rPr>
                <w:sz w:val="18"/>
              </w:rPr>
              <w:t>Grupo étnico</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p>
        </w:tc>
        <w:tc>
          <w:tcPr>
            <w:tcW w:w="1198" w:type="dxa"/>
            <w:shd w:val="clear" w:color="auto" w:fill="auto"/>
            <w:noWrap/>
            <w:vAlign w:val="bottom"/>
          </w:tcPr>
          <w:p w:rsidR="00F236D5" w:rsidRPr="00B816F6" w:rsidRDefault="00F236D5" w:rsidP="00947046">
            <w:pPr>
              <w:spacing w:before="40" w:after="40" w:line="220" w:lineRule="exact"/>
              <w:jc w:val="right"/>
              <w:rPr>
                <w:sz w:val="18"/>
              </w:rPr>
            </w:pPr>
          </w:p>
        </w:tc>
        <w:tc>
          <w:tcPr>
            <w:tcW w:w="1195" w:type="dxa"/>
            <w:shd w:val="clear" w:color="auto" w:fill="auto"/>
            <w:noWrap/>
            <w:vAlign w:val="bottom"/>
          </w:tcPr>
          <w:p w:rsidR="00F236D5" w:rsidRPr="00B816F6" w:rsidRDefault="00F236D5" w:rsidP="00947046">
            <w:pPr>
              <w:spacing w:before="40" w:after="40" w:line="220" w:lineRule="exact"/>
              <w:jc w:val="right"/>
              <w:rPr>
                <w:sz w:val="18"/>
              </w:rPr>
            </w:pP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Asiático</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220</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20</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240</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Europeo</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2 761</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174</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2 935</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Maorí</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4 124</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324</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4 448</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Otros grupos étnicos</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73</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6</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79</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Pueblos del Pacífico</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981</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22</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1 003</w:t>
            </w:r>
          </w:p>
        </w:tc>
      </w:tr>
      <w:tr w:rsidR="00F236D5" w:rsidRPr="00B816F6" w:rsidTr="00947046">
        <w:trPr>
          <w:trHeight w:val="255"/>
        </w:trPr>
        <w:tc>
          <w:tcPr>
            <w:tcW w:w="3782" w:type="dxa"/>
            <w:tcBorders>
              <w:bottom w:val="nil"/>
            </w:tcBorders>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Grupo étnico no identificado</w:t>
            </w:r>
          </w:p>
        </w:tc>
        <w:tc>
          <w:tcPr>
            <w:tcW w:w="1195" w:type="dxa"/>
            <w:tcBorders>
              <w:bottom w:val="nil"/>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36</w:t>
            </w:r>
          </w:p>
        </w:tc>
        <w:tc>
          <w:tcPr>
            <w:tcW w:w="1198" w:type="dxa"/>
            <w:tcBorders>
              <w:bottom w:val="nil"/>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5</w:t>
            </w:r>
          </w:p>
        </w:tc>
        <w:tc>
          <w:tcPr>
            <w:tcW w:w="1195" w:type="dxa"/>
            <w:tcBorders>
              <w:bottom w:val="nil"/>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41</w:t>
            </w:r>
          </w:p>
        </w:tc>
      </w:tr>
      <w:tr w:rsidR="00F236D5" w:rsidRPr="00B816F6" w:rsidTr="00947046">
        <w:trPr>
          <w:trHeight w:val="255"/>
        </w:trPr>
        <w:tc>
          <w:tcPr>
            <w:tcW w:w="3782" w:type="dxa"/>
            <w:tcBorders>
              <w:top w:val="nil"/>
              <w:bottom w:val="nil"/>
            </w:tcBorders>
            <w:shd w:val="clear" w:color="auto" w:fill="auto"/>
            <w:noWrap/>
            <w:vAlign w:val="bottom"/>
          </w:tcPr>
          <w:p w:rsidR="00F236D5" w:rsidRPr="00B816F6" w:rsidRDefault="00F236D5" w:rsidP="00947046">
            <w:pPr>
              <w:spacing w:before="40" w:after="40" w:line="220" w:lineRule="exact"/>
              <w:ind w:right="113"/>
              <w:rPr>
                <w:sz w:val="18"/>
              </w:rPr>
            </w:pPr>
            <w:r w:rsidRPr="00B816F6">
              <w:rPr>
                <w:sz w:val="18"/>
              </w:rPr>
              <w:t>Grupo de edad</w:t>
            </w:r>
          </w:p>
        </w:tc>
        <w:tc>
          <w:tcPr>
            <w:tcW w:w="1195" w:type="dxa"/>
            <w:tcBorders>
              <w:top w:val="nil"/>
              <w:bottom w:val="nil"/>
            </w:tcBorders>
            <w:shd w:val="clear" w:color="auto" w:fill="auto"/>
            <w:noWrap/>
            <w:vAlign w:val="bottom"/>
          </w:tcPr>
          <w:p w:rsidR="00F236D5" w:rsidRPr="00B816F6" w:rsidRDefault="00F236D5" w:rsidP="00947046">
            <w:pPr>
              <w:spacing w:before="40" w:after="40" w:line="220" w:lineRule="exact"/>
              <w:jc w:val="right"/>
              <w:rPr>
                <w:sz w:val="18"/>
              </w:rPr>
            </w:pPr>
          </w:p>
        </w:tc>
        <w:tc>
          <w:tcPr>
            <w:tcW w:w="1198" w:type="dxa"/>
            <w:tcBorders>
              <w:top w:val="nil"/>
              <w:bottom w:val="nil"/>
            </w:tcBorders>
            <w:shd w:val="clear" w:color="auto" w:fill="auto"/>
            <w:noWrap/>
            <w:vAlign w:val="bottom"/>
          </w:tcPr>
          <w:p w:rsidR="00F236D5" w:rsidRPr="00B816F6" w:rsidRDefault="00F236D5" w:rsidP="00947046">
            <w:pPr>
              <w:spacing w:before="40" w:after="40" w:line="220" w:lineRule="exact"/>
              <w:jc w:val="right"/>
              <w:rPr>
                <w:sz w:val="18"/>
              </w:rPr>
            </w:pPr>
          </w:p>
        </w:tc>
        <w:tc>
          <w:tcPr>
            <w:tcW w:w="1195" w:type="dxa"/>
            <w:tcBorders>
              <w:top w:val="nil"/>
              <w:bottom w:val="nil"/>
            </w:tcBorders>
            <w:shd w:val="clear" w:color="auto" w:fill="auto"/>
            <w:noWrap/>
            <w:vAlign w:val="bottom"/>
          </w:tcPr>
          <w:p w:rsidR="00F236D5" w:rsidRPr="00B816F6" w:rsidRDefault="00F236D5" w:rsidP="00947046">
            <w:pPr>
              <w:spacing w:before="40" w:after="40" w:line="220" w:lineRule="exact"/>
              <w:jc w:val="right"/>
              <w:rPr>
                <w:sz w:val="18"/>
              </w:rPr>
            </w:pPr>
          </w:p>
        </w:tc>
      </w:tr>
      <w:tr w:rsidR="00F236D5" w:rsidRPr="00B816F6" w:rsidTr="00947046">
        <w:trPr>
          <w:trHeight w:val="255"/>
        </w:trPr>
        <w:tc>
          <w:tcPr>
            <w:tcW w:w="3782" w:type="dxa"/>
            <w:tcBorders>
              <w:top w:val="nil"/>
            </w:tcBorders>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Menores de 18 años</w:t>
            </w:r>
          </w:p>
        </w:tc>
        <w:tc>
          <w:tcPr>
            <w:tcW w:w="1195" w:type="dxa"/>
            <w:tcBorders>
              <w:top w:val="nil"/>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84</w:t>
            </w:r>
          </w:p>
        </w:tc>
        <w:tc>
          <w:tcPr>
            <w:tcW w:w="1198" w:type="dxa"/>
            <w:tcBorders>
              <w:top w:val="nil"/>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9</w:t>
            </w:r>
          </w:p>
        </w:tc>
        <w:tc>
          <w:tcPr>
            <w:tcW w:w="1195" w:type="dxa"/>
            <w:tcBorders>
              <w:top w:val="nil"/>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93</w:t>
            </w:r>
          </w:p>
        </w:tc>
      </w:tr>
      <w:tr w:rsidR="00F236D5" w:rsidRPr="00B816F6" w:rsidTr="00947046">
        <w:trPr>
          <w:trHeight w:val="255"/>
        </w:trPr>
        <w:tc>
          <w:tcPr>
            <w:tcW w:w="3782" w:type="dxa"/>
            <w:tcBorders>
              <w:bottom w:val="nil"/>
            </w:tcBorders>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18 a 24 años</w:t>
            </w:r>
          </w:p>
        </w:tc>
        <w:tc>
          <w:tcPr>
            <w:tcW w:w="1195" w:type="dxa"/>
            <w:tcBorders>
              <w:bottom w:val="nil"/>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2 078</w:t>
            </w:r>
          </w:p>
        </w:tc>
        <w:tc>
          <w:tcPr>
            <w:tcW w:w="1198" w:type="dxa"/>
            <w:tcBorders>
              <w:bottom w:val="nil"/>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139</w:t>
            </w:r>
          </w:p>
        </w:tc>
        <w:tc>
          <w:tcPr>
            <w:tcW w:w="1195" w:type="dxa"/>
            <w:tcBorders>
              <w:bottom w:val="nil"/>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2 217</w:t>
            </w:r>
          </w:p>
        </w:tc>
      </w:tr>
      <w:tr w:rsidR="00F236D5" w:rsidRPr="00B816F6" w:rsidTr="00947046">
        <w:trPr>
          <w:trHeight w:val="255"/>
        </w:trPr>
        <w:tc>
          <w:tcPr>
            <w:tcW w:w="3782" w:type="dxa"/>
            <w:tcBorders>
              <w:top w:val="nil"/>
              <w:bottom w:val="nil"/>
            </w:tcBorders>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25 a 34 años</w:t>
            </w:r>
          </w:p>
        </w:tc>
        <w:tc>
          <w:tcPr>
            <w:tcW w:w="1195" w:type="dxa"/>
            <w:tcBorders>
              <w:top w:val="nil"/>
              <w:bottom w:val="nil"/>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2 444</w:t>
            </w:r>
          </w:p>
        </w:tc>
        <w:tc>
          <w:tcPr>
            <w:tcW w:w="1198" w:type="dxa"/>
            <w:tcBorders>
              <w:top w:val="nil"/>
              <w:bottom w:val="nil"/>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176</w:t>
            </w:r>
          </w:p>
        </w:tc>
        <w:tc>
          <w:tcPr>
            <w:tcW w:w="1195" w:type="dxa"/>
            <w:tcBorders>
              <w:top w:val="nil"/>
              <w:bottom w:val="nil"/>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2 620</w:t>
            </w:r>
          </w:p>
        </w:tc>
      </w:tr>
      <w:tr w:rsidR="00F236D5" w:rsidRPr="00B816F6" w:rsidTr="00947046">
        <w:trPr>
          <w:trHeight w:val="255"/>
        </w:trPr>
        <w:tc>
          <w:tcPr>
            <w:tcW w:w="3782" w:type="dxa"/>
            <w:tcBorders>
              <w:top w:val="nil"/>
            </w:tcBorders>
            <w:shd w:val="clear" w:color="auto" w:fill="auto"/>
            <w:noWrap/>
            <w:vAlign w:val="bottom"/>
          </w:tcPr>
          <w:p w:rsidR="00F236D5" w:rsidRPr="00B816F6" w:rsidRDefault="00F236D5" w:rsidP="00947046">
            <w:pPr>
              <w:keepNext/>
              <w:spacing w:before="40" w:after="40" w:line="220" w:lineRule="exact"/>
              <w:ind w:left="170" w:right="113"/>
              <w:rPr>
                <w:sz w:val="18"/>
              </w:rPr>
            </w:pPr>
            <w:r w:rsidRPr="00B816F6">
              <w:rPr>
                <w:sz w:val="18"/>
              </w:rPr>
              <w:t>35 a 44 años</w:t>
            </w:r>
          </w:p>
        </w:tc>
        <w:tc>
          <w:tcPr>
            <w:tcW w:w="1195" w:type="dxa"/>
            <w:tcBorders>
              <w:top w:val="nil"/>
            </w:tcBorders>
            <w:shd w:val="clear" w:color="auto" w:fill="auto"/>
            <w:noWrap/>
            <w:vAlign w:val="bottom"/>
          </w:tcPr>
          <w:p w:rsidR="00F236D5" w:rsidRPr="00B816F6" w:rsidRDefault="00F236D5" w:rsidP="00947046">
            <w:pPr>
              <w:keepNext/>
              <w:spacing w:before="40" w:after="40" w:line="220" w:lineRule="exact"/>
              <w:jc w:val="right"/>
              <w:rPr>
                <w:sz w:val="18"/>
              </w:rPr>
            </w:pPr>
            <w:r w:rsidRPr="00B816F6">
              <w:rPr>
                <w:sz w:val="18"/>
              </w:rPr>
              <w:t>2 042</w:t>
            </w:r>
          </w:p>
        </w:tc>
        <w:tc>
          <w:tcPr>
            <w:tcW w:w="1198" w:type="dxa"/>
            <w:tcBorders>
              <w:top w:val="nil"/>
            </w:tcBorders>
            <w:shd w:val="clear" w:color="auto" w:fill="auto"/>
            <w:noWrap/>
            <w:vAlign w:val="bottom"/>
          </w:tcPr>
          <w:p w:rsidR="00F236D5" w:rsidRPr="00B816F6" w:rsidRDefault="00F236D5" w:rsidP="00947046">
            <w:pPr>
              <w:keepNext/>
              <w:spacing w:before="40" w:after="40" w:line="220" w:lineRule="exact"/>
              <w:jc w:val="right"/>
              <w:rPr>
                <w:sz w:val="18"/>
              </w:rPr>
            </w:pPr>
            <w:r w:rsidRPr="00B816F6">
              <w:rPr>
                <w:sz w:val="18"/>
              </w:rPr>
              <w:t>132</w:t>
            </w:r>
          </w:p>
        </w:tc>
        <w:tc>
          <w:tcPr>
            <w:tcW w:w="1195" w:type="dxa"/>
            <w:tcBorders>
              <w:top w:val="nil"/>
            </w:tcBorders>
            <w:shd w:val="clear" w:color="auto" w:fill="auto"/>
            <w:noWrap/>
            <w:vAlign w:val="bottom"/>
          </w:tcPr>
          <w:p w:rsidR="00F236D5" w:rsidRPr="00B816F6" w:rsidRDefault="00F236D5" w:rsidP="00947046">
            <w:pPr>
              <w:keepNext/>
              <w:spacing w:before="40" w:after="40" w:line="220" w:lineRule="exact"/>
              <w:jc w:val="right"/>
              <w:rPr>
                <w:sz w:val="18"/>
              </w:rPr>
            </w:pPr>
            <w:r w:rsidRPr="00B816F6">
              <w:rPr>
                <w:sz w:val="18"/>
              </w:rPr>
              <w:t>2 174</w:t>
            </w:r>
          </w:p>
        </w:tc>
      </w:tr>
      <w:tr w:rsidR="00F236D5" w:rsidRPr="00B816F6" w:rsidTr="00947046">
        <w:trPr>
          <w:trHeight w:val="255"/>
        </w:trPr>
        <w:tc>
          <w:tcPr>
            <w:tcW w:w="3782" w:type="dxa"/>
            <w:shd w:val="clear" w:color="auto" w:fill="auto"/>
            <w:noWrap/>
            <w:vAlign w:val="bottom"/>
          </w:tcPr>
          <w:p w:rsidR="00F236D5" w:rsidRPr="00B816F6" w:rsidRDefault="00F236D5" w:rsidP="00947046">
            <w:pPr>
              <w:spacing w:before="40" w:after="40" w:line="220" w:lineRule="exact"/>
              <w:ind w:left="170" w:right="113"/>
              <w:rPr>
                <w:sz w:val="18"/>
              </w:rPr>
            </w:pPr>
            <w:r w:rsidRPr="00B816F6">
              <w:rPr>
                <w:sz w:val="18"/>
              </w:rPr>
              <w:t>Mayores de 45 años</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1 547</w:t>
            </w:r>
          </w:p>
        </w:tc>
        <w:tc>
          <w:tcPr>
            <w:tcW w:w="1198"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95</w:t>
            </w:r>
          </w:p>
        </w:tc>
        <w:tc>
          <w:tcPr>
            <w:tcW w:w="1195" w:type="dxa"/>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1 642</w:t>
            </w:r>
          </w:p>
        </w:tc>
      </w:tr>
    </w:tbl>
    <w:p w:rsidR="00F236D5" w:rsidRPr="00B816F6" w:rsidRDefault="00F236D5" w:rsidP="00F236D5">
      <w:pPr>
        <w:pStyle w:val="SingleTxtG"/>
        <w:tabs>
          <w:tab w:val="left" w:pos="1304"/>
        </w:tabs>
        <w:spacing w:before="120" w:after="0"/>
        <w:rPr>
          <w:sz w:val="18"/>
          <w:szCs w:val="18"/>
        </w:rPr>
      </w:pPr>
      <w:r w:rsidRPr="00B816F6">
        <w:rPr>
          <w:i/>
          <w:sz w:val="18"/>
          <w:szCs w:val="18"/>
        </w:rPr>
        <w:tab/>
        <w:t>Fuente:</w:t>
      </w:r>
      <w:r w:rsidRPr="00B816F6">
        <w:rPr>
          <w:sz w:val="18"/>
          <w:szCs w:val="18"/>
        </w:rPr>
        <w:t xml:space="preserve"> Administración Penitenciaria.</w:t>
      </w:r>
    </w:p>
    <w:p w:rsidR="00F236D5" w:rsidRPr="00B816F6" w:rsidRDefault="00F236D5" w:rsidP="00F236D5">
      <w:pPr>
        <w:pStyle w:val="SingleTxtG"/>
        <w:tabs>
          <w:tab w:val="left" w:pos="1304"/>
        </w:tabs>
        <w:spacing w:after="240"/>
        <w:jc w:val="left"/>
        <w:rPr>
          <w:sz w:val="18"/>
          <w:szCs w:val="18"/>
        </w:rPr>
      </w:pPr>
      <w:r w:rsidRPr="00B816F6">
        <w:rPr>
          <w:i/>
          <w:sz w:val="18"/>
          <w:szCs w:val="18"/>
        </w:rPr>
        <w:tab/>
        <w:t xml:space="preserve">Nota: </w:t>
      </w:r>
      <w:r w:rsidRPr="00B816F6">
        <w:rPr>
          <w:sz w:val="18"/>
          <w:szCs w:val="18"/>
        </w:rPr>
        <w:t>La "población penitenciaria" incluye a los reclusos en prisión preventiva, mientras que en la categoría "reclusos con sentencia firme" figuran únicamente los presos condenados. Dicha población incluye a los reclusos en prisiones, establecimientos penitenciarios o instituciones correccionales pero excluye a las personas detenidas por razones administrativas de carácter no penal, incluidas las que tienen investigaciones pendientes sobre su situación de inmigración. La pena indeterminada se refiere a la detención preventiva y a las condenas de prisión perpetua.</w:t>
      </w:r>
    </w:p>
    <w:p w:rsidR="00F236D5" w:rsidRPr="00B816F6" w:rsidRDefault="00F236D5" w:rsidP="00F236D5">
      <w:pPr>
        <w:pStyle w:val="H4G"/>
      </w:pPr>
      <w:r w:rsidRPr="00B816F6">
        <w:tab/>
        <w:t>c)</w:t>
      </w:r>
      <w:r w:rsidRPr="00B816F6">
        <w:tab/>
        <w:t>Tasa de muertes no naturales en establecimientos penitenciarios</w:t>
      </w:r>
    </w:p>
    <w:p w:rsidR="00F236D5" w:rsidRPr="00B816F6" w:rsidRDefault="00F236D5" w:rsidP="00F236D5">
      <w:pPr>
        <w:pStyle w:val="SingleTxtG"/>
      </w:pPr>
      <w:r w:rsidRPr="00B816F6">
        <w:t>131.</w:t>
      </w:r>
      <w:r w:rsidRPr="00B816F6">
        <w:tab/>
        <w:t>Durante el ejercicio económico de 2008</w:t>
      </w:r>
      <w:r>
        <w:t>/</w:t>
      </w:r>
      <w:r w:rsidRPr="00B816F6">
        <w:t>09 se registraron cinco muertes no naturales, lo que equivale a una proporción de 0,06 por cada 100 reclusos, número y tasa que no variaron respecto de los observados en el ejercicio económico 2007</w:t>
      </w:r>
      <w:r>
        <w:t>/</w:t>
      </w:r>
      <w:r w:rsidRPr="00B816F6">
        <w:t>08. Cuatro de las cinco muertes no naturales fueron presuntos suicidios y la quinta fue resultado de una agresión grave perpetrada contra un recluso. Todas las muertes ocurridas en establecimientos penitenciarios son objeto de una investigación forense a fin de determinar la causa de muerte.</w:t>
      </w:r>
    </w:p>
    <w:p w:rsidR="00F236D5" w:rsidRPr="00B816F6" w:rsidRDefault="00F236D5" w:rsidP="00F236D5">
      <w:pPr>
        <w:pStyle w:val="Heading1"/>
      </w:pPr>
      <w:r w:rsidRPr="00B816F6">
        <w:t>Cuadro 42</w:t>
      </w:r>
    </w:p>
    <w:p w:rsidR="00F236D5" w:rsidRPr="00B816F6" w:rsidRDefault="00F236D5" w:rsidP="00F236D5">
      <w:pPr>
        <w:pStyle w:val="SingleTxtG"/>
        <w:keepNext/>
        <w:jc w:val="left"/>
        <w:rPr>
          <w:b/>
        </w:rPr>
      </w:pPr>
      <w:r w:rsidRPr="00B816F6">
        <w:rPr>
          <w:b/>
        </w:rPr>
        <w:t>Muertes no naturales en establecimientos penitenciarios</w:t>
      </w:r>
    </w:p>
    <w:bookmarkStart w:id="95" w:name="_MON_1367043377"/>
    <w:bookmarkEnd w:id="95"/>
    <w:p w:rsidR="00F236D5" w:rsidRPr="00B816F6" w:rsidRDefault="00F236D5" w:rsidP="00F236D5">
      <w:pPr>
        <w:pStyle w:val="SingleTxtG"/>
        <w:spacing w:after="0"/>
      </w:pPr>
      <w:r w:rsidRPr="00B816F6">
        <w:object w:dxaOrig="4319" w:dyaOrig="2879">
          <v:shape id="_x0000_i1045" type="#_x0000_t75" style="width:240pt;height:152.25pt" o:ole="" o:bordertopcolor="this" o:borderleftcolor="this" o:borderbottomcolor="this" o:borderrightcolor="this">
            <v:imagedata r:id="rId46" o:title="" croptop="2753f" cropbottom="2707f" cropleft="2640f"/>
            <w10:bordertop type="single" width="4"/>
            <w10:borderleft type="single" width="4"/>
            <w10:borderbottom type="single" width="4"/>
            <w10:borderright type="single" width="4"/>
          </v:shape>
          <o:OLEObject Type="Embed" ProgID="Word.Picture.8" ShapeID="_x0000_i1045" DrawAspect="Content" ObjectID="_1395889844" r:id="rId47"/>
        </w:object>
      </w:r>
    </w:p>
    <w:p w:rsidR="00F236D5" w:rsidRPr="00B816F6" w:rsidRDefault="00F236D5" w:rsidP="00F236D5">
      <w:pPr>
        <w:pStyle w:val="SingleTxtG"/>
        <w:spacing w:before="120" w:after="240"/>
        <w:ind w:left="1304"/>
        <w:rPr>
          <w:sz w:val="18"/>
          <w:szCs w:val="18"/>
        </w:rPr>
      </w:pPr>
      <w:r w:rsidRPr="00B816F6">
        <w:rPr>
          <w:i/>
          <w:sz w:val="18"/>
          <w:szCs w:val="18"/>
        </w:rPr>
        <w:t>Fuente:</w:t>
      </w:r>
      <w:r w:rsidRPr="00B816F6">
        <w:rPr>
          <w:sz w:val="18"/>
          <w:szCs w:val="18"/>
        </w:rPr>
        <w:t xml:space="preserve"> Administración Penitenciaria.</w:t>
      </w:r>
    </w:p>
    <w:p w:rsidR="00F236D5" w:rsidRPr="00B816F6" w:rsidRDefault="00F236D5" w:rsidP="00F236D5">
      <w:pPr>
        <w:pStyle w:val="SingleTxtG"/>
      </w:pPr>
      <w:r w:rsidRPr="00B816F6">
        <w:t>132.</w:t>
      </w:r>
      <w:r w:rsidRPr="00B816F6">
        <w:tab/>
        <w:t>En Nueva Zelandia los tribunales no están facultados para condenar a muerte a un delincuente por ningún delito. Con la Ley de abolición de la pena de muerte de 1989 se eliminó la pena capital con respecto a todos los delitos, incluido el de traición. La ley faculta al Ministro de Justicia para rehusar la extradición a todo país de extradición en que el delincuente pueda ser sentenciado a la pena capital.</w:t>
      </w:r>
    </w:p>
    <w:p w:rsidR="00F236D5" w:rsidRPr="00B816F6" w:rsidRDefault="00F236D5" w:rsidP="00F236D5">
      <w:pPr>
        <w:pStyle w:val="H4G"/>
      </w:pPr>
      <w:r w:rsidRPr="00B816F6">
        <w:tab/>
        <w:t>d)</w:t>
      </w:r>
      <w:r w:rsidRPr="00B816F6">
        <w:tab/>
        <w:t>Número de agentes de policía y jueces</w:t>
      </w:r>
    </w:p>
    <w:p w:rsidR="00F236D5" w:rsidRPr="00B816F6" w:rsidRDefault="00F236D5" w:rsidP="00F236D5">
      <w:pPr>
        <w:pStyle w:val="Heading1"/>
        <w:keepLines/>
      </w:pPr>
      <w:r w:rsidRPr="00B816F6">
        <w:t>Cuadro 43</w:t>
      </w:r>
    </w:p>
    <w:p w:rsidR="00F236D5" w:rsidRPr="00B816F6" w:rsidRDefault="00F236D5" w:rsidP="00F236D5">
      <w:pPr>
        <w:pStyle w:val="SingleTxtG"/>
        <w:keepNext/>
        <w:keepLines/>
        <w:jc w:val="left"/>
        <w:rPr>
          <w:b/>
        </w:rPr>
      </w:pPr>
      <w:r w:rsidRPr="00B816F6">
        <w:rPr>
          <w:b/>
        </w:rPr>
        <w:t>Número de agentes de policía</w:t>
      </w:r>
      <w:r w:rsidRPr="00B816F6">
        <w:t>*</w:t>
      </w:r>
      <w:r w:rsidRPr="00B816F6">
        <w:rPr>
          <w:b/>
        </w:rPr>
        <w:t xml:space="preserve"> en Nueva Zelandia por cada 100.000 habitantes </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466"/>
        <w:gridCol w:w="700"/>
        <w:gridCol w:w="701"/>
        <w:gridCol w:w="750"/>
        <w:gridCol w:w="751"/>
        <w:gridCol w:w="750"/>
        <w:gridCol w:w="751"/>
        <w:gridCol w:w="750"/>
        <w:gridCol w:w="751"/>
      </w:tblGrid>
      <w:tr w:rsidR="00F236D5" w:rsidRPr="00B816F6" w:rsidTr="00947046">
        <w:trPr>
          <w:trHeight w:val="240"/>
          <w:tblHeader/>
        </w:trPr>
        <w:tc>
          <w:tcPr>
            <w:tcW w:w="1466" w:type="dxa"/>
            <w:vMerge w:val="restart"/>
            <w:tcBorders>
              <w:top w:val="single" w:sz="4" w:space="0" w:color="auto"/>
            </w:tcBorders>
            <w:shd w:val="clear" w:color="auto" w:fill="auto"/>
            <w:vAlign w:val="bottom"/>
          </w:tcPr>
          <w:p w:rsidR="00F236D5" w:rsidRPr="00B816F6" w:rsidRDefault="00F236D5" w:rsidP="00947046">
            <w:pPr>
              <w:keepNext/>
              <w:keepLines/>
              <w:spacing w:before="80" w:after="80" w:line="200" w:lineRule="exact"/>
              <w:ind w:right="113"/>
              <w:rPr>
                <w:i/>
                <w:sz w:val="16"/>
              </w:rPr>
            </w:pPr>
          </w:p>
        </w:tc>
        <w:tc>
          <w:tcPr>
            <w:tcW w:w="1401" w:type="dxa"/>
            <w:gridSpan w:val="2"/>
            <w:tcBorders>
              <w:top w:val="single" w:sz="4" w:space="0" w:color="auto"/>
              <w:bottom w:val="single" w:sz="4" w:space="0" w:color="auto"/>
              <w:right w:val="single" w:sz="24" w:space="0" w:color="FFFFFF"/>
            </w:tcBorders>
            <w:shd w:val="clear" w:color="auto" w:fill="auto"/>
            <w:vAlign w:val="bottom"/>
          </w:tcPr>
          <w:p w:rsidR="00F236D5" w:rsidRPr="00B816F6" w:rsidRDefault="00F236D5" w:rsidP="00947046">
            <w:pPr>
              <w:keepNext/>
              <w:keepLines/>
              <w:spacing w:before="80" w:after="80" w:line="200" w:lineRule="exact"/>
              <w:jc w:val="center"/>
              <w:rPr>
                <w:i/>
                <w:sz w:val="16"/>
              </w:rPr>
            </w:pPr>
            <w:r w:rsidRPr="00B816F6">
              <w:rPr>
                <w:i/>
                <w:sz w:val="16"/>
              </w:rPr>
              <w:t>2005</w:t>
            </w:r>
          </w:p>
        </w:tc>
        <w:tc>
          <w:tcPr>
            <w:tcW w:w="1501" w:type="dxa"/>
            <w:gridSpan w:val="2"/>
            <w:tcBorders>
              <w:top w:val="single" w:sz="4" w:space="0" w:color="auto"/>
              <w:left w:val="single" w:sz="24" w:space="0" w:color="FFFFFF"/>
              <w:bottom w:val="single" w:sz="4" w:space="0" w:color="auto"/>
              <w:right w:val="single" w:sz="24" w:space="0" w:color="FFFFFF"/>
            </w:tcBorders>
            <w:shd w:val="clear" w:color="auto" w:fill="auto"/>
            <w:vAlign w:val="bottom"/>
          </w:tcPr>
          <w:p w:rsidR="00F236D5" w:rsidRPr="00B816F6" w:rsidRDefault="00F236D5" w:rsidP="00947046">
            <w:pPr>
              <w:keepNext/>
              <w:keepLines/>
              <w:spacing w:before="80" w:after="80" w:line="200" w:lineRule="exact"/>
              <w:jc w:val="center"/>
              <w:rPr>
                <w:i/>
                <w:sz w:val="16"/>
              </w:rPr>
            </w:pPr>
            <w:r w:rsidRPr="00B816F6">
              <w:rPr>
                <w:i/>
                <w:sz w:val="16"/>
              </w:rPr>
              <w:t>2006</w:t>
            </w:r>
          </w:p>
        </w:tc>
        <w:tc>
          <w:tcPr>
            <w:tcW w:w="1501" w:type="dxa"/>
            <w:gridSpan w:val="2"/>
            <w:tcBorders>
              <w:top w:val="single" w:sz="4" w:space="0" w:color="auto"/>
              <w:left w:val="single" w:sz="24" w:space="0" w:color="FFFFFF"/>
              <w:bottom w:val="single" w:sz="4" w:space="0" w:color="auto"/>
              <w:right w:val="single" w:sz="24" w:space="0" w:color="FFFFFF"/>
            </w:tcBorders>
            <w:shd w:val="clear" w:color="auto" w:fill="auto"/>
            <w:vAlign w:val="bottom"/>
          </w:tcPr>
          <w:p w:rsidR="00F236D5" w:rsidRPr="00B816F6" w:rsidRDefault="00F236D5" w:rsidP="00947046">
            <w:pPr>
              <w:keepNext/>
              <w:keepLines/>
              <w:spacing w:before="80" w:after="80" w:line="200" w:lineRule="exact"/>
              <w:jc w:val="center"/>
              <w:rPr>
                <w:i/>
                <w:sz w:val="16"/>
              </w:rPr>
            </w:pPr>
            <w:r w:rsidRPr="00B816F6">
              <w:rPr>
                <w:i/>
                <w:sz w:val="16"/>
              </w:rPr>
              <w:t>2007</w:t>
            </w:r>
          </w:p>
        </w:tc>
        <w:tc>
          <w:tcPr>
            <w:tcW w:w="1501" w:type="dxa"/>
            <w:gridSpan w:val="2"/>
            <w:tcBorders>
              <w:top w:val="single" w:sz="4" w:space="0" w:color="auto"/>
              <w:left w:val="single" w:sz="24" w:space="0" w:color="FFFFFF"/>
              <w:bottom w:val="single" w:sz="4" w:space="0" w:color="auto"/>
            </w:tcBorders>
            <w:shd w:val="clear" w:color="auto" w:fill="auto"/>
            <w:vAlign w:val="bottom"/>
          </w:tcPr>
          <w:p w:rsidR="00F236D5" w:rsidRPr="00B816F6" w:rsidRDefault="00F236D5" w:rsidP="00947046">
            <w:pPr>
              <w:keepNext/>
              <w:keepLines/>
              <w:spacing w:before="80" w:after="80" w:line="200" w:lineRule="exact"/>
              <w:jc w:val="center"/>
              <w:rPr>
                <w:i/>
                <w:sz w:val="16"/>
              </w:rPr>
            </w:pPr>
            <w:r w:rsidRPr="00B816F6">
              <w:rPr>
                <w:i/>
                <w:sz w:val="16"/>
              </w:rPr>
              <w:t>2008</w:t>
            </w:r>
          </w:p>
        </w:tc>
      </w:tr>
      <w:tr w:rsidR="00F236D5" w:rsidRPr="00B816F6" w:rsidTr="00947046">
        <w:trPr>
          <w:trHeight w:val="240"/>
          <w:tblHeader/>
        </w:trPr>
        <w:tc>
          <w:tcPr>
            <w:tcW w:w="1466" w:type="dxa"/>
            <w:vMerge/>
            <w:tcBorders>
              <w:bottom w:val="single" w:sz="12" w:space="0" w:color="auto"/>
            </w:tcBorders>
            <w:shd w:val="clear" w:color="auto" w:fill="auto"/>
            <w:vAlign w:val="bottom"/>
          </w:tcPr>
          <w:p w:rsidR="00F236D5" w:rsidRPr="00B816F6" w:rsidRDefault="00F236D5" w:rsidP="00947046">
            <w:pPr>
              <w:keepNext/>
              <w:spacing w:before="80" w:after="80" w:line="200" w:lineRule="exact"/>
              <w:ind w:right="113"/>
              <w:rPr>
                <w:i/>
                <w:sz w:val="16"/>
              </w:rPr>
            </w:pPr>
          </w:p>
        </w:tc>
        <w:tc>
          <w:tcPr>
            <w:tcW w:w="700" w:type="dxa"/>
            <w:tcBorders>
              <w:top w:val="single" w:sz="4" w:space="0" w:color="auto"/>
              <w:bottom w:val="single" w:sz="12" w:space="0" w:color="auto"/>
            </w:tcBorders>
            <w:shd w:val="clear" w:color="auto" w:fill="auto"/>
            <w:vAlign w:val="bottom"/>
          </w:tcPr>
          <w:p w:rsidR="00F236D5" w:rsidRPr="00B816F6" w:rsidRDefault="00F236D5" w:rsidP="00947046">
            <w:pPr>
              <w:keepNext/>
              <w:spacing w:before="80" w:after="80" w:line="200" w:lineRule="exact"/>
              <w:jc w:val="right"/>
              <w:rPr>
                <w:i/>
                <w:sz w:val="16"/>
              </w:rPr>
            </w:pPr>
            <w:r w:rsidRPr="00B816F6">
              <w:rPr>
                <w:i/>
                <w:sz w:val="16"/>
              </w:rPr>
              <w:t>Número</w:t>
            </w:r>
          </w:p>
        </w:tc>
        <w:tc>
          <w:tcPr>
            <w:tcW w:w="701" w:type="dxa"/>
            <w:tcBorders>
              <w:top w:val="single" w:sz="4" w:space="0" w:color="auto"/>
              <w:bottom w:val="single" w:sz="12" w:space="0" w:color="auto"/>
              <w:right w:val="single" w:sz="24" w:space="0" w:color="FFFFFF"/>
            </w:tcBorders>
            <w:shd w:val="clear" w:color="auto" w:fill="auto"/>
            <w:vAlign w:val="bottom"/>
          </w:tcPr>
          <w:p w:rsidR="00F236D5" w:rsidRPr="00B816F6" w:rsidRDefault="00F236D5" w:rsidP="00947046">
            <w:pPr>
              <w:keepNext/>
              <w:spacing w:before="80" w:after="80" w:line="200" w:lineRule="exact"/>
              <w:jc w:val="right"/>
              <w:rPr>
                <w:i/>
                <w:sz w:val="16"/>
              </w:rPr>
            </w:pPr>
            <w:r w:rsidRPr="00B816F6">
              <w:rPr>
                <w:i/>
                <w:sz w:val="16"/>
              </w:rPr>
              <w:t>Tasa</w:t>
            </w:r>
          </w:p>
        </w:tc>
        <w:tc>
          <w:tcPr>
            <w:tcW w:w="750" w:type="dxa"/>
            <w:tcBorders>
              <w:top w:val="single" w:sz="4" w:space="0" w:color="auto"/>
              <w:left w:val="single" w:sz="24" w:space="0" w:color="FFFFFF"/>
              <w:bottom w:val="single" w:sz="12" w:space="0" w:color="auto"/>
            </w:tcBorders>
            <w:shd w:val="clear" w:color="auto" w:fill="auto"/>
            <w:vAlign w:val="bottom"/>
          </w:tcPr>
          <w:p w:rsidR="00F236D5" w:rsidRPr="00B816F6" w:rsidRDefault="00F236D5" w:rsidP="00947046">
            <w:pPr>
              <w:keepNext/>
              <w:spacing w:before="80" w:after="80" w:line="200" w:lineRule="exact"/>
              <w:jc w:val="right"/>
              <w:rPr>
                <w:i/>
                <w:sz w:val="16"/>
              </w:rPr>
            </w:pPr>
            <w:r w:rsidRPr="00B816F6">
              <w:rPr>
                <w:i/>
                <w:sz w:val="16"/>
              </w:rPr>
              <w:t>Número</w:t>
            </w:r>
          </w:p>
        </w:tc>
        <w:tc>
          <w:tcPr>
            <w:tcW w:w="751" w:type="dxa"/>
            <w:tcBorders>
              <w:top w:val="single" w:sz="4" w:space="0" w:color="auto"/>
              <w:bottom w:val="single" w:sz="12" w:space="0" w:color="auto"/>
              <w:right w:val="single" w:sz="24" w:space="0" w:color="FFFFFF"/>
            </w:tcBorders>
            <w:shd w:val="clear" w:color="auto" w:fill="auto"/>
            <w:vAlign w:val="bottom"/>
          </w:tcPr>
          <w:p w:rsidR="00F236D5" w:rsidRPr="00B816F6" w:rsidRDefault="00F236D5" w:rsidP="00947046">
            <w:pPr>
              <w:keepNext/>
              <w:spacing w:before="80" w:after="80" w:line="200" w:lineRule="exact"/>
              <w:jc w:val="right"/>
              <w:rPr>
                <w:i/>
                <w:sz w:val="16"/>
              </w:rPr>
            </w:pPr>
            <w:r w:rsidRPr="00B816F6">
              <w:rPr>
                <w:i/>
                <w:sz w:val="16"/>
              </w:rPr>
              <w:t>Tasa</w:t>
            </w:r>
          </w:p>
        </w:tc>
        <w:tc>
          <w:tcPr>
            <w:tcW w:w="750" w:type="dxa"/>
            <w:tcBorders>
              <w:top w:val="single" w:sz="4" w:space="0" w:color="auto"/>
              <w:left w:val="single" w:sz="24" w:space="0" w:color="FFFFFF"/>
              <w:bottom w:val="single" w:sz="12" w:space="0" w:color="auto"/>
            </w:tcBorders>
            <w:shd w:val="clear" w:color="auto" w:fill="auto"/>
            <w:vAlign w:val="bottom"/>
          </w:tcPr>
          <w:p w:rsidR="00F236D5" w:rsidRPr="00B816F6" w:rsidRDefault="00F236D5" w:rsidP="00947046">
            <w:pPr>
              <w:keepNext/>
              <w:spacing w:before="80" w:after="80" w:line="200" w:lineRule="exact"/>
              <w:jc w:val="right"/>
              <w:rPr>
                <w:i/>
                <w:sz w:val="16"/>
              </w:rPr>
            </w:pPr>
            <w:r w:rsidRPr="00B816F6">
              <w:rPr>
                <w:i/>
                <w:sz w:val="16"/>
              </w:rPr>
              <w:t>Número</w:t>
            </w:r>
          </w:p>
        </w:tc>
        <w:tc>
          <w:tcPr>
            <w:tcW w:w="751" w:type="dxa"/>
            <w:tcBorders>
              <w:top w:val="single" w:sz="4" w:space="0" w:color="auto"/>
              <w:bottom w:val="single" w:sz="12" w:space="0" w:color="auto"/>
              <w:right w:val="single" w:sz="24" w:space="0" w:color="FFFFFF"/>
            </w:tcBorders>
            <w:shd w:val="clear" w:color="auto" w:fill="auto"/>
            <w:vAlign w:val="bottom"/>
          </w:tcPr>
          <w:p w:rsidR="00F236D5" w:rsidRPr="00B816F6" w:rsidRDefault="00F236D5" w:rsidP="00947046">
            <w:pPr>
              <w:keepNext/>
              <w:spacing w:before="80" w:after="80" w:line="200" w:lineRule="exact"/>
              <w:jc w:val="right"/>
              <w:rPr>
                <w:i/>
                <w:sz w:val="16"/>
              </w:rPr>
            </w:pPr>
            <w:r w:rsidRPr="00B816F6">
              <w:rPr>
                <w:i/>
                <w:sz w:val="16"/>
              </w:rPr>
              <w:t>Tasa</w:t>
            </w:r>
          </w:p>
        </w:tc>
        <w:tc>
          <w:tcPr>
            <w:tcW w:w="750" w:type="dxa"/>
            <w:tcBorders>
              <w:top w:val="single" w:sz="4" w:space="0" w:color="auto"/>
              <w:left w:val="single" w:sz="24" w:space="0" w:color="FFFFFF"/>
              <w:bottom w:val="single" w:sz="12" w:space="0" w:color="auto"/>
            </w:tcBorders>
            <w:shd w:val="clear" w:color="auto" w:fill="auto"/>
            <w:vAlign w:val="bottom"/>
          </w:tcPr>
          <w:p w:rsidR="00F236D5" w:rsidRPr="00B816F6" w:rsidRDefault="00F236D5" w:rsidP="00947046">
            <w:pPr>
              <w:keepNext/>
              <w:spacing w:before="80" w:after="80" w:line="200" w:lineRule="exact"/>
              <w:jc w:val="right"/>
              <w:rPr>
                <w:i/>
                <w:sz w:val="16"/>
              </w:rPr>
            </w:pPr>
            <w:r w:rsidRPr="00B816F6">
              <w:rPr>
                <w:i/>
                <w:sz w:val="16"/>
              </w:rPr>
              <w:t>Número</w:t>
            </w:r>
          </w:p>
        </w:tc>
        <w:tc>
          <w:tcPr>
            <w:tcW w:w="751" w:type="dxa"/>
            <w:tcBorders>
              <w:top w:val="single" w:sz="4" w:space="0" w:color="auto"/>
              <w:bottom w:val="single" w:sz="12" w:space="0" w:color="auto"/>
            </w:tcBorders>
            <w:shd w:val="clear" w:color="auto" w:fill="auto"/>
            <w:vAlign w:val="bottom"/>
          </w:tcPr>
          <w:p w:rsidR="00F236D5" w:rsidRPr="00B816F6" w:rsidRDefault="00F236D5" w:rsidP="00947046">
            <w:pPr>
              <w:keepNext/>
              <w:spacing w:before="80" w:after="80" w:line="200" w:lineRule="exact"/>
              <w:jc w:val="right"/>
              <w:rPr>
                <w:i/>
                <w:sz w:val="16"/>
              </w:rPr>
            </w:pPr>
            <w:r w:rsidRPr="00B816F6">
              <w:rPr>
                <w:i/>
                <w:sz w:val="16"/>
              </w:rPr>
              <w:t>Tasa</w:t>
            </w:r>
          </w:p>
        </w:tc>
      </w:tr>
      <w:tr w:rsidR="00F236D5" w:rsidRPr="00B816F6" w:rsidTr="00947046">
        <w:trPr>
          <w:trHeight w:val="240"/>
        </w:trPr>
        <w:tc>
          <w:tcPr>
            <w:tcW w:w="1466" w:type="dxa"/>
            <w:tcBorders>
              <w:top w:val="single" w:sz="12" w:space="0" w:color="auto"/>
            </w:tcBorders>
            <w:shd w:val="clear" w:color="auto" w:fill="auto"/>
          </w:tcPr>
          <w:p w:rsidR="00F236D5" w:rsidRPr="00B816F6" w:rsidRDefault="00F236D5" w:rsidP="00947046">
            <w:pPr>
              <w:spacing w:before="40" w:after="40" w:line="220" w:lineRule="exact"/>
              <w:ind w:right="113"/>
              <w:rPr>
                <w:sz w:val="18"/>
              </w:rPr>
            </w:pPr>
            <w:r w:rsidRPr="00B816F6">
              <w:rPr>
                <w:sz w:val="18"/>
              </w:rPr>
              <w:t>Agentes de policía</w:t>
            </w:r>
          </w:p>
        </w:tc>
        <w:tc>
          <w:tcPr>
            <w:tcW w:w="700"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7 528</w:t>
            </w:r>
          </w:p>
        </w:tc>
        <w:tc>
          <w:tcPr>
            <w:tcW w:w="701"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180,92</w:t>
            </w:r>
          </w:p>
        </w:tc>
        <w:tc>
          <w:tcPr>
            <w:tcW w:w="750"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7 763</w:t>
            </w:r>
          </w:p>
        </w:tc>
        <w:tc>
          <w:tcPr>
            <w:tcW w:w="751"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184,33</w:t>
            </w:r>
          </w:p>
        </w:tc>
        <w:tc>
          <w:tcPr>
            <w:tcW w:w="750"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8 113</w:t>
            </w:r>
          </w:p>
        </w:tc>
        <w:tc>
          <w:tcPr>
            <w:tcW w:w="751"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190,77</w:t>
            </w:r>
          </w:p>
        </w:tc>
        <w:tc>
          <w:tcPr>
            <w:tcW w:w="750"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8 453</w:t>
            </w:r>
          </w:p>
        </w:tc>
        <w:tc>
          <w:tcPr>
            <w:tcW w:w="751"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196,97</w:t>
            </w:r>
          </w:p>
        </w:tc>
      </w:tr>
    </w:tbl>
    <w:p w:rsidR="00F236D5" w:rsidRPr="00B816F6" w:rsidRDefault="00F236D5" w:rsidP="00F236D5">
      <w:pPr>
        <w:pStyle w:val="SingleTxtG"/>
        <w:tabs>
          <w:tab w:val="left" w:pos="1304"/>
        </w:tabs>
        <w:spacing w:before="120" w:after="0"/>
        <w:rPr>
          <w:sz w:val="18"/>
          <w:szCs w:val="18"/>
        </w:rPr>
      </w:pPr>
      <w:r w:rsidRPr="00B816F6">
        <w:rPr>
          <w:sz w:val="18"/>
          <w:szCs w:val="18"/>
        </w:rPr>
        <w:tab/>
      </w:r>
      <w:r w:rsidRPr="00B816F6">
        <w:rPr>
          <w:i/>
          <w:sz w:val="18"/>
          <w:szCs w:val="18"/>
        </w:rPr>
        <w:t>Fuente:</w:t>
      </w:r>
      <w:r w:rsidRPr="00B816F6">
        <w:rPr>
          <w:sz w:val="18"/>
          <w:szCs w:val="18"/>
        </w:rPr>
        <w:t xml:space="preserve"> Policía de Nueva Zelandia.</w:t>
      </w:r>
    </w:p>
    <w:p w:rsidR="00F236D5" w:rsidRPr="00B816F6" w:rsidRDefault="00F236D5" w:rsidP="00F236D5">
      <w:pPr>
        <w:pStyle w:val="SingleTxtG"/>
        <w:tabs>
          <w:tab w:val="left" w:pos="1304"/>
        </w:tabs>
        <w:spacing w:after="240"/>
        <w:jc w:val="left"/>
        <w:rPr>
          <w:sz w:val="18"/>
          <w:szCs w:val="18"/>
        </w:rPr>
      </w:pPr>
      <w:r w:rsidRPr="00B816F6">
        <w:rPr>
          <w:sz w:val="18"/>
          <w:szCs w:val="18"/>
        </w:rPr>
        <w:tab/>
      </w:r>
      <w:r w:rsidRPr="00FD3D83">
        <w:rPr>
          <w:i/>
        </w:rPr>
        <w:t>*</w:t>
      </w:r>
      <w:r w:rsidRPr="00B816F6">
        <w:rPr>
          <w:sz w:val="18"/>
          <w:szCs w:val="18"/>
        </w:rPr>
        <w:t xml:space="preserve">  Incluidos únicamente los agentes de policía juramentados y no el personal de oficina y de apoyo empleado por la Policía de Nueva Zelandia.</w:t>
      </w:r>
    </w:p>
    <w:p w:rsidR="00F236D5" w:rsidRPr="00B816F6" w:rsidRDefault="00F236D5" w:rsidP="00F236D5">
      <w:pPr>
        <w:pStyle w:val="SingleTxtG"/>
      </w:pPr>
      <w:r w:rsidRPr="00B816F6">
        <w:t>133.</w:t>
      </w:r>
      <w:r w:rsidRPr="00B816F6">
        <w:tab/>
        <w:t>De los agentes graduados de la Real Academia de Policía de Nueva Zelandia en 2007</w:t>
      </w:r>
      <w:r>
        <w:t>/</w:t>
      </w:r>
      <w:r w:rsidRPr="00B816F6">
        <w:t>08, el 22,9% eran mujeres; en 2008</w:t>
      </w:r>
      <w:r>
        <w:t>/</w:t>
      </w:r>
      <w:r w:rsidRPr="00B816F6">
        <w:t>09 esa proporción fue del 23,0% y en</w:t>
      </w:r>
      <w:r>
        <w:t xml:space="preserve"> </w:t>
      </w:r>
      <w:r w:rsidRPr="00B816F6">
        <w:t>2009</w:t>
      </w:r>
      <w:r>
        <w:t>/</w:t>
      </w:r>
      <w:r w:rsidRPr="00B816F6">
        <w:t>10 del 22,1%. En el cuadro 44 figura el desglose de los agentes de policía por grupo étnico.</w:t>
      </w:r>
    </w:p>
    <w:p w:rsidR="00F236D5" w:rsidRPr="00B816F6" w:rsidRDefault="00F236D5" w:rsidP="00F236D5">
      <w:pPr>
        <w:pStyle w:val="Heading1"/>
      </w:pPr>
      <w:r w:rsidRPr="00B816F6">
        <w:t>Cuadro 44</w:t>
      </w:r>
    </w:p>
    <w:p w:rsidR="00F236D5" w:rsidRPr="00B816F6" w:rsidRDefault="00F236D5" w:rsidP="00F236D5">
      <w:pPr>
        <w:pStyle w:val="SingleTxtG"/>
        <w:spacing w:after="0"/>
        <w:jc w:val="left"/>
        <w:rPr>
          <w:b/>
        </w:rPr>
      </w:pPr>
      <w:r w:rsidRPr="00B816F6">
        <w:rPr>
          <w:b/>
        </w:rPr>
        <w:t>Desglose de los agentes de policía por grupo étnico</w:t>
      </w:r>
    </w:p>
    <w:p w:rsidR="00F236D5" w:rsidRPr="00B816F6" w:rsidRDefault="00F236D5" w:rsidP="00F236D5">
      <w:pPr>
        <w:pStyle w:val="SingleTxtG"/>
        <w:jc w:val="left"/>
        <w:rPr>
          <w:b/>
        </w:rPr>
      </w:pPr>
      <w:r w:rsidRPr="00B816F6">
        <w:rPr>
          <w:sz w:val="16"/>
        </w:rPr>
        <w:t>(En porcentaje)</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766"/>
        <w:gridCol w:w="2201"/>
        <w:gridCol w:w="1701"/>
        <w:gridCol w:w="1702"/>
      </w:tblGrid>
      <w:tr w:rsidR="00F236D5" w:rsidRPr="00B816F6" w:rsidTr="00947046">
        <w:trPr>
          <w:trHeight w:val="240"/>
          <w:tblHeader/>
        </w:trPr>
        <w:tc>
          <w:tcPr>
            <w:tcW w:w="1766" w:type="dxa"/>
            <w:tcBorders>
              <w:top w:val="single" w:sz="4" w:space="0" w:color="auto"/>
              <w:bottom w:val="single" w:sz="12" w:space="0" w:color="auto"/>
            </w:tcBorders>
            <w:shd w:val="clear" w:color="auto" w:fill="auto"/>
            <w:vAlign w:val="bottom"/>
          </w:tcPr>
          <w:p w:rsidR="00F236D5" w:rsidRPr="00B816F6" w:rsidRDefault="00F236D5" w:rsidP="00947046">
            <w:pPr>
              <w:spacing w:before="80" w:after="80" w:line="200" w:lineRule="exact"/>
              <w:ind w:right="113"/>
              <w:rPr>
                <w:i/>
                <w:sz w:val="16"/>
              </w:rPr>
            </w:pPr>
          </w:p>
        </w:tc>
        <w:tc>
          <w:tcPr>
            <w:tcW w:w="2201" w:type="dxa"/>
            <w:tcBorders>
              <w:top w:val="single" w:sz="4" w:space="0" w:color="auto"/>
              <w:bottom w:val="single" w:sz="12" w:space="0" w:color="auto"/>
            </w:tcBorders>
            <w:shd w:val="clear" w:color="auto" w:fill="auto"/>
            <w:vAlign w:val="bottom"/>
          </w:tcPr>
          <w:p w:rsidR="00F236D5" w:rsidRPr="00B816F6" w:rsidRDefault="00F236D5" w:rsidP="00947046">
            <w:pPr>
              <w:spacing w:before="80" w:after="80" w:line="200" w:lineRule="exact"/>
              <w:jc w:val="right"/>
              <w:rPr>
                <w:i/>
                <w:sz w:val="16"/>
              </w:rPr>
            </w:pPr>
            <w:r w:rsidRPr="00B816F6">
              <w:rPr>
                <w:i/>
                <w:sz w:val="16"/>
              </w:rPr>
              <w:t>2007</w:t>
            </w:r>
            <w:r>
              <w:rPr>
                <w:i/>
                <w:sz w:val="16"/>
              </w:rPr>
              <w:t>/</w:t>
            </w:r>
            <w:r w:rsidRPr="00B816F6">
              <w:rPr>
                <w:i/>
                <w:sz w:val="16"/>
              </w:rPr>
              <w:t>08</w:t>
            </w:r>
          </w:p>
        </w:tc>
        <w:tc>
          <w:tcPr>
            <w:tcW w:w="1701" w:type="dxa"/>
            <w:tcBorders>
              <w:top w:val="single" w:sz="4" w:space="0" w:color="auto"/>
              <w:bottom w:val="single" w:sz="12" w:space="0" w:color="auto"/>
            </w:tcBorders>
            <w:shd w:val="clear" w:color="auto" w:fill="auto"/>
            <w:vAlign w:val="bottom"/>
          </w:tcPr>
          <w:p w:rsidR="00F236D5" w:rsidRPr="00B816F6" w:rsidRDefault="00F236D5" w:rsidP="00947046">
            <w:pPr>
              <w:spacing w:before="80" w:after="80" w:line="200" w:lineRule="exact"/>
              <w:jc w:val="right"/>
              <w:rPr>
                <w:i/>
                <w:sz w:val="16"/>
              </w:rPr>
            </w:pPr>
            <w:r w:rsidRPr="00B816F6">
              <w:rPr>
                <w:i/>
                <w:sz w:val="16"/>
              </w:rPr>
              <w:t>2008</w:t>
            </w:r>
            <w:r>
              <w:rPr>
                <w:i/>
                <w:sz w:val="16"/>
              </w:rPr>
              <w:t>/</w:t>
            </w:r>
            <w:r w:rsidRPr="00B816F6">
              <w:rPr>
                <w:i/>
                <w:sz w:val="16"/>
              </w:rPr>
              <w:t>09</w:t>
            </w:r>
          </w:p>
        </w:tc>
        <w:tc>
          <w:tcPr>
            <w:tcW w:w="1702" w:type="dxa"/>
            <w:tcBorders>
              <w:top w:val="single" w:sz="4" w:space="0" w:color="auto"/>
              <w:bottom w:val="single" w:sz="12" w:space="0" w:color="auto"/>
            </w:tcBorders>
            <w:shd w:val="clear" w:color="auto" w:fill="auto"/>
            <w:vAlign w:val="bottom"/>
          </w:tcPr>
          <w:p w:rsidR="00F236D5" w:rsidRPr="00B816F6" w:rsidRDefault="00F236D5" w:rsidP="00947046">
            <w:pPr>
              <w:spacing w:before="80" w:after="80" w:line="200" w:lineRule="exact"/>
              <w:jc w:val="right"/>
              <w:rPr>
                <w:i/>
                <w:sz w:val="16"/>
              </w:rPr>
            </w:pPr>
            <w:r w:rsidRPr="00B816F6">
              <w:rPr>
                <w:i/>
                <w:sz w:val="16"/>
              </w:rPr>
              <w:t>2009</w:t>
            </w:r>
            <w:r>
              <w:rPr>
                <w:i/>
                <w:sz w:val="16"/>
              </w:rPr>
              <w:t>/</w:t>
            </w:r>
            <w:r w:rsidRPr="00B816F6">
              <w:rPr>
                <w:i/>
                <w:sz w:val="16"/>
              </w:rPr>
              <w:t>10</w:t>
            </w:r>
          </w:p>
        </w:tc>
      </w:tr>
      <w:tr w:rsidR="00F236D5" w:rsidRPr="00B816F6" w:rsidTr="00947046">
        <w:trPr>
          <w:trHeight w:val="240"/>
        </w:trPr>
        <w:tc>
          <w:tcPr>
            <w:tcW w:w="1766" w:type="dxa"/>
            <w:tcBorders>
              <w:top w:val="single" w:sz="12" w:space="0" w:color="auto"/>
            </w:tcBorders>
            <w:shd w:val="clear" w:color="auto" w:fill="auto"/>
          </w:tcPr>
          <w:p w:rsidR="00F236D5" w:rsidRPr="00B816F6" w:rsidRDefault="00F236D5" w:rsidP="00947046">
            <w:pPr>
              <w:spacing w:before="40" w:after="40" w:line="220" w:lineRule="exact"/>
              <w:ind w:right="113"/>
              <w:rPr>
                <w:sz w:val="18"/>
              </w:rPr>
            </w:pPr>
            <w:r w:rsidRPr="00B816F6">
              <w:rPr>
                <w:sz w:val="18"/>
              </w:rPr>
              <w:t>Neozelandés europeo</w:t>
            </w:r>
          </w:p>
        </w:tc>
        <w:tc>
          <w:tcPr>
            <w:tcW w:w="2201"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55,4</w:t>
            </w:r>
          </w:p>
        </w:tc>
        <w:tc>
          <w:tcPr>
            <w:tcW w:w="1701"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47,6</w:t>
            </w:r>
          </w:p>
        </w:tc>
        <w:tc>
          <w:tcPr>
            <w:tcW w:w="1702"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57,1</w:t>
            </w:r>
          </w:p>
        </w:tc>
      </w:tr>
      <w:tr w:rsidR="00F236D5" w:rsidRPr="00B816F6" w:rsidTr="00947046">
        <w:trPr>
          <w:trHeight w:val="240"/>
        </w:trPr>
        <w:tc>
          <w:tcPr>
            <w:tcW w:w="1766" w:type="dxa"/>
            <w:shd w:val="clear" w:color="auto" w:fill="auto"/>
          </w:tcPr>
          <w:p w:rsidR="00F236D5" w:rsidRPr="00B816F6" w:rsidRDefault="00F236D5" w:rsidP="00947046">
            <w:pPr>
              <w:spacing w:before="40" w:after="40" w:line="220" w:lineRule="exact"/>
              <w:ind w:right="113"/>
              <w:rPr>
                <w:sz w:val="18"/>
              </w:rPr>
            </w:pPr>
            <w:r w:rsidRPr="00B816F6">
              <w:rPr>
                <w:sz w:val="18"/>
              </w:rPr>
              <w:t>Maorí</w:t>
            </w:r>
          </w:p>
        </w:tc>
        <w:tc>
          <w:tcPr>
            <w:tcW w:w="2201" w:type="dxa"/>
            <w:shd w:val="clear" w:color="auto" w:fill="auto"/>
            <w:vAlign w:val="bottom"/>
          </w:tcPr>
          <w:p w:rsidR="00F236D5" w:rsidRPr="00B816F6" w:rsidRDefault="00F236D5" w:rsidP="00947046">
            <w:pPr>
              <w:spacing w:before="40" w:after="40" w:line="220" w:lineRule="exact"/>
              <w:jc w:val="right"/>
              <w:rPr>
                <w:sz w:val="18"/>
              </w:rPr>
            </w:pPr>
            <w:r w:rsidRPr="00B816F6">
              <w:rPr>
                <w:sz w:val="18"/>
              </w:rPr>
              <w:t>10,2</w:t>
            </w:r>
          </w:p>
        </w:tc>
        <w:tc>
          <w:tcPr>
            <w:tcW w:w="1701" w:type="dxa"/>
            <w:shd w:val="clear" w:color="auto" w:fill="auto"/>
            <w:vAlign w:val="bottom"/>
          </w:tcPr>
          <w:p w:rsidR="00F236D5" w:rsidRPr="00B816F6" w:rsidRDefault="00F236D5" w:rsidP="00947046">
            <w:pPr>
              <w:spacing w:before="40" w:after="40" w:line="220" w:lineRule="exact"/>
              <w:jc w:val="right"/>
              <w:rPr>
                <w:sz w:val="18"/>
              </w:rPr>
            </w:pPr>
            <w:r w:rsidRPr="00B816F6">
              <w:rPr>
                <w:sz w:val="18"/>
              </w:rPr>
              <w:t>10,3</w:t>
            </w:r>
          </w:p>
        </w:tc>
        <w:tc>
          <w:tcPr>
            <w:tcW w:w="1702" w:type="dxa"/>
            <w:shd w:val="clear" w:color="auto" w:fill="auto"/>
            <w:vAlign w:val="bottom"/>
          </w:tcPr>
          <w:p w:rsidR="00F236D5" w:rsidRPr="00B816F6" w:rsidRDefault="00F236D5" w:rsidP="00947046">
            <w:pPr>
              <w:spacing w:before="40" w:after="40" w:line="220" w:lineRule="exact"/>
              <w:jc w:val="right"/>
              <w:rPr>
                <w:sz w:val="18"/>
              </w:rPr>
            </w:pPr>
            <w:r w:rsidRPr="00B816F6">
              <w:rPr>
                <w:sz w:val="18"/>
              </w:rPr>
              <w:t>12,1</w:t>
            </w:r>
          </w:p>
        </w:tc>
      </w:tr>
      <w:tr w:rsidR="00F236D5" w:rsidRPr="00B816F6" w:rsidTr="00947046">
        <w:trPr>
          <w:trHeight w:val="240"/>
        </w:trPr>
        <w:tc>
          <w:tcPr>
            <w:tcW w:w="1766" w:type="dxa"/>
            <w:shd w:val="clear" w:color="auto" w:fill="auto"/>
          </w:tcPr>
          <w:p w:rsidR="00F236D5" w:rsidRPr="00B816F6" w:rsidRDefault="00F236D5" w:rsidP="00947046">
            <w:pPr>
              <w:spacing w:before="40" w:after="40" w:line="220" w:lineRule="exact"/>
              <w:ind w:right="113"/>
              <w:rPr>
                <w:sz w:val="18"/>
              </w:rPr>
            </w:pPr>
            <w:r w:rsidRPr="00B816F6">
              <w:rPr>
                <w:sz w:val="18"/>
              </w:rPr>
              <w:t>Pueblos del Pacífico</w:t>
            </w:r>
          </w:p>
        </w:tc>
        <w:tc>
          <w:tcPr>
            <w:tcW w:w="2201" w:type="dxa"/>
            <w:shd w:val="clear" w:color="auto" w:fill="auto"/>
            <w:vAlign w:val="bottom"/>
          </w:tcPr>
          <w:p w:rsidR="00F236D5" w:rsidRPr="00B816F6" w:rsidRDefault="00F236D5" w:rsidP="00947046">
            <w:pPr>
              <w:spacing w:before="40" w:after="40" w:line="220" w:lineRule="exact"/>
              <w:jc w:val="right"/>
              <w:rPr>
                <w:sz w:val="18"/>
              </w:rPr>
            </w:pPr>
            <w:r w:rsidRPr="00B816F6">
              <w:rPr>
                <w:sz w:val="18"/>
              </w:rPr>
              <w:t>4,1</w:t>
            </w:r>
          </w:p>
        </w:tc>
        <w:tc>
          <w:tcPr>
            <w:tcW w:w="1701" w:type="dxa"/>
            <w:shd w:val="clear" w:color="auto" w:fill="auto"/>
            <w:vAlign w:val="bottom"/>
          </w:tcPr>
          <w:p w:rsidR="00F236D5" w:rsidRPr="00B816F6" w:rsidRDefault="00F236D5" w:rsidP="00947046">
            <w:pPr>
              <w:spacing w:before="40" w:after="40" w:line="220" w:lineRule="exact"/>
              <w:jc w:val="right"/>
              <w:rPr>
                <w:sz w:val="18"/>
              </w:rPr>
            </w:pPr>
            <w:r w:rsidRPr="00B816F6">
              <w:rPr>
                <w:sz w:val="18"/>
              </w:rPr>
              <w:t>5,8</w:t>
            </w:r>
          </w:p>
        </w:tc>
        <w:tc>
          <w:tcPr>
            <w:tcW w:w="1702" w:type="dxa"/>
            <w:shd w:val="clear" w:color="auto" w:fill="auto"/>
            <w:vAlign w:val="bottom"/>
          </w:tcPr>
          <w:p w:rsidR="00F236D5" w:rsidRPr="00B816F6" w:rsidRDefault="00F236D5" w:rsidP="00947046">
            <w:pPr>
              <w:spacing w:before="40" w:after="40" w:line="220" w:lineRule="exact"/>
              <w:jc w:val="right"/>
              <w:rPr>
                <w:sz w:val="18"/>
              </w:rPr>
            </w:pPr>
            <w:r w:rsidRPr="00B816F6">
              <w:rPr>
                <w:sz w:val="18"/>
              </w:rPr>
              <w:t>8,6</w:t>
            </w:r>
          </w:p>
        </w:tc>
      </w:tr>
      <w:tr w:rsidR="00F236D5" w:rsidRPr="00B816F6" w:rsidTr="00947046">
        <w:trPr>
          <w:trHeight w:val="240"/>
        </w:trPr>
        <w:tc>
          <w:tcPr>
            <w:tcW w:w="1766" w:type="dxa"/>
            <w:shd w:val="clear" w:color="auto" w:fill="auto"/>
          </w:tcPr>
          <w:p w:rsidR="00F236D5" w:rsidRPr="00B816F6" w:rsidRDefault="00F236D5" w:rsidP="00947046">
            <w:pPr>
              <w:spacing w:before="40" w:after="40" w:line="220" w:lineRule="exact"/>
              <w:ind w:right="113"/>
              <w:rPr>
                <w:sz w:val="18"/>
              </w:rPr>
            </w:pPr>
            <w:r w:rsidRPr="00B816F6">
              <w:rPr>
                <w:sz w:val="18"/>
              </w:rPr>
              <w:t>Asiáticos</w:t>
            </w:r>
          </w:p>
        </w:tc>
        <w:tc>
          <w:tcPr>
            <w:tcW w:w="2201" w:type="dxa"/>
            <w:shd w:val="clear" w:color="auto" w:fill="auto"/>
            <w:vAlign w:val="bottom"/>
          </w:tcPr>
          <w:p w:rsidR="00F236D5" w:rsidRPr="00B816F6" w:rsidRDefault="00F236D5" w:rsidP="00947046">
            <w:pPr>
              <w:spacing w:before="40" w:after="40" w:line="220" w:lineRule="exact"/>
              <w:jc w:val="right"/>
              <w:rPr>
                <w:sz w:val="18"/>
              </w:rPr>
            </w:pPr>
            <w:r w:rsidRPr="00B816F6">
              <w:rPr>
                <w:sz w:val="18"/>
              </w:rPr>
              <w:t>2,9</w:t>
            </w:r>
          </w:p>
        </w:tc>
        <w:tc>
          <w:tcPr>
            <w:tcW w:w="1701" w:type="dxa"/>
            <w:shd w:val="clear" w:color="auto" w:fill="auto"/>
            <w:vAlign w:val="bottom"/>
          </w:tcPr>
          <w:p w:rsidR="00F236D5" w:rsidRPr="00B816F6" w:rsidRDefault="00F236D5" w:rsidP="00947046">
            <w:pPr>
              <w:spacing w:before="40" w:after="40" w:line="220" w:lineRule="exact"/>
              <w:jc w:val="right"/>
              <w:rPr>
                <w:sz w:val="18"/>
              </w:rPr>
            </w:pPr>
            <w:r w:rsidRPr="00B816F6">
              <w:rPr>
                <w:sz w:val="18"/>
              </w:rPr>
              <w:t>5,2</w:t>
            </w:r>
          </w:p>
        </w:tc>
        <w:tc>
          <w:tcPr>
            <w:tcW w:w="1702" w:type="dxa"/>
            <w:shd w:val="clear" w:color="auto" w:fill="auto"/>
            <w:vAlign w:val="bottom"/>
          </w:tcPr>
          <w:p w:rsidR="00F236D5" w:rsidRPr="00B816F6" w:rsidRDefault="00F236D5" w:rsidP="00947046">
            <w:pPr>
              <w:spacing w:before="40" w:after="40" w:line="220" w:lineRule="exact"/>
              <w:jc w:val="right"/>
              <w:rPr>
                <w:sz w:val="18"/>
              </w:rPr>
            </w:pPr>
            <w:r w:rsidRPr="00B816F6">
              <w:rPr>
                <w:sz w:val="18"/>
              </w:rPr>
              <w:t>7,6</w:t>
            </w:r>
          </w:p>
        </w:tc>
      </w:tr>
      <w:tr w:rsidR="00F236D5" w:rsidRPr="00B816F6" w:rsidTr="00947046">
        <w:trPr>
          <w:trHeight w:val="240"/>
        </w:trPr>
        <w:tc>
          <w:tcPr>
            <w:tcW w:w="1766" w:type="dxa"/>
            <w:shd w:val="clear" w:color="auto" w:fill="auto"/>
          </w:tcPr>
          <w:p w:rsidR="00F236D5" w:rsidRPr="00B816F6" w:rsidRDefault="00F236D5" w:rsidP="00947046">
            <w:pPr>
              <w:spacing w:before="40" w:after="40" w:line="220" w:lineRule="exact"/>
              <w:ind w:right="113"/>
              <w:rPr>
                <w:sz w:val="18"/>
              </w:rPr>
            </w:pPr>
            <w:r w:rsidRPr="00B816F6">
              <w:rPr>
                <w:sz w:val="18"/>
              </w:rPr>
              <w:t>Otros grupos étnicos</w:t>
            </w:r>
          </w:p>
        </w:tc>
        <w:tc>
          <w:tcPr>
            <w:tcW w:w="2201" w:type="dxa"/>
            <w:shd w:val="clear" w:color="auto" w:fill="auto"/>
            <w:vAlign w:val="bottom"/>
          </w:tcPr>
          <w:p w:rsidR="00F236D5" w:rsidRPr="00B816F6" w:rsidRDefault="00F236D5" w:rsidP="00947046">
            <w:pPr>
              <w:spacing w:before="40" w:after="40" w:line="220" w:lineRule="exact"/>
              <w:jc w:val="right"/>
              <w:rPr>
                <w:sz w:val="18"/>
              </w:rPr>
            </w:pPr>
            <w:r w:rsidRPr="00B816F6">
              <w:rPr>
                <w:sz w:val="18"/>
              </w:rPr>
              <w:t>0,5</w:t>
            </w:r>
          </w:p>
        </w:tc>
        <w:tc>
          <w:tcPr>
            <w:tcW w:w="1701" w:type="dxa"/>
            <w:shd w:val="clear" w:color="auto" w:fill="auto"/>
            <w:vAlign w:val="bottom"/>
          </w:tcPr>
          <w:p w:rsidR="00F236D5" w:rsidRPr="00B816F6" w:rsidRDefault="00F236D5" w:rsidP="00947046">
            <w:pPr>
              <w:spacing w:before="40" w:after="40" w:line="220" w:lineRule="exact"/>
              <w:jc w:val="right"/>
              <w:rPr>
                <w:sz w:val="18"/>
              </w:rPr>
            </w:pPr>
            <w:r w:rsidRPr="00B816F6">
              <w:rPr>
                <w:sz w:val="18"/>
              </w:rPr>
              <w:t>0,3</w:t>
            </w:r>
          </w:p>
        </w:tc>
        <w:tc>
          <w:tcPr>
            <w:tcW w:w="1702" w:type="dxa"/>
            <w:shd w:val="clear" w:color="auto" w:fill="auto"/>
            <w:vAlign w:val="bottom"/>
          </w:tcPr>
          <w:p w:rsidR="00F236D5" w:rsidRPr="00B816F6" w:rsidRDefault="00F236D5" w:rsidP="00947046">
            <w:pPr>
              <w:spacing w:before="40" w:after="40" w:line="220" w:lineRule="exact"/>
              <w:jc w:val="right"/>
              <w:rPr>
                <w:sz w:val="18"/>
              </w:rPr>
            </w:pPr>
            <w:r w:rsidRPr="00B816F6">
              <w:rPr>
                <w:sz w:val="18"/>
              </w:rPr>
              <w:t>0,5</w:t>
            </w:r>
          </w:p>
        </w:tc>
      </w:tr>
    </w:tbl>
    <w:p w:rsidR="00F236D5" w:rsidRPr="00B816F6" w:rsidRDefault="00F236D5" w:rsidP="00F236D5">
      <w:pPr>
        <w:pStyle w:val="SingleTxtG"/>
        <w:tabs>
          <w:tab w:val="left" w:pos="1304"/>
        </w:tabs>
        <w:spacing w:before="120" w:after="240"/>
        <w:rPr>
          <w:sz w:val="18"/>
          <w:szCs w:val="18"/>
        </w:rPr>
      </w:pPr>
      <w:r w:rsidRPr="00B816F6">
        <w:rPr>
          <w:sz w:val="18"/>
          <w:szCs w:val="18"/>
        </w:rPr>
        <w:tab/>
      </w:r>
      <w:r w:rsidRPr="00B816F6">
        <w:rPr>
          <w:i/>
          <w:sz w:val="18"/>
          <w:szCs w:val="18"/>
        </w:rPr>
        <w:t>Fuente:</w:t>
      </w:r>
      <w:r w:rsidRPr="00B816F6">
        <w:rPr>
          <w:sz w:val="18"/>
          <w:szCs w:val="18"/>
        </w:rPr>
        <w:t xml:space="preserve"> Policía de Nueva Zelandia.</w:t>
      </w:r>
    </w:p>
    <w:p w:rsidR="00F236D5" w:rsidRPr="00B816F6" w:rsidRDefault="00F236D5" w:rsidP="00F236D5">
      <w:pPr>
        <w:pStyle w:val="Heading1"/>
      </w:pPr>
      <w:r w:rsidRPr="00B816F6">
        <w:t>Cuadro 45</w:t>
      </w:r>
    </w:p>
    <w:p w:rsidR="00F236D5" w:rsidRPr="00B816F6" w:rsidRDefault="00F236D5" w:rsidP="00F236D5">
      <w:pPr>
        <w:pStyle w:val="SingleTxtG"/>
        <w:jc w:val="left"/>
        <w:rPr>
          <w:b/>
        </w:rPr>
      </w:pPr>
      <w:r w:rsidRPr="00B816F6">
        <w:rPr>
          <w:b/>
        </w:rPr>
        <w:t>Número de jueces, magistrados y fiscales por cada 100.000 habitantes</w:t>
      </w:r>
    </w:p>
    <w:tbl>
      <w:tblPr>
        <w:tblStyle w:val="TableGrid"/>
        <w:tblW w:w="8466"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866"/>
        <w:gridCol w:w="825"/>
        <w:gridCol w:w="825"/>
        <w:gridCol w:w="825"/>
        <w:gridCol w:w="825"/>
        <w:gridCol w:w="825"/>
        <w:gridCol w:w="825"/>
        <w:gridCol w:w="825"/>
        <w:gridCol w:w="825"/>
      </w:tblGrid>
      <w:tr w:rsidR="00F236D5" w:rsidRPr="00B816F6" w:rsidTr="00947046">
        <w:trPr>
          <w:trHeight w:val="240"/>
          <w:tblHeader/>
        </w:trPr>
        <w:tc>
          <w:tcPr>
            <w:tcW w:w="1866" w:type="dxa"/>
            <w:vMerge w:val="restart"/>
            <w:tcBorders>
              <w:top w:val="single" w:sz="4" w:space="0" w:color="auto"/>
            </w:tcBorders>
            <w:shd w:val="clear" w:color="auto" w:fill="auto"/>
            <w:vAlign w:val="bottom"/>
          </w:tcPr>
          <w:p w:rsidR="00F236D5" w:rsidRPr="00B816F6" w:rsidRDefault="00F236D5" w:rsidP="00947046">
            <w:pPr>
              <w:spacing w:before="80" w:after="80" w:line="200" w:lineRule="exact"/>
              <w:ind w:right="113"/>
              <w:rPr>
                <w:i/>
                <w:sz w:val="16"/>
              </w:rPr>
            </w:pPr>
          </w:p>
        </w:tc>
        <w:tc>
          <w:tcPr>
            <w:tcW w:w="1650" w:type="dxa"/>
            <w:gridSpan w:val="2"/>
            <w:tcBorders>
              <w:top w:val="single" w:sz="4" w:space="0" w:color="auto"/>
              <w:bottom w:val="single" w:sz="4" w:space="0" w:color="auto"/>
              <w:right w:val="single" w:sz="24" w:space="0" w:color="FFFFFF"/>
            </w:tcBorders>
            <w:shd w:val="clear" w:color="auto" w:fill="auto"/>
            <w:vAlign w:val="bottom"/>
          </w:tcPr>
          <w:p w:rsidR="00F236D5" w:rsidRPr="00B816F6" w:rsidRDefault="00F236D5" w:rsidP="00947046">
            <w:pPr>
              <w:spacing w:before="80" w:after="80" w:line="200" w:lineRule="exact"/>
              <w:jc w:val="center"/>
              <w:rPr>
                <w:i/>
                <w:sz w:val="16"/>
              </w:rPr>
            </w:pPr>
            <w:r w:rsidRPr="00B816F6">
              <w:rPr>
                <w:i/>
                <w:sz w:val="16"/>
              </w:rPr>
              <w:t>2005</w:t>
            </w:r>
          </w:p>
        </w:tc>
        <w:tc>
          <w:tcPr>
            <w:tcW w:w="1650" w:type="dxa"/>
            <w:gridSpan w:val="2"/>
            <w:tcBorders>
              <w:top w:val="single" w:sz="4" w:space="0" w:color="auto"/>
              <w:left w:val="single" w:sz="24" w:space="0" w:color="FFFFFF"/>
              <w:bottom w:val="single" w:sz="4" w:space="0" w:color="auto"/>
              <w:right w:val="single" w:sz="24" w:space="0" w:color="FFFFFF"/>
            </w:tcBorders>
            <w:shd w:val="clear" w:color="auto" w:fill="auto"/>
            <w:vAlign w:val="bottom"/>
          </w:tcPr>
          <w:p w:rsidR="00F236D5" w:rsidRPr="00B816F6" w:rsidRDefault="00F236D5" w:rsidP="00947046">
            <w:pPr>
              <w:spacing w:before="80" w:after="80" w:line="200" w:lineRule="exact"/>
              <w:jc w:val="center"/>
              <w:rPr>
                <w:i/>
                <w:sz w:val="16"/>
              </w:rPr>
            </w:pPr>
            <w:r w:rsidRPr="00B816F6">
              <w:rPr>
                <w:i/>
                <w:sz w:val="16"/>
              </w:rPr>
              <w:t>2006</w:t>
            </w:r>
          </w:p>
        </w:tc>
        <w:tc>
          <w:tcPr>
            <w:tcW w:w="1650" w:type="dxa"/>
            <w:gridSpan w:val="2"/>
            <w:tcBorders>
              <w:top w:val="single" w:sz="4" w:space="0" w:color="auto"/>
              <w:left w:val="single" w:sz="24" w:space="0" w:color="FFFFFF"/>
              <w:bottom w:val="single" w:sz="4" w:space="0" w:color="auto"/>
              <w:right w:val="single" w:sz="24" w:space="0" w:color="FFFFFF"/>
            </w:tcBorders>
            <w:shd w:val="clear" w:color="auto" w:fill="auto"/>
            <w:vAlign w:val="bottom"/>
          </w:tcPr>
          <w:p w:rsidR="00F236D5" w:rsidRPr="00B816F6" w:rsidRDefault="00F236D5" w:rsidP="00947046">
            <w:pPr>
              <w:spacing w:before="80" w:after="80" w:line="200" w:lineRule="exact"/>
              <w:jc w:val="center"/>
              <w:rPr>
                <w:i/>
                <w:sz w:val="16"/>
              </w:rPr>
            </w:pPr>
            <w:r w:rsidRPr="00B816F6">
              <w:rPr>
                <w:i/>
                <w:sz w:val="16"/>
              </w:rPr>
              <w:t>2007</w:t>
            </w:r>
          </w:p>
        </w:tc>
        <w:tc>
          <w:tcPr>
            <w:tcW w:w="1650" w:type="dxa"/>
            <w:gridSpan w:val="2"/>
            <w:tcBorders>
              <w:top w:val="single" w:sz="4" w:space="0" w:color="auto"/>
              <w:left w:val="single" w:sz="24" w:space="0" w:color="FFFFFF"/>
              <w:bottom w:val="single" w:sz="4" w:space="0" w:color="auto"/>
            </w:tcBorders>
            <w:shd w:val="clear" w:color="auto" w:fill="auto"/>
            <w:vAlign w:val="bottom"/>
          </w:tcPr>
          <w:p w:rsidR="00F236D5" w:rsidRPr="00B816F6" w:rsidRDefault="00F236D5" w:rsidP="00947046">
            <w:pPr>
              <w:spacing w:before="80" w:after="80" w:line="200" w:lineRule="exact"/>
              <w:jc w:val="center"/>
              <w:rPr>
                <w:i/>
                <w:sz w:val="16"/>
              </w:rPr>
            </w:pPr>
            <w:r w:rsidRPr="00B816F6">
              <w:rPr>
                <w:i/>
                <w:sz w:val="16"/>
              </w:rPr>
              <w:t>2008</w:t>
            </w:r>
          </w:p>
        </w:tc>
      </w:tr>
      <w:tr w:rsidR="00F236D5" w:rsidRPr="00B816F6" w:rsidTr="00947046">
        <w:trPr>
          <w:trHeight w:val="240"/>
          <w:tblHeader/>
        </w:trPr>
        <w:tc>
          <w:tcPr>
            <w:tcW w:w="1866" w:type="dxa"/>
            <w:vMerge/>
            <w:tcBorders>
              <w:bottom w:val="single" w:sz="12" w:space="0" w:color="auto"/>
            </w:tcBorders>
            <w:shd w:val="clear" w:color="auto" w:fill="auto"/>
            <w:vAlign w:val="bottom"/>
          </w:tcPr>
          <w:p w:rsidR="00F236D5" w:rsidRPr="00B816F6" w:rsidRDefault="00F236D5" w:rsidP="00947046">
            <w:pPr>
              <w:spacing w:before="80" w:after="80" w:line="200" w:lineRule="exact"/>
              <w:ind w:right="113"/>
              <w:rPr>
                <w:i/>
                <w:sz w:val="16"/>
              </w:rPr>
            </w:pPr>
          </w:p>
        </w:tc>
        <w:tc>
          <w:tcPr>
            <w:tcW w:w="825" w:type="dxa"/>
            <w:tcBorders>
              <w:top w:val="single" w:sz="4" w:space="0" w:color="auto"/>
              <w:bottom w:val="single" w:sz="12" w:space="0" w:color="auto"/>
            </w:tcBorders>
            <w:shd w:val="clear" w:color="auto" w:fill="auto"/>
            <w:vAlign w:val="bottom"/>
          </w:tcPr>
          <w:p w:rsidR="00F236D5" w:rsidRPr="00B816F6" w:rsidRDefault="00F236D5" w:rsidP="00947046">
            <w:pPr>
              <w:spacing w:before="80" w:after="80" w:line="200" w:lineRule="exact"/>
              <w:jc w:val="right"/>
              <w:rPr>
                <w:i/>
                <w:sz w:val="16"/>
              </w:rPr>
            </w:pPr>
            <w:r w:rsidRPr="00B816F6">
              <w:rPr>
                <w:i/>
                <w:sz w:val="16"/>
              </w:rPr>
              <w:t>Número</w:t>
            </w:r>
          </w:p>
        </w:tc>
        <w:tc>
          <w:tcPr>
            <w:tcW w:w="825" w:type="dxa"/>
            <w:tcBorders>
              <w:top w:val="single" w:sz="4" w:space="0" w:color="auto"/>
              <w:bottom w:val="single" w:sz="12" w:space="0" w:color="auto"/>
              <w:right w:val="single" w:sz="24" w:space="0" w:color="FFFFFF"/>
            </w:tcBorders>
            <w:shd w:val="clear" w:color="auto" w:fill="auto"/>
            <w:vAlign w:val="bottom"/>
          </w:tcPr>
          <w:p w:rsidR="00F236D5" w:rsidRPr="00B816F6" w:rsidRDefault="00F236D5" w:rsidP="00947046">
            <w:pPr>
              <w:spacing w:before="80" w:after="80" w:line="200" w:lineRule="exact"/>
              <w:jc w:val="right"/>
              <w:rPr>
                <w:i/>
                <w:sz w:val="16"/>
              </w:rPr>
            </w:pPr>
            <w:r w:rsidRPr="00B816F6">
              <w:rPr>
                <w:i/>
                <w:sz w:val="16"/>
              </w:rPr>
              <w:t>Tasa</w:t>
            </w:r>
          </w:p>
        </w:tc>
        <w:tc>
          <w:tcPr>
            <w:tcW w:w="825" w:type="dxa"/>
            <w:tcBorders>
              <w:top w:val="single" w:sz="4" w:space="0" w:color="auto"/>
              <w:left w:val="single" w:sz="24" w:space="0" w:color="FFFFFF"/>
              <w:bottom w:val="single" w:sz="12" w:space="0" w:color="auto"/>
            </w:tcBorders>
            <w:shd w:val="clear" w:color="auto" w:fill="auto"/>
            <w:vAlign w:val="bottom"/>
          </w:tcPr>
          <w:p w:rsidR="00F236D5" w:rsidRPr="00B816F6" w:rsidRDefault="00F236D5" w:rsidP="00947046">
            <w:pPr>
              <w:spacing w:before="80" w:after="80" w:line="200" w:lineRule="exact"/>
              <w:jc w:val="right"/>
              <w:rPr>
                <w:i/>
                <w:sz w:val="16"/>
              </w:rPr>
            </w:pPr>
            <w:r w:rsidRPr="00B816F6">
              <w:rPr>
                <w:i/>
                <w:sz w:val="16"/>
              </w:rPr>
              <w:t>Número</w:t>
            </w:r>
          </w:p>
        </w:tc>
        <w:tc>
          <w:tcPr>
            <w:tcW w:w="825" w:type="dxa"/>
            <w:tcBorders>
              <w:top w:val="single" w:sz="4" w:space="0" w:color="auto"/>
              <w:bottom w:val="single" w:sz="12" w:space="0" w:color="auto"/>
              <w:right w:val="single" w:sz="24" w:space="0" w:color="FFFFFF"/>
            </w:tcBorders>
            <w:shd w:val="clear" w:color="auto" w:fill="auto"/>
            <w:vAlign w:val="bottom"/>
          </w:tcPr>
          <w:p w:rsidR="00F236D5" w:rsidRPr="00B816F6" w:rsidRDefault="00F236D5" w:rsidP="00947046">
            <w:pPr>
              <w:spacing w:before="80" w:after="80" w:line="200" w:lineRule="exact"/>
              <w:jc w:val="right"/>
              <w:rPr>
                <w:i/>
                <w:sz w:val="16"/>
              </w:rPr>
            </w:pPr>
            <w:r w:rsidRPr="00B816F6">
              <w:rPr>
                <w:i/>
                <w:sz w:val="16"/>
              </w:rPr>
              <w:t>Tasa</w:t>
            </w:r>
          </w:p>
        </w:tc>
        <w:tc>
          <w:tcPr>
            <w:tcW w:w="825" w:type="dxa"/>
            <w:tcBorders>
              <w:top w:val="single" w:sz="4" w:space="0" w:color="auto"/>
              <w:left w:val="single" w:sz="24" w:space="0" w:color="FFFFFF"/>
              <w:bottom w:val="single" w:sz="12" w:space="0" w:color="auto"/>
            </w:tcBorders>
            <w:shd w:val="clear" w:color="auto" w:fill="auto"/>
            <w:vAlign w:val="bottom"/>
          </w:tcPr>
          <w:p w:rsidR="00F236D5" w:rsidRPr="00B816F6" w:rsidRDefault="00F236D5" w:rsidP="00947046">
            <w:pPr>
              <w:spacing w:before="80" w:after="80" w:line="200" w:lineRule="exact"/>
              <w:jc w:val="right"/>
              <w:rPr>
                <w:i/>
                <w:sz w:val="16"/>
              </w:rPr>
            </w:pPr>
            <w:r w:rsidRPr="00B816F6">
              <w:rPr>
                <w:i/>
                <w:sz w:val="16"/>
              </w:rPr>
              <w:t>Número</w:t>
            </w:r>
          </w:p>
        </w:tc>
        <w:tc>
          <w:tcPr>
            <w:tcW w:w="825" w:type="dxa"/>
            <w:tcBorders>
              <w:top w:val="single" w:sz="4" w:space="0" w:color="auto"/>
              <w:bottom w:val="single" w:sz="12" w:space="0" w:color="auto"/>
              <w:right w:val="single" w:sz="24" w:space="0" w:color="FFFFFF"/>
            </w:tcBorders>
            <w:shd w:val="clear" w:color="auto" w:fill="auto"/>
            <w:vAlign w:val="bottom"/>
          </w:tcPr>
          <w:p w:rsidR="00F236D5" w:rsidRPr="00B816F6" w:rsidRDefault="00F236D5" w:rsidP="00947046">
            <w:pPr>
              <w:spacing w:before="80" w:after="80" w:line="200" w:lineRule="exact"/>
              <w:jc w:val="right"/>
              <w:rPr>
                <w:i/>
                <w:sz w:val="16"/>
              </w:rPr>
            </w:pPr>
            <w:r w:rsidRPr="00B816F6">
              <w:rPr>
                <w:i/>
                <w:sz w:val="16"/>
              </w:rPr>
              <w:t>Tasa</w:t>
            </w:r>
          </w:p>
        </w:tc>
        <w:tc>
          <w:tcPr>
            <w:tcW w:w="825" w:type="dxa"/>
            <w:tcBorders>
              <w:top w:val="single" w:sz="4" w:space="0" w:color="auto"/>
              <w:left w:val="single" w:sz="24" w:space="0" w:color="FFFFFF"/>
              <w:bottom w:val="single" w:sz="12" w:space="0" w:color="auto"/>
            </w:tcBorders>
            <w:shd w:val="clear" w:color="auto" w:fill="auto"/>
            <w:vAlign w:val="bottom"/>
          </w:tcPr>
          <w:p w:rsidR="00F236D5" w:rsidRPr="00B816F6" w:rsidRDefault="00F236D5" w:rsidP="00947046">
            <w:pPr>
              <w:spacing w:before="80" w:after="80" w:line="200" w:lineRule="exact"/>
              <w:jc w:val="right"/>
              <w:rPr>
                <w:i/>
                <w:sz w:val="16"/>
              </w:rPr>
            </w:pPr>
            <w:r w:rsidRPr="00B816F6">
              <w:rPr>
                <w:i/>
                <w:sz w:val="16"/>
              </w:rPr>
              <w:t>Número</w:t>
            </w:r>
          </w:p>
        </w:tc>
        <w:tc>
          <w:tcPr>
            <w:tcW w:w="825" w:type="dxa"/>
            <w:tcBorders>
              <w:top w:val="single" w:sz="4" w:space="0" w:color="auto"/>
              <w:bottom w:val="single" w:sz="12" w:space="0" w:color="auto"/>
            </w:tcBorders>
            <w:shd w:val="clear" w:color="auto" w:fill="auto"/>
            <w:vAlign w:val="bottom"/>
          </w:tcPr>
          <w:p w:rsidR="00F236D5" w:rsidRPr="00B816F6" w:rsidRDefault="00F236D5" w:rsidP="00947046">
            <w:pPr>
              <w:spacing w:before="80" w:after="80" w:line="200" w:lineRule="exact"/>
              <w:jc w:val="right"/>
              <w:rPr>
                <w:i/>
                <w:sz w:val="16"/>
              </w:rPr>
            </w:pPr>
            <w:r w:rsidRPr="00B816F6">
              <w:rPr>
                <w:i/>
                <w:sz w:val="16"/>
              </w:rPr>
              <w:t>Tasa</w:t>
            </w:r>
          </w:p>
        </w:tc>
      </w:tr>
      <w:tr w:rsidR="00F236D5" w:rsidRPr="00B816F6" w:rsidTr="00947046">
        <w:trPr>
          <w:trHeight w:val="240"/>
        </w:trPr>
        <w:tc>
          <w:tcPr>
            <w:tcW w:w="1866" w:type="dxa"/>
            <w:tcBorders>
              <w:top w:val="single" w:sz="12" w:space="0" w:color="auto"/>
            </w:tcBorders>
            <w:shd w:val="clear" w:color="auto" w:fill="auto"/>
          </w:tcPr>
          <w:p w:rsidR="00F236D5" w:rsidRPr="00B816F6" w:rsidRDefault="00F236D5" w:rsidP="00947046">
            <w:pPr>
              <w:spacing w:before="40" w:after="40" w:line="220" w:lineRule="exact"/>
              <w:ind w:right="113"/>
              <w:rPr>
                <w:sz w:val="18"/>
              </w:rPr>
            </w:pPr>
            <w:r w:rsidRPr="00B816F6">
              <w:rPr>
                <w:sz w:val="18"/>
              </w:rPr>
              <w:t>Jueces o magistrados</w:t>
            </w:r>
            <w:r w:rsidRPr="00B816F6">
              <w:t>*</w:t>
            </w:r>
          </w:p>
        </w:tc>
        <w:tc>
          <w:tcPr>
            <w:tcW w:w="825"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192</w:t>
            </w:r>
          </w:p>
        </w:tc>
        <w:tc>
          <w:tcPr>
            <w:tcW w:w="825"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4,61</w:t>
            </w:r>
          </w:p>
        </w:tc>
        <w:tc>
          <w:tcPr>
            <w:tcW w:w="825"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195</w:t>
            </w:r>
          </w:p>
        </w:tc>
        <w:tc>
          <w:tcPr>
            <w:tcW w:w="825"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4,63</w:t>
            </w:r>
          </w:p>
        </w:tc>
        <w:tc>
          <w:tcPr>
            <w:tcW w:w="825"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209</w:t>
            </w:r>
          </w:p>
        </w:tc>
        <w:tc>
          <w:tcPr>
            <w:tcW w:w="825"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4,91</w:t>
            </w:r>
          </w:p>
        </w:tc>
        <w:tc>
          <w:tcPr>
            <w:tcW w:w="825"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210</w:t>
            </w:r>
          </w:p>
        </w:tc>
        <w:tc>
          <w:tcPr>
            <w:tcW w:w="825"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4,89</w:t>
            </w:r>
          </w:p>
        </w:tc>
      </w:tr>
    </w:tbl>
    <w:p w:rsidR="00F236D5" w:rsidRPr="00B816F6" w:rsidRDefault="00F236D5" w:rsidP="00F236D5">
      <w:pPr>
        <w:pStyle w:val="SingleTxtG"/>
        <w:tabs>
          <w:tab w:val="left" w:pos="1304"/>
        </w:tabs>
        <w:spacing w:before="120" w:after="0"/>
        <w:ind w:right="0"/>
        <w:rPr>
          <w:sz w:val="18"/>
          <w:szCs w:val="18"/>
        </w:rPr>
      </w:pPr>
      <w:r w:rsidRPr="00B816F6">
        <w:rPr>
          <w:sz w:val="18"/>
          <w:szCs w:val="18"/>
        </w:rPr>
        <w:tab/>
      </w:r>
      <w:r w:rsidRPr="00B816F6">
        <w:rPr>
          <w:i/>
          <w:sz w:val="18"/>
          <w:szCs w:val="18"/>
        </w:rPr>
        <w:t>Fuente:</w:t>
      </w:r>
      <w:r w:rsidRPr="00B816F6">
        <w:rPr>
          <w:sz w:val="18"/>
          <w:szCs w:val="18"/>
        </w:rPr>
        <w:t xml:space="preserve"> Ministerio de Justicia.</w:t>
      </w:r>
    </w:p>
    <w:p w:rsidR="00F236D5" w:rsidRPr="00B816F6" w:rsidRDefault="00F236D5" w:rsidP="00F236D5">
      <w:pPr>
        <w:pStyle w:val="SingleTxtG"/>
        <w:tabs>
          <w:tab w:val="left" w:pos="1304"/>
        </w:tabs>
        <w:spacing w:after="240"/>
        <w:ind w:right="0"/>
        <w:jc w:val="left"/>
        <w:rPr>
          <w:sz w:val="18"/>
          <w:szCs w:val="18"/>
        </w:rPr>
      </w:pPr>
      <w:r w:rsidRPr="00B816F6">
        <w:rPr>
          <w:sz w:val="18"/>
          <w:szCs w:val="18"/>
        </w:rPr>
        <w:tab/>
      </w:r>
      <w:r w:rsidRPr="00B816F6">
        <w:t>*</w:t>
      </w:r>
      <w:r w:rsidRPr="00B816F6">
        <w:rPr>
          <w:sz w:val="18"/>
          <w:szCs w:val="18"/>
        </w:rPr>
        <w:t xml:space="preserve">  La categoría de jueces y magistrados incluye a los oficiales que trabajan tanto a jornada completa como a jornada parcial y que tienen competencia para oír causas civiles, penales y de otra índole y emitir fallos judiciales, así como a los jueces y magistrados asociados debidamente autorizados.</w:t>
      </w:r>
    </w:p>
    <w:p w:rsidR="00F236D5" w:rsidRPr="00B816F6" w:rsidRDefault="00F236D5" w:rsidP="00F236D5">
      <w:pPr>
        <w:pStyle w:val="SingleTxtG"/>
      </w:pPr>
      <w:r w:rsidRPr="00B816F6">
        <w:t>134.</w:t>
      </w:r>
      <w:r w:rsidRPr="00B816F6">
        <w:tab/>
        <w:t xml:space="preserve">Los jueces no están obligados a facilitar información sobre su ascendencia étnica y pueden identificarse con más de un grupo étnico. Del total de 139 jueces de tribunales de distrito existentes al 30 de noviembre de 2009, los que se identificaron con un grupo étnico proporcionaron la información que se resume a continuación en el cuadro 46. </w:t>
      </w:r>
    </w:p>
    <w:p w:rsidR="00F236D5" w:rsidRPr="00B816F6" w:rsidRDefault="00F236D5" w:rsidP="00F236D5">
      <w:pPr>
        <w:pStyle w:val="Heading1"/>
        <w:keepLines/>
      </w:pPr>
      <w:r w:rsidRPr="00B816F6">
        <w:t>Cuadro 46</w:t>
      </w:r>
    </w:p>
    <w:p w:rsidR="00F236D5" w:rsidRPr="00B816F6" w:rsidRDefault="00F236D5" w:rsidP="00F236D5">
      <w:pPr>
        <w:pStyle w:val="SingleTxtG"/>
        <w:keepNext/>
        <w:keepLines/>
        <w:jc w:val="left"/>
        <w:rPr>
          <w:b/>
        </w:rPr>
      </w:pPr>
      <w:r w:rsidRPr="00B816F6">
        <w:rPr>
          <w:b/>
        </w:rPr>
        <w:t>Información relativa a los jueces, desglosada por grupo étnico y sexo</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807"/>
        <w:gridCol w:w="2081"/>
        <w:gridCol w:w="1482"/>
      </w:tblGrid>
      <w:tr w:rsidR="00F236D5" w:rsidRPr="00B816F6" w:rsidTr="00947046">
        <w:trPr>
          <w:trHeight w:val="240"/>
          <w:tblHeader/>
        </w:trPr>
        <w:tc>
          <w:tcPr>
            <w:tcW w:w="1539" w:type="dxa"/>
            <w:tcBorders>
              <w:top w:val="single" w:sz="4" w:space="0" w:color="auto"/>
              <w:bottom w:val="single" w:sz="12" w:space="0" w:color="auto"/>
            </w:tcBorders>
            <w:shd w:val="clear" w:color="auto" w:fill="auto"/>
            <w:vAlign w:val="bottom"/>
          </w:tcPr>
          <w:p w:rsidR="00F236D5" w:rsidRPr="00B816F6" w:rsidRDefault="00F236D5" w:rsidP="00947046">
            <w:pPr>
              <w:keepNext/>
              <w:keepLines/>
              <w:spacing w:before="80" w:after="80" w:line="200" w:lineRule="exact"/>
              <w:ind w:right="113"/>
              <w:rPr>
                <w:i/>
                <w:sz w:val="16"/>
              </w:rPr>
            </w:pPr>
            <w:r w:rsidRPr="00B816F6">
              <w:rPr>
                <w:i/>
                <w:sz w:val="16"/>
              </w:rPr>
              <w:t>Grupo étnico</w:t>
            </w:r>
          </w:p>
        </w:tc>
        <w:tc>
          <w:tcPr>
            <w:tcW w:w="841" w:type="dxa"/>
            <w:tcBorders>
              <w:top w:val="single" w:sz="4" w:space="0" w:color="auto"/>
              <w:bottom w:val="single" w:sz="12" w:space="0" w:color="auto"/>
            </w:tcBorders>
            <w:shd w:val="clear" w:color="auto" w:fill="auto"/>
            <w:vAlign w:val="bottom"/>
          </w:tcPr>
          <w:p w:rsidR="00F236D5" w:rsidRPr="00B816F6" w:rsidRDefault="00F236D5" w:rsidP="00947046">
            <w:pPr>
              <w:keepNext/>
              <w:keepLines/>
              <w:spacing w:before="80" w:after="80" w:line="200" w:lineRule="exact"/>
              <w:jc w:val="right"/>
              <w:rPr>
                <w:i/>
                <w:sz w:val="16"/>
              </w:rPr>
            </w:pPr>
            <w:r w:rsidRPr="00B816F6">
              <w:rPr>
                <w:i/>
                <w:sz w:val="16"/>
              </w:rPr>
              <w:t>Hombres</w:t>
            </w:r>
          </w:p>
        </w:tc>
        <w:tc>
          <w:tcPr>
            <w:tcW w:w="599" w:type="dxa"/>
            <w:tcBorders>
              <w:top w:val="single" w:sz="4" w:space="0" w:color="auto"/>
              <w:bottom w:val="single" w:sz="12" w:space="0" w:color="auto"/>
            </w:tcBorders>
            <w:shd w:val="clear" w:color="auto" w:fill="auto"/>
            <w:vAlign w:val="bottom"/>
          </w:tcPr>
          <w:p w:rsidR="00F236D5" w:rsidRPr="00B816F6" w:rsidRDefault="00F236D5" w:rsidP="00947046">
            <w:pPr>
              <w:keepNext/>
              <w:keepLines/>
              <w:spacing w:before="80" w:after="80" w:line="200" w:lineRule="exact"/>
              <w:jc w:val="right"/>
              <w:rPr>
                <w:i/>
                <w:sz w:val="16"/>
              </w:rPr>
            </w:pPr>
            <w:r w:rsidRPr="00B816F6">
              <w:rPr>
                <w:i/>
                <w:sz w:val="16"/>
              </w:rPr>
              <w:t>Mujeres</w:t>
            </w:r>
          </w:p>
        </w:tc>
      </w:tr>
      <w:tr w:rsidR="00F236D5" w:rsidRPr="00B816F6" w:rsidTr="00947046">
        <w:trPr>
          <w:trHeight w:val="240"/>
        </w:trPr>
        <w:tc>
          <w:tcPr>
            <w:tcW w:w="1539" w:type="dxa"/>
            <w:tcBorders>
              <w:top w:val="single" w:sz="12" w:space="0" w:color="auto"/>
              <w:bottom w:val="nil"/>
            </w:tcBorders>
            <w:shd w:val="clear" w:color="auto" w:fill="auto"/>
          </w:tcPr>
          <w:p w:rsidR="00F236D5" w:rsidRPr="00B816F6" w:rsidRDefault="00F236D5" w:rsidP="00947046">
            <w:pPr>
              <w:keepNext/>
              <w:keepLines/>
              <w:spacing w:before="40" w:after="40" w:line="220" w:lineRule="exact"/>
              <w:ind w:right="113"/>
              <w:rPr>
                <w:sz w:val="18"/>
              </w:rPr>
            </w:pPr>
            <w:r w:rsidRPr="00B816F6">
              <w:rPr>
                <w:sz w:val="18"/>
              </w:rPr>
              <w:t>Europeo</w:t>
            </w:r>
          </w:p>
        </w:tc>
        <w:tc>
          <w:tcPr>
            <w:tcW w:w="841" w:type="dxa"/>
            <w:tcBorders>
              <w:top w:val="single" w:sz="12" w:space="0" w:color="auto"/>
              <w:bottom w:val="nil"/>
            </w:tcBorders>
            <w:shd w:val="clear" w:color="auto" w:fill="auto"/>
            <w:vAlign w:val="bottom"/>
          </w:tcPr>
          <w:p w:rsidR="00F236D5" w:rsidRPr="00B816F6" w:rsidRDefault="00F236D5" w:rsidP="00947046">
            <w:pPr>
              <w:keepNext/>
              <w:keepLines/>
              <w:spacing w:before="40" w:after="40" w:line="220" w:lineRule="exact"/>
              <w:jc w:val="right"/>
              <w:rPr>
                <w:sz w:val="18"/>
              </w:rPr>
            </w:pPr>
            <w:r w:rsidRPr="00B816F6">
              <w:rPr>
                <w:sz w:val="18"/>
              </w:rPr>
              <w:t>82</w:t>
            </w:r>
          </w:p>
        </w:tc>
        <w:tc>
          <w:tcPr>
            <w:tcW w:w="599" w:type="dxa"/>
            <w:tcBorders>
              <w:top w:val="single" w:sz="12" w:space="0" w:color="auto"/>
              <w:bottom w:val="nil"/>
            </w:tcBorders>
            <w:shd w:val="clear" w:color="auto" w:fill="auto"/>
            <w:vAlign w:val="bottom"/>
          </w:tcPr>
          <w:p w:rsidR="00F236D5" w:rsidRPr="00B816F6" w:rsidRDefault="00F236D5" w:rsidP="00947046">
            <w:pPr>
              <w:keepNext/>
              <w:keepLines/>
              <w:spacing w:before="40" w:after="40" w:line="220" w:lineRule="exact"/>
              <w:jc w:val="right"/>
              <w:rPr>
                <w:sz w:val="18"/>
              </w:rPr>
            </w:pPr>
            <w:r w:rsidRPr="00B816F6">
              <w:rPr>
                <w:sz w:val="18"/>
              </w:rPr>
              <w:t>34</w:t>
            </w:r>
          </w:p>
        </w:tc>
      </w:tr>
      <w:tr w:rsidR="00F236D5" w:rsidRPr="00B816F6" w:rsidTr="00947046">
        <w:trPr>
          <w:trHeight w:val="240"/>
        </w:trPr>
        <w:tc>
          <w:tcPr>
            <w:tcW w:w="1539" w:type="dxa"/>
            <w:tcBorders>
              <w:top w:val="nil"/>
              <w:bottom w:val="nil"/>
            </w:tcBorders>
            <w:shd w:val="clear" w:color="auto" w:fill="auto"/>
          </w:tcPr>
          <w:p w:rsidR="00F236D5" w:rsidRPr="00B816F6" w:rsidRDefault="00F236D5" w:rsidP="00947046">
            <w:pPr>
              <w:spacing w:before="40" w:after="40" w:line="220" w:lineRule="exact"/>
              <w:ind w:right="113"/>
              <w:rPr>
                <w:sz w:val="18"/>
              </w:rPr>
            </w:pPr>
            <w:r w:rsidRPr="00B816F6">
              <w:rPr>
                <w:sz w:val="18"/>
              </w:rPr>
              <w:t>Maorí</w:t>
            </w:r>
          </w:p>
        </w:tc>
        <w:tc>
          <w:tcPr>
            <w:tcW w:w="841" w:type="dxa"/>
            <w:tcBorders>
              <w:top w:val="nil"/>
              <w:bottom w:val="nil"/>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7</w:t>
            </w:r>
          </w:p>
        </w:tc>
        <w:tc>
          <w:tcPr>
            <w:tcW w:w="599" w:type="dxa"/>
            <w:tcBorders>
              <w:top w:val="nil"/>
              <w:bottom w:val="nil"/>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4</w:t>
            </w:r>
          </w:p>
        </w:tc>
      </w:tr>
      <w:tr w:rsidR="00F236D5" w:rsidRPr="00B816F6" w:rsidTr="00947046">
        <w:trPr>
          <w:trHeight w:val="240"/>
        </w:trPr>
        <w:tc>
          <w:tcPr>
            <w:tcW w:w="1539" w:type="dxa"/>
            <w:tcBorders>
              <w:top w:val="nil"/>
            </w:tcBorders>
            <w:shd w:val="clear" w:color="auto" w:fill="auto"/>
          </w:tcPr>
          <w:p w:rsidR="00F236D5" w:rsidRPr="00B816F6" w:rsidRDefault="00F236D5" w:rsidP="00947046">
            <w:pPr>
              <w:spacing w:before="40" w:after="40" w:line="220" w:lineRule="exact"/>
              <w:ind w:right="113"/>
              <w:rPr>
                <w:sz w:val="18"/>
              </w:rPr>
            </w:pPr>
            <w:r w:rsidRPr="00B816F6">
              <w:rPr>
                <w:sz w:val="18"/>
              </w:rPr>
              <w:t>Pueblos del Pacífico</w:t>
            </w:r>
          </w:p>
        </w:tc>
        <w:tc>
          <w:tcPr>
            <w:tcW w:w="841" w:type="dxa"/>
            <w:tcBorders>
              <w:top w:val="nil"/>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1</w:t>
            </w:r>
          </w:p>
        </w:tc>
        <w:tc>
          <w:tcPr>
            <w:tcW w:w="599" w:type="dxa"/>
            <w:tcBorders>
              <w:top w:val="nil"/>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1</w:t>
            </w:r>
          </w:p>
        </w:tc>
      </w:tr>
      <w:tr w:rsidR="00F236D5" w:rsidRPr="00B816F6" w:rsidTr="00947046">
        <w:trPr>
          <w:trHeight w:val="240"/>
        </w:trPr>
        <w:tc>
          <w:tcPr>
            <w:tcW w:w="1539" w:type="dxa"/>
            <w:shd w:val="clear" w:color="auto" w:fill="auto"/>
          </w:tcPr>
          <w:p w:rsidR="00F236D5" w:rsidRPr="00B816F6" w:rsidRDefault="00F236D5" w:rsidP="00947046">
            <w:pPr>
              <w:spacing w:before="40" w:after="40" w:line="220" w:lineRule="exact"/>
              <w:ind w:right="113"/>
              <w:rPr>
                <w:sz w:val="18"/>
              </w:rPr>
            </w:pPr>
            <w:r w:rsidRPr="00B816F6">
              <w:rPr>
                <w:sz w:val="18"/>
              </w:rPr>
              <w:t>Otros grupos étnicos</w:t>
            </w:r>
          </w:p>
        </w:tc>
        <w:tc>
          <w:tcPr>
            <w:tcW w:w="841" w:type="dxa"/>
            <w:shd w:val="clear" w:color="auto" w:fill="auto"/>
            <w:vAlign w:val="bottom"/>
          </w:tcPr>
          <w:p w:rsidR="00F236D5" w:rsidRPr="00B816F6" w:rsidRDefault="00F236D5" w:rsidP="00947046">
            <w:pPr>
              <w:spacing w:before="40" w:after="40" w:line="220" w:lineRule="exact"/>
              <w:jc w:val="right"/>
              <w:rPr>
                <w:sz w:val="18"/>
              </w:rPr>
            </w:pPr>
            <w:r w:rsidRPr="00B816F6">
              <w:rPr>
                <w:sz w:val="18"/>
              </w:rPr>
              <w:t>1</w:t>
            </w:r>
          </w:p>
        </w:tc>
        <w:tc>
          <w:tcPr>
            <w:tcW w:w="599" w:type="dxa"/>
            <w:shd w:val="clear" w:color="auto" w:fill="auto"/>
            <w:vAlign w:val="bottom"/>
          </w:tcPr>
          <w:p w:rsidR="00F236D5" w:rsidRPr="00B816F6" w:rsidRDefault="00F236D5" w:rsidP="00947046">
            <w:pPr>
              <w:spacing w:before="40" w:after="40" w:line="220" w:lineRule="exact"/>
              <w:jc w:val="right"/>
              <w:rPr>
                <w:sz w:val="18"/>
              </w:rPr>
            </w:pPr>
            <w:r w:rsidRPr="00B816F6">
              <w:rPr>
                <w:sz w:val="18"/>
              </w:rPr>
              <w:t>1</w:t>
            </w:r>
          </w:p>
        </w:tc>
      </w:tr>
    </w:tbl>
    <w:p w:rsidR="00F236D5" w:rsidRPr="00B816F6" w:rsidRDefault="00F236D5" w:rsidP="00F236D5">
      <w:pPr>
        <w:pStyle w:val="SingleTxtG"/>
        <w:tabs>
          <w:tab w:val="left" w:pos="1304"/>
        </w:tabs>
        <w:spacing w:before="120" w:after="240"/>
        <w:rPr>
          <w:sz w:val="18"/>
          <w:szCs w:val="18"/>
        </w:rPr>
      </w:pPr>
      <w:r w:rsidRPr="00B816F6">
        <w:rPr>
          <w:sz w:val="18"/>
          <w:szCs w:val="18"/>
        </w:rPr>
        <w:tab/>
      </w:r>
      <w:r w:rsidRPr="00B816F6">
        <w:rPr>
          <w:i/>
          <w:sz w:val="18"/>
          <w:szCs w:val="18"/>
        </w:rPr>
        <w:t>Fuente:</w:t>
      </w:r>
      <w:r w:rsidRPr="00B816F6">
        <w:rPr>
          <w:sz w:val="18"/>
          <w:szCs w:val="18"/>
        </w:rPr>
        <w:t xml:space="preserve"> Ministerio de Justicia.</w:t>
      </w:r>
    </w:p>
    <w:p w:rsidR="00F236D5" w:rsidRPr="00B816F6" w:rsidRDefault="00F236D5" w:rsidP="00F236D5">
      <w:pPr>
        <w:pStyle w:val="SingleTxtG"/>
      </w:pPr>
      <w:r w:rsidRPr="00B816F6">
        <w:t>135.</w:t>
      </w:r>
      <w:r w:rsidRPr="00B816F6">
        <w:tab/>
        <w:t>Existen 16 abogados de la Corona encargados de gestionar los principales juicios en el Tribunal Superior y en los tribunales de distrito en nombre de la Corona. Los abogados de la Corona son profesionales jurídicos privados nombrados por recomendación del Fiscal General y con la aprobación del Gobernador General. Los actuales abogados de la Corona son asociados de bufetes privados de distintas partes de Nueva Zelandia. El Abogado Jefe de la Fiscalía tiene la responsabilidad de supervisar la actuación profesional de los abogados de la Corona. Al 1º de enero de 2010, existían 238 procuradores empleados por los 16 abogados de la Corona en todo el país.</w:t>
      </w:r>
    </w:p>
    <w:p w:rsidR="00F236D5" w:rsidRPr="00B816F6" w:rsidRDefault="00F236D5" w:rsidP="00F236D5">
      <w:pPr>
        <w:pStyle w:val="H4G"/>
      </w:pPr>
      <w:r w:rsidRPr="00B816F6">
        <w:tab/>
        <w:t>e)</w:t>
      </w:r>
      <w:r w:rsidRPr="00B816F6">
        <w:tab/>
        <w:t>Gasto público correspondiente a los sectores policial y judicial</w:t>
      </w:r>
    </w:p>
    <w:p w:rsidR="00F236D5" w:rsidRPr="00B816F6" w:rsidRDefault="00F236D5" w:rsidP="00F236D5">
      <w:pPr>
        <w:pStyle w:val="Heading1"/>
      </w:pPr>
      <w:r w:rsidRPr="00B816F6">
        <w:t>Cuadro 47</w:t>
      </w:r>
    </w:p>
    <w:p w:rsidR="00F236D5" w:rsidRPr="00B816F6" w:rsidRDefault="00F236D5" w:rsidP="00F236D5">
      <w:pPr>
        <w:pStyle w:val="SingleTxtG"/>
        <w:spacing w:after="0"/>
        <w:jc w:val="left"/>
        <w:rPr>
          <w:b/>
        </w:rPr>
      </w:pPr>
      <w:r w:rsidRPr="00B816F6">
        <w:rPr>
          <w:b/>
        </w:rPr>
        <w:t>Proporción del gasto público correspondiente a los sectores policial y judicial</w:t>
      </w:r>
    </w:p>
    <w:p w:rsidR="00F236D5" w:rsidRPr="00B816F6" w:rsidRDefault="00F236D5" w:rsidP="00F236D5">
      <w:pPr>
        <w:pStyle w:val="SingleTxtG"/>
        <w:jc w:val="left"/>
        <w:rPr>
          <w:sz w:val="16"/>
          <w:szCs w:val="16"/>
        </w:rPr>
      </w:pPr>
      <w:r w:rsidRPr="00B816F6">
        <w:rPr>
          <w:sz w:val="16"/>
          <w:szCs w:val="16"/>
        </w:rPr>
        <w:t>(En porcentaje)</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066"/>
        <w:gridCol w:w="1260"/>
        <w:gridCol w:w="1261"/>
        <w:gridCol w:w="1261"/>
        <w:gridCol w:w="1261"/>
        <w:gridCol w:w="1261"/>
      </w:tblGrid>
      <w:tr w:rsidR="00F236D5" w:rsidRPr="00B816F6" w:rsidTr="00947046">
        <w:trPr>
          <w:trHeight w:val="240"/>
          <w:tblHeader/>
        </w:trPr>
        <w:tc>
          <w:tcPr>
            <w:tcW w:w="1066" w:type="dxa"/>
            <w:tcBorders>
              <w:top w:val="single" w:sz="4" w:space="0" w:color="auto"/>
              <w:bottom w:val="single" w:sz="12" w:space="0" w:color="auto"/>
            </w:tcBorders>
            <w:shd w:val="clear" w:color="auto" w:fill="auto"/>
            <w:vAlign w:val="bottom"/>
          </w:tcPr>
          <w:p w:rsidR="00F236D5" w:rsidRPr="00B816F6" w:rsidRDefault="00F236D5" w:rsidP="00947046">
            <w:pPr>
              <w:spacing w:before="80" w:after="80" w:line="200" w:lineRule="exact"/>
              <w:ind w:right="113"/>
              <w:rPr>
                <w:i/>
                <w:sz w:val="16"/>
              </w:rPr>
            </w:pPr>
          </w:p>
        </w:tc>
        <w:tc>
          <w:tcPr>
            <w:tcW w:w="1260" w:type="dxa"/>
            <w:tcBorders>
              <w:top w:val="single" w:sz="4" w:space="0" w:color="auto"/>
              <w:bottom w:val="single" w:sz="12" w:space="0" w:color="auto"/>
            </w:tcBorders>
            <w:shd w:val="clear" w:color="auto" w:fill="auto"/>
            <w:vAlign w:val="bottom"/>
          </w:tcPr>
          <w:p w:rsidR="00F236D5" w:rsidRPr="00B816F6" w:rsidRDefault="00F236D5" w:rsidP="00947046">
            <w:pPr>
              <w:spacing w:before="80" w:after="80" w:line="200" w:lineRule="exact"/>
              <w:jc w:val="right"/>
              <w:rPr>
                <w:i/>
                <w:sz w:val="16"/>
              </w:rPr>
            </w:pPr>
            <w:r w:rsidRPr="00B816F6">
              <w:rPr>
                <w:i/>
                <w:sz w:val="16"/>
              </w:rPr>
              <w:t>2005/06</w:t>
            </w:r>
          </w:p>
        </w:tc>
        <w:tc>
          <w:tcPr>
            <w:tcW w:w="1261" w:type="dxa"/>
            <w:tcBorders>
              <w:top w:val="single" w:sz="4" w:space="0" w:color="auto"/>
              <w:bottom w:val="single" w:sz="12" w:space="0" w:color="auto"/>
            </w:tcBorders>
            <w:shd w:val="clear" w:color="auto" w:fill="auto"/>
            <w:vAlign w:val="bottom"/>
          </w:tcPr>
          <w:p w:rsidR="00F236D5" w:rsidRPr="00B816F6" w:rsidRDefault="00F236D5" w:rsidP="00947046">
            <w:pPr>
              <w:spacing w:before="80" w:after="80" w:line="200" w:lineRule="exact"/>
              <w:jc w:val="right"/>
              <w:rPr>
                <w:i/>
                <w:sz w:val="16"/>
              </w:rPr>
            </w:pPr>
            <w:r w:rsidRPr="00B816F6">
              <w:rPr>
                <w:i/>
                <w:sz w:val="16"/>
              </w:rPr>
              <w:t>2006/07</w:t>
            </w:r>
          </w:p>
        </w:tc>
        <w:tc>
          <w:tcPr>
            <w:tcW w:w="1261" w:type="dxa"/>
            <w:tcBorders>
              <w:top w:val="single" w:sz="4" w:space="0" w:color="auto"/>
              <w:bottom w:val="single" w:sz="12" w:space="0" w:color="auto"/>
            </w:tcBorders>
            <w:shd w:val="clear" w:color="auto" w:fill="auto"/>
            <w:vAlign w:val="bottom"/>
          </w:tcPr>
          <w:p w:rsidR="00F236D5" w:rsidRPr="00B816F6" w:rsidRDefault="00F236D5" w:rsidP="00947046">
            <w:pPr>
              <w:spacing w:before="80" w:after="80" w:line="200" w:lineRule="exact"/>
              <w:jc w:val="right"/>
              <w:rPr>
                <w:i/>
                <w:sz w:val="16"/>
              </w:rPr>
            </w:pPr>
            <w:r w:rsidRPr="00B816F6">
              <w:rPr>
                <w:i/>
                <w:sz w:val="16"/>
              </w:rPr>
              <w:t>2007/08</w:t>
            </w:r>
          </w:p>
        </w:tc>
        <w:tc>
          <w:tcPr>
            <w:tcW w:w="1261" w:type="dxa"/>
            <w:tcBorders>
              <w:top w:val="single" w:sz="4" w:space="0" w:color="auto"/>
              <w:bottom w:val="single" w:sz="12" w:space="0" w:color="auto"/>
            </w:tcBorders>
            <w:shd w:val="clear" w:color="auto" w:fill="auto"/>
            <w:vAlign w:val="bottom"/>
          </w:tcPr>
          <w:p w:rsidR="00F236D5" w:rsidRPr="00B816F6" w:rsidRDefault="00F236D5" w:rsidP="00947046">
            <w:pPr>
              <w:spacing w:before="80" w:after="80" w:line="200" w:lineRule="exact"/>
              <w:jc w:val="right"/>
              <w:rPr>
                <w:i/>
                <w:sz w:val="16"/>
              </w:rPr>
            </w:pPr>
            <w:r w:rsidRPr="00B816F6">
              <w:rPr>
                <w:i/>
                <w:sz w:val="16"/>
              </w:rPr>
              <w:t>2008/09</w:t>
            </w:r>
          </w:p>
        </w:tc>
        <w:tc>
          <w:tcPr>
            <w:tcW w:w="1261" w:type="dxa"/>
            <w:tcBorders>
              <w:top w:val="single" w:sz="4" w:space="0" w:color="auto"/>
              <w:bottom w:val="single" w:sz="12" w:space="0" w:color="auto"/>
            </w:tcBorders>
            <w:shd w:val="clear" w:color="auto" w:fill="auto"/>
            <w:vAlign w:val="bottom"/>
          </w:tcPr>
          <w:p w:rsidR="00F236D5" w:rsidRPr="00B816F6" w:rsidRDefault="00F236D5" w:rsidP="00947046">
            <w:pPr>
              <w:spacing w:before="80" w:after="80" w:line="200" w:lineRule="exact"/>
              <w:jc w:val="right"/>
              <w:rPr>
                <w:i/>
                <w:sz w:val="16"/>
              </w:rPr>
            </w:pPr>
            <w:r w:rsidRPr="00B816F6">
              <w:rPr>
                <w:i/>
                <w:sz w:val="16"/>
              </w:rPr>
              <w:t>2009/10</w:t>
            </w:r>
          </w:p>
        </w:tc>
      </w:tr>
      <w:tr w:rsidR="00F236D5" w:rsidRPr="00B816F6" w:rsidTr="00947046">
        <w:trPr>
          <w:trHeight w:val="240"/>
        </w:trPr>
        <w:tc>
          <w:tcPr>
            <w:tcW w:w="1066" w:type="dxa"/>
            <w:tcBorders>
              <w:top w:val="single" w:sz="12" w:space="0" w:color="auto"/>
            </w:tcBorders>
            <w:shd w:val="clear" w:color="auto" w:fill="auto"/>
          </w:tcPr>
          <w:p w:rsidR="00F236D5" w:rsidRPr="00B816F6" w:rsidRDefault="00F236D5" w:rsidP="00947046">
            <w:pPr>
              <w:spacing w:before="40" w:after="40" w:line="220" w:lineRule="exact"/>
              <w:ind w:right="113"/>
              <w:rPr>
                <w:sz w:val="18"/>
              </w:rPr>
            </w:pPr>
            <w:r w:rsidRPr="00B816F6">
              <w:rPr>
                <w:sz w:val="18"/>
              </w:rPr>
              <w:t>Policía</w:t>
            </w:r>
          </w:p>
        </w:tc>
        <w:tc>
          <w:tcPr>
            <w:tcW w:w="1260"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1,84</w:t>
            </w:r>
          </w:p>
        </w:tc>
        <w:tc>
          <w:tcPr>
            <w:tcW w:w="1261"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1,90</w:t>
            </w:r>
          </w:p>
        </w:tc>
        <w:tc>
          <w:tcPr>
            <w:tcW w:w="1261"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1,94</w:t>
            </w:r>
          </w:p>
        </w:tc>
        <w:tc>
          <w:tcPr>
            <w:tcW w:w="1261"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1,54</w:t>
            </w:r>
          </w:p>
        </w:tc>
        <w:tc>
          <w:tcPr>
            <w:tcW w:w="1261" w:type="dxa"/>
            <w:tcBorders>
              <w:top w:val="single" w:sz="12"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2,02</w:t>
            </w:r>
          </w:p>
        </w:tc>
      </w:tr>
      <w:tr w:rsidR="00F236D5" w:rsidRPr="00B816F6" w:rsidTr="00947046">
        <w:trPr>
          <w:trHeight w:val="240"/>
        </w:trPr>
        <w:tc>
          <w:tcPr>
            <w:tcW w:w="1066" w:type="dxa"/>
            <w:tcBorders>
              <w:bottom w:val="single" w:sz="4" w:space="0" w:color="auto"/>
            </w:tcBorders>
            <w:shd w:val="clear" w:color="auto" w:fill="auto"/>
          </w:tcPr>
          <w:p w:rsidR="00F236D5" w:rsidRPr="00B816F6" w:rsidRDefault="00F236D5" w:rsidP="00947046">
            <w:pPr>
              <w:spacing w:before="40" w:after="40" w:line="220" w:lineRule="exact"/>
              <w:ind w:right="113"/>
              <w:rPr>
                <w:sz w:val="18"/>
              </w:rPr>
            </w:pPr>
            <w:r w:rsidRPr="00B816F6">
              <w:rPr>
                <w:sz w:val="18"/>
              </w:rPr>
              <w:t>Tribunales</w:t>
            </w:r>
          </w:p>
        </w:tc>
        <w:tc>
          <w:tcPr>
            <w:tcW w:w="1260" w:type="dxa"/>
            <w:tcBorders>
              <w:bottom w:val="single" w:sz="4"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0,89</w:t>
            </w:r>
          </w:p>
        </w:tc>
        <w:tc>
          <w:tcPr>
            <w:tcW w:w="1261" w:type="dxa"/>
            <w:tcBorders>
              <w:bottom w:val="single" w:sz="4"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0,93</w:t>
            </w:r>
          </w:p>
        </w:tc>
        <w:tc>
          <w:tcPr>
            <w:tcW w:w="1261" w:type="dxa"/>
            <w:tcBorders>
              <w:bottom w:val="single" w:sz="4"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1,03</w:t>
            </w:r>
          </w:p>
        </w:tc>
        <w:tc>
          <w:tcPr>
            <w:tcW w:w="1261" w:type="dxa"/>
            <w:tcBorders>
              <w:bottom w:val="single" w:sz="4"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0,69</w:t>
            </w:r>
          </w:p>
        </w:tc>
        <w:tc>
          <w:tcPr>
            <w:tcW w:w="1261" w:type="dxa"/>
            <w:tcBorders>
              <w:bottom w:val="single" w:sz="4" w:space="0" w:color="auto"/>
            </w:tcBorders>
            <w:shd w:val="clear" w:color="auto" w:fill="auto"/>
            <w:vAlign w:val="bottom"/>
          </w:tcPr>
          <w:p w:rsidR="00F236D5" w:rsidRPr="00B816F6" w:rsidRDefault="00F236D5" w:rsidP="00947046">
            <w:pPr>
              <w:spacing w:before="40" w:after="40" w:line="220" w:lineRule="exact"/>
              <w:jc w:val="right"/>
              <w:rPr>
                <w:sz w:val="18"/>
              </w:rPr>
            </w:pPr>
            <w:r w:rsidRPr="00B816F6">
              <w:rPr>
                <w:sz w:val="18"/>
              </w:rPr>
              <w:t>0,95</w:t>
            </w:r>
          </w:p>
        </w:tc>
      </w:tr>
      <w:tr w:rsidR="00F236D5" w:rsidRPr="00B816F6" w:rsidTr="00947046">
        <w:trPr>
          <w:trHeight w:val="240"/>
        </w:trPr>
        <w:tc>
          <w:tcPr>
            <w:tcW w:w="1066" w:type="dxa"/>
            <w:tcBorders>
              <w:top w:val="single" w:sz="4" w:space="0" w:color="auto"/>
              <w:bottom w:val="single" w:sz="12" w:space="0" w:color="auto"/>
            </w:tcBorders>
            <w:shd w:val="clear" w:color="auto" w:fill="auto"/>
          </w:tcPr>
          <w:p w:rsidR="00F236D5" w:rsidRPr="00B816F6" w:rsidRDefault="00F236D5" w:rsidP="00947046">
            <w:pPr>
              <w:spacing w:before="80" w:after="80" w:line="220" w:lineRule="exact"/>
              <w:ind w:left="284" w:right="113"/>
              <w:rPr>
                <w:b/>
                <w:sz w:val="18"/>
              </w:rPr>
            </w:pPr>
            <w:r w:rsidRPr="00B816F6">
              <w:rPr>
                <w:b/>
                <w:sz w:val="18"/>
              </w:rPr>
              <w:t>Total</w:t>
            </w:r>
          </w:p>
        </w:tc>
        <w:tc>
          <w:tcPr>
            <w:tcW w:w="1260" w:type="dxa"/>
            <w:tcBorders>
              <w:top w:val="single" w:sz="4" w:space="0" w:color="auto"/>
              <w:bottom w:val="single" w:sz="12" w:space="0" w:color="auto"/>
            </w:tcBorders>
            <w:shd w:val="clear" w:color="auto" w:fill="auto"/>
            <w:vAlign w:val="bottom"/>
          </w:tcPr>
          <w:p w:rsidR="00F236D5" w:rsidRPr="00B816F6" w:rsidRDefault="00F236D5" w:rsidP="00947046">
            <w:pPr>
              <w:spacing w:before="80" w:after="80" w:line="220" w:lineRule="exact"/>
              <w:jc w:val="right"/>
              <w:rPr>
                <w:b/>
                <w:sz w:val="18"/>
              </w:rPr>
            </w:pPr>
            <w:r w:rsidRPr="00B816F6">
              <w:rPr>
                <w:b/>
                <w:sz w:val="18"/>
              </w:rPr>
              <w:t>2,73</w:t>
            </w:r>
          </w:p>
        </w:tc>
        <w:tc>
          <w:tcPr>
            <w:tcW w:w="1261" w:type="dxa"/>
            <w:tcBorders>
              <w:top w:val="single" w:sz="4" w:space="0" w:color="auto"/>
              <w:bottom w:val="single" w:sz="12" w:space="0" w:color="auto"/>
            </w:tcBorders>
            <w:shd w:val="clear" w:color="auto" w:fill="auto"/>
            <w:vAlign w:val="bottom"/>
          </w:tcPr>
          <w:p w:rsidR="00F236D5" w:rsidRPr="00B816F6" w:rsidRDefault="00F236D5" w:rsidP="00947046">
            <w:pPr>
              <w:spacing w:before="80" w:after="80" w:line="220" w:lineRule="exact"/>
              <w:jc w:val="right"/>
              <w:rPr>
                <w:b/>
                <w:sz w:val="18"/>
              </w:rPr>
            </w:pPr>
            <w:r w:rsidRPr="00B816F6">
              <w:rPr>
                <w:b/>
                <w:sz w:val="18"/>
              </w:rPr>
              <w:t>2,83</w:t>
            </w:r>
          </w:p>
        </w:tc>
        <w:tc>
          <w:tcPr>
            <w:tcW w:w="1261" w:type="dxa"/>
            <w:tcBorders>
              <w:top w:val="single" w:sz="4" w:space="0" w:color="auto"/>
              <w:bottom w:val="single" w:sz="12" w:space="0" w:color="auto"/>
            </w:tcBorders>
            <w:shd w:val="clear" w:color="auto" w:fill="auto"/>
            <w:vAlign w:val="bottom"/>
          </w:tcPr>
          <w:p w:rsidR="00F236D5" w:rsidRPr="00B816F6" w:rsidRDefault="00F236D5" w:rsidP="00947046">
            <w:pPr>
              <w:spacing w:before="80" w:after="80" w:line="220" w:lineRule="exact"/>
              <w:jc w:val="right"/>
              <w:rPr>
                <w:b/>
                <w:sz w:val="18"/>
              </w:rPr>
            </w:pPr>
            <w:r w:rsidRPr="00B816F6">
              <w:rPr>
                <w:b/>
                <w:sz w:val="18"/>
              </w:rPr>
              <w:t>2,97</w:t>
            </w:r>
          </w:p>
        </w:tc>
        <w:tc>
          <w:tcPr>
            <w:tcW w:w="1261" w:type="dxa"/>
            <w:tcBorders>
              <w:top w:val="single" w:sz="4" w:space="0" w:color="auto"/>
              <w:bottom w:val="single" w:sz="12" w:space="0" w:color="auto"/>
            </w:tcBorders>
            <w:shd w:val="clear" w:color="auto" w:fill="auto"/>
            <w:vAlign w:val="bottom"/>
          </w:tcPr>
          <w:p w:rsidR="00F236D5" w:rsidRPr="00B816F6" w:rsidRDefault="00F236D5" w:rsidP="00947046">
            <w:pPr>
              <w:spacing w:before="80" w:after="80" w:line="220" w:lineRule="exact"/>
              <w:jc w:val="right"/>
              <w:rPr>
                <w:b/>
                <w:sz w:val="18"/>
              </w:rPr>
            </w:pPr>
            <w:r w:rsidRPr="00B816F6">
              <w:rPr>
                <w:b/>
                <w:sz w:val="18"/>
              </w:rPr>
              <w:t>2,23</w:t>
            </w:r>
          </w:p>
        </w:tc>
        <w:tc>
          <w:tcPr>
            <w:tcW w:w="1261" w:type="dxa"/>
            <w:tcBorders>
              <w:top w:val="single" w:sz="4" w:space="0" w:color="auto"/>
              <w:bottom w:val="single" w:sz="12" w:space="0" w:color="auto"/>
            </w:tcBorders>
            <w:shd w:val="clear" w:color="auto" w:fill="auto"/>
            <w:vAlign w:val="bottom"/>
          </w:tcPr>
          <w:p w:rsidR="00F236D5" w:rsidRPr="00B816F6" w:rsidRDefault="00F236D5" w:rsidP="00947046">
            <w:pPr>
              <w:spacing w:before="80" w:after="80" w:line="220" w:lineRule="exact"/>
              <w:jc w:val="right"/>
              <w:rPr>
                <w:b/>
                <w:sz w:val="18"/>
              </w:rPr>
            </w:pPr>
            <w:r w:rsidRPr="00B816F6">
              <w:rPr>
                <w:b/>
                <w:sz w:val="18"/>
              </w:rPr>
              <w:t>2,97</w:t>
            </w:r>
          </w:p>
        </w:tc>
      </w:tr>
    </w:tbl>
    <w:p w:rsidR="00F236D5" w:rsidRPr="00B816F6" w:rsidRDefault="00F236D5" w:rsidP="00F236D5">
      <w:pPr>
        <w:pStyle w:val="SingleTxtG"/>
        <w:tabs>
          <w:tab w:val="left" w:pos="1304"/>
        </w:tabs>
        <w:spacing w:before="120" w:after="240"/>
        <w:rPr>
          <w:sz w:val="18"/>
          <w:szCs w:val="18"/>
        </w:rPr>
      </w:pPr>
      <w:r w:rsidRPr="00B816F6">
        <w:rPr>
          <w:sz w:val="18"/>
          <w:szCs w:val="18"/>
        </w:rPr>
        <w:tab/>
      </w:r>
      <w:r w:rsidRPr="00B816F6">
        <w:rPr>
          <w:i/>
          <w:sz w:val="18"/>
          <w:szCs w:val="18"/>
        </w:rPr>
        <w:t>Fuente:</w:t>
      </w:r>
      <w:r w:rsidRPr="00B816F6">
        <w:rPr>
          <w:sz w:val="18"/>
          <w:szCs w:val="18"/>
        </w:rPr>
        <w:t xml:space="preserve"> Consignaciones estimadas, Tesorería de Nueva Zelandia.</w:t>
      </w:r>
    </w:p>
    <w:p w:rsidR="00F236D5" w:rsidRPr="00B816F6" w:rsidRDefault="00F236D5" w:rsidP="00F236D5">
      <w:pPr>
        <w:pStyle w:val="SingleTxtG"/>
      </w:pPr>
      <w:r w:rsidRPr="00B816F6">
        <w:t>136.</w:t>
      </w:r>
      <w:r w:rsidRPr="00B816F6">
        <w:tab/>
        <w:t>En las cifras relativas a los tribunales se incluyen los sueldos de los jueces. El costo total del sector judicial figura en el cuadro 10.</w:t>
      </w:r>
    </w:p>
    <w:p w:rsidR="00F236D5" w:rsidRPr="00B816F6" w:rsidRDefault="00F236D5" w:rsidP="00F236D5">
      <w:pPr>
        <w:pStyle w:val="H4G"/>
      </w:pPr>
      <w:r w:rsidRPr="00B816F6">
        <w:tab/>
        <w:t>f)</w:t>
      </w:r>
      <w:r w:rsidRPr="00B816F6">
        <w:tab/>
        <w:t>Asistencia letrada y reparación</w:t>
      </w:r>
    </w:p>
    <w:p w:rsidR="00F236D5" w:rsidRPr="00B816F6" w:rsidRDefault="00F236D5" w:rsidP="00F236D5">
      <w:pPr>
        <w:pStyle w:val="SingleTxtG"/>
      </w:pPr>
      <w:r w:rsidRPr="00B816F6">
        <w:t>137.</w:t>
      </w:r>
      <w:r w:rsidRPr="00B816F6">
        <w:tab/>
        <w:t>Existe la posibilidad de obtener asistencia letrada en relación con procesos penales, de familia y civiles, así como para los maoríes que tengan que comparecer ante el Tribunal de Waitangi. La asistencia letrada se presta a las personas sobre la base de un examen de su situación financiera, a fin de determinar si tienen medios suficientes para pagar a un abogado, y de un examen de los méritos de la solicitud a fin de evaluar si la financiación del caso está justificada.</w:t>
      </w:r>
    </w:p>
    <w:p w:rsidR="00F236D5" w:rsidRPr="00B816F6" w:rsidRDefault="00F236D5" w:rsidP="00F236D5">
      <w:pPr>
        <w:pStyle w:val="SingleTxtG"/>
      </w:pPr>
      <w:r w:rsidRPr="00B816F6">
        <w:t>138.</w:t>
      </w:r>
      <w:r w:rsidRPr="00B816F6">
        <w:tab/>
        <w:t>Cabe la posibilidad de que los solicitantes aprobados tengan que reembolsar una parte o la totalidad del costo de la asistencia letrada prestada. La tasa de solicitudes aceptadas indica que existe cierto grado de autoselección, en el sentido de que las personas que probablemente no obtendrían aprobación suelen abstenerse de presentar una solicitud de asistencia letrada.</w:t>
      </w:r>
    </w:p>
    <w:p w:rsidR="00F236D5" w:rsidRPr="00B816F6" w:rsidRDefault="00F236D5" w:rsidP="00F236D5">
      <w:pPr>
        <w:pStyle w:val="Heading1"/>
        <w:keepLines/>
      </w:pPr>
      <w:r w:rsidRPr="00B816F6">
        <w:t>Cuadro 48</w:t>
      </w:r>
    </w:p>
    <w:p w:rsidR="00F236D5" w:rsidRPr="00B816F6" w:rsidRDefault="00F236D5" w:rsidP="00F236D5">
      <w:pPr>
        <w:pStyle w:val="SingleTxtG"/>
        <w:keepNext/>
        <w:keepLines/>
        <w:jc w:val="left"/>
        <w:rPr>
          <w:b/>
        </w:rPr>
      </w:pPr>
      <w:r w:rsidRPr="00B816F6">
        <w:rPr>
          <w:b/>
        </w:rPr>
        <w:t>Número de solicitudes de asistencia letrada denegadas</w:t>
      </w: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00"/>
        <w:gridCol w:w="774"/>
        <w:gridCol w:w="866"/>
        <w:gridCol w:w="866"/>
        <w:gridCol w:w="867"/>
        <w:gridCol w:w="866"/>
        <w:gridCol w:w="867"/>
        <w:gridCol w:w="866"/>
        <w:gridCol w:w="867"/>
      </w:tblGrid>
      <w:tr w:rsidR="00F236D5" w:rsidRPr="00B816F6" w:rsidTr="00947046">
        <w:trPr>
          <w:trHeight w:val="240"/>
          <w:tblHeader/>
        </w:trPr>
        <w:tc>
          <w:tcPr>
            <w:tcW w:w="2800" w:type="dxa"/>
            <w:tcBorders>
              <w:top w:val="single" w:sz="4" w:space="0" w:color="auto"/>
              <w:bottom w:val="nil"/>
            </w:tcBorders>
            <w:shd w:val="clear" w:color="auto" w:fill="auto"/>
            <w:vAlign w:val="bottom"/>
          </w:tcPr>
          <w:p w:rsidR="00F236D5" w:rsidRPr="00B816F6" w:rsidRDefault="00F236D5" w:rsidP="00947046">
            <w:pPr>
              <w:keepNext/>
              <w:keepLines/>
              <w:spacing w:before="80" w:after="80" w:line="200" w:lineRule="exact"/>
              <w:ind w:right="113"/>
              <w:rPr>
                <w:i/>
                <w:sz w:val="16"/>
              </w:rPr>
            </w:pPr>
          </w:p>
        </w:tc>
        <w:tc>
          <w:tcPr>
            <w:tcW w:w="1640" w:type="dxa"/>
            <w:gridSpan w:val="2"/>
            <w:tcBorders>
              <w:top w:val="single" w:sz="4" w:space="0" w:color="auto"/>
              <w:bottom w:val="single" w:sz="4" w:space="0" w:color="auto"/>
              <w:right w:val="single" w:sz="24" w:space="0" w:color="FFFFFF"/>
            </w:tcBorders>
            <w:shd w:val="clear" w:color="auto" w:fill="auto"/>
            <w:noWrap/>
            <w:vAlign w:val="bottom"/>
          </w:tcPr>
          <w:p w:rsidR="00F236D5" w:rsidRPr="00B816F6" w:rsidRDefault="00F236D5" w:rsidP="00947046">
            <w:pPr>
              <w:keepNext/>
              <w:keepLines/>
              <w:spacing w:before="80" w:after="80" w:line="200" w:lineRule="exact"/>
              <w:jc w:val="center"/>
              <w:rPr>
                <w:i/>
                <w:sz w:val="16"/>
              </w:rPr>
            </w:pPr>
            <w:r w:rsidRPr="00B816F6">
              <w:rPr>
                <w:i/>
                <w:sz w:val="16"/>
              </w:rPr>
              <w:t>Procesos penales</w:t>
            </w:r>
          </w:p>
        </w:tc>
        <w:tc>
          <w:tcPr>
            <w:tcW w:w="1733" w:type="dxa"/>
            <w:gridSpan w:val="2"/>
            <w:tcBorders>
              <w:top w:val="single" w:sz="4" w:space="0" w:color="auto"/>
              <w:left w:val="single" w:sz="24" w:space="0" w:color="FFFFFF"/>
              <w:bottom w:val="single" w:sz="4" w:space="0" w:color="auto"/>
              <w:right w:val="single" w:sz="24" w:space="0" w:color="FFFFFF"/>
            </w:tcBorders>
            <w:shd w:val="clear" w:color="auto" w:fill="auto"/>
            <w:noWrap/>
            <w:vAlign w:val="bottom"/>
          </w:tcPr>
          <w:p w:rsidR="00F236D5" w:rsidRPr="00B816F6" w:rsidRDefault="00F236D5" w:rsidP="00947046">
            <w:pPr>
              <w:keepNext/>
              <w:keepLines/>
              <w:spacing w:before="80" w:after="80" w:line="200" w:lineRule="exact"/>
              <w:jc w:val="center"/>
              <w:rPr>
                <w:i/>
                <w:sz w:val="16"/>
              </w:rPr>
            </w:pPr>
            <w:r w:rsidRPr="00B816F6">
              <w:rPr>
                <w:i/>
                <w:sz w:val="16"/>
              </w:rPr>
              <w:t>Procesos de familia</w:t>
            </w:r>
          </w:p>
        </w:tc>
        <w:tc>
          <w:tcPr>
            <w:tcW w:w="1733" w:type="dxa"/>
            <w:gridSpan w:val="2"/>
            <w:tcBorders>
              <w:top w:val="single" w:sz="4" w:space="0" w:color="auto"/>
              <w:left w:val="single" w:sz="24" w:space="0" w:color="FFFFFF"/>
              <w:bottom w:val="single" w:sz="4" w:space="0" w:color="auto"/>
              <w:right w:val="single" w:sz="24" w:space="0" w:color="FFFFFF"/>
            </w:tcBorders>
            <w:shd w:val="clear" w:color="auto" w:fill="auto"/>
            <w:noWrap/>
            <w:vAlign w:val="bottom"/>
          </w:tcPr>
          <w:p w:rsidR="00F236D5" w:rsidRPr="00B816F6" w:rsidRDefault="00F236D5" w:rsidP="00947046">
            <w:pPr>
              <w:keepNext/>
              <w:keepLines/>
              <w:spacing w:before="80" w:after="80" w:line="200" w:lineRule="exact"/>
              <w:jc w:val="center"/>
              <w:rPr>
                <w:i/>
                <w:sz w:val="16"/>
              </w:rPr>
            </w:pPr>
            <w:r w:rsidRPr="00B816F6">
              <w:rPr>
                <w:i/>
                <w:sz w:val="16"/>
              </w:rPr>
              <w:t>Procesos civiles</w:t>
            </w:r>
          </w:p>
        </w:tc>
        <w:tc>
          <w:tcPr>
            <w:tcW w:w="1733" w:type="dxa"/>
            <w:gridSpan w:val="2"/>
            <w:tcBorders>
              <w:top w:val="single" w:sz="4" w:space="0" w:color="auto"/>
              <w:left w:val="single" w:sz="24" w:space="0" w:color="FFFFFF"/>
              <w:bottom w:val="single" w:sz="4" w:space="0" w:color="auto"/>
            </w:tcBorders>
            <w:shd w:val="clear" w:color="auto" w:fill="auto"/>
            <w:noWrap/>
            <w:vAlign w:val="bottom"/>
          </w:tcPr>
          <w:p w:rsidR="00F236D5" w:rsidRPr="00B816F6" w:rsidRDefault="00F236D5" w:rsidP="00947046">
            <w:pPr>
              <w:keepNext/>
              <w:keepLines/>
              <w:spacing w:before="80" w:after="80" w:line="200" w:lineRule="exact"/>
              <w:jc w:val="center"/>
              <w:rPr>
                <w:i/>
                <w:sz w:val="16"/>
              </w:rPr>
            </w:pPr>
            <w:r w:rsidRPr="00B816F6">
              <w:rPr>
                <w:i/>
                <w:sz w:val="16"/>
              </w:rPr>
              <w:t>Total</w:t>
            </w:r>
          </w:p>
        </w:tc>
      </w:tr>
      <w:tr w:rsidR="00F236D5" w:rsidRPr="00B816F6" w:rsidTr="00947046">
        <w:trPr>
          <w:trHeight w:val="240"/>
        </w:trPr>
        <w:tc>
          <w:tcPr>
            <w:tcW w:w="2800" w:type="dxa"/>
            <w:tcBorders>
              <w:top w:val="nil"/>
              <w:bottom w:val="single" w:sz="12" w:space="0" w:color="auto"/>
            </w:tcBorders>
            <w:shd w:val="clear" w:color="auto" w:fill="auto"/>
          </w:tcPr>
          <w:p w:rsidR="00F236D5" w:rsidRPr="00B816F6" w:rsidRDefault="00F236D5" w:rsidP="00947046">
            <w:pPr>
              <w:spacing w:before="40" w:after="40" w:line="220" w:lineRule="exact"/>
              <w:ind w:right="113"/>
              <w:rPr>
                <w:sz w:val="18"/>
              </w:rPr>
            </w:pPr>
          </w:p>
        </w:tc>
        <w:tc>
          <w:tcPr>
            <w:tcW w:w="774" w:type="dxa"/>
            <w:tcBorders>
              <w:top w:val="single" w:sz="4" w:space="0" w:color="auto"/>
              <w:bottom w:val="single" w:sz="12" w:space="0" w:color="auto"/>
            </w:tcBorders>
            <w:shd w:val="clear" w:color="auto" w:fill="auto"/>
            <w:noWrap/>
            <w:vAlign w:val="bottom"/>
          </w:tcPr>
          <w:p w:rsidR="00F236D5" w:rsidRPr="00B816F6" w:rsidRDefault="00F236D5" w:rsidP="00947046">
            <w:pPr>
              <w:spacing w:before="80" w:after="80" w:line="200" w:lineRule="exact"/>
              <w:jc w:val="right"/>
              <w:rPr>
                <w:i/>
                <w:sz w:val="16"/>
              </w:rPr>
            </w:pPr>
            <w:r w:rsidRPr="00B816F6">
              <w:rPr>
                <w:i/>
                <w:sz w:val="16"/>
              </w:rPr>
              <w:t>2008-2009</w:t>
            </w:r>
          </w:p>
        </w:tc>
        <w:tc>
          <w:tcPr>
            <w:tcW w:w="866" w:type="dxa"/>
            <w:tcBorders>
              <w:top w:val="single" w:sz="4" w:space="0" w:color="auto"/>
              <w:bottom w:val="single" w:sz="12" w:space="0" w:color="auto"/>
              <w:right w:val="single" w:sz="24" w:space="0" w:color="FFFFFF"/>
            </w:tcBorders>
            <w:shd w:val="clear" w:color="auto" w:fill="auto"/>
            <w:noWrap/>
            <w:vAlign w:val="bottom"/>
          </w:tcPr>
          <w:p w:rsidR="00F236D5" w:rsidRPr="00B816F6" w:rsidRDefault="00F236D5" w:rsidP="00947046">
            <w:pPr>
              <w:spacing w:before="80" w:after="80" w:line="200" w:lineRule="exact"/>
              <w:jc w:val="right"/>
              <w:rPr>
                <w:i/>
                <w:sz w:val="16"/>
              </w:rPr>
            </w:pPr>
            <w:r w:rsidRPr="00B816F6">
              <w:rPr>
                <w:i/>
                <w:sz w:val="16"/>
              </w:rPr>
              <w:t>2007-2008</w:t>
            </w:r>
          </w:p>
        </w:tc>
        <w:tc>
          <w:tcPr>
            <w:tcW w:w="866" w:type="dxa"/>
            <w:tcBorders>
              <w:top w:val="single" w:sz="4" w:space="0" w:color="auto"/>
              <w:left w:val="single" w:sz="24" w:space="0" w:color="FFFFFF"/>
              <w:bottom w:val="single" w:sz="12" w:space="0" w:color="auto"/>
            </w:tcBorders>
            <w:shd w:val="clear" w:color="auto" w:fill="auto"/>
            <w:noWrap/>
            <w:vAlign w:val="bottom"/>
          </w:tcPr>
          <w:p w:rsidR="00F236D5" w:rsidRPr="00B816F6" w:rsidRDefault="00F236D5" w:rsidP="00947046">
            <w:pPr>
              <w:spacing w:before="80" w:after="80" w:line="200" w:lineRule="exact"/>
              <w:jc w:val="right"/>
              <w:rPr>
                <w:i/>
                <w:sz w:val="16"/>
              </w:rPr>
            </w:pPr>
            <w:r w:rsidRPr="00B816F6">
              <w:rPr>
                <w:i/>
                <w:sz w:val="16"/>
              </w:rPr>
              <w:t>2008-2009</w:t>
            </w:r>
          </w:p>
        </w:tc>
        <w:tc>
          <w:tcPr>
            <w:tcW w:w="867" w:type="dxa"/>
            <w:tcBorders>
              <w:top w:val="single" w:sz="4" w:space="0" w:color="auto"/>
              <w:bottom w:val="single" w:sz="12" w:space="0" w:color="auto"/>
              <w:right w:val="single" w:sz="24" w:space="0" w:color="FFFFFF"/>
            </w:tcBorders>
            <w:shd w:val="clear" w:color="auto" w:fill="auto"/>
            <w:noWrap/>
            <w:vAlign w:val="bottom"/>
          </w:tcPr>
          <w:p w:rsidR="00F236D5" w:rsidRPr="00B816F6" w:rsidRDefault="00F236D5" w:rsidP="00947046">
            <w:pPr>
              <w:spacing w:before="80" w:after="80" w:line="200" w:lineRule="exact"/>
              <w:jc w:val="right"/>
              <w:rPr>
                <w:i/>
                <w:sz w:val="16"/>
              </w:rPr>
            </w:pPr>
            <w:r w:rsidRPr="00B816F6">
              <w:rPr>
                <w:i/>
                <w:sz w:val="16"/>
              </w:rPr>
              <w:t>2007-2008</w:t>
            </w:r>
          </w:p>
        </w:tc>
        <w:tc>
          <w:tcPr>
            <w:tcW w:w="866" w:type="dxa"/>
            <w:tcBorders>
              <w:top w:val="single" w:sz="4" w:space="0" w:color="auto"/>
              <w:left w:val="single" w:sz="24" w:space="0" w:color="FFFFFF"/>
              <w:bottom w:val="single" w:sz="12" w:space="0" w:color="auto"/>
            </w:tcBorders>
            <w:shd w:val="clear" w:color="auto" w:fill="auto"/>
            <w:noWrap/>
            <w:vAlign w:val="bottom"/>
          </w:tcPr>
          <w:p w:rsidR="00F236D5" w:rsidRPr="00B816F6" w:rsidRDefault="00F236D5" w:rsidP="00947046">
            <w:pPr>
              <w:spacing w:before="80" w:after="80" w:line="200" w:lineRule="exact"/>
              <w:jc w:val="right"/>
              <w:rPr>
                <w:i/>
                <w:sz w:val="16"/>
              </w:rPr>
            </w:pPr>
            <w:r w:rsidRPr="00B816F6">
              <w:rPr>
                <w:i/>
                <w:sz w:val="16"/>
              </w:rPr>
              <w:t>2008-2009</w:t>
            </w:r>
          </w:p>
        </w:tc>
        <w:tc>
          <w:tcPr>
            <w:tcW w:w="867" w:type="dxa"/>
            <w:tcBorders>
              <w:top w:val="single" w:sz="4" w:space="0" w:color="auto"/>
              <w:bottom w:val="single" w:sz="12" w:space="0" w:color="auto"/>
              <w:right w:val="single" w:sz="24" w:space="0" w:color="FFFFFF"/>
            </w:tcBorders>
            <w:shd w:val="clear" w:color="auto" w:fill="auto"/>
            <w:noWrap/>
            <w:vAlign w:val="bottom"/>
          </w:tcPr>
          <w:p w:rsidR="00F236D5" w:rsidRPr="00B816F6" w:rsidRDefault="00F236D5" w:rsidP="00947046">
            <w:pPr>
              <w:spacing w:before="80" w:after="80" w:line="200" w:lineRule="exact"/>
              <w:jc w:val="right"/>
              <w:rPr>
                <w:i/>
                <w:sz w:val="16"/>
              </w:rPr>
            </w:pPr>
            <w:r w:rsidRPr="00B816F6">
              <w:rPr>
                <w:i/>
                <w:sz w:val="16"/>
              </w:rPr>
              <w:t>2007-2008</w:t>
            </w:r>
          </w:p>
        </w:tc>
        <w:tc>
          <w:tcPr>
            <w:tcW w:w="866" w:type="dxa"/>
            <w:tcBorders>
              <w:top w:val="single" w:sz="4" w:space="0" w:color="auto"/>
              <w:left w:val="single" w:sz="24" w:space="0" w:color="FFFFFF"/>
              <w:bottom w:val="single" w:sz="12" w:space="0" w:color="auto"/>
            </w:tcBorders>
            <w:shd w:val="clear" w:color="auto" w:fill="auto"/>
            <w:noWrap/>
            <w:vAlign w:val="bottom"/>
          </w:tcPr>
          <w:p w:rsidR="00F236D5" w:rsidRPr="00B816F6" w:rsidRDefault="00F236D5" w:rsidP="00947046">
            <w:pPr>
              <w:spacing w:before="80" w:after="80" w:line="200" w:lineRule="exact"/>
              <w:jc w:val="right"/>
              <w:rPr>
                <w:i/>
                <w:sz w:val="16"/>
              </w:rPr>
            </w:pPr>
            <w:r w:rsidRPr="00B816F6">
              <w:rPr>
                <w:i/>
                <w:sz w:val="16"/>
              </w:rPr>
              <w:t>2008-2009</w:t>
            </w:r>
          </w:p>
        </w:tc>
        <w:tc>
          <w:tcPr>
            <w:tcW w:w="867" w:type="dxa"/>
            <w:tcBorders>
              <w:top w:val="single" w:sz="4" w:space="0" w:color="auto"/>
              <w:bottom w:val="single" w:sz="12" w:space="0" w:color="auto"/>
            </w:tcBorders>
            <w:shd w:val="clear" w:color="auto" w:fill="auto"/>
            <w:noWrap/>
            <w:vAlign w:val="bottom"/>
          </w:tcPr>
          <w:p w:rsidR="00F236D5" w:rsidRPr="00B816F6" w:rsidRDefault="00F236D5" w:rsidP="00947046">
            <w:pPr>
              <w:spacing w:before="80" w:after="80" w:line="200" w:lineRule="exact"/>
              <w:jc w:val="right"/>
              <w:rPr>
                <w:i/>
                <w:sz w:val="16"/>
              </w:rPr>
            </w:pPr>
            <w:r w:rsidRPr="00B816F6">
              <w:rPr>
                <w:i/>
                <w:sz w:val="16"/>
              </w:rPr>
              <w:t>2007-2008</w:t>
            </w:r>
          </w:p>
        </w:tc>
      </w:tr>
      <w:tr w:rsidR="00F236D5" w:rsidRPr="00B816F6" w:rsidTr="00947046">
        <w:trPr>
          <w:trHeight w:val="240"/>
        </w:trPr>
        <w:tc>
          <w:tcPr>
            <w:tcW w:w="2800" w:type="dxa"/>
            <w:tcBorders>
              <w:top w:val="single" w:sz="12" w:space="0" w:color="auto"/>
              <w:bottom w:val="single" w:sz="4" w:space="0" w:color="auto"/>
            </w:tcBorders>
            <w:shd w:val="clear" w:color="auto" w:fill="auto"/>
          </w:tcPr>
          <w:p w:rsidR="00F236D5" w:rsidRPr="00B816F6" w:rsidRDefault="00F236D5" w:rsidP="00947046">
            <w:pPr>
              <w:spacing w:before="80" w:after="80" w:line="220" w:lineRule="exact"/>
              <w:ind w:left="284" w:right="113"/>
              <w:rPr>
                <w:b/>
                <w:sz w:val="18"/>
              </w:rPr>
            </w:pPr>
            <w:r w:rsidRPr="00B816F6">
              <w:rPr>
                <w:b/>
                <w:sz w:val="18"/>
              </w:rPr>
              <w:t>Total de solicitudes</w:t>
            </w:r>
          </w:p>
        </w:tc>
        <w:tc>
          <w:tcPr>
            <w:tcW w:w="774" w:type="dxa"/>
            <w:tcBorders>
              <w:top w:val="single" w:sz="12" w:space="0" w:color="auto"/>
              <w:bottom w:val="single" w:sz="4" w:space="0" w:color="auto"/>
            </w:tcBorders>
            <w:shd w:val="clear" w:color="auto" w:fill="auto"/>
            <w:noWrap/>
            <w:vAlign w:val="bottom"/>
          </w:tcPr>
          <w:p w:rsidR="00F236D5" w:rsidRPr="00B816F6" w:rsidRDefault="00F236D5" w:rsidP="00947046">
            <w:pPr>
              <w:spacing w:before="80" w:after="80" w:line="220" w:lineRule="exact"/>
              <w:jc w:val="right"/>
              <w:rPr>
                <w:b/>
                <w:sz w:val="18"/>
              </w:rPr>
            </w:pPr>
            <w:r w:rsidRPr="00B816F6">
              <w:rPr>
                <w:b/>
                <w:sz w:val="18"/>
              </w:rPr>
              <w:t>67 795</w:t>
            </w:r>
          </w:p>
        </w:tc>
        <w:tc>
          <w:tcPr>
            <w:tcW w:w="866" w:type="dxa"/>
            <w:tcBorders>
              <w:top w:val="single" w:sz="12" w:space="0" w:color="auto"/>
              <w:bottom w:val="single" w:sz="4" w:space="0" w:color="auto"/>
            </w:tcBorders>
            <w:shd w:val="clear" w:color="auto" w:fill="auto"/>
            <w:noWrap/>
            <w:vAlign w:val="bottom"/>
          </w:tcPr>
          <w:p w:rsidR="00F236D5" w:rsidRPr="00B816F6" w:rsidRDefault="00F236D5" w:rsidP="00947046">
            <w:pPr>
              <w:spacing w:before="80" w:after="80" w:line="220" w:lineRule="exact"/>
              <w:jc w:val="right"/>
              <w:rPr>
                <w:b/>
                <w:sz w:val="18"/>
              </w:rPr>
            </w:pPr>
            <w:r w:rsidRPr="00B816F6">
              <w:rPr>
                <w:b/>
                <w:sz w:val="18"/>
              </w:rPr>
              <w:t>59 971</w:t>
            </w:r>
          </w:p>
        </w:tc>
        <w:tc>
          <w:tcPr>
            <w:tcW w:w="866" w:type="dxa"/>
            <w:tcBorders>
              <w:top w:val="single" w:sz="12" w:space="0" w:color="auto"/>
              <w:bottom w:val="single" w:sz="4" w:space="0" w:color="auto"/>
            </w:tcBorders>
            <w:shd w:val="clear" w:color="auto" w:fill="auto"/>
            <w:noWrap/>
            <w:vAlign w:val="bottom"/>
          </w:tcPr>
          <w:p w:rsidR="00F236D5" w:rsidRPr="00B816F6" w:rsidRDefault="00F236D5" w:rsidP="00947046">
            <w:pPr>
              <w:spacing w:before="80" w:after="80" w:line="220" w:lineRule="exact"/>
              <w:jc w:val="right"/>
              <w:rPr>
                <w:b/>
                <w:sz w:val="18"/>
              </w:rPr>
            </w:pPr>
            <w:r w:rsidRPr="00B816F6">
              <w:rPr>
                <w:b/>
                <w:sz w:val="18"/>
              </w:rPr>
              <w:t>24 381</w:t>
            </w:r>
          </w:p>
        </w:tc>
        <w:tc>
          <w:tcPr>
            <w:tcW w:w="867" w:type="dxa"/>
            <w:tcBorders>
              <w:top w:val="single" w:sz="12" w:space="0" w:color="auto"/>
              <w:bottom w:val="single" w:sz="4" w:space="0" w:color="auto"/>
            </w:tcBorders>
            <w:shd w:val="clear" w:color="auto" w:fill="auto"/>
            <w:noWrap/>
            <w:vAlign w:val="bottom"/>
          </w:tcPr>
          <w:p w:rsidR="00F236D5" w:rsidRPr="00B816F6" w:rsidRDefault="00F236D5" w:rsidP="00947046">
            <w:pPr>
              <w:spacing w:before="80" w:after="80" w:line="220" w:lineRule="exact"/>
              <w:jc w:val="right"/>
              <w:rPr>
                <w:b/>
                <w:sz w:val="18"/>
              </w:rPr>
            </w:pPr>
            <w:r w:rsidRPr="00B816F6">
              <w:rPr>
                <w:b/>
                <w:sz w:val="18"/>
              </w:rPr>
              <w:t>21 167</w:t>
            </w:r>
          </w:p>
        </w:tc>
        <w:tc>
          <w:tcPr>
            <w:tcW w:w="866" w:type="dxa"/>
            <w:tcBorders>
              <w:top w:val="single" w:sz="12" w:space="0" w:color="auto"/>
              <w:bottom w:val="single" w:sz="4" w:space="0" w:color="auto"/>
            </w:tcBorders>
            <w:shd w:val="clear" w:color="auto" w:fill="auto"/>
            <w:noWrap/>
            <w:vAlign w:val="bottom"/>
          </w:tcPr>
          <w:p w:rsidR="00F236D5" w:rsidRPr="00B816F6" w:rsidRDefault="00F236D5" w:rsidP="00947046">
            <w:pPr>
              <w:spacing w:before="80" w:after="80" w:line="220" w:lineRule="exact"/>
              <w:jc w:val="right"/>
              <w:rPr>
                <w:b/>
                <w:sz w:val="18"/>
              </w:rPr>
            </w:pPr>
            <w:r w:rsidRPr="00B816F6">
              <w:rPr>
                <w:b/>
                <w:sz w:val="18"/>
              </w:rPr>
              <w:t>2 776</w:t>
            </w:r>
          </w:p>
        </w:tc>
        <w:tc>
          <w:tcPr>
            <w:tcW w:w="867" w:type="dxa"/>
            <w:tcBorders>
              <w:top w:val="single" w:sz="12" w:space="0" w:color="auto"/>
              <w:bottom w:val="single" w:sz="4" w:space="0" w:color="auto"/>
            </w:tcBorders>
            <w:shd w:val="clear" w:color="auto" w:fill="auto"/>
            <w:noWrap/>
            <w:vAlign w:val="bottom"/>
          </w:tcPr>
          <w:p w:rsidR="00F236D5" w:rsidRPr="00B816F6" w:rsidRDefault="00F236D5" w:rsidP="00947046">
            <w:pPr>
              <w:spacing w:before="80" w:after="80" w:line="220" w:lineRule="exact"/>
              <w:jc w:val="right"/>
              <w:rPr>
                <w:b/>
                <w:sz w:val="18"/>
              </w:rPr>
            </w:pPr>
            <w:r w:rsidRPr="00B816F6">
              <w:rPr>
                <w:b/>
                <w:sz w:val="18"/>
              </w:rPr>
              <w:t>2 493</w:t>
            </w:r>
          </w:p>
        </w:tc>
        <w:tc>
          <w:tcPr>
            <w:tcW w:w="866" w:type="dxa"/>
            <w:tcBorders>
              <w:top w:val="single" w:sz="12" w:space="0" w:color="auto"/>
              <w:bottom w:val="single" w:sz="4" w:space="0" w:color="auto"/>
            </w:tcBorders>
            <w:shd w:val="clear" w:color="auto" w:fill="auto"/>
            <w:noWrap/>
            <w:vAlign w:val="bottom"/>
          </w:tcPr>
          <w:p w:rsidR="00F236D5" w:rsidRPr="00B816F6" w:rsidRDefault="00F236D5" w:rsidP="00947046">
            <w:pPr>
              <w:spacing w:before="80" w:after="80" w:line="220" w:lineRule="exact"/>
              <w:jc w:val="right"/>
              <w:rPr>
                <w:b/>
                <w:sz w:val="18"/>
              </w:rPr>
            </w:pPr>
            <w:r w:rsidRPr="00B816F6">
              <w:rPr>
                <w:b/>
                <w:sz w:val="18"/>
              </w:rPr>
              <w:t>94 952</w:t>
            </w:r>
          </w:p>
        </w:tc>
        <w:tc>
          <w:tcPr>
            <w:tcW w:w="867" w:type="dxa"/>
            <w:tcBorders>
              <w:top w:val="single" w:sz="12" w:space="0" w:color="auto"/>
              <w:bottom w:val="single" w:sz="4" w:space="0" w:color="auto"/>
            </w:tcBorders>
            <w:shd w:val="clear" w:color="auto" w:fill="auto"/>
            <w:noWrap/>
            <w:vAlign w:val="bottom"/>
          </w:tcPr>
          <w:p w:rsidR="00F236D5" w:rsidRPr="00B816F6" w:rsidRDefault="00F236D5" w:rsidP="00947046">
            <w:pPr>
              <w:spacing w:before="80" w:after="80" w:line="220" w:lineRule="exact"/>
              <w:jc w:val="right"/>
              <w:rPr>
                <w:b/>
                <w:sz w:val="18"/>
              </w:rPr>
            </w:pPr>
            <w:r w:rsidRPr="00B816F6">
              <w:rPr>
                <w:b/>
                <w:sz w:val="18"/>
              </w:rPr>
              <w:t>83 631</w:t>
            </w:r>
          </w:p>
        </w:tc>
      </w:tr>
      <w:tr w:rsidR="00F236D5" w:rsidRPr="00B816F6" w:rsidTr="00947046">
        <w:trPr>
          <w:trHeight w:val="240"/>
        </w:trPr>
        <w:tc>
          <w:tcPr>
            <w:tcW w:w="2800" w:type="dxa"/>
            <w:tcBorders>
              <w:top w:val="single" w:sz="4" w:space="0" w:color="auto"/>
            </w:tcBorders>
            <w:shd w:val="clear" w:color="auto" w:fill="auto"/>
          </w:tcPr>
          <w:p w:rsidR="00F236D5" w:rsidRPr="00B816F6" w:rsidRDefault="00F236D5" w:rsidP="00947046">
            <w:pPr>
              <w:spacing w:before="40" w:after="40" w:line="220" w:lineRule="exact"/>
              <w:rPr>
                <w:i/>
                <w:sz w:val="18"/>
              </w:rPr>
            </w:pPr>
            <w:r w:rsidRPr="00B816F6">
              <w:rPr>
                <w:sz w:val="18"/>
              </w:rPr>
              <w:t xml:space="preserve">Solicitudes denegadas </w:t>
            </w:r>
            <w:r w:rsidRPr="00B816F6">
              <w:rPr>
                <w:i/>
                <w:sz w:val="18"/>
              </w:rPr>
              <w:t>(en porcentaje)</w:t>
            </w:r>
          </w:p>
        </w:tc>
        <w:tc>
          <w:tcPr>
            <w:tcW w:w="774" w:type="dxa"/>
            <w:tcBorders>
              <w:top w:val="single" w:sz="4" w:space="0" w:color="auto"/>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12,0</w:t>
            </w:r>
          </w:p>
        </w:tc>
        <w:tc>
          <w:tcPr>
            <w:tcW w:w="866" w:type="dxa"/>
            <w:tcBorders>
              <w:top w:val="single" w:sz="4" w:space="0" w:color="auto"/>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12,7</w:t>
            </w:r>
          </w:p>
        </w:tc>
        <w:tc>
          <w:tcPr>
            <w:tcW w:w="866" w:type="dxa"/>
            <w:tcBorders>
              <w:top w:val="single" w:sz="4" w:space="0" w:color="auto"/>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8,4</w:t>
            </w:r>
          </w:p>
        </w:tc>
        <w:tc>
          <w:tcPr>
            <w:tcW w:w="867" w:type="dxa"/>
            <w:tcBorders>
              <w:top w:val="single" w:sz="4" w:space="0" w:color="auto"/>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9,1</w:t>
            </w:r>
          </w:p>
        </w:tc>
        <w:tc>
          <w:tcPr>
            <w:tcW w:w="866" w:type="dxa"/>
            <w:tcBorders>
              <w:top w:val="single" w:sz="4" w:space="0" w:color="auto"/>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24,7</w:t>
            </w:r>
          </w:p>
        </w:tc>
        <w:tc>
          <w:tcPr>
            <w:tcW w:w="867" w:type="dxa"/>
            <w:tcBorders>
              <w:top w:val="single" w:sz="4" w:space="0" w:color="auto"/>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19,1</w:t>
            </w:r>
          </w:p>
        </w:tc>
        <w:tc>
          <w:tcPr>
            <w:tcW w:w="866" w:type="dxa"/>
            <w:tcBorders>
              <w:top w:val="single" w:sz="4" w:space="0" w:color="auto"/>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11,5</w:t>
            </w:r>
          </w:p>
        </w:tc>
        <w:tc>
          <w:tcPr>
            <w:tcW w:w="867" w:type="dxa"/>
            <w:tcBorders>
              <w:top w:val="single" w:sz="4" w:space="0" w:color="auto"/>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12,0</w:t>
            </w:r>
          </w:p>
        </w:tc>
      </w:tr>
    </w:tbl>
    <w:p w:rsidR="00F236D5" w:rsidRPr="00B816F6" w:rsidRDefault="00F236D5" w:rsidP="00F236D5">
      <w:pPr>
        <w:pStyle w:val="SingleTxtG"/>
        <w:spacing w:before="120" w:after="240"/>
        <w:ind w:left="170"/>
        <w:rPr>
          <w:sz w:val="18"/>
          <w:szCs w:val="18"/>
        </w:rPr>
      </w:pPr>
      <w:r w:rsidRPr="00B816F6">
        <w:rPr>
          <w:i/>
          <w:sz w:val="18"/>
          <w:szCs w:val="18"/>
        </w:rPr>
        <w:t>Fuente:</w:t>
      </w:r>
      <w:r w:rsidRPr="00B816F6">
        <w:rPr>
          <w:sz w:val="18"/>
          <w:szCs w:val="18"/>
        </w:rPr>
        <w:t xml:space="preserve"> Ministerio de Justicia.</w:t>
      </w:r>
    </w:p>
    <w:p w:rsidR="00F236D5" w:rsidRPr="00B816F6" w:rsidRDefault="00F236D5" w:rsidP="00F236D5">
      <w:pPr>
        <w:pStyle w:val="SingleTxtG"/>
      </w:pPr>
      <w:r w:rsidRPr="00B816F6">
        <w:t>139.</w:t>
      </w:r>
      <w:r w:rsidRPr="00B816F6">
        <w:tab/>
        <w:t>El juez puede ordenar a un delincuente a indemnizar a una persona por daños emocionales o materiales resultantes de un delito. Esto se conoce con el nombre de reparación. El juez decide el monto de la reparación a la luz del daño, la pérdida o el costo sufridos por la persona y de la capacidad de pago del delincuente.</w:t>
      </w:r>
    </w:p>
    <w:p w:rsidR="00F236D5" w:rsidRPr="00B816F6" w:rsidRDefault="00F236D5" w:rsidP="00F236D5">
      <w:pPr>
        <w:pStyle w:val="Heading1"/>
      </w:pPr>
      <w:r w:rsidRPr="00B816F6">
        <w:t>Cuadro 49</w:t>
      </w:r>
    </w:p>
    <w:p w:rsidR="00F236D5" w:rsidRPr="00B816F6" w:rsidRDefault="00F236D5" w:rsidP="00F236D5">
      <w:pPr>
        <w:pStyle w:val="SingleTxtG"/>
        <w:jc w:val="left"/>
        <w:rPr>
          <w:b/>
        </w:rPr>
      </w:pPr>
      <w:r w:rsidRPr="00B816F6">
        <w:rPr>
          <w:b/>
        </w:rPr>
        <w:t>Monto y número de los pagos por concepto de reparación efectuados durante</w:t>
      </w:r>
      <w:r w:rsidRPr="00B816F6">
        <w:rPr>
          <w:b/>
        </w:rPr>
        <w:br/>
        <w:t>el ejercicio económico comprendido entre el 1º de julio de 2009 y el 30 de junio</w:t>
      </w:r>
      <w:r w:rsidRPr="00B816F6">
        <w:rPr>
          <w:b/>
        </w:rPr>
        <w:br/>
        <w:t>de 2010</w:t>
      </w: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300"/>
        <w:gridCol w:w="1374"/>
        <w:gridCol w:w="1326"/>
        <w:gridCol w:w="1362"/>
        <w:gridCol w:w="938"/>
        <w:gridCol w:w="1245"/>
        <w:gridCol w:w="1120"/>
        <w:gridCol w:w="974"/>
      </w:tblGrid>
      <w:tr w:rsidR="00F236D5" w:rsidRPr="00B816F6" w:rsidTr="00947046">
        <w:trPr>
          <w:trHeight w:val="285"/>
          <w:tblHeader/>
        </w:trPr>
        <w:tc>
          <w:tcPr>
            <w:tcW w:w="2674" w:type="dxa"/>
            <w:gridSpan w:val="2"/>
            <w:tcBorders>
              <w:top w:val="single" w:sz="4" w:space="0" w:color="auto"/>
              <w:bottom w:val="single" w:sz="4" w:space="0" w:color="auto"/>
              <w:right w:val="single" w:sz="24" w:space="0" w:color="FFFFFF"/>
            </w:tcBorders>
            <w:shd w:val="clear" w:color="auto" w:fill="auto"/>
            <w:noWrap/>
            <w:vAlign w:val="bottom"/>
          </w:tcPr>
          <w:p w:rsidR="00F236D5" w:rsidRPr="00B816F6" w:rsidRDefault="00F236D5" w:rsidP="00947046">
            <w:pPr>
              <w:keepNext/>
              <w:spacing w:before="80" w:after="80" w:line="200" w:lineRule="exact"/>
              <w:jc w:val="center"/>
              <w:rPr>
                <w:i/>
                <w:sz w:val="16"/>
              </w:rPr>
            </w:pPr>
            <w:r w:rsidRPr="00B816F6">
              <w:rPr>
                <w:i/>
                <w:sz w:val="16"/>
              </w:rPr>
              <w:t>Mujeres</w:t>
            </w:r>
          </w:p>
        </w:tc>
        <w:tc>
          <w:tcPr>
            <w:tcW w:w="2688" w:type="dxa"/>
            <w:gridSpan w:val="2"/>
            <w:tcBorders>
              <w:top w:val="single" w:sz="4" w:space="0" w:color="auto"/>
              <w:left w:val="single" w:sz="24" w:space="0" w:color="FFFFFF"/>
              <w:bottom w:val="single" w:sz="4" w:space="0" w:color="auto"/>
              <w:right w:val="single" w:sz="24" w:space="0" w:color="FFFFFF"/>
            </w:tcBorders>
            <w:shd w:val="clear" w:color="auto" w:fill="auto"/>
            <w:noWrap/>
            <w:vAlign w:val="bottom"/>
          </w:tcPr>
          <w:p w:rsidR="00F236D5" w:rsidRPr="00B816F6" w:rsidRDefault="00F236D5" w:rsidP="00947046">
            <w:pPr>
              <w:keepNext/>
              <w:spacing w:before="80" w:after="80" w:line="200" w:lineRule="exact"/>
              <w:jc w:val="center"/>
              <w:rPr>
                <w:i/>
                <w:sz w:val="16"/>
              </w:rPr>
            </w:pPr>
            <w:r w:rsidRPr="00B816F6">
              <w:rPr>
                <w:i/>
                <w:sz w:val="16"/>
              </w:rPr>
              <w:t>Hombres</w:t>
            </w:r>
          </w:p>
        </w:tc>
        <w:tc>
          <w:tcPr>
            <w:tcW w:w="2183" w:type="dxa"/>
            <w:gridSpan w:val="2"/>
            <w:tcBorders>
              <w:top w:val="single" w:sz="4" w:space="0" w:color="auto"/>
              <w:left w:val="single" w:sz="24" w:space="0" w:color="FFFFFF"/>
              <w:bottom w:val="single" w:sz="4" w:space="0" w:color="auto"/>
              <w:right w:val="single" w:sz="24" w:space="0" w:color="FFFFFF"/>
            </w:tcBorders>
            <w:shd w:val="clear" w:color="auto" w:fill="auto"/>
            <w:noWrap/>
            <w:vAlign w:val="bottom"/>
          </w:tcPr>
          <w:p w:rsidR="00F236D5" w:rsidRPr="00B816F6" w:rsidRDefault="00F236D5" w:rsidP="00947046">
            <w:pPr>
              <w:keepNext/>
              <w:spacing w:before="80" w:after="80" w:line="200" w:lineRule="exact"/>
              <w:jc w:val="center"/>
              <w:rPr>
                <w:i/>
                <w:sz w:val="16"/>
              </w:rPr>
            </w:pPr>
            <w:r w:rsidRPr="00B816F6">
              <w:rPr>
                <w:i/>
                <w:sz w:val="16"/>
              </w:rPr>
              <w:t>Sin especificación de sexo o pago no efectuado por una persona</w:t>
            </w:r>
          </w:p>
        </w:tc>
        <w:tc>
          <w:tcPr>
            <w:tcW w:w="2094" w:type="dxa"/>
            <w:gridSpan w:val="2"/>
            <w:tcBorders>
              <w:top w:val="single" w:sz="4" w:space="0" w:color="auto"/>
              <w:left w:val="single" w:sz="24" w:space="0" w:color="FFFFFF"/>
              <w:bottom w:val="single" w:sz="4" w:space="0" w:color="auto"/>
            </w:tcBorders>
            <w:shd w:val="clear" w:color="auto" w:fill="auto"/>
            <w:noWrap/>
            <w:vAlign w:val="bottom"/>
          </w:tcPr>
          <w:p w:rsidR="00F236D5" w:rsidRPr="00B816F6" w:rsidRDefault="00F236D5" w:rsidP="00947046">
            <w:pPr>
              <w:keepNext/>
              <w:spacing w:before="80" w:after="80" w:line="200" w:lineRule="exact"/>
              <w:jc w:val="center"/>
              <w:rPr>
                <w:i/>
                <w:sz w:val="16"/>
              </w:rPr>
            </w:pPr>
            <w:r w:rsidRPr="00B816F6">
              <w:rPr>
                <w:i/>
                <w:sz w:val="16"/>
              </w:rPr>
              <w:t>Total</w:t>
            </w:r>
          </w:p>
        </w:tc>
      </w:tr>
      <w:tr w:rsidR="00F236D5" w:rsidRPr="00B816F6" w:rsidTr="00947046">
        <w:trPr>
          <w:trHeight w:val="285"/>
        </w:trPr>
        <w:tc>
          <w:tcPr>
            <w:tcW w:w="1300" w:type="dxa"/>
            <w:tcBorders>
              <w:top w:val="single" w:sz="4" w:space="0" w:color="auto"/>
              <w:bottom w:val="single" w:sz="12" w:space="0" w:color="auto"/>
            </w:tcBorders>
            <w:shd w:val="clear" w:color="auto" w:fill="auto"/>
            <w:noWrap/>
            <w:vAlign w:val="bottom"/>
          </w:tcPr>
          <w:p w:rsidR="00F236D5" w:rsidRPr="00B816F6" w:rsidRDefault="00F236D5" w:rsidP="00947046">
            <w:pPr>
              <w:keepNext/>
              <w:spacing w:before="80" w:after="80" w:line="200" w:lineRule="exact"/>
              <w:jc w:val="right"/>
              <w:rPr>
                <w:i/>
                <w:sz w:val="16"/>
              </w:rPr>
            </w:pPr>
            <w:r w:rsidRPr="00B816F6">
              <w:rPr>
                <w:i/>
                <w:sz w:val="16"/>
              </w:rPr>
              <w:t>Monto de la reparación</w:t>
            </w:r>
          </w:p>
        </w:tc>
        <w:tc>
          <w:tcPr>
            <w:tcW w:w="1374" w:type="dxa"/>
            <w:tcBorders>
              <w:top w:val="single" w:sz="4" w:space="0" w:color="auto"/>
              <w:bottom w:val="single" w:sz="12" w:space="0" w:color="auto"/>
              <w:right w:val="single" w:sz="24" w:space="0" w:color="FFFFFF"/>
            </w:tcBorders>
            <w:shd w:val="clear" w:color="auto" w:fill="auto"/>
            <w:noWrap/>
            <w:vAlign w:val="bottom"/>
          </w:tcPr>
          <w:p w:rsidR="00F236D5" w:rsidRPr="00B816F6" w:rsidRDefault="00F236D5" w:rsidP="00947046">
            <w:pPr>
              <w:keepNext/>
              <w:spacing w:before="80" w:after="80" w:line="200" w:lineRule="exact"/>
              <w:jc w:val="right"/>
              <w:rPr>
                <w:i/>
                <w:sz w:val="16"/>
              </w:rPr>
            </w:pPr>
            <w:r w:rsidRPr="00B816F6">
              <w:rPr>
                <w:i/>
                <w:sz w:val="16"/>
              </w:rPr>
              <w:t>Número de órdenes de reparación</w:t>
            </w:r>
          </w:p>
        </w:tc>
        <w:tc>
          <w:tcPr>
            <w:tcW w:w="1326" w:type="dxa"/>
            <w:tcBorders>
              <w:top w:val="single" w:sz="4" w:space="0" w:color="auto"/>
              <w:left w:val="single" w:sz="24" w:space="0" w:color="FFFFFF"/>
              <w:bottom w:val="single" w:sz="12" w:space="0" w:color="auto"/>
            </w:tcBorders>
            <w:shd w:val="clear" w:color="auto" w:fill="auto"/>
            <w:noWrap/>
            <w:vAlign w:val="bottom"/>
          </w:tcPr>
          <w:p w:rsidR="00F236D5" w:rsidRPr="00B816F6" w:rsidRDefault="00F236D5" w:rsidP="00947046">
            <w:pPr>
              <w:keepNext/>
              <w:spacing w:before="80" w:after="80" w:line="200" w:lineRule="exact"/>
              <w:jc w:val="right"/>
              <w:rPr>
                <w:i/>
                <w:sz w:val="16"/>
              </w:rPr>
            </w:pPr>
            <w:r w:rsidRPr="00B816F6">
              <w:rPr>
                <w:i/>
                <w:sz w:val="16"/>
              </w:rPr>
              <w:t>Monto de la reparación</w:t>
            </w:r>
          </w:p>
        </w:tc>
        <w:tc>
          <w:tcPr>
            <w:tcW w:w="1362" w:type="dxa"/>
            <w:tcBorders>
              <w:top w:val="single" w:sz="4" w:space="0" w:color="auto"/>
              <w:bottom w:val="single" w:sz="12" w:space="0" w:color="auto"/>
              <w:right w:val="single" w:sz="24" w:space="0" w:color="FFFFFF"/>
            </w:tcBorders>
            <w:shd w:val="clear" w:color="auto" w:fill="auto"/>
            <w:noWrap/>
            <w:vAlign w:val="bottom"/>
          </w:tcPr>
          <w:p w:rsidR="00F236D5" w:rsidRPr="00B816F6" w:rsidRDefault="00F236D5" w:rsidP="00947046">
            <w:pPr>
              <w:keepNext/>
              <w:spacing w:before="80" w:after="80" w:line="200" w:lineRule="exact"/>
              <w:jc w:val="right"/>
              <w:rPr>
                <w:i/>
                <w:sz w:val="16"/>
              </w:rPr>
            </w:pPr>
            <w:r w:rsidRPr="00B816F6">
              <w:rPr>
                <w:i/>
                <w:sz w:val="16"/>
              </w:rPr>
              <w:t>Número de órdenes de reparación</w:t>
            </w:r>
          </w:p>
        </w:tc>
        <w:tc>
          <w:tcPr>
            <w:tcW w:w="938" w:type="dxa"/>
            <w:tcBorders>
              <w:top w:val="single" w:sz="4" w:space="0" w:color="auto"/>
              <w:left w:val="single" w:sz="24" w:space="0" w:color="FFFFFF"/>
              <w:bottom w:val="single" w:sz="12" w:space="0" w:color="auto"/>
            </w:tcBorders>
            <w:shd w:val="clear" w:color="auto" w:fill="auto"/>
            <w:noWrap/>
            <w:vAlign w:val="bottom"/>
          </w:tcPr>
          <w:p w:rsidR="00F236D5" w:rsidRPr="00B816F6" w:rsidRDefault="00F236D5" w:rsidP="00947046">
            <w:pPr>
              <w:keepNext/>
              <w:spacing w:before="80" w:after="80" w:line="200" w:lineRule="exact"/>
              <w:jc w:val="right"/>
              <w:rPr>
                <w:i/>
                <w:sz w:val="16"/>
              </w:rPr>
            </w:pPr>
            <w:r w:rsidRPr="00B816F6">
              <w:rPr>
                <w:i/>
                <w:sz w:val="16"/>
              </w:rPr>
              <w:t>Monto de la reparación</w:t>
            </w:r>
          </w:p>
        </w:tc>
        <w:tc>
          <w:tcPr>
            <w:tcW w:w="1245" w:type="dxa"/>
            <w:tcBorders>
              <w:top w:val="single" w:sz="4" w:space="0" w:color="auto"/>
              <w:bottom w:val="single" w:sz="12" w:space="0" w:color="auto"/>
              <w:right w:val="single" w:sz="24" w:space="0" w:color="FFFFFF"/>
            </w:tcBorders>
            <w:shd w:val="clear" w:color="auto" w:fill="auto"/>
            <w:noWrap/>
            <w:vAlign w:val="bottom"/>
          </w:tcPr>
          <w:p w:rsidR="00F236D5" w:rsidRPr="00B816F6" w:rsidRDefault="00F236D5" w:rsidP="00947046">
            <w:pPr>
              <w:keepNext/>
              <w:spacing w:before="80" w:after="80" w:line="200" w:lineRule="exact"/>
              <w:jc w:val="right"/>
              <w:rPr>
                <w:i/>
                <w:sz w:val="16"/>
              </w:rPr>
            </w:pPr>
            <w:r w:rsidRPr="00B816F6">
              <w:rPr>
                <w:i/>
                <w:sz w:val="16"/>
              </w:rPr>
              <w:t>Número de órdenes de reparación</w:t>
            </w:r>
          </w:p>
        </w:tc>
        <w:tc>
          <w:tcPr>
            <w:tcW w:w="1120" w:type="dxa"/>
            <w:tcBorders>
              <w:top w:val="single" w:sz="4" w:space="0" w:color="auto"/>
              <w:left w:val="single" w:sz="24" w:space="0" w:color="FFFFFF"/>
              <w:bottom w:val="single" w:sz="12" w:space="0" w:color="auto"/>
            </w:tcBorders>
            <w:shd w:val="clear" w:color="auto" w:fill="auto"/>
            <w:noWrap/>
            <w:vAlign w:val="bottom"/>
          </w:tcPr>
          <w:p w:rsidR="00F236D5" w:rsidRPr="00B816F6" w:rsidRDefault="00F236D5" w:rsidP="00947046">
            <w:pPr>
              <w:keepNext/>
              <w:spacing w:before="80" w:after="80" w:line="200" w:lineRule="exact"/>
              <w:jc w:val="right"/>
              <w:rPr>
                <w:i/>
                <w:sz w:val="16"/>
              </w:rPr>
            </w:pPr>
            <w:r w:rsidRPr="00B816F6">
              <w:rPr>
                <w:i/>
                <w:sz w:val="16"/>
              </w:rPr>
              <w:t>Monto de la reparación</w:t>
            </w:r>
          </w:p>
        </w:tc>
        <w:tc>
          <w:tcPr>
            <w:tcW w:w="974" w:type="dxa"/>
            <w:tcBorders>
              <w:top w:val="single" w:sz="4" w:space="0" w:color="auto"/>
              <w:bottom w:val="single" w:sz="12" w:space="0" w:color="auto"/>
            </w:tcBorders>
            <w:shd w:val="clear" w:color="auto" w:fill="auto"/>
            <w:noWrap/>
            <w:vAlign w:val="bottom"/>
          </w:tcPr>
          <w:p w:rsidR="00F236D5" w:rsidRPr="00B816F6" w:rsidRDefault="00F236D5" w:rsidP="00947046">
            <w:pPr>
              <w:keepNext/>
              <w:spacing w:before="80" w:after="80" w:line="200" w:lineRule="exact"/>
              <w:jc w:val="right"/>
              <w:rPr>
                <w:i/>
                <w:sz w:val="16"/>
              </w:rPr>
            </w:pPr>
            <w:r w:rsidRPr="00B816F6">
              <w:rPr>
                <w:i/>
                <w:sz w:val="16"/>
              </w:rPr>
              <w:t>Número de órdenes de reparación</w:t>
            </w:r>
          </w:p>
        </w:tc>
      </w:tr>
      <w:tr w:rsidR="00F236D5" w:rsidRPr="00B816F6" w:rsidTr="00947046">
        <w:trPr>
          <w:trHeight w:val="285"/>
        </w:trPr>
        <w:tc>
          <w:tcPr>
            <w:tcW w:w="1300" w:type="dxa"/>
            <w:tcBorders>
              <w:top w:val="single" w:sz="12" w:space="0" w:color="auto"/>
            </w:tcBorders>
            <w:shd w:val="clear" w:color="auto" w:fill="auto"/>
            <w:noWrap/>
          </w:tcPr>
          <w:p w:rsidR="00F236D5" w:rsidRPr="00B816F6" w:rsidRDefault="00F236D5" w:rsidP="00947046">
            <w:pPr>
              <w:spacing w:before="40" w:after="40" w:line="220" w:lineRule="exact"/>
              <w:jc w:val="right"/>
              <w:rPr>
                <w:sz w:val="18"/>
              </w:rPr>
            </w:pPr>
            <w:r w:rsidRPr="00B816F6">
              <w:rPr>
                <w:sz w:val="18"/>
              </w:rPr>
              <w:t>$5 694 691</w:t>
            </w:r>
          </w:p>
        </w:tc>
        <w:tc>
          <w:tcPr>
            <w:tcW w:w="1374" w:type="dxa"/>
            <w:tcBorders>
              <w:top w:val="single" w:sz="12" w:space="0" w:color="auto"/>
            </w:tcBorders>
            <w:shd w:val="clear" w:color="auto" w:fill="auto"/>
            <w:noWrap/>
          </w:tcPr>
          <w:p w:rsidR="00F236D5" w:rsidRPr="00B816F6" w:rsidRDefault="00F236D5" w:rsidP="00947046">
            <w:pPr>
              <w:spacing w:before="40" w:after="40" w:line="220" w:lineRule="exact"/>
              <w:jc w:val="right"/>
              <w:rPr>
                <w:sz w:val="18"/>
              </w:rPr>
            </w:pPr>
            <w:r w:rsidRPr="00B816F6">
              <w:rPr>
                <w:sz w:val="18"/>
              </w:rPr>
              <w:t>4 738</w:t>
            </w:r>
          </w:p>
        </w:tc>
        <w:tc>
          <w:tcPr>
            <w:tcW w:w="1326" w:type="dxa"/>
            <w:tcBorders>
              <w:top w:val="single" w:sz="12" w:space="0" w:color="auto"/>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$18 964 852</w:t>
            </w:r>
          </w:p>
        </w:tc>
        <w:tc>
          <w:tcPr>
            <w:tcW w:w="1362" w:type="dxa"/>
            <w:tcBorders>
              <w:top w:val="single" w:sz="12" w:space="0" w:color="auto"/>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18 071</w:t>
            </w:r>
          </w:p>
        </w:tc>
        <w:tc>
          <w:tcPr>
            <w:tcW w:w="938" w:type="dxa"/>
            <w:tcBorders>
              <w:top w:val="single" w:sz="12" w:space="0" w:color="auto"/>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$3 223 090</w:t>
            </w:r>
          </w:p>
        </w:tc>
        <w:tc>
          <w:tcPr>
            <w:tcW w:w="1245" w:type="dxa"/>
            <w:tcBorders>
              <w:top w:val="single" w:sz="12" w:space="0" w:color="auto"/>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807</w:t>
            </w:r>
          </w:p>
        </w:tc>
        <w:tc>
          <w:tcPr>
            <w:tcW w:w="1120" w:type="dxa"/>
            <w:tcBorders>
              <w:top w:val="single" w:sz="12" w:space="0" w:color="auto"/>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$27 882 633</w:t>
            </w:r>
          </w:p>
        </w:tc>
        <w:tc>
          <w:tcPr>
            <w:tcW w:w="974" w:type="dxa"/>
            <w:tcBorders>
              <w:top w:val="single" w:sz="12" w:space="0" w:color="auto"/>
            </w:tcBorders>
            <w:shd w:val="clear" w:color="auto" w:fill="auto"/>
            <w:noWrap/>
            <w:vAlign w:val="bottom"/>
          </w:tcPr>
          <w:p w:rsidR="00F236D5" w:rsidRPr="00B816F6" w:rsidRDefault="00F236D5" w:rsidP="00947046">
            <w:pPr>
              <w:spacing w:before="40" w:after="40" w:line="220" w:lineRule="exact"/>
              <w:jc w:val="right"/>
              <w:rPr>
                <w:sz w:val="18"/>
              </w:rPr>
            </w:pPr>
            <w:r w:rsidRPr="00B816F6">
              <w:rPr>
                <w:sz w:val="18"/>
              </w:rPr>
              <w:t>23 616</w:t>
            </w:r>
          </w:p>
        </w:tc>
      </w:tr>
    </w:tbl>
    <w:p w:rsidR="00F236D5" w:rsidRPr="00B816F6" w:rsidRDefault="00F236D5" w:rsidP="00F236D5">
      <w:pPr>
        <w:pStyle w:val="SingleTxtG"/>
        <w:spacing w:before="120" w:after="240"/>
        <w:ind w:left="170"/>
        <w:rPr>
          <w:sz w:val="18"/>
          <w:szCs w:val="18"/>
        </w:rPr>
      </w:pPr>
      <w:r w:rsidRPr="00B816F6">
        <w:rPr>
          <w:i/>
          <w:sz w:val="18"/>
          <w:szCs w:val="18"/>
        </w:rPr>
        <w:t xml:space="preserve">Fuente: </w:t>
      </w:r>
      <w:r w:rsidRPr="00B816F6">
        <w:rPr>
          <w:sz w:val="18"/>
          <w:szCs w:val="18"/>
        </w:rPr>
        <w:t>Ministerio de Justicia.</w:t>
      </w:r>
    </w:p>
    <w:p w:rsidR="00F236D5" w:rsidRPr="00B816F6" w:rsidRDefault="00F236D5" w:rsidP="00F236D5">
      <w:pPr>
        <w:pStyle w:val="H1G"/>
      </w:pPr>
      <w:r w:rsidRPr="00B816F6">
        <w:tab/>
        <w:t>B.</w:t>
      </w:r>
      <w:r w:rsidRPr="00B816F6">
        <w:tab/>
        <w:t>Estructura constitucional, política y jurídica</w:t>
      </w:r>
    </w:p>
    <w:p w:rsidR="00F236D5" w:rsidRPr="00B816F6" w:rsidRDefault="00F236D5" w:rsidP="00F236D5">
      <w:pPr>
        <w:pStyle w:val="H23G"/>
      </w:pPr>
      <w:r w:rsidRPr="00B816F6">
        <w:tab/>
        <w:t>1.</w:t>
      </w:r>
      <w:r w:rsidRPr="00B816F6">
        <w:tab/>
        <w:t>Constitución</w:t>
      </w:r>
    </w:p>
    <w:p w:rsidR="00F236D5" w:rsidRPr="00B816F6" w:rsidRDefault="00F236D5" w:rsidP="00F236D5">
      <w:pPr>
        <w:pStyle w:val="SingleTxtG"/>
      </w:pPr>
      <w:r w:rsidRPr="00B816F6">
        <w:t>140.</w:t>
      </w:r>
      <w:r w:rsidRPr="00B816F6">
        <w:tab/>
        <w:t>Las normas constitucionales de Nueva Zelandia han evolucionado a lo largo de muchos años y se hacen cada vez más eco del Tratado de Waitangi, documento fundacional de la moderna Nueva Zelandia. Como señalaron el Relator Especial de las Naciones Unidas sobre la situación de los derechos humanos y las libertades fundamentales de los indígenas en 2005 y el Comité para la Eliminación de la Discriminación Racial en 2007, el Tratado no forma oficialmente parte de la legislación nacional de Nueva Zelandia. Se han incorporado referencias al Tratado y a sus principios en diferentes disposiciones legislativas. Toda la legislación gubernamental debe ceñirse a los principios del Tratado de Waitangi. En la documentación transmitida al Gabinete con miras a obtener la aprobación de una ley se debe certificar que su tenor es coherente con los principios del Tratado (así como con la Carta de Derechos de Nueva Zelandia de 1990 y la Ley de derechos humanos de 1993).</w:t>
      </w:r>
    </w:p>
    <w:p w:rsidR="00F236D5" w:rsidRPr="00B816F6" w:rsidRDefault="00F236D5" w:rsidP="00F236D5">
      <w:pPr>
        <w:pStyle w:val="SingleTxtG"/>
      </w:pPr>
      <w:r w:rsidRPr="00B816F6">
        <w:t>141.</w:t>
      </w:r>
      <w:r w:rsidRPr="00B816F6">
        <w:tab/>
        <w:t xml:space="preserve">El marco constitucional de Nueva Zelandia también establece el sistema de gobierno democrático y parlamentario del país. La doctrina de la separación de poderes exige la mutua independencia de los poderes legislativo, ejecutivo y judicial a fin de crear mecanismos de control y contrapeso dentro del sistema y garantizar la rendición de cuentas y la imparcialidad. Las disposiciones constitucionales de Nueva Zelandia se basan también en el estado de derecho. Las facultades que ejercen los parlamentarios y funcionarios tienen fundamento jurídico y la ley debe ajustarse a ciertas normas mínimas de justicia. </w:t>
      </w:r>
    </w:p>
    <w:p w:rsidR="00F236D5" w:rsidRPr="00B816F6" w:rsidRDefault="00F236D5" w:rsidP="00F236D5">
      <w:pPr>
        <w:pStyle w:val="SingleTxtG"/>
      </w:pPr>
      <w:r w:rsidRPr="00B816F6">
        <w:t>142.</w:t>
      </w:r>
      <w:r w:rsidRPr="00B816F6">
        <w:tab/>
        <w:t xml:space="preserve">El poder judicial controla al poder ejecutivo cerciorándose de que este actúe de conformidad con las leyes elaboradas por el Parlamento y el </w:t>
      </w:r>
      <w:r w:rsidRPr="00B816F6">
        <w:rPr>
          <w:i/>
        </w:rPr>
        <w:t>common law</w:t>
      </w:r>
      <w:r w:rsidRPr="00B816F6">
        <w:t xml:space="preserve"> (la jurisprudencia o derecho de los jueces, que se deriva de los principios fundamentales del derecho y la interpretación de la ley escrita). Sin embargo, los tribunales no pueden revocar las disposiciones de ninguna ley parlamentaria (pero sí pueden revocar leyes secundarias que sean incompatibles con las disposiciones de alguna ley parlamentaria). </w:t>
      </w:r>
    </w:p>
    <w:p w:rsidR="00F236D5" w:rsidRPr="00B816F6" w:rsidRDefault="00F236D5" w:rsidP="00F236D5">
      <w:pPr>
        <w:pStyle w:val="H4G"/>
      </w:pPr>
      <w:r w:rsidRPr="00B816F6">
        <w:tab/>
        <w:t>a)</w:t>
      </w:r>
      <w:r w:rsidRPr="00B816F6">
        <w:tab/>
        <w:t>El Jefe del Estado y el Gobernador General</w:t>
      </w:r>
    </w:p>
    <w:p w:rsidR="00F236D5" w:rsidRPr="00B816F6" w:rsidRDefault="00F236D5" w:rsidP="00F236D5">
      <w:pPr>
        <w:pStyle w:val="SingleTxtG"/>
      </w:pPr>
      <w:r w:rsidRPr="00B816F6">
        <w:t>143.</w:t>
      </w:r>
      <w:r w:rsidRPr="00B816F6">
        <w:tab/>
        <w:t>La Reina —Soberana de Nueva</w:t>
      </w:r>
      <w:r>
        <w:t xml:space="preserve"> </w:t>
      </w:r>
      <w:r w:rsidRPr="00B816F6">
        <w:t>Zelandia por derecho— es Jefa del Estado. Nombra al Gobernador General, quien la representa en Nueva</w:t>
      </w:r>
      <w:r>
        <w:t xml:space="preserve"> </w:t>
      </w:r>
      <w:r w:rsidRPr="00B816F6">
        <w:t>Zelandia. En general, cada uno de ellos tiene todos los poderes del otro. Por ley, pueden nombrar y destituir (observando determinados procedimientos) a los ministros de la Corona así como a jueces, comandantes en jefe de las fuerzas armadas y defensores del pueblo; pueden convocar y disolver el Parlamento; y pueden sancionar proyectos de ley y aprobar reglamentos. Por convención, lo hacen únicamente por recomendación del Primer Ministro u otros ministros, que cuentan con el apoyo de la Cámara de Representantes.</w:t>
      </w:r>
    </w:p>
    <w:p w:rsidR="00F236D5" w:rsidRPr="00B816F6" w:rsidRDefault="00F236D5" w:rsidP="00F236D5">
      <w:pPr>
        <w:pStyle w:val="H4G"/>
        <w:rPr>
          <w:b/>
        </w:rPr>
      </w:pPr>
      <w:r w:rsidRPr="00B816F6">
        <w:tab/>
        <w:t>b)</w:t>
      </w:r>
      <w:r w:rsidRPr="00B816F6">
        <w:tab/>
        <w:t>La Cámara de Representantes</w:t>
      </w:r>
    </w:p>
    <w:p w:rsidR="00F236D5" w:rsidRPr="00B816F6" w:rsidRDefault="00F236D5" w:rsidP="00F236D5">
      <w:pPr>
        <w:pStyle w:val="SingleTxtG"/>
      </w:pPr>
      <w:r w:rsidRPr="00B816F6">
        <w:t>144.</w:t>
      </w:r>
      <w:r w:rsidRPr="00B816F6">
        <w:tab/>
        <w:t>El Parlamento, es decir el poder legislativo, está compuesto por la Soberana y una cámara única de representantes integrada normalmente por 120 miembros, elegidos cada tres años, a menos que la cámara sea disuelta antes. El Parlamento tiene plenos poderes para legislar pero delega el poder de elaborar disposiciones legislativas de menor jerarquía al Gobierno (por ejemplo, los reglamentos).</w:t>
      </w:r>
    </w:p>
    <w:p w:rsidR="00F236D5" w:rsidRPr="00B816F6" w:rsidRDefault="00F236D5" w:rsidP="00F236D5">
      <w:pPr>
        <w:pStyle w:val="SingleTxtG"/>
      </w:pPr>
      <w:r w:rsidRPr="00B816F6">
        <w:t>145.</w:t>
      </w:r>
      <w:r w:rsidRPr="00B816F6">
        <w:tab/>
        <w:t xml:space="preserve">Por lo general, la mayoría simple en la Cámara de Representantes es suficiente para enmendar una ley parlamentaria, aunque las posibilidades de enmienda están algo limitadas por la ratificación de instrumentos jurídicos internacionales. La Ley electoral de 1993 es el único texto legislativo que tiene disposiciones que solo pueden modificarse con un </w:t>
      </w:r>
      <w:r w:rsidRPr="00282E44">
        <w:rPr>
          <w:i/>
        </w:rPr>
        <w:t>qu</w:t>
      </w:r>
      <w:r>
        <w:rPr>
          <w:i/>
        </w:rPr>
        <w:t>o</w:t>
      </w:r>
      <w:r w:rsidRPr="00282E44">
        <w:rPr>
          <w:i/>
        </w:rPr>
        <w:t>rum</w:t>
      </w:r>
      <w:r w:rsidRPr="00B816F6">
        <w:t xml:space="preserve"> especial. Estas disposiciones protegidas se refieren al mandato parlamentario de tres años, la composición de la Comisión de Representantes, la división de Nueva</w:t>
      </w:r>
      <w:r>
        <w:t xml:space="preserve"> </w:t>
      </w:r>
      <w:r w:rsidRPr="00B816F6">
        <w:t>Zelandia en distritos electorales, la edad en que se tiene derecho al voto y los métodos de voto. Cualquier modificación a esas disposiciones debe contar con el 75% de los votos en la Cámara de Representantes o la mayoría de los votos en un referéndum.</w:t>
      </w:r>
    </w:p>
    <w:p w:rsidR="00F236D5" w:rsidRPr="00B816F6" w:rsidRDefault="00F236D5" w:rsidP="00F236D5">
      <w:pPr>
        <w:pStyle w:val="SingleTxtG"/>
      </w:pPr>
      <w:r w:rsidRPr="00B816F6">
        <w:t>146.</w:t>
      </w:r>
      <w:r w:rsidRPr="00B816F6">
        <w:tab/>
        <w:t>El Parlamento tiene varios comités especiales que analizan detenidamente los proyectos de ley y escuchan las propuestas de personas interesadas. Estos comités también realizan investigaciones en sus respectivos temas. Pueden hacer un llamamiento público a propuestas y solicitar información a las organizaciones que sean objeto de investigación. Después de examinar la información, los comités especiales pueden transmitir a la Cámara de Representantes los resultados de sus investigaciones y las recomendaciones del caso. El Gobierno debe dar respuesta a dichas recomendaciones en un plazo de 90 días.</w:t>
      </w:r>
    </w:p>
    <w:p w:rsidR="00F236D5" w:rsidRPr="00B816F6" w:rsidRDefault="00F236D5" w:rsidP="00F236D5">
      <w:pPr>
        <w:pStyle w:val="SingleTxtG"/>
      </w:pPr>
      <w:r w:rsidRPr="00B816F6">
        <w:t>147.</w:t>
      </w:r>
      <w:r w:rsidRPr="00B816F6">
        <w:tab/>
        <w:t>El Parlamento desempeña pues una función importante en la promoción y protección de los derechos humanos en Nueva Zelandia, sobre todo al representar las opiniones del pueblo. Su mandato consiste no solo en legislar sino también en analizar la legislación y supervisar la actuación del Gobierno. Esa supervisión parlamentaria se realiza asimismo por conducto de la concesión anual de autoridad financiera y la vigilancia de las facultades y funciones delegadas. Las sesiones del Parlamento se transmiten en vivo por radio y televisión.</w:t>
      </w:r>
    </w:p>
    <w:p w:rsidR="00F236D5" w:rsidRPr="00B816F6" w:rsidRDefault="00F236D5" w:rsidP="00F236D5">
      <w:pPr>
        <w:pStyle w:val="H4G"/>
      </w:pPr>
      <w:r w:rsidRPr="00B816F6">
        <w:tab/>
        <w:t>c)</w:t>
      </w:r>
      <w:r w:rsidRPr="00B816F6">
        <w:tab/>
        <w:t>El poder ejecutivo</w:t>
      </w:r>
    </w:p>
    <w:p w:rsidR="00F236D5" w:rsidRPr="00B816F6" w:rsidRDefault="00F236D5" w:rsidP="00F236D5">
      <w:pPr>
        <w:pStyle w:val="SingleTxtG"/>
      </w:pPr>
      <w:r w:rsidRPr="00B816F6">
        <w:t>148.</w:t>
      </w:r>
      <w:r w:rsidRPr="00B816F6">
        <w:tab/>
        <w:t>El poder ejecutivo se encarga de gobernar. Está compuesto por los ministros de la Corona (que conforman el Consejo Ejecutivo), la administración pública y algunos órganos de derecho público. Solo los miembros del Parlamento pueden ser ministros de la Corona. Por convención, la permanencia del Primer Ministro y los demás ministros en el Gobierno está sujeta al voto de confianza de la Cámara de Representantes en lo relativo a cuestiones de importancia vital para el programa del Gobierno y a asuntos de hacienda. Esto significa que los ministros deben responder ante el Parlamento por la actuación del Gobierno. La mayor parte de los ministros son miembros del Gabinete. Este órgano determina las políticas y supervisa la actuación de la administración pública en materia de leyes y políticas.</w:t>
      </w:r>
    </w:p>
    <w:p w:rsidR="00F236D5" w:rsidRPr="00B816F6" w:rsidRDefault="00F236D5" w:rsidP="00F236D5">
      <w:pPr>
        <w:pStyle w:val="SingleTxtG"/>
      </w:pPr>
      <w:r w:rsidRPr="00B816F6">
        <w:t>149.</w:t>
      </w:r>
      <w:r w:rsidRPr="00B816F6">
        <w:tab/>
        <w:t>El Primer Ministro es jefe del Gobierno, preside el Gabinete y tiene una función de coordinación de todos los aspectos de la labor del Gobierno. Por convención, solo el Primer Ministro puede recomendar al Gobernador General que disuelva el Parlamento y convoque a elecciones o acepte la renuncia de un ministro.</w:t>
      </w:r>
    </w:p>
    <w:p w:rsidR="00F236D5" w:rsidRPr="00B816F6" w:rsidRDefault="00F236D5" w:rsidP="00F236D5">
      <w:pPr>
        <w:pStyle w:val="SingleTxtG"/>
      </w:pPr>
      <w:r w:rsidRPr="00B816F6">
        <w:t>150.</w:t>
      </w:r>
      <w:r w:rsidRPr="00B816F6">
        <w:tab/>
        <w:t>Cada departamento de la administración pública tiene un ministro designado como jefe político y un funcionario público como jefe administrativo. Las funciones de la administración pública están establecidas en diferentes leyes, incluida la Ley del sector estatal de 1988, la Ley de finanzas públicas de 1989 y la Ley de información oficial de 1982. Según los principios constitucionales y lo dispuesto en las leyes antes mencionadas, los funcionarios públicos deben actuar de conformidad con la ley y con espíritu de servicio a la comunidad, prestar un asesoramiento honesto e imparcial a los ministros y dar efecto a las decisiones ministeriales.</w:t>
      </w:r>
    </w:p>
    <w:p w:rsidR="00F236D5" w:rsidRPr="00B816F6" w:rsidRDefault="00F236D5" w:rsidP="00F236D5">
      <w:pPr>
        <w:pStyle w:val="H4G"/>
      </w:pPr>
      <w:r w:rsidRPr="00B816F6">
        <w:tab/>
        <w:t>d)</w:t>
      </w:r>
      <w:r w:rsidRPr="00B816F6">
        <w:tab/>
        <w:t>Poder judicial</w:t>
      </w:r>
    </w:p>
    <w:p w:rsidR="00F236D5" w:rsidRPr="00B816F6" w:rsidRDefault="00F236D5" w:rsidP="00F236D5">
      <w:pPr>
        <w:pStyle w:val="SingleTxtG"/>
      </w:pPr>
      <w:r w:rsidRPr="00B816F6">
        <w:t>151.</w:t>
      </w:r>
      <w:r w:rsidRPr="00B816F6">
        <w:tab/>
        <w:t>La independencia del poder judicial es un principio importante de la Constitución de Nueva</w:t>
      </w:r>
      <w:r>
        <w:t xml:space="preserve"> </w:t>
      </w:r>
      <w:r w:rsidRPr="00B816F6">
        <w:t>Zelandia; en consecuencia, el poder judicial se caracteriza por estar libre de injerencias políticas. Este principio se refleja en el reglamento de la Cámara de Representantes, por el que se prohíbe que un miembro del Parlamento critique a un juez. Además, la Ley constitucional de 1986 protege a los jueces de los Tribunales Supremo, de Apelación y Superior contra reducciones de salario y destituciones por motivos políticos.</w:t>
      </w:r>
    </w:p>
    <w:p w:rsidR="00F236D5" w:rsidRPr="00B816F6" w:rsidRDefault="00F236D5" w:rsidP="00F236D5">
      <w:pPr>
        <w:pStyle w:val="SingleTxtG"/>
      </w:pPr>
      <w:r w:rsidRPr="00B816F6">
        <w:t>152.</w:t>
      </w:r>
      <w:r w:rsidRPr="00B816F6">
        <w:tab/>
        <w:t xml:space="preserve">Los tribunales de </w:t>
      </w:r>
      <w:r w:rsidRPr="004E78A1">
        <w:t>Nueva</w:t>
      </w:r>
      <w:r>
        <w:t xml:space="preserve"> </w:t>
      </w:r>
      <w:r w:rsidRPr="004E78A1">
        <w:t>Zelandia</w:t>
      </w:r>
      <w:r w:rsidRPr="00B816F6">
        <w:t xml:space="preserve"> funcionan con arreglo al procedimiento contencioso. El tribunal más alto es el Tribunal Supremo de Nueva Zelandia, con sede en Wellington. El Tribunal Supremo fue establecido el</w:t>
      </w:r>
      <w:r>
        <w:t xml:space="preserve"> </w:t>
      </w:r>
      <w:r w:rsidRPr="00B816F6">
        <w:t>1</w:t>
      </w:r>
      <w:r>
        <w:t xml:space="preserve">º </w:t>
      </w:r>
      <w:r w:rsidRPr="00B816F6">
        <w:t>de enero de 2004. Hasta ese momento, el Comité Judicial del Consejo Privado, con sede en Londres, era la última instancia de apelación del país. Aún pueden interponerse recursos de apelación ante el Comité Judicial contra las decisiones del Tribunal de Apelación dictadas antes del 31 de diciembre de 2003. El segundo tribunal más alto en la jerarquía judicial de Nueva</w:t>
      </w:r>
      <w:r>
        <w:t xml:space="preserve"> </w:t>
      </w:r>
      <w:r w:rsidRPr="00B816F6">
        <w:t>Zelandia es el Tribunal de Apelación, que es el principal tribunal de apelación de nivel intermedio y entiende de la gran mayoría de las apelaciones. Por debajo del Tribunal de Apelación está el Tribunal Superior, que es el único tribunal neozelandés de jurisdicción general. En él se desarrollan los juicios con jurado y las causas civiles más graves, así como las causas administrativas.</w:t>
      </w:r>
    </w:p>
    <w:p w:rsidR="00F236D5" w:rsidRPr="00B816F6" w:rsidRDefault="00F236D5" w:rsidP="00F236D5">
      <w:pPr>
        <w:pStyle w:val="SingleTxtG"/>
      </w:pPr>
      <w:r w:rsidRPr="00B816F6">
        <w:t>153.</w:t>
      </w:r>
      <w:r w:rsidRPr="00B816F6">
        <w:tab/>
        <w:t xml:space="preserve">Por debajo del Tribunal Superior están los tribunales de distrito. Estos se ocupan de un gran número de causas penales y civiles y de algunos juicios con jurado. El Tribunal de Familia, que depende del Tribunal de Distrito, se ocupa de asuntos de derecho de la familia. </w:t>
      </w:r>
      <w:r>
        <w:t xml:space="preserve">El </w:t>
      </w:r>
      <w:r w:rsidRPr="00B816F6">
        <w:t>Tribunal de Menores entiende de los delitos de carácter grave y reincidente cometidos por jóvenes de 14 a 16 años. Los tribunales de litigios (dependientes de los tribunales de distrito) se ocupan de las causas civiles de menor cuantía (distintas de la recuperación de deudas) por medio de un procedimiento simplificado. Además, existen varios tribunales especializados (como el Tribunal Laboral, el Tribunal de Asuntos Ambientales y el Tribunal del Territorio Maorí) y alrededor de 100 tribunales (por ejemplo, la Autoridad de Apelación sobre Indemnización por Accidentes, el Tribunal de Derechos de Autor, el Tribunal de Revisión de Casos de Deportación, el Tribunal de Derechos Humanos y el Tribunal de Litigios entre Propietarios y Arrendatarios).</w:t>
      </w:r>
    </w:p>
    <w:p w:rsidR="00F236D5" w:rsidRPr="00B816F6" w:rsidRDefault="00F236D5" w:rsidP="00F236D5">
      <w:pPr>
        <w:pStyle w:val="H4G"/>
      </w:pPr>
      <w:r w:rsidRPr="00B816F6">
        <w:tab/>
        <w:t>e)</w:t>
      </w:r>
      <w:r w:rsidRPr="00B816F6">
        <w:tab/>
        <w:t>El sistema electoral</w:t>
      </w:r>
    </w:p>
    <w:p w:rsidR="00F236D5" w:rsidRPr="00B816F6" w:rsidRDefault="00F236D5" w:rsidP="00F236D5">
      <w:pPr>
        <w:pStyle w:val="SingleTxtG"/>
      </w:pPr>
      <w:r w:rsidRPr="00B816F6">
        <w:t>154.</w:t>
      </w:r>
      <w:r w:rsidRPr="00B816F6">
        <w:tab/>
        <w:t xml:space="preserve">Las primeras elecciones parlamentarias de Nueva Zelandia se celebraron en 1853 y el sufragio universal se instauró en 1893. En este año, Nueva Zelandia pasó a ser el primer país del mundo que concedía el derecho a voto a la mujer. La Ley del referéndum electoral de 1991 dispuso la celebración de un referéndum indicativo sobre la reforma electoral en el que se pedía a los votantes que escogieran entre el </w:t>
      </w:r>
      <w:r w:rsidRPr="00B816F6">
        <w:rPr>
          <w:i/>
          <w:iCs/>
        </w:rPr>
        <w:t>statu quo</w:t>
      </w:r>
      <w:r w:rsidRPr="00B816F6">
        <w:t xml:space="preserve"> (un sistema de mayoría simple en el que se daba la victoria al candidato con más votos) y la reforma electoral. La mayoría de los votantes indicó que prefería el sistema de representación proporcional mixta. Este sistema se introdujo tras el segundo y definitivo referéndum, celebrado juntamente con la elección general de 1993.</w:t>
      </w:r>
    </w:p>
    <w:p w:rsidR="00F236D5" w:rsidRPr="00B816F6" w:rsidRDefault="00F236D5" w:rsidP="00F236D5">
      <w:pPr>
        <w:pStyle w:val="SingleTxtG"/>
      </w:pPr>
      <w:r w:rsidRPr="00B816F6">
        <w:t>155.</w:t>
      </w:r>
      <w:r w:rsidRPr="00B816F6">
        <w:tab/>
        <w:t>La Ley electoral de 1993 regula las elecciones. Con arreglo al sistema de representación proporcional mixta, los electores disponen de un voto por partido y de un voto por circunscripción electoral. El voto por partido permite escoger los partidos que estarán representados en el Parlamento. Al mes de junio de 2010 se habían inscrito 16 partidos políticos. Los votos por circunscripción electoral permiten elegir a los miembros del Parlamento que representarán a cada distrito electoral.</w:t>
      </w:r>
    </w:p>
    <w:p w:rsidR="00F236D5" w:rsidRPr="00B816F6" w:rsidRDefault="00F236D5" w:rsidP="00F236D5">
      <w:pPr>
        <w:pStyle w:val="SingleTxtG"/>
      </w:pPr>
      <w:r w:rsidRPr="00B816F6">
        <w:t>156.</w:t>
      </w:r>
      <w:r w:rsidRPr="00B816F6">
        <w:tab/>
        <w:t xml:space="preserve">Según el sistema de representación proporcional mixta, el Parlamento estará compuesto normalmente de 120 miembros (aunque actualmente tiene 122). En el Parlamento elegido en noviembre de 2008, 52 miembros formaban parte de las listas de partidos, 63 representaban a los distritos electorales generales y 7 a los distritos electorales maoríes. Los distritos electorales generales y los distritos electorales maoríes son zonas geográficas con poblaciones similares, pero los distritos maoríes abarcan varios distritos generales. A raíz de las elecciones generales de 2008, 21 miembros del Parlamento se identificaron como maoríes (un 17% de los 122 miembros del Parlamento), </w:t>
      </w:r>
      <w:r>
        <w:t>5</w:t>
      </w:r>
      <w:r w:rsidRPr="00B816F6">
        <w:t xml:space="preserve"> eran del grupo étnico de pueblos del Pacífico y </w:t>
      </w:r>
      <w:r>
        <w:t>6</w:t>
      </w:r>
      <w:r w:rsidRPr="00B816F6">
        <w:t xml:space="preserve"> de la etnia asiática. El actual Parlamento cuenta con 38 mujeres miembros (el 31% del total). Al 30 de junio de 2009 (según datos del censo de 2006), la población total con derecho a voto se estimaba en 3.177.800 personas.</w:t>
      </w:r>
    </w:p>
    <w:p w:rsidR="00F236D5" w:rsidRPr="00B816F6" w:rsidRDefault="00F236D5" w:rsidP="00F236D5">
      <w:pPr>
        <w:pStyle w:val="H23G"/>
      </w:pPr>
      <w:r w:rsidRPr="00B816F6">
        <w:tab/>
        <w:t>2.</w:t>
      </w:r>
      <w:r w:rsidRPr="00B816F6">
        <w:tab/>
        <w:t>Representación maorí</w:t>
      </w:r>
    </w:p>
    <w:p w:rsidR="00F236D5" w:rsidRPr="00B816F6" w:rsidRDefault="00F236D5" w:rsidP="00F236D5">
      <w:pPr>
        <w:pStyle w:val="SingleTxtG"/>
      </w:pPr>
      <w:r w:rsidRPr="00B816F6">
        <w:t>157.</w:t>
      </w:r>
      <w:r w:rsidRPr="00B816F6">
        <w:tab/>
        <w:t>En 1867 se crearon en el Parlamento de Nueva</w:t>
      </w:r>
      <w:r>
        <w:t xml:space="preserve"> </w:t>
      </w:r>
      <w:r w:rsidRPr="00B816F6">
        <w:t>Zelandia cuatro escaños maoríes para que los maoríes tuvieran representación directa en el Parlamento. Esto se consideró una medida provisoria dado que el sistema colectivo de propiedad de la tierra constituía un obstáculo para que los maoríes pudieran cumplir el requisito de propiedad entonces vigente. Todos los hombres maoríes mayores de 21 años tenían derecho a voto independientemente de la posesión de bienes. Los distritos electorales maoríes se mantuvieron incluso después de que el sufragio universal se hiciera extensivo a los hombres de origen étnico europeo en 1879.</w:t>
      </w:r>
    </w:p>
    <w:p w:rsidR="00F236D5" w:rsidRPr="00B816F6" w:rsidRDefault="00F236D5" w:rsidP="00F236D5">
      <w:pPr>
        <w:pStyle w:val="SingleTxtG"/>
      </w:pPr>
      <w:r w:rsidRPr="00B816F6">
        <w:t>158.</w:t>
      </w:r>
      <w:r w:rsidRPr="00B816F6">
        <w:tab/>
        <w:t>Hoy en día, de conformidad con la Ley electoral de 1993, los maoríes de Nueva</w:t>
      </w:r>
      <w:r>
        <w:t xml:space="preserve"> </w:t>
      </w:r>
      <w:r w:rsidRPr="00B816F6">
        <w:t>Zelandia tienen la posibilidad de inscribirse en el padrón de un distrito electoral maorí o en el de un distrito electoral general. La opción electoral maorí se realiza cada cinco años, inmediatamente después del censo de población. Una persona no puede cambiar su tipo de inscripción entre una opción electoral maorí y la siguiente. La próxima opción electoral maorí tendrá lugar en 2012.</w:t>
      </w:r>
    </w:p>
    <w:p w:rsidR="00F236D5" w:rsidRPr="00B816F6" w:rsidRDefault="00F236D5" w:rsidP="00F236D5">
      <w:pPr>
        <w:pStyle w:val="SingleTxtG"/>
      </w:pPr>
      <w:r w:rsidRPr="00B816F6">
        <w:t>159.</w:t>
      </w:r>
      <w:r w:rsidRPr="00B816F6">
        <w:tab/>
        <w:t>Hasta 1996 el número establecido de escaños maoríes era de cuatro, pero actualmente se basa en la proporción de votantes inscritos en la lista maorí. Esto permite garantizar que la población de los distritos electorales maoríes y los distritos electorales generales sea aproximadamente la misma. De los cuatro que había en el sistema anterior, los escaños maoríes han aumentado a siete en el actual Parlamento.</w:t>
      </w:r>
    </w:p>
    <w:p w:rsidR="00F236D5" w:rsidRPr="00B816F6" w:rsidRDefault="00F236D5" w:rsidP="00F236D5">
      <w:pPr>
        <w:pStyle w:val="H23G"/>
      </w:pPr>
      <w:r w:rsidRPr="00B816F6">
        <w:tab/>
        <w:t>3.</w:t>
      </w:r>
      <w:r w:rsidRPr="00B816F6">
        <w:tab/>
        <w:t>La Comisión de Representantes</w:t>
      </w:r>
    </w:p>
    <w:p w:rsidR="00F236D5" w:rsidRPr="00B816F6" w:rsidRDefault="00F236D5" w:rsidP="00F236D5">
      <w:pPr>
        <w:pStyle w:val="SingleTxtG"/>
      </w:pPr>
      <w:r w:rsidRPr="00B816F6">
        <w:t>160.</w:t>
      </w:r>
      <w:r w:rsidRPr="00B816F6">
        <w:tab/>
        <w:t>La Comisión de Representantes es un órgano independiente creado por ley. Este órgano determina los límites de los distritos electorales generales y maoríes después de cada censo quinquenal y cada opción electoral maorí. Los distritos electorales se delimitan con arreglo a los criterios establecidos por la ley. Los límites se actualizaron por última vez en abril de 2002 y se revisaron en 2007.</w:t>
      </w:r>
    </w:p>
    <w:p w:rsidR="00F236D5" w:rsidRPr="00B816F6" w:rsidRDefault="00F236D5" w:rsidP="00F236D5">
      <w:pPr>
        <w:pStyle w:val="SingleTxtG"/>
      </w:pPr>
      <w:r w:rsidRPr="00B816F6">
        <w:t>161.</w:t>
      </w:r>
      <w:r w:rsidRPr="00B816F6">
        <w:tab/>
        <w:t>La Comisión está compuesta por cuatro miembros ex oficio (el Jefe de la Oficina de Estadísticas del Gobierno, el Inspector General de Gobierno, la máxima autoridad electoral y el Presidente de la Comisión de Gobiernos Locales). El Gobernador General nombra a otros dos miembros, uno que representa a los partidos políticos oficialistas y otro que representa a los de la oposición. El séptimo miembro y presidente es normalmente un juez del tribunal de distrito, propuesto por los otros miembros y designado por el Gobernador General. Otros tres miembros se incorporan a la Comisión para delimitar los distritos electorales maoríes. Estos son: el Jefe Ejecutivo de Te Puni Kōkiri (Ministerio de Desarrollo Maorí); un maorí nombrado por el Gobernador General que representa a los partidos oficialistas y otro maorí que representa a los partidos de la oposición.</w:t>
      </w:r>
    </w:p>
    <w:p w:rsidR="00F236D5" w:rsidRPr="00B816F6" w:rsidRDefault="00F236D5" w:rsidP="00F236D5">
      <w:pPr>
        <w:pStyle w:val="H23G"/>
      </w:pPr>
      <w:r w:rsidRPr="00B816F6">
        <w:tab/>
        <w:t>4.</w:t>
      </w:r>
      <w:r w:rsidRPr="00B816F6">
        <w:tab/>
        <w:t>Acuerdos concertados en el marco del Tratado de Waitangi</w:t>
      </w:r>
    </w:p>
    <w:p w:rsidR="00F236D5" w:rsidRPr="00B816F6" w:rsidRDefault="00F236D5" w:rsidP="00F236D5">
      <w:pPr>
        <w:pStyle w:val="SingleTxtG"/>
      </w:pPr>
      <w:r w:rsidRPr="00B816F6">
        <w:t>162.</w:t>
      </w:r>
      <w:r w:rsidRPr="00B816F6">
        <w:tab/>
        <w:t xml:space="preserve">El Tribunal de Waitangi es una comisión investigativa permanente establecida con arreglo a la Ley sobre el Tratado de Waitangi de 1975 a fin de investigar las reclamaciones de los maoríes en relación con infracciones de los acuerdos concertados en el marco del Tratado de Waitangi por parte de la Corona. Los miembros del Tribunal son designados por el Gobernador General atendiendo a la recomendación del Ministro de Asuntos Maoríes y seleccionados por su pericia respecto de las cuestiones que suele conocer el Tribunal. Desde 1985, el Tribunal ha </w:t>
      </w:r>
    </w:p>
    <w:p w:rsidR="00F236D5" w:rsidRPr="00AB1EE0" w:rsidRDefault="00F236D5" w:rsidP="00F236D5">
      <w:pPr>
        <w:pStyle w:val="SingleTxtG"/>
      </w:pPr>
      <w:r w:rsidRPr="00AB1EE0">
        <w:t>venido examinando actuaciones y omisiones de la Corona que se remontan hasta 1840. Ello ha proporcionado a los maoríes un importante instrumento para la investigación de sus reclamaciones contra la actuación de gobiernos anteriores.</w:t>
      </w:r>
    </w:p>
    <w:p w:rsidR="00F236D5" w:rsidRPr="00AB1EE0" w:rsidRDefault="00F236D5" w:rsidP="00F236D5">
      <w:pPr>
        <w:pStyle w:val="SingleTxtG"/>
      </w:pPr>
      <w:r w:rsidRPr="00AB1EE0">
        <w:t>163.</w:t>
      </w:r>
      <w:r w:rsidRPr="00AB1EE0">
        <w:tab/>
        <w:t>El Tribunal de Waitangi depende del Ministerio de Justicia por conducto del Departamento de Asuntos del Tribunal de Waitangi, que presta servicios administrativos, así como de investigación y apoyo. El presidente y el presidente adjunto del Tribunal tienen su oficina en Wellington, muy cerca de la sede de dicho Departamento, en el distrito central de negocios de esa ciudad.</w:t>
      </w:r>
    </w:p>
    <w:p w:rsidR="00F236D5" w:rsidRPr="00AB1EE0" w:rsidRDefault="00F236D5" w:rsidP="00F236D5">
      <w:pPr>
        <w:pStyle w:val="SingleTxtG"/>
        <w:keepLines/>
      </w:pPr>
      <w:r w:rsidRPr="00AB1EE0">
        <w:t>164.</w:t>
      </w:r>
      <w:r w:rsidRPr="00AB1EE0">
        <w:tab/>
        <w:t>Entre las funciones del Tribunal, estipuladas en el Tratado de Waitangi, se incluye la de investigar toda reclamación debidamente presentada al Tribunal y hacer recomendaciones pertinentes, así como examinar y presentar los proyectos de ley que remitan al Tribunal la Cámara de Representantes o los ministros de la Corona. Además, formula recomendaciones o decisiones con respecto a ciertas tierras forestales de la Corona y otras tierras de empresas de ferrocarriles u otras empresas de propiedad estatal, así como tierras concedidas a instituciones educativas.</w:t>
      </w:r>
    </w:p>
    <w:p w:rsidR="00F236D5" w:rsidRPr="00AB1EE0" w:rsidRDefault="00F236D5" w:rsidP="00F236D5">
      <w:pPr>
        <w:pStyle w:val="SingleTxtG"/>
      </w:pPr>
      <w:r w:rsidRPr="00AB1EE0">
        <w:t>165.</w:t>
      </w:r>
      <w:r w:rsidRPr="00AB1EE0">
        <w:tab/>
        <w:t>El Tribunal ha recibido más de 2.200 reclamaciones desde 1975. Se han recibido asimismo cerca de 1.200 reclamaciones cursadas en su mayor parte antes del plazo del 1º de septiembre de 2008 para la presentación de reclamaciones históricas, si bien la información necesaria para inscribir estas reclamaciones aún está pendiente de recepción.</w:t>
      </w:r>
    </w:p>
    <w:p w:rsidR="00F236D5" w:rsidRPr="00AB1EE0" w:rsidRDefault="00F236D5" w:rsidP="00F236D5">
      <w:pPr>
        <w:pStyle w:val="SingleTxtG"/>
      </w:pPr>
      <w:r w:rsidRPr="00AB1EE0">
        <w:t>166.</w:t>
      </w:r>
      <w:r w:rsidRPr="00AB1EE0">
        <w:tab/>
        <w:t>En 2007 se incrementó la financiación asignada al Tribunal de Waitangi, cuyos gastos de funcionamiento actuales ascienden a un total de 7,6 millones de dólares anuales.</w:t>
      </w:r>
    </w:p>
    <w:p w:rsidR="00F236D5" w:rsidRPr="00AB1EE0" w:rsidRDefault="00F236D5" w:rsidP="00F236D5">
      <w:pPr>
        <w:pStyle w:val="SingleTxtG"/>
      </w:pPr>
      <w:r w:rsidRPr="00AB1EE0">
        <w:t>167.</w:t>
      </w:r>
      <w:r w:rsidRPr="00AB1EE0">
        <w:tab/>
        <w:t>Cuando el Gobierno decide negociar una reclamación (a menudo sobre la base de un informe del Tribunal de Waitangi al respecto), la Oficina de Solución de Reclamaciones entabla negociaciones con los demandantes. Una solución concertada con arreglo al Tratado conllevaría normalmente la presentación de disculpas por parte del Gobierno, una reparación cultural (por ejemplo, la cesión de sitios de importancia cultural) y una reparación financiera (que puede consistir en una combinación de tierras e indemnización monetaria). Por lo general se requiere la promulgación de legislación a fin de dar efecto pleno a esas soluciones negociadas.</w:t>
      </w:r>
    </w:p>
    <w:p w:rsidR="00F236D5" w:rsidRPr="00AB1EE0" w:rsidRDefault="00F236D5" w:rsidP="00F236D5">
      <w:pPr>
        <w:pStyle w:val="SingleTxtG"/>
      </w:pPr>
      <w:r w:rsidRPr="00AB1EE0">
        <w:t>168.</w:t>
      </w:r>
      <w:r w:rsidRPr="00AB1EE0">
        <w:tab/>
        <w:t xml:space="preserve">El Gobierno y las tribus maoríes </w:t>
      </w:r>
      <w:r w:rsidRPr="002E2C1F">
        <w:rPr>
          <w:i/>
        </w:rPr>
        <w:t>(</w:t>
      </w:r>
      <w:r w:rsidRPr="00AB1EE0">
        <w:rPr>
          <w:i/>
        </w:rPr>
        <w:t>iwi</w:t>
      </w:r>
      <w:r w:rsidRPr="002E2C1F">
        <w:rPr>
          <w:i/>
        </w:rPr>
        <w:t>)</w:t>
      </w:r>
      <w:r w:rsidRPr="00AB1EE0">
        <w:t xml:space="preserve"> siguen dando pasos importantes en la negociación de acuerdos con miras a resolver las reclamaciones. Al 30 de junio de 2009 se habían comprometido 1.057 millones de dólares para la negociación de acuerdos completos y definitivos y de varios acuerdos parciales, incluidos 22,066 millones de dólares por concepto de financiación para los demandantes, aparte del monto de reparación negociado en el marco de cada acuerdo. De este modo, el proceso de negociación de acuerdos constituye una forma de ayudar a restablecer una base económica para el futuro desarrollo maorí. El Gobierno reconoce que si bien este proceso de solución negociada sobre la base del Tratado es importante, no debe considerarse como fin o mecanismo principal para estimular las relaciones entre las partes en el marco del Tratado.</w:t>
      </w:r>
    </w:p>
    <w:p w:rsidR="00F236D5" w:rsidRPr="00AB1EE0" w:rsidRDefault="00F236D5" w:rsidP="00F236D5">
      <w:pPr>
        <w:pStyle w:val="H23G"/>
      </w:pPr>
      <w:r>
        <w:tab/>
      </w:r>
      <w:r w:rsidRPr="00AB1EE0">
        <w:t>5.</w:t>
      </w:r>
      <w:r w:rsidRPr="00AB1EE0">
        <w:tab/>
        <w:t>Organizaciones no gubernamentales (ONG)</w:t>
      </w:r>
    </w:p>
    <w:p w:rsidR="00F236D5" w:rsidRPr="00AB1EE0" w:rsidRDefault="00F236D5" w:rsidP="00F236D5">
      <w:pPr>
        <w:pStyle w:val="SingleTxtG"/>
      </w:pPr>
      <w:r w:rsidRPr="00AB1EE0">
        <w:t>169.</w:t>
      </w:r>
      <w:r w:rsidRPr="00AB1EE0">
        <w:tab/>
        <w:t>Según un estudio realizado por la Oficina de Estadísticas de Nueva Zelandia publicado en 2007 y basado en datos de 2004, existen más de 97.000 instituciones sin fines de lucro en Nueva Zelandia. Este sector abarca desde organizaciones que prestan servicios hasta las que ofrecen a los ciudadanos la oportunidad de expresar sus intereses y valores en sentido amplio (por ejemplo, en los ámbitos deportivo, artístico, confesional y de protección medioambiental).</w:t>
      </w:r>
    </w:p>
    <w:p w:rsidR="00F236D5" w:rsidRPr="00AB1EE0" w:rsidRDefault="00F236D5" w:rsidP="00F236D5">
      <w:pPr>
        <w:pStyle w:val="SingleTxtG"/>
      </w:pPr>
      <w:r w:rsidRPr="00AB1EE0">
        <w:t>170.</w:t>
      </w:r>
      <w:r w:rsidRPr="00AB1EE0">
        <w:tab/>
        <w:t>La Comisión de Organizaciones de Beneficencia inscribe y supervisa las organizaciones de beneficencia de conformidad con la Ley de organizaciones de beneficencia de 2005. La inscripción es voluntaria y gratuita, pero constituye un requisito para gozar de exención fiscal. La exención fiscal significa que las organizaciones de beneficencia están exentas del pago del impuesto sobre la renta (incluida la retención de impuestos a residentes) y que los donantes de las organizaciones de beneficencia registradas están exentos del impuesto sobre las donaciones.</w:t>
      </w:r>
    </w:p>
    <w:p w:rsidR="00F236D5" w:rsidRPr="00AB1EE0" w:rsidRDefault="00F236D5" w:rsidP="00F236D5">
      <w:pPr>
        <w:pStyle w:val="SingleTxtG"/>
      </w:pPr>
      <w:r w:rsidRPr="00AB1EE0">
        <w:t>171.</w:t>
      </w:r>
      <w:r w:rsidRPr="00AB1EE0">
        <w:tab/>
        <w:t>En septiembre de 2003 se creó la Oficina para el Sector Comunitario y Voluntario con miras a apoyar a este sector. La Oficina, ubicada en el Ministerio de Desarrollo Social y directamente dependiente del Ministro del Sector Comunitario y Voluntario, presta apoyo a los organismos gubernamentales para que refuercen sus vínculos con las organizaciones comunitarias y voluntarias. La Oficina también sirve de centro de coordinación de los asuntos interinstitucionales que afectan al sector en sus relaciones con el Gobierno. Además, se encarga de potenciar el perfil del sector entre las autoridades públicas.</w:t>
      </w:r>
    </w:p>
    <w:p w:rsidR="00F236D5" w:rsidRPr="00AB1EE0" w:rsidRDefault="00F236D5" w:rsidP="00F236D5">
      <w:pPr>
        <w:pStyle w:val="HChG"/>
      </w:pPr>
      <w:r>
        <w:tab/>
      </w:r>
      <w:r w:rsidRPr="00AB1EE0">
        <w:t>II.</w:t>
      </w:r>
      <w:r w:rsidRPr="00AB1EE0">
        <w:tab/>
        <w:t>Marco general para la promoción y protección de los derechos humanos</w:t>
      </w:r>
    </w:p>
    <w:p w:rsidR="00F236D5" w:rsidRPr="00AB1EE0" w:rsidRDefault="00F236D5" w:rsidP="00F236D5">
      <w:pPr>
        <w:pStyle w:val="H1G"/>
      </w:pPr>
      <w:r>
        <w:tab/>
      </w:r>
      <w:r w:rsidRPr="00AB1EE0">
        <w:t>A.</w:t>
      </w:r>
      <w:r w:rsidRPr="00AB1EE0">
        <w:tab/>
        <w:t>Instrumentos internacionales de derechos humanos aceptados</w:t>
      </w:r>
      <w:r w:rsidR="009E38EA">
        <w:br/>
      </w:r>
      <w:r w:rsidRPr="00AB1EE0">
        <w:t>por Nueva Zelandia</w:t>
      </w:r>
    </w:p>
    <w:p w:rsidR="00F236D5" w:rsidRPr="00AB1EE0" w:rsidRDefault="00F236D5" w:rsidP="00F236D5">
      <w:pPr>
        <w:pStyle w:val="SingleTxtG"/>
      </w:pPr>
      <w:r w:rsidRPr="00AB1EE0">
        <w:t>172.</w:t>
      </w:r>
      <w:r w:rsidRPr="00AB1EE0">
        <w:tab/>
        <w:t>Como se observa en el anexo del presente informe, Nueva Zelandia es parte en los principales tratados y protocolos internacionales de derechos humanos. No hay instrumentos regionales de derechos humanos a los que Nueva Zelandia pueda adherirse.</w:t>
      </w:r>
    </w:p>
    <w:p w:rsidR="00F236D5" w:rsidRPr="00AB1EE0" w:rsidRDefault="00F236D5" w:rsidP="00F236D5">
      <w:pPr>
        <w:pStyle w:val="H1G"/>
        <w:rPr>
          <w:lang w:val="es-ES_tradnl"/>
        </w:rPr>
      </w:pPr>
      <w:r>
        <w:rPr>
          <w:lang w:val="es-ES_tradnl"/>
        </w:rPr>
        <w:tab/>
      </w:r>
      <w:r w:rsidRPr="00AB1EE0">
        <w:rPr>
          <w:lang w:val="es-ES_tradnl"/>
        </w:rPr>
        <w:t>B.</w:t>
      </w:r>
      <w:r>
        <w:rPr>
          <w:lang w:val="es-ES_tradnl"/>
        </w:rPr>
        <w:tab/>
      </w:r>
      <w:r w:rsidRPr="00AB1EE0">
        <w:rPr>
          <w:lang w:val="es-ES_tradnl"/>
        </w:rPr>
        <w:t xml:space="preserve">Marco jurídico general para la protección de los </w:t>
      </w:r>
      <w:r>
        <w:rPr>
          <w:lang w:val="es-ES_tradnl"/>
        </w:rPr>
        <w:br/>
      </w:r>
      <w:r w:rsidRPr="00AB1EE0">
        <w:rPr>
          <w:lang w:val="es-ES_tradnl"/>
        </w:rPr>
        <w:t>derechos humanos en el plano nacional</w:t>
      </w:r>
    </w:p>
    <w:p w:rsidR="00F236D5" w:rsidRPr="00AB1EE0" w:rsidRDefault="00F236D5" w:rsidP="00F236D5">
      <w:pPr>
        <w:pStyle w:val="H23G"/>
      </w:pPr>
      <w:r>
        <w:tab/>
      </w:r>
      <w:r w:rsidRPr="00AB1EE0">
        <w:t>1.</w:t>
      </w:r>
      <w:r w:rsidRPr="00AB1EE0">
        <w:tab/>
        <w:t xml:space="preserve">Cómo se incorporan los instrumentos de derechos humanos al ordenamiento </w:t>
      </w:r>
      <w:r>
        <w:br/>
      </w:r>
      <w:r w:rsidRPr="00AB1EE0">
        <w:t>jurídico interno</w:t>
      </w:r>
    </w:p>
    <w:p w:rsidR="00F236D5" w:rsidRPr="00AB1EE0" w:rsidRDefault="00F236D5" w:rsidP="00F236D5">
      <w:pPr>
        <w:pStyle w:val="SingleTxtG"/>
      </w:pPr>
      <w:r w:rsidRPr="00AB1EE0">
        <w:t>173.</w:t>
      </w:r>
      <w:r w:rsidRPr="00AB1EE0">
        <w:tab/>
        <w:t>Para que un acuerdo internacional surta efecto en el ámbito nacional, sus disposiciones</w:t>
      </w:r>
      <w:r>
        <w:t xml:space="preserve"> </w:t>
      </w:r>
      <w:r w:rsidRPr="00AB1EE0">
        <w:t>han de estar ya reflejadas en el derecho neozelandés o, de no ser así, el Parlamento debe promulgar nuevas leyes.</w:t>
      </w:r>
      <w:r>
        <w:t xml:space="preserve"> </w:t>
      </w:r>
      <w:r w:rsidRPr="00AB1EE0">
        <w:t>Antes de adherirse a un nuevo instrumento internacional de derechos humanos, el Gobierno examina el derecho interno, las políticas y las</w:t>
      </w:r>
      <w:r>
        <w:t xml:space="preserve"> </w:t>
      </w:r>
      <w:r w:rsidRPr="00AB1EE0">
        <w:t>prácticas del país para decidir qué otra legislación o enmiendas a la ya existente serían necesarias a fin de dar pleno cumplimiento al acuerdo. Las obligaciones de derechos humanos contraídas por Nueva Zelandia en el plano internacional también influyen en la jurisprudencia de los tribunales a la hora de interpretar las disposiciones de la legislación nacional.</w:t>
      </w:r>
    </w:p>
    <w:p w:rsidR="00F236D5" w:rsidRPr="00AB1EE0" w:rsidRDefault="00F236D5" w:rsidP="00F236D5">
      <w:pPr>
        <w:pStyle w:val="H23G"/>
      </w:pPr>
      <w:r>
        <w:tab/>
      </w:r>
      <w:r w:rsidRPr="00AB1EE0">
        <w:t>2.</w:t>
      </w:r>
      <w:r w:rsidRPr="00AB1EE0">
        <w:tab/>
        <w:t xml:space="preserve">Función y actividades del Parlamento en materia de promoción y protección </w:t>
      </w:r>
      <w:r>
        <w:br/>
      </w:r>
      <w:r w:rsidRPr="00AB1EE0">
        <w:t>de los derechos humanos</w:t>
      </w:r>
    </w:p>
    <w:p w:rsidR="00F236D5" w:rsidRPr="00AB1EE0" w:rsidRDefault="00F236D5" w:rsidP="00F236D5">
      <w:pPr>
        <w:pStyle w:val="SingleTxtG"/>
        <w:rPr>
          <w:b/>
          <w:bCs/>
        </w:rPr>
      </w:pPr>
      <w:r w:rsidRPr="00AB1EE0">
        <w:t>174.</w:t>
      </w:r>
      <w:r w:rsidRPr="00AB1EE0">
        <w:tab/>
        <w:t>La función del Parlamento no es s</w:t>
      </w:r>
      <w:r>
        <w:t>o</w:t>
      </w:r>
      <w:r w:rsidRPr="00AB1EE0">
        <w:t>lo legislar sino también</w:t>
      </w:r>
      <w:r>
        <w:t xml:space="preserve"> </w:t>
      </w:r>
      <w:r w:rsidRPr="00AB1EE0">
        <w:t>analizar la legislación y velar por la actuación responsable del Gobierno. Esto se logra mediante procedimientos normalizados de formulación de preguntas al Gobierno por los parlamentarios (tanto por escrito como oralmente) y mediante los debates en el Parlamento. Además, los integrantes del público tienen la oportunidad de presentar por escrito a las comisiones parlamentarias un resumen de sus preocupaciones o sugerencias sobre los proyectos de ley.</w:t>
      </w:r>
    </w:p>
    <w:p w:rsidR="00F236D5" w:rsidRPr="00AB1EE0" w:rsidRDefault="00F236D5" w:rsidP="00F236D5">
      <w:pPr>
        <w:pStyle w:val="SingleTxtG"/>
      </w:pPr>
      <w:r w:rsidRPr="00AB1EE0">
        <w:t>175.</w:t>
      </w:r>
      <w:r w:rsidRPr="00AB1EE0">
        <w:tab/>
        <w:t xml:space="preserve"> Las leyes fundamentales y las autoridades competentes en esta materia se describen en los párrafos que figuran a continuación.</w:t>
      </w:r>
    </w:p>
    <w:p w:rsidR="00F236D5" w:rsidRPr="00AB1EE0" w:rsidRDefault="00F236D5" w:rsidP="00F236D5">
      <w:pPr>
        <w:pStyle w:val="H4G"/>
      </w:pPr>
      <w:r>
        <w:tab/>
      </w:r>
      <w:r w:rsidRPr="00AB1EE0">
        <w:t>a)</w:t>
      </w:r>
      <w:r w:rsidRPr="00AB1EE0">
        <w:tab/>
        <w:t xml:space="preserve"> La Carta de Derechos de Nueva</w:t>
      </w:r>
      <w:r>
        <w:t xml:space="preserve"> </w:t>
      </w:r>
      <w:r w:rsidRPr="00AB1EE0">
        <w:t>Zelandia de 1990</w:t>
      </w:r>
    </w:p>
    <w:p w:rsidR="00F236D5" w:rsidRPr="00AB1EE0" w:rsidRDefault="00F236D5" w:rsidP="00F236D5">
      <w:pPr>
        <w:pStyle w:val="SingleTxtG"/>
      </w:pPr>
      <w:r w:rsidRPr="00AB1EE0">
        <w:rPr>
          <w:bCs/>
        </w:rPr>
        <w:t>176.</w:t>
      </w:r>
      <w:r w:rsidRPr="00AB1EE0">
        <w:rPr>
          <w:bCs/>
        </w:rPr>
        <w:tab/>
      </w:r>
      <w:r w:rsidRPr="00AB1EE0">
        <w:t xml:space="preserve">Esta </w:t>
      </w:r>
      <w:r w:rsidR="009E38EA">
        <w:t>l</w:t>
      </w:r>
      <w:r w:rsidRPr="00AB1EE0">
        <w:t>ey se promulgó con el fin de consagrar, proteger y promover los derechos humanos y las libertades fundamentales en Nueva</w:t>
      </w:r>
      <w:r>
        <w:t xml:space="preserve"> </w:t>
      </w:r>
      <w:r w:rsidRPr="00AB1EE0">
        <w:t>Zelandia y de reafirmar la adhesión del país al Pacto Internacional de Derechos Civiles y Políticos.</w:t>
      </w:r>
      <w:r>
        <w:t xml:space="preserve"> </w:t>
      </w:r>
      <w:r w:rsidRPr="00AB1EE0">
        <w:t>Se aplica a los actos de los poderes legislativo, ejecutivo o judicial del Gobierno de Nueva</w:t>
      </w:r>
      <w:r>
        <w:t xml:space="preserve"> </w:t>
      </w:r>
      <w:r w:rsidRPr="00AB1EE0">
        <w:t>Zelandia o de cualquier persona u órgano en el desempeño de funciones o facultades públicas, o en el cumplimiento de deberes que les hayan sido conferidos o impuestos a tenor de la ley.</w:t>
      </w:r>
    </w:p>
    <w:p w:rsidR="00F236D5" w:rsidRPr="00AB1EE0" w:rsidRDefault="00F236D5" w:rsidP="00F236D5">
      <w:pPr>
        <w:pStyle w:val="SingleTxtG"/>
      </w:pPr>
      <w:r w:rsidRPr="00AB1EE0">
        <w:t>177.</w:t>
      </w:r>
      <w:r w:rsidRPr="00AB1EE0">
        <w:tab/>
        <w:t>El Fiscal General debe señalar al Parlamento toda disposición de un proyecto de ley que pueda ser incompatible con alguno de los derechos o libertades contenidos en la Carta, ya sea en el momento de su presentación si se trata de un proyecto de ley del Gobierno, o lo antes posible tras la presentación de cualquier otro proyecto de ley. El Comité de Revisión de Normas está facultado para señalar al Parlamento toda norma que vulnere dichos derechos o libertades. El Tribunal de Apelación ha sostenido que se puede entablar una acción por daños y perjuicios contra la Corona por violación de los derechos y libertades amparados en la Carta</w:t>
      </w:r>
      <w:r w:rsidRPr="00AE2297">
        <w:rPr>
          <w:sz w:val="18"/>
          <w:szCs w:val="18"/>
          <w:vertAlign w:val="superscript"/>
        </w:rPr>
        <w:footnoteReference w:id="11"/>
      </w:r>
      <w:r w:rsidRPr="00AB1EE0">
        <w:t>.</w:t>
      </w:r>
    </w:p>
    <w:p w:rsidR="00F236D5" w:rsidRPr="00AB1EE0" w:rsidRDefault="00F236D5" w:rsidP="00F236D5">
      <w:pPr>
        <w:pStyle w:val="SingleTxtG"/>
      </w:pPr>
      <w:r w:rsidRPr="00AB1EE0">
        <w:t>178.</w:t>
      </w:r>
      <w:r w:rsidRPr="00AB1EE0">
        <w:tab/>
        <w:t>El Gabinete exige que todo documento de asesoramiento sobre cuestiones de política contenga una declaración de sus consecuencias para los derechos humanos en que se evalúe la compatibilidad con la Carta de Derechos de Nueva</w:t>
      </w:r>
      <w:r>
        <w:t xml:space="preserve"> </w:t>
      </w:r>
      <w:r w:rsidRPr="00AB1EE0">
        <w:t>Zelandia y con la Ley de derechos humanos</w:t>
      </w:r>
      <w:r>
        <w:t xml:space="preserve"> </w:t>
      </w:r>
      <w:r w:rsidRPr="00AB1EE0">
        <w:t>(descrita más adelante). El Gabinete también exige que el asesoramiento en materia de políticas incluya una exposición sobre</w:t>
      </w:r>
      <w:r>
        <w:t xml:space="preserve"> las posibles consecuencias de e</w:t>
      </w:r>
      <w:r w:rsidRPr="00AB1EE0">
        <w:t>stas en relación con el género y con las perspectivas de las personas con discapacidad, cuando proceda. El Ministerio de Justicia es el principal encargado de asesorar al Gobierno sobre las cuestiones de política relacionadas con los derechos humanos.</w:t>
      </w:r>
      <w:r>
        <w:t xml:space="preserve"> </w:t>
      </w:r>
      <w:r w:rsidRPr="00AB1EE0">
        <w:t>También es responsable de evaluar la compatibilidad de todo nuevo proyecto de ley con la Carta de Derechos de Nueva</w:t>
      </w:r>
      <w:r>
        <w:t xml:space="preserve"> </w:t>
      </w:r>
      <w:r w:rsidRPr="00AB1EE0">
        <w:t>Zelandia, así como de ofrecer asesoramiento jurídico al Fiscal General respecto de sus determinaciones. El Ministerio emitió recientemente las Directrices sobre la Carta de Derechos de Nueva</w:t>
      </w:r>
      <w:r>
        <w:t xml:space="preserve"> </w:t>
      </w:r>
      <w:r w:rsidRPr="00AB1EE0">
        <w:t>Zelandia de 1990 con el fin de ayudar a todos los funcionarios públicos a integrar las consideraciones de derechos humanos en el asesoramiento sobre políticas y en la práctica de sus actividades.</w:t>
      </w:r>
    </w:p>
    <w:p w:rsidR="00F236D5" w:rsidRPr="00AB1EE0" w:rsidRDefault="00F236D5" w:rsidP="00F236D5">
      <w:pPr>
        <w:pStyle w:val="H4G"/>
      </w:pPr>
      <w:r>
        <w:tab/>
      </w:r>
      <w:r w:rsidRPr="00AB1EE0">
        <w:t>b)</w:t>
      </w:r>
      <w:r w:rsidRPr="00AB1EE0">
        <w:tab/>
        <w:t>Ley de derechos humanos de 1993</w:t>
      </w:r>
    </w:p>
    <w:p w:rsidR="00F236D5" w:rsidRPr="00AB1EE0" w:rsidRDefault="00F236D5" w:rsidP="00F236D5">
      <w:pPr>
        <w:pStyle w:val="SingleTxtG"/>
      </w:pPr>
      <w:r>
        <w:t>179.</w:t>
      </w:r>
      <w:r>
        <w:tab/>
        <w:t>Esta l</w:t>
      </w:r>
      <w:r w:rsidRPr="00AB1EE0">
        <w:t>ey prohíbe la discriminación en Nueva Zelandia y enumera las 13 causas de discriminación sobre las que recae la prohibición: el sexo, el estado civil, las creencias religiosas, los valores éticos, el color, la raza, el origen nacional o étnico, la discapacidad (incluidas las enfermedades), la edad, la opinión política, el empleo, la situación familiar y la orientación sexual. Las disposicio</w:t>
      </w:r>
      <w:r>
        <w:t>nes antidiscriminatorias de la l</w:t>
      </w:r>
      <w:r w:rsidRPr="00AB1EE0">
        <w:t>ey en lo tocante a la edad se refieren a las personas a partir de los</w:t>
      </w:r>
      <w:r>
        <w:t xml:space="preserve"> 16 años de edad. En la parte 1A de la l</w:t>
      </w:r>
      <w:r w:rsidRPr="00AB1EE0">
        <w:t>ey se enuncia el principio de no discriminación (conforme al artículo 19 1) de la Carta de Derechos de Nueva Zelandia) aplicable al sector público. En la segunda parte se enuncia el principio de no discriminación aplicable tanto en el sector privado como en el público en relación con el empleo, el acoso sexual, la discordia racial, el hostigamiento racial y la victimización.</w:t>
      </w:r>
      <w:r>
        <w:t xml:space="preserve"> </w:t>
      </w:r>
      <w:r w:rsidRPr="00AB1EE0">
        <w:t>La ley contiene asimismo disposiciones sobre las excepciones relativas a la prohibición de la discriminación y enumera las situaciones en que se aplica la prohibición.</w:t>
      </w:r>
    </w:p>
    <w:p w:rsidR="00F236D5" w:rsidRPr="00AB1EE0" w:rsidRDefault="00F236D5" w:rsidP="00F236D5">
      <w:pPr>
        <w:pStyle w:val="SingleTxtG"/>
      </w:pPr>
      <w:r w:rsidRPr="00AB1EE0">
        <w:t>180.</w:t>
      </w:r>
      <w:r w:rsidRPr="00AB1EE0">
        <w:tab/>
        <w:t>La Ley de derechos humanos también estipula la estructura y el mandato de la Comisión de Derechos Humanos de Nueva Zelandia (descrita más adelante en el presente informe), incluida la designación, con dedicación a jornada completa, de un Comisionado Jefe de Derechos Humanos, un Comisionado de Relaciones Interraciales y un Comisionado de Igualdad de Oportunidades en el Empleo, así como de hasta cinco comisionados a jornada parcial.</w:t>
      </w:r>
      <w:r>
        <w:t xml:space="preserve"> En virtud de esta l</w:t>
      </w:r>
      <w:r w:rsidRPr="00AB1EE0">
        <w:t>ey se estableció una oficina independiente, la Oficina de Actuaciones sobre Derechos Humanos, y un procedimiento para la solución de controversias sobre el cumplimiento de las disposic</w:t>
      </w:r>
      <w:r>
        <w:t>iones previstas en las partes 1A y 2 de la l</w:t>
      </w:r>
      <w:r w:rsidRPr="00AB1EE0">
        <w:t xml:space="preserve">ey, incluidos los recursos disponibles. En la </w:t>
      </w:r>
      <w:r w:rsidR="00F871AE">
        <w:t>l</w:t>
      </w:r>
      <w:r w:rsidRPr="00AB1EE0">
        <w:t>ey se definen además la constitución, las funciones, las facultades y los procedimientos del Tribunal de Examen de los Derechos Humanos, así como las atribuciones de la Comisión de Derechos Humanos de Nueva</w:t>
      </w:r>
      <w:r>
        <w:t> </w:t>
      </w:r>
      <w:r w:rsidRPr="00AB1EE0">
        <w:t>Zelandia en relación con las investigaciones y con el delito de incitación a la discordia racial.</w:t>
      </w:r>
    </w:p>
    <w:p w:rsidR="00F236D5" w:rsidRPr="00AB1EE0" w:rsidRDefault="00F236D5" w:rsidP="00F236D5">
      <w:pPr>
        <w:pStyle w:val="H4G"/>
      </w:pPr>
      <w:r>
        <w:tab/>
      </w:r>
      <w:r w:rsidRPr="00AB1EE0">
        <w:t>c)</w:t>
      </w:r>
      <w:r>
        <w:tab/>
      </w:r>
      <w:r w:rsidRPr="00AB1EE0">
        <w:t xml:space="preserve">Ley de institución de </w:t>
      </w:r>
      <w:r w:rsidRPr="00700C1E">
        <w:rPr>
          <w:i w:val="0"/>
          <w:iCs/>
        </w:rPr>
        <w:t>Ombudsmen</w:t>
      </w:r>
      <w:r w:rsidRPr="00AB1EE0">
        <w:t xml:space="preserve"> de 1975</w:t>
      </w:r>
    </w:p>
    <w:p w:rsidR="00F236D5" w:rsidRPr="00AB1EE0" w:rsidRDefault="00F236D5" w:rsidP="00F236D5">
      <w:pPr>
        <w:pStyle w:val="SingleTxtG"/>
      </w:pPr>
      <w:r w:rsidRPr="00AB1EE0">
        <w:rPr>
          <w:bCs/>
        </w:rPr>
        <w:t>181.</w:t>
      </w:r>
      <w:r w:rsidRPr="00AB1EE0">
        <w:rPr>
          <w:bCs/>
        </w:rPr>
        <w:tab/>
      </w:r>
      <w:r w:rsidRPr="00AB1EE0">
        <w:t xml:space="preserve">Esta ley dispone el nombramiento de uno o más </w:t>
      </w:r>
      <w:r w:rsidRPr="00700C1E">
        <w:t>Ombudsmen</w:t>
      </w:r>
      <w:r w:rsidRPr="00AB1EE0">
        <w:t xml:space="preserve"> por el Gobernador General atendiendo a la recomendación de la Cámara de Representantes. Los </w:t>
      </w:r>
      <w:r w:rsidRPr="00700C1E">
        <w:t>Ombudsmen</w:t>
      </w:r>
      <w:r w:rsidRPr="00AB1EE0">
        <w:t xml:space="preserve"> pueden investigar las decisiones o recomendaciones formuladas por los ministros de la Corona, los departamentos gubernamentales u otros órganos enumerados en la ley, o</w:t>
      </w:r>
      <w:r>
        <w:t xml:space="preserve"> cualquier acción u omisión de e</w:t>
      </w:r>
      <w:r w:rsidRPr="00AB1EE0">
        <w:t xml:space="preserve">stos, que guarden relación con cuestiones administrativas que afecten a una persona o a un grupo de personas en su calidad personal. Las investigaciones se llevan a cabo a instancia de parte o por iniciativa de los propios </w:t>
      </w:r>
      <w:r w:rsidRPr="00700C1E">
        <w:rPr>
          <w:iCs/>
        </w:rPr>
        <w:t>Ombudsmen</w:t>
      </w:r>
      <w:r w:rsidRPr="00AB1EE0">
        <w:t xml:space="preserve">. Los </w:t>
      </w:r>
      <w:r w:rsidRPr="00700C1E">
        <w:rPr>
          <w:iCs/>
        </w:rPr>
        <w:t>Ombudsmen</w:t>
      </w:r>
      <w:r w:rsidRPr="00AB1EE0">
        <w:t xml:space="preserve"> pueden hacer las recomendaciones que estimen oportunas e informar de ellas al departamento u organización pertinente.</w:t>
      </w:r>
      <w:r>
        <w:t xml:space="preserve"> </w:t>
      </w:r>
      <w:r w:rsidRPr="00AB1EE0">
        <w:t>Si no se adoptan las medidas solicitadas en un plazo razonable, el informe puede remitirse al Primer Ministro y comunicarse al Parlamento.</w:t>
      </w:r>
      <w:r>
        <w:t xml:space="preserve"> </w:t>
      </w:r>
      <w:r w:rsidRPr="00AB1EE0">
        <w:t xml:space="preserve">Además, la </w:t>
      </w:r>
      <w:r w:rsidRPr="00AB1EE0">
        <w:rPr>
          <w:bCs/>
        </w:rPr>
        <w:t xml:space="preserve">Oficina de los </w:t>
      </w:r>
      <w:r w:rsidRPr="00700C1E">
        <w:rPr>
          <w:bCs/>
        </w:rPr>
        <w:t>Ombudsmen</w:t>
      </w:r>
      <w:r w:rsidRPr="00AB1EE0">
        <w:t xml:space="preserve"> presenta un informe anual al Parlamento.</w:t>
      </w:r>
    </w:p>
    <w:p w:rsidR="00F236D5" w:rsidRPr="00AB1EE0" w:rsidRDefault="00F236D5" w:rsidP="00F236D5">
      <w:pPr>
        <w:pStyle w:val="SingleTxtG"/>
      </w:pPr>
      <w:r w:rsidRPr="00AB1EE0">
        <w:t>182.</w:t>
      </w:r>
      <w:r w:rsidRPr="00AB1EE0">
        <w:tab/>
        <w:t>Cada vez que se crean nuevos órganos en virtud de una disposición legal, s</w:t>
      </w:r>
      <w:r>
        <w:t>e considera si es oportuno que e</w:t>
      </w:r>
      <w:r w:rsidRPr="00AB1EE0">
        <w:t xml:space="preserve">stos se enumeren en los anexos de la Ley de institución de </w:t>
      </w:r>
      <w:r w:rsidRPr="00AB1EE0">
        <w:rPr>
          <w:i/>
          <w:iCs/>
        </w:rPr>
        <w:t>Ombudsmen</w:t>
      </w:r>
      <w:r w:rsidRPr="00AB1EE0">
        <w:t xml:space="preserve"> de 1975 y de la Ley de información oficial de 1982.</w:t>
      </w:r>
    </w:p>
    <w:p w:rsidR="00F236D5" w:rsidRPr="00AB1EE0" w:rsidRDefault="00F236D5" w:rsidP="00F236D5">
      <w:pPr>
        <w:pStyle w:val="H4G"/>
      </w:pPr>
      <w:r>
        <w:tab/>
      </w:r>
      <w:r w:rsidRPr="00AB1EE0">
        <w:t>d)</w:t>
      </w:r>
      <w:r w:rsidRPr="00AB1EE0">
        <w:tab/>
        <w:t>Ley de información oficial de 1982</w:t>
      </w:r>
    </w:p>
    <w:p w:rsidR="00F236D5" w:rsidRPr="00AB1EE0" w:rsidRDefault="00F236D5" w:rsidP="00F236D5">
      <w:pPr>
        <w:pStyle w:val="SingleTxtG"/>
      </w:pPr>
      <w:r w:rsidRPr="00AB1EE0">
        <w:t>183.</w:t>
      </w:r>
      <w:r w:rsidRPr="00AB1EE0">
        <w:tab/>
        <w:t xml:space="preserve">Esta </w:t>
      </w:r>
      <w:r w:rsidR="00F871AE">
        <w:t>l</w:t>
      </w:r>
      <w:r w:rsidRPr="00AB1EE0">
        <w:t xml:space="preserve">ey tiene por objeto hacer que la información oficial sea más fácilmente accesible, protegerla en la medida que ello sea compatible con el interés público y velar por el respeto de la vida privada, estableciendo los procedimientos del caso. En su artículo 2 se define de manera amplia lo que se entiende por información oficial y en sus anexos, así como en la Ley de institución de </w:t>
      </w:r>
      <w:r w:rsidRPr="00700C1E">
        <w:rPr>
          <w:iCs/>
        </w:rPr>
        <w:t>Ombudsmen</w:t>
      </w:r>
      <w:r w:rsidRPr="00AB1EE0">
        <w:rPr>
          <w:i/>
          <w:iCs/>
        </w:rPr>
        <w:t>,</w:t>
      </w:r>
      <w:r w:rsidRPr="00AB1EE0">
        <w:rPr>
          <w:iCs/>
        </w:rPr>
        <w:t xml:space="preserve"> se enumeran</w:t>
      </w:r>
      <w:r>
        <w:t xml:space="preserve"> los órganos a los que la l</w:t>
      </w:r>
      <w:r w:rsidRPr="00AB1EE0">
        <w:t>ey es aplicable. Por regla general, los ministros, los departamentos y todos los organismos del Estado están sujetos a la Ley de información oficial de 1982.</w:t>
      </w:r>
    </w:p>
    <w:p w:rsidR="00F236D5" w:rsidRPr="00AB1EE0" w:rsidRDefault="00F236D5" w:rsidP="00F236D5">
      <w:pPr>
        <w:pStyle w:val="SingleTxtG"/>
      </w:pPr>
      <w:r w:rsidRPr="00AB1EE0">
        <w:t>184.</w:t>
      </w:r>
      <w:r w:rsidRPr="00AB1EE0">
        <w:tab/>
        <w:t>Los particulares y algunas organizaciones pueden solicitar a los órganos enumerados en los anexos de la ley que divulguen información oficial. La información oficial se hará pública a menos que existan razo</w:t>
      </w:r>
      <w:r>
        <w:t>nes fundadas (definidas por la l</w:t>
      </w:r>
      <w:r w:rsidRPr="00AB1EE0">
        <w:t xml:space="preserve">ey) para retenerla. Los </w:t>
      </w:r>
      <w:r w:rsidRPr="00700C1E">
        <w:rPr>
          <w:iCs/>
        </w:rPr>
        <w:t>Ombudsmen</w:t>
      </w:r>
      <w:r w:rsidRPr="00AB1EE0">
        <w:t xml:space="preserve"> pueden investigar y analizar toda negativa de los departamentos, ministros u organizaciones a facilitar la información oficial solicitada. A continuación informan al órgano pertinente y formulan recomendaciones si procede. Los ministros, departamentos y organizaciones tienen el deber oficial de aplicar esas recomendaciones a menos que, por decreto, el Gobernador General disponga lo contrario. El particular que haya formulado la solicitud inicial puede pedir al Tribunal Superior que revise las bases del decreto e interponer recurso ante el Tribunal de Apelación. </w:t>
      </w:r>
    </w:p>
    <w:p w:rsidR="00F236D5" w:rsidRPr="00AB1EE0" w:rsidRDefault="00F236D5" w:rsidP="00F236D5">
      <w:pPr>
        <w:pStyle w:val="SingleTxtG"/>
      </w:pPr>
      <w:r w:rsidRPr="00AB1EE0">
        <w:t>185.</w:t>
      </w:r>
      <w:r w:rsidRPr="00AB1EE0">
        <w:tab/>
      </w:r>
      <w:r>
        <w:rPr>
          <w:lang w:val="es-ES_tradnl"/>
        </w:rPr>
        <w:t>La l</w:t>
      </w:r>
      <w:r w:rsidRPr="00AB1EE0">
        <w:rPr>
          <w:lang w:val="es-ES_tradnl"/>
        </w:rPr>
        <w:t>ey de información y reuniones oficiales de la administración local de 1987 establece un régimen similar en relación con la información oficial en poder de las autoridades locales.</w:t>
      </w:r>
      <w:r>
        <w:t xml:space="preserve"> </w:t>
      </w:r>
    </w:p>
    <w:p w:rsidR="00F236D5" w:rsidRPr="00AB1EE0" w:rsidRDefault="00F236D5" w:rsidP="00F236D5">
      <w:pPr>
        <w:pStyle w:val="H4G"/>
      </w:pPr>
      <w:r>
        <w:tab/>
      </w:r>
      <w:r w:rsidRPr="00AB1EE0">
        <w:t>e)</w:t>
      </w:r>
      <w:r w:rsidRPr="00AB1EE0">
        <w:tab/>
        <w:t>Ley de protección de la vida privada de 1993</w:t>
      </w:r>
    </w:p>
    <w:p w:rsidR="00F236D5" w:rsidRPr="00AB1EE0" w:rsidRDefault="00F236D5" w:rsidP="00F236D5">
      <w:pPr>
        <w:pStyle w:val="SingleTxtG"/>
      </w:pPr>
      <w:r w:rsidRPr="00AB1EE0">
        <w:t>186.</w:t>
      </w:r>
      <w:r w:rsidRPr="00AB1EE0">
        <w:tab/>
        <w:t>Esta ley defiende la vida privada de las personas ajustándose de manera general a las directrices de OCDE para la protección de la vida privada y la circulac</w:t>
      </w:r>
      <w:r>
        <w:t>ión internacional de datos. La l</w:t>
      </w:r>
      <w:r w:rsidRPr="00AB1EE0">
        <w:t>ey retoma las disposiciones de la Ley del Comisionado de Protección de la Vida Privada de 1991 y sienta 12 principios de observancia del carácter privado de la información que regulan la reunión, conservación, utilización y revelación de información relativa a los particulares por parte de organismos públicos y privados. Estos principios también regulan el acceso a la información personal que esté en manos de dichos organismos. El Comisionado de Protección de la Vida Privada está facultado para eximir del cumplimiento de algunos de los principios sobre la base de códigos deontológicos.</w:t>
      </w:r>
    </w:p>
    <w:p w:rsidR="00F236D5" w:rsidRPr="00AB1EE0" w:rsidRDefault="00F236D5" w:rsidP="00F236D5">
      <w:pPr>
        <w:pStyle w:val="SingleTxtG"/>
      </w:pPr>
      <w:r>
        <w:t>187.</w:t>
      </w:r>
      <w:r>
        <w:tab/>
        <w:t>La l</w:t>
      </w:r>
      <w:r w:rsidRPr="00AB1EE0">
        <w:t>ey también sienta cuatro principios sobre el carácter privado del registro civil por los que se reglamenta el acceso a los datos personales contenidos en los listados establecidos por ley (como los registros de nacimiento, defunción y matrimonio). Asimismo, existe un régimen de cotejo de información destinado a regular la aplicación de las disposiciones legales conexas por el sector público.</w:t>
      </w:r>
    </w:p>
    <w:p w:rsidR="00F236D5" w:rsidRPr="00AB1EE0" w:rsidRDefault="00F236D5" w:rsidP="00F236D5">
      <w:pPr>
        <w:pStyle w:val="SingleTxtG"/>
      </w:pPr>
      <w:r>
        <w:t>188.</w:t>
      </w:r>
      <w:r>
        <w:tab/>
        <w:t>La l</w:t>
      </w:r>
      <w:r w:rsidRPr="00AB1EE0">
        <w:t>ey atribuye al Comisionado de Protección de la Vida Privada amplias competencias de vigilancia e información sobre políticas y leyes que</w:t>
      </w:r>
      <w:r>
        <w:t xml:space="preserve"> afecten a la vida privada. La l</w:t>
      </w:r>
      <w:r w:rsidRPr="00AB1EE0">
        <w:t>ey establece un mecanismo de denuncia que permite a los particulares recurrir al Comisionado si consideran que se ha atentado contra su intimidad.</w:t>
      </w:r>
      <w:r>
        <w:t xml:space="preserve"> </w:t>
      </w:r>
      <w:r w:rsidRPr="00AB1EE0">
        <w:t>El interés prioritario es resolver las denuncias por la vía de la conciliación siempre que sea posible. No obstante, cuando no lo sea se podrá entablar una acción civil ante el Tribunal de Examen de los Derechos Humanos.</w:t>
      </w:r>
    </w:p>
    <w:p w:rsidR="00F236D5" w:rsidRPr="00AB1EE0" w:rsidRDefault="00F236D5" w:rsidP="00F236D5">
      <w:pPr>
        <w:pStyle w:val="SingleTxtG"/>
      </w:pPr>
      <w:r w:rsidRPr="00AB1EE0">
        <w:t>189.</w:t>
      </w:r>
      <w:r w:rsidRPr="00AB1EE0">
        <w:tab/>
        <w:t>El Comisionado de Protección de la Vida Privada desempeña una función de vigilancia e información generales con respecto a las propuestas de política o de proyectos de ley que puedan repercutir en la vida privada. Al igual que la Comisión de Derechos Humanos de Nueva Zelandia, el Comisionado informa cada año al Ministro de Justicia sobre el desempeño de sus funciones de conformidad con las leyes. El Ministro presenta ese informe al Parlamento.</w:t>
      </w:r>
    </w:p>
    <w:p w:rsidR="00F236D5" w:rsidRPr="00AB1EE0" w:rsidRDefault="00F236D5" w:rsidP="00F236D5">
      <w:pPr>
        <w:pStyle w:val="H4G"/>
      </w:pPr>
      <w:r>
        <w:tab/>
      </w:r>
      <w:r w:rsidRPr="00AB1EE0">
        <w:t>f)</w:t>
      </w:r>
      <w:r w:rsidRPr="00AB1EE0">
        <w:tab/>
        <w:t>Ley del Comisionado de la Infancia de 2003</w:t>
      </w:r>
    </w:p>
    <w:p w:rsidR="00F236D5" w:rsidRPr="00AB1EE0" w:rsidRDefault="00F236D5" w:rsidP="00F236D5">
      <w:pPr>
        <w:pStyle w:val="SingleTxtG"/>
      </w:pPr>
      <w:r w:rsidRPr="00AB1EE0">
        <w:t>190.</w:t>
      </w:r>
      <w:r w:rsidRPr="00AB1EE0">
        <w:tab/>
        <w:t xml:space="preserve">El Comisionado de la Infancia, cargo creado inicialmente en virtud de la </w:t>
      </w:r>
      <w:r w:rsidRPr="00AB1EE0">
        <w:rPr>
          <w:lang w:val="es-ES_tradnl"/>
        </w:rPr>
        <w:t>Ley sobre los niños, los adolescentes y sus familias de 1989 y ahora en virtud de la Ley del Comisionado de la Infancia de 2003, desempeña toda una gama de funciones con miras a promover el bienestar de los niños y jóvenes y velar por su interés superior, basándose para ello en la</w:t>
      </w:r>
      <w:r>
        <w:rPr>
          <w:lang w:val="es-ES_tradnl"/>
        </w:rPr>
        <w:t xml:space="preserve"> </w:t>
      </w:r>
      <w:r w:rsidRPr="00AB1EE0">
        <w:t>Convención sobre los Derechos del</w:t>
      </w:r>
      <w:r>
        <w:t xml:space="preserve"> </w:t>
      </w:r>
      <w:r w:rsidRPr="00AB1EE0">
        <w:t>Niño. El</w:t>
      </w:r>
      <w:r>
        <w:t xml:space="preserve"> </w:t>
      </w:r>
      <w:r w:rsidRPr="00AB1EE0">
        <w:t>Comisionado tiene la responsabilidad específica de fomentar y vigilar la aplicación de la Convención por los organismos gubernamentales.</w:t>
      </w:r>
    </w:p>
    <w:p w:rsidR="00F236D5" w:rsidRPr="00AB1EE0" w:rsidRDefault="00F236D5" w:rsidP="00F236D5">
      <w:pPr>
        <w:pStyle w:val="H4G"/>
      </w:pPr>
      <w:r>
        <w:tab/>
      </w:r>
      <w:r w:rsidRPr="00AB1EE0">
        <w:t>g)</w:t>
      </w:r>
      <w:r w:rsidRPr="00AB1EE0">
        <w:tab/>
        <w:t>Ley del Comisionado de Salud y Discapacidades de 1994</w:t>
      </w:r>
    </w:p>
    <w:p w:rsidR="00F236D5" w:rsidRPr="00AB1EE0" w:rsidRDefault="00F236D5" w:rsidP="00F236D5">
      <w:pPr>
        <w:pStyle w:val="SingleTxtG"/>
      </w:pPr>
      <w:r w:rsidRPr="00AB1EE0">
        <w:t>191.</w:t>
      </w:r>
      <w:r w:rsidRPr="00AB1EE0">
        <w:tab/>
        <w:t>Esta ley prevé el nombramiento del Comisionado de Salud y Discapacidades. El Comisionado se ocupa de la promoción y protección de los derechos de los consumidores de servicios de salud o de servicios para personas con discapacidad mediante actividades de educación pública y solución de quejas. Los derechos propiamente tales están consagrados en el Código de Derechos de los Usuarios de los Servicios de Salud o Servicios para Personas con Discapacidad, u</w:t>
      </w:r>
      <w:r>
        <w:t>na disposición contenida en la l</w:t>
      </w:r>
      <w:r w:rsidRPr="00AB1EE0">
        <w:t>ey que entró en vigor en julio de 1996. Todos los centros de atención de la salud y los servicios para personas con discapacidad están obligados a respetar esos derechos. El Director de la Oficina de Actuaciones sobre Derechos Humanos o, en determinadas circunstancias, la persona agraviada, pueden presentar denuncias por incumplimiento del Código al Tribunal de Examen de los Derechos Humanos.</w:t>
      </w:r>
    </w:p>
    <w:p w:rsidR="00F236D5" w:rsidRPr="00AB1EE0" w:rsidRDefault="00F236D5" w:rsidP="00F236D5">
      <w:pPr>
        <w:pStyle w:val="H4G"/>
      </w:pPr>
      <w:r>
        <w:tab/>
      </w:r>
      <w:r w:rsidRPr="00AB1EE0">
        <w:t>h)</w:t>
      </w:r>
      <w:bookmarkStart w:id="96" w:name="_Toc114894989"/>
      <w:bookmarkStart w:id="97" w:name="_Toc114895880"/>
      <w:bookmarkStart w:id="98" w:name="_Toc115493425"/>
      <w:bookmarkStart w:id="99" w:name="_Toc115493769"/>
      <w:bookmarkStart w:id="100" w:name="_Toc115493844"/>
      <w:bookmarkStart w:id="101" w:name="_Toc118100635"/>
      <w:bookmarkStart w:id="102" w:name="_Toc125278921"/>
      <w:r w:rsidRPr="00AB1EE0">
        <w:tab/>
        <w:t>Dirección Independiente de Control de la Acción Policial</w:t>
      </w:r>
      <w:bookmarkEnd w:id="96"/>
      <w:bookmarkEnd w:id="97"/>
      <w:bookmarkEnd w:id="98"/>
      <w:bookmarkEnd w:id="99"/>
      <w:bookmarkEnd w:id="100"/>
      <w:bookmarkEnd w:id="101"/>
      <w:bookmarkEnd w:id="102"/>
    </w:p>
    <w:p w:rsidR="00F236D5" w:rsidRPr="00AB1EE0" w:rsidRDefault="00F236D5" w:rsidP="00F236D5">
      <w:pPr>
        <w:pStyle w:val="SingleTxtG"/>
        <w:rPr>
          <w:bCs/>
        </w:rPr>
      </w:pPr>
      <w:r w:rsidRPr="00AB1EE0">
        <w:rPr>
          <w:bCs/>
        </w:rPr>
        <w:t>192.</w:t>
      </w:r>
      <w:r w:rsidRPr="00AB1EE0">
        <w:rPr>
          <w:bCs/>
        </w:rPr>
        <w:tab/>
        <w:t>La Dirección Independiente de Control de la Actuación Policial es un órgano autónomo encargado de examinar las denuncias sobre mala conducta de la Policía o incumplimiento de su deber, o en relación con prácticas, políticas y procedimientos policiales. En noviembre de 2007 la Dirección suplantó a la antigua Dirección de Quejas contra la Policía, cuya actuación se basaba en investigaciones realizadas por la Policía y se consideraba poco independiente. Al frente de la Dirección Independiente de Control de la Actuación Policial está un juez del Tribunal Superior que cuenta con varios equipos de investigadores independientes. Si bien la Policía sigue teniendo la función principal de examen de denuncias, sus procedimientos en esa materia deben ceñirse a lo dispuesto en la ley y están sujetos a investigación o supervisión por parte de la Dirección, que está facultada para investigar o supervisar las investigaciones policiales relacionadas con las quejas más graves.</w:t>
      </w:r>
    </w:p>
    <w:p w:rsidR="00F236D5" w:rsidRPr="00AB1EE0" w:rsidRDefault="00F236D5" w:rsidP="00F236D5">
      <w:pPr>
        <w:pStyle w:val="SingleTxtG"/>
        <w:rPr>
          <w:bCs/>
        </w:rPr>
      </w:pPr>
      <w:r w:rsidRPr="00AB1EE0">
        <w:rPr>
          <w:bCs/>
        </w:rPr>
        <w:t>193.</w:t>
      </w:r>
      <w:r w:rsidRPr="00AB1EE0">
        <w:rPr>
          <w:bCs/>
        </w:rPr>
        <w:tab/>
        <w:t>Con arreglo al artículo 12 de la Ley de la Dirección Independiente de Control de la Actuación Policial de 1988, las funciones de la Dirección son las siguientes:</w:t>
      </w:r>
    </w:p>
    <w:p w:rsidR="00F236D5" w:rsidRPr="00AB1EE0" w:rsidRDefault="00F236D5" w:rsidP="00F236D5">
      <w:pPr>
        <w:pStyle w:val="Bullet1G"/>
      </w:pPr>
      <w:r>
        <w:t>R</w:t>
      </w:r>
      <w:r w:rsidRPr="00AB1EE0">
        <w:t>ecibir las denuncias relacionadas con</w:t>
      </w:r>
      <w:r>
        <w:t>:</w:t>
      </w:r>
      <w:r w:rsidRPr="00AB1EE0">
        <w:t xml:space="preserve"> i) presunta mala conducta o incumplimiento del deber por parte de cualquier miembro de la Policía o ii) prácticas, políticas y procedimientos policiales que hayan afectado al denunciante; o</w:t>
      </w:r>
    </w:p>
    <w:p w:rsidR="00F236D5" w:rsidRPr="00AB1EE0" w:rsidRDefault="00F236D5" w:rsidP="00F236D5">
      <w:pPr>
        <w:pStyle w:val="Bullet1G"/>
      </w:pPr>
      <w:r>
        <w:t>I</w:t>
      </w:r>
      <w:r w:rsidRPr="00AB1EE0">
        <w:t>nvestigar incidentes en que un miembro de la Policía (actuando en el desempeño de sus funciones) haya causado o pueda haber causado la muerte o lesiones físicas graves a terceros.</w:t>
      </w:r>
    </w:p>
    <w:p w:rsidR="00F236D5" w:rsidRPr="00AB1EE0" w:rsidRDefault="00F236D5" w:rsidP="00F236D5">
      <w:pPr>
        <w:pStyle w:val="SingleTxtG"/>
        <w:rPr>
          <w:bCs/>
        </w:rPr>
      </w:pPr>
      <w:r w:rsidRPr="00AB1EE0">
        <w:rPr>
          <w:bCs/>
        </w:rPr>
        <w:t>194.</w:t>
      </w:r>
      <w:r w:rsidRPr="00AB1EE0">
        <w:rPr>
          <w:bCs/>
        </w:rPr>
        <w:tab/>
        <w:t>La Dirección Independiente de Control de la Actuación Policial tiene atribuciones análogas a las de las comisiones de investigación para convocar a testigos y reunir pruebas. La Policía tiene la obligación de facilitar toda la información y asistencia necesarias para el buen desempeño de la Dirección. Una vez terminada cada investigación, la Dirección debe determinar si por acción u omisión la Policía actuó de forma contraria a la ley o a la razón, o de manera injustificada, injusta o indeseable. La Dirección debe comunicar a la Policía los resultados de la investigación y puede hacer recomendaciones, las cuales pueden incluir sanciones disciplinarias o cargos penales. La propia Dirección no está facultada para formular cargos o tomar medidas disciplinarias. Si la Dirección no está satisfecha con la respuesta dada por la Policía a sus recomendaciones, debe informar de ello al Fiscal General y al Ministro de Policía. A su vez, el Fiscal General debe comunicarlo al Parlamento. La Dirección puede dar a conocer públicamente sus informes sobre sus investigaciones en aras del interés general o de los intereses de particulares.</w:t>
      </w:r>
    </w:p>
    <w:p w:rsidR="00F236D5" w:rsidRPr="00AB1EE0" w:rsidRDefault="00F236D5" w:rsidP="00F236D5">
      <w:pPr>
        <w:pStyle w:val="H4G"/>
      </w:pPr>
      <w:r>
        <w:tab/>
      </w:r>
      <w:r w:rsidRPr="00AB1EE0">
        <w:t>i)</w:t>
      </w:r>
      <w:r w:rsidRPr="00AB1EE0">
        <w:tab/>
        <w:t>Ley de la Comisión de la Familia de 2003</w:t>
      </w:r>
    </w:p>
    <w:p w:rsidR="00F236D5" w:rsidRPr="00AB1EE0" w:rsidRDefault="00F236D5" w:rsidP="00F236D5">
      <w:pPr>
        <w:pStyle w:val="SingleTxtG"/>
        <w:rPr>
          <w:bCs/>
        </w:rPr>
      </w:pPr>
      <w:r w:rsidRPr="00AB1EE0">
        <w:rPr>
          <w:bCs/>
        </w:rPr>
        <w:t>195.</w:t>
      </w:r>
      <w:r w:rsidRPr="00AB1EE0">
        <w:rPr>
          <w:bCs/>
        </w:rPr>
        <w:tab/>
        <w:t xml:space="preserve">En virtud </w:t>
      </w:r>
      <w:r>
        <w:rPr>
          <w:bCs/>
        </w:rPr>
        <w:t>de esta l</w:t>
      </w:r>
      <w:r w:rsidRPr="00AB1EE0">
        <w:rPr>
          <w:bCs/>
        </w:rPr>
        <w:t>ey se creó la Comisión de la Familia a fin de promover una mejor comprensión de las cuestiones que afectan a las fa</w:t>
      </w:r>
      <w:r>
        <w:rPr>
          <w:bCs/>
        </w:rPr>
        <w:t>milias y de las necesidades de e</w:t>
      </w:r>
      <w:r w:rsidRPr="00AB1EE0">
        <w:rPr>
          <w:bCs/>
        </w:rPr>
        <w:t>stas por parte de los organismos gube</w:t>
      </w:r>
      <w:r>
        <w:rPr>
          <w:bCs/>
        </w:rPr>
        <w:t>rnamentales y la comunidad. La l</w:t>
      </w:r>
      <w:r w:rsidRPr="00AB1EE0">
        <w:rPr>
          <w:bCs/>
        </w:rPr>
        <w:t>ey define a la familia como dos o más personas que viven juntas. Gracias a esta definición amplia, la Comisión de la Familia puede promover los intereses de todas las familias independientemente de su estado civil, género o circunstancias particulares.</w:t>
      </w:r>
    </w:p>
    <w:p w:rsidR="00F236D5" w:rsidRPr="00AB1EE0" w:rsidRDefault="00F236D5" w:rsidP="00F236D5">
      <w:pPr>
        <w:pStyle w:val="H4G"/>
      </w:pPr>
      <w:r>
        <w:rPr>
          <w:bCs/>
        </w:rPr>
        <w:tab/>
      </w:r>
      <w:r w:rsidRPr="00AB1EE0">
        <w:rPr>
          <w:bCs/>
        </w:rPr>
        <w:t>j)</w:t>
      </w:r>
      <w:r w:rsidRPr="00AB1EE0">
        <w:rPr>
          <w:bCs/>
        </w:rPr>
        <w:tab/>
      </w:r>
      <w:r w:rsidRPr="00AB1EE0">
        <w:t xml:space="preserve">Ministerio de Asuntos de la Mujer </w:t>
      </w:r>
    </w:p>
    <w:p w:rsidR="00F236D5" w:rsidRPr="00AB1EE0" w:rsidRDefault="00F236D5" w:rsidP="00F236D5">
      <w:pPr>
        <w:pStyle w:val="SingleTxtG"/>
      </w:pPr>
      <w:r w:rsidRPr="00AB1EE0">
        <w:t>196.</w:t>
      </w:r>
      <w:r w:rsidRPr="00AB1EE0">
        <w:tab/>
        <w:t>El Ministerio de Asuntos de la Mujer es un organismo de formulación de políticas establecido en 1984. La labor del Ministerio se centra en tres esferas prioritarias para las mujeres: la participación de la mujer en funciones de liderazgo en la economía; la reducción del impacto nocivo de la violencia contra la mujer (en particular la violencia sexual); y la integración plena de todas las mujeres en la economía y su contribución al crecimiento económico del país.</w:t>
      </w:r>
    </w:p>
    <w:p w:rsidR="00F236D5" w:rsidRPr="00AB1EE0" w:rsidRDefault="00F236D5" w:rsidP="00F236D5">
      <w:pPr>
        <w:pStyle w:val="SingleTxtG"/>
      </w:pPr>
      <w:r w:rsidRPr="00AB1EE0">
        <w:t>197.</w:t>
      </w:r>
      <w:r w:rsidRPr="00AB1EE0">
        <w:tab/>
        <w:t>En el marco de la prioridad relativa al liderazgo de la mujer, una de las funciones concretas del Ministerio es la de designar a mujeres calificadas en las juntas estatales de los distintos sectores. El Ministerio se encarga asimismo de administrar las obligaciones internacionales de Nueva Zelandia en relación con la condición de la mujer, en particular las dimanantes de la Convención sobre la eliminación de todas las formas de discriminación contra la mujer de las Naciones Unidas.</w:t>
      </w:r>
    </w:p>
    <w:p w:rsidR="00F236D5" w:rsidRPr="00AB1EE0" w:rsidRDefault="00F236D5" w:rsidP="00F236D5">
      <w:pPr>
        <w:pStyle w:val="H4G"/>
      </w:pPr>
      <w:r>
        <w:tab/>
      </w:r>
      <w:r w:rsidRPr="00AB1EE0">
        <w:t>k)</w:t>
      </w:r>
      <w:r w:rsidRPr="00AB1EE0">
        <w:tab/>
        <w:t>Oficina para la Tercera Edad</w:t>
      </w:r>
    </w:p>
    <w:p w:rsidR="00F236D5" w:rsidRPr="00AB1EE0" w:rsidRDefault="00F236D5" w:rsidP="00F236D5">
      <w:pPr>
        <w:pStyle w:val="SingleTxtG"/>
      </w:pPr>
      <w:r w:rsidRPr="00AB1EE0">
        <w:t>198.</w:t>
      </w:r>
      <w:r w:rsidRPr="00AB1EE0">
        <w:tab/>
        <w:t>La Oficina para la Tercera Edad fue creada en 1990 como dependencia del Ministerio de Desarrollo Social y rinde cuentas directamente al Ministro de la Tercera Edad. Actualmente cuenta con una plantilla de seis funcionarios y su función principal es proteger los derechos e intereses de las personas de edad, dirigir, supervisar y promover la Estrategia de Envejecimiento Positivo puesta en marcha por Nueva Zelandia, prestar asesoramiento en materia de políticas sobre las cuestiones que afectan a las personas de edad y propiciar la aplicación de políticas de carácter estratégico e intersectorial en esta esfera.</w:t>
      </w:r>
    </w:p>
    <w:p w:rsidR="00F236D5" w:rsidRPr="00AB1EE0" w:rsidRDefault="00F236D5" w:rsidP="00F236D5">
      <w:pPr>
        <w:pStyle w:val="H4G"/>
      </w:pPr>
      <w:r>
        <w:tab/>
      </w:r>
      <w:r w:rsidRPr="00AB1EE0">
        <w:t>l)</w:t>
      </w:r>
      <w:r w:rsidRPr="00AB1EE0">
        <w:tab/>
        <w:t>Te Puni Kokiri (Ministerio de Desarrollo Maorí)</w:t>
      </w:r>
    </w:p>
    <w:p w:rsidR="00F236D5" w:rsidRPr="00AB1EE0" w:rsidRDefault="00F236D5" w:rsidP="00F236D5">
      <w:pPr>
        <w:pStyle w:val="SingleTxtG"/>
      </w:pPr>
      <w:r w:rsidRPr="00AB1EE0">
        <w:t>199.</w:t>
      </w:r>
      <w:r w:rsidRPr="00AB1EE0">
        <w:tab/>
        <w:t xml:space="preserve">El </w:t>
      </w:r>
      <w:r w:rsidRPr="00700C1E">
        <w:t>Te Puni Kokiri</w:t>
      </w:r>
      <w:r w:rsidRPr="00AB1EE0">
        <w:t xml:space="preserve"> (Ministerio de Desarrollo Maorí) se estableció en virtud de la Ley del Ministerio de Desarrollo Maorí de 1991 con un mandato centrado principalmente en la educación, la capacitación y el empleo, la salud y el desarrollo de recursos económicos. Las funciones fundamentales de </w:t>
      </w:r>
      <w:r w:rsidRPr="00700C1E">
        <w:t>Te Puni Kokiri</w:t>
      </w:r>
      <w:r w:rsidRPr="00AB1EE0">
        <w:t xml:space="preserve"> conforme a la Ley guardan relación con la promoción de los logros maoríes en esos importantes ámbitos sociales y económicos.</w:t>
      </w:r>
    </w:p>
    <w:p w:rsidR="00F236D5" w:rsidRPr="00AB1EE0" w:rsidRDefault="00F236D5" w:rsidP="00F236D5">
      <w:pPr>
        <w:pStyle w:val="SingleTxtG"/>
      </w:pPr>
      <w:r w:rsidRPr="00AB1EE0">
        <w:t>200.</w:t>
      </w:r>
      <w:r w:rsidRPr="00AB1EE0">
        <w:tab/>
        <w:t xml:space="preserve">En relación con lo anterior, </w:t>
      </w:r>
      <w:r w:rsidRPr="00700C1E">
        <w:t>Te Puni Kokiri</w:t>
      </w:r>
      <w:r w:rsidRPr="00AB1EE0">
        <w:t xml:space="preserve"> tiene la obligación de mantener enlaces con todos los departamentos y agencias que prestan, o tienen la responsabilidad de prestar, servicios destinad</w:t>
      </w:r>
      <w:r>
        <w:t>os a los maoríes o en favor de e</w:t>
      </w:r>
      <w:r w:rsidRPr="00AB1EE0">
        <w:t xml:space="preserve">stos y supervisar las actividades de esos organismos a fin de velar por que esas prestaciones tengan un nivel satisfactorio. Entre las funciones de </w:t>
      </w:r>
      <w:r w:rsidRPr="00700C1E">
        <w:t>Te Puni Kokiri</w:t>
      </w:r>
      <w:r w:rsidRPr="00AB1EE0">
        <w:t xml:space="preserve"> cabe mencionar asimismo la gestión y el asesoramiento en relación con las relaciones entre la Corona y los maoríes, tanto en el plano nacional como local por conducto de sus </w:t>
      </w:r>
      <w:r>
        <w:t>diez</w:t>
      </w:r>
      <w:r w:rsidRPr="00AB1EE0">
        <w:t xml:space="preserve"> oficinas regionales, y el apoyo a las iniciativas maoríes mediante inversiones y medidas de facilitación encaminadas a respaldar las aspiraciones de la población maorí de lograr el pleno desarrollo de sus potencialidades.</w:t>
      </w:r>
    </w:p>
    <w:p w:rsidR="00F236D5" w:rsidRPr="00AB1EE0" w:rsidRDefault="00F236D5" w:rsidP="00F236D5">
      <w:pPr>
        <w:pStyle w:val="H4G"/>
      </w:pPr>
      <w:r>
        <w:tab/>
      </w:r>
      <w:r w:rsidRPr="00AB1EE0">
        <w:t>m)</w:t>
      </w:r>
      <w:r w:rsidRPr="00AB1EE0">
        <w:tab/>
        <w:t xml:space="preserve">Ministerio de Asuntos de las Islas del Pacífico </w:t>
      </w:r>
    </w:p>
    <w:p w:rsidR="00F236D5" w:rsidRPr="00AB1EE0" w:rsidRDefault="00F236D5" w:rsidP="00F236D5">
      <w:pPr>
        <w:pStyle w:val="SingleTxtG"/>
      </w:pPr>
      <w:r w:rsidRPr="00AB1EE0">
        <w:t>201.</w:t>
      </w:r>
      <w:r w:rsidRPr="00AB1EE0">
        <w:tab/>
        <w:t xml:space="preserve">El Ministerio de Asuntos de las Islas del Pacífico asesora al Gobierno sobre políticas e intervenciones destinadas a promover el desarrollo social, económico y cultural de los pueblos del Pacífico en Nueva Zelandia. El Ministerio proporciona a los organismos del </w:t>
      </w:r>
      <w:r>
        <w:t>g</w:t>
      </w:r>
      <w:r w:rsidRPr="00AB1EE0">
        <w:t>obierno central y de las administraciones locales, así como a las organizaciones del sector privado, la perspectiva de los pueblos del Pacífico y de este modo hace de puente entre los pueblos del Pacífico en Nueva Zelandia y el Gobierno, lo que garantiza la comunicación y prestación de servicios eficaces a las comunidades del Pacífico. El Ministerio tiene oficinas en los tres principales centros de población.</w:t>
      </w:r>
    </w:p>
    <w:p w:rsidR="00F236D5" w:rsidRPr="00AB1EE0" w:rsidRDefault="00F236D5" w:rsidP="00F236D5">
      <w:pPr>
        <w:pStyle w:val="H4G"/>
      </w:pPr>
      <w:r>
        <w:tab/>
      </w:r>
      <w:r w:rsidRPr="00AB1EE0">
        <w:t>n)</w:t>
      </w:r>
      <w:r w:rsidRPr="00AB1EE0">
        <w:tab/>
        <w:t>Oficina de Asuntos Étnicos</w:t>
      </w:r>
    </w:p>
    <w:p w:rsidR="00F236D5" w:rsidRPr="00AB1EE0" w:rsidRDefault="00F236D5" w:rsidP="00F236D5">
      <w:pPr>
        <w:pStyle w:val="SingleTxtG"/>
      </w:pPr>
      <w:r w:rsidRPr="00AB1EE0">
        <w:t>202.</w:t>
      </w:r>
      <w:r w:rsidRPr="00AB1EE0">
        <w:tab/>
        <w:t xml:space="preserve">La Oficina de </w:t>
      </w:r>
      <w:r>
        <w:t>A</w:t>
      </w:r>
      <w:r w:rsidRPr="00AB1EE0">
        <w:t xml:space="preserve">suntos </w:t>
      </w:r>
      <w:r>
        <w:t>É</w:t>
      </w:r>
      <w:r w:rsidRPr="00AB1EE0">
        <w:t>tnicos, creada en mayo de 2001, depende del Ministro de Asuntos Étnicos y presta asesoramiento al Gobierno sobre cuestiones relacionadas con los neozelandeses pertenecientes a los diversos grupos étnicos presentes en el país. Su labor se centra en aquellos cuya ascendencia étnica les distingue de la mayoría, en particular los que se identifican con etnias de África, Asia, Europa continental, América Latina o el Oriente Medio. Entre las actividades de la Oficina cabe mencionar las siguientes:</w:t>
      </w:r>
    </w:p>
    <w:p w:rsidR="00F236D5" w:rsidRPr="00AB1EE0" w:rsidRDefault="00F236D5" w:rsidP="00F236D5">
      <w:pPr>
        <w:pStyle w:val="Bullet1G"/>
      </w:pPr>
      <w:r w:rsidRPr="00AB1EE0">
        <w:t>Logro de un mayor acceso de la población étnica a las oportunidades de desarrollo económico, por ejemplo mediante la organización de foros de empresarios prominentes a fin de optimizar los talentos, aptitudes y contactos que la población étnica puede aportar al crecimiento económico de Nueva Zelandia, en particular en el marco de las oportunidades que ofrecen los acuerdos de libre comercio de Nueva Zelandia;</w:t>
      </w:r>
    </w:p>
    <w:p w:rsidR="00F236D5" w:rsidRPr="00AB1EE0" w:rsidRDefault="00F236D5" w:rsidP="00F236D5">
      <w:pPr>
        <w:pStyle w:val="Bullet1G"/>
      </w:pPr>
      <w:r w:rsidRPr="00AB1EE0">
        <w:t xml:space="preserve">Creación y mantenimiento de vínculos fuertes y positivos entre las comunidades étnicas y la comunidad neozelandesa mayoritaria, así como entre las comunidades étnicas y el Gobierno (por ejemplo, mediante el programa </w:t>
      </w:r>
      <w:r>
        <w:t>"</w:t>
      </w:r>
      <w:r w:rsidRPr="00AB1EE0">
        <w:t>Formemos puentes</w:t>
      </w:r>
      <w:r>
        <w:t>"</w:t>
      </w:r>
      <w:r w:rsidRPr="00AB1EE0">
        <w:t>, destinado a fomentar la comprensión mutua entre las comunidades musulmana y no musulmana de Nueva Zelandia);</w:t>
      </w:r>
    </w:p>
    <w:p w:rsidR="00F236D5" w:rsidRPr="00AB1EE0" w:rsidRDefault="00F236D5" w:rsidP="00F236D5">
      <w:pPr>
        <w:pStyle w:val="Bullet1G"/>
      </w:pPr>
      <w:r w:rsidRPr="00AB1EE0">
        <w:t>Fortalecimiento de las capacidades de los neozelandeses pertenecientes a distintas etnias a fin de que puedan participar en todos los aspectos de la vida de Nueva Zelandia (por ejemplo, por conducto de foros de participación cívica);</w:t>
      </w:r>
    </w:p>
    <w:p w:rsidR="00F236D5" w:rsidRPr="00AB1EE0" w:rsidRDefault="00F236D5" w:rsidP="00F236D5">
      <w:pPr>
        <w:pStyle w:val="Bullet1G"/>
      </w:pPr>
      <w:r w:rsidRPr="00AB1EE0">
        <w:t>Fomento de la conciencia, la competencia y las aptitudes interculturales de los empleadores, organismos gubernamentales y grupos comunitarios.</w:t>
      </w:r>
    </w:p>
    <w:p w:rsidR="00F236D5" w:rsidRPr="00AB1EE0" w:rsidRDefault="00F236D5" w:rsidP="00F236D5">
      <w:pPr>
        <w:pStyle w:val="H4G"/>
      </w:pPr>
      <w:r>
        <w:tab/>
      </w:r>
      <w:r w:rsidRPr="00AB1EE0">
        <w:t>o)</w:t>
      </w:r>
      <w:r w:rsidRPr="00AB1EE0">
        <w:tab/>
        <w:t>Oficina de Asuntos de Discapacidad</w:t>
      </w:r>
    </w:p>
    <w:p w:rsidR="00F236D5" w:rsidRPr="00AB1EE0" w:rsidRDefault="00F236D5" w:rsidP="00F236D5">
      <w:pPr>
        <w:pStyle w:val="SingleTxtG"/>
      </w:pPr>
      <w:r w:rsidRPr="00AB1EE0">
        <w:t>203.</w:t>
      </w:r>
      <w:r w:rsidRPr="00AB1EE0">
        <w:tab/>
        <w:t>La Oficina de Asuntos de Discapacidad es una entidad de formulación de políticas estratégicas y orientadas a todas las instancias gubernamentales que depende del Ministerio de Desarrollo Social. Se creó en 2002 con el cometido de servir de centro de coordinación de todas las cuestiones relativas a la discapacidad a nivel gubernamental. La Oficina presta asesoramiento de política en materia de discapacidad, en particular en la formulación de las principales políticas estratégicas en esta esfera en todos los niveles oficiales. Supervisa las políticas formuladas por otros organismos y les aporta una perspectiva centrada en los problemas de la discapacidad, además de atender a las obligaciones formales contraídas internacionalmente en esta esfera.</w:t>
      </w:r>
    </w:p>
    <w:p w:rsidR="00F236D5" w:rsidRPr="00AB1EE0" w:rsidRDefault="00F236D5" w:rsidP="00F236D5">
      <w:pPr>
        <w:pStyle w:val="SingleTxtG"/>
      </w:pPr>
      <w:r w:rsidRPr="00AB1EE0">
        <w:t>204.</w:t>
      </w:r>
      <w:r w:rsidRPr="00AB1EE0">
        <w:tab/>
        <w:t xml:space="preserve">La </w:t>
      </w:r>
      <w:r>
        <w:t>O</w:t>
      </w:r>
      <w:r w:rsidRPr="00AB1EE0">
        <w:t>ficina promueve, supervisa y difunde los progresos alcanzados en el marco de la Estrategia Nacional sobre la Discapacidad, tanto por los órganos oficiales como por la comunidad en general. Vela por que el sector de la discapacidad tenga voz en el Gobierno mediante el</w:t>
      </w:r>
      <w:r>
        <w:t xml:space="preserve"> </w:t>
      </w:r>
      <w:r w:rsidRPr="00AB1EE0">
        <w:t xml:space="preserve">mantenimiento de estrechos vínculos entre </w:t>
      </w:r>
      <w:r>
        <w:t>e</w:t>
      </w:r>
      <w:r w:rsidRPr="00AB1EE0">
        <w:t>ste y las partes interesadas a fin de fomentar una mejor comprensión de las perspectivas, los problemas y las preocupaciones de este sector (incluidos los temas emergentes).</w:t>
      </w:r>
    </w:p>
    <w:p w:rsidR="00F236D5" w:rsidRPr="00AB1EE0" w:rsidRDefault="00F236D5" w:rsidP="00F236D5">
      <w:pPr>
        <w:pStyle w:val="H23G"/>
        <w:rPr>
          <w:lang w:val="es-ES_tradnl"/>
        </w:rPr>
      </w:pPr>
      <w:r>
        <w:tab/>
      </w:r>
      <w:r w:rsidRPr="00AB1EE0">
        <w:t>3.</w:t>
      </w:r>
      <w:r w:rsidRPr="00AB1EE0">
        <w:tab/>
        <w:t xml:space="preserve">Aplicación de </w:t>
      </w:r>
      <w:r w:rsidRPr="00AB1EE0">
        <w:rPr>
          <w:lang w:val="es-ES_tradnl"/>
        </w:rPr>
        <w:t xml:space="preserve">los instrumentos de derechos humanos </w:t>
      </w:r>
      <w:r w:rsidRPr="00AB1EE0">
        <w:t>por</w:t>
      </w:r>
      <w:r w:rsidRPr="00AB1EE0">
        <w:rPr>
          <w:lang w:val="es-ES_tradnl"/>
        </w:rPr>
        <w:t xml:space="preserve"> los tribunales y demás autoridades nacionales</w:t>
      </w:r>
    </w:p>
    <w:p w:rsidR="00F236D5" w:rsidRPr="00AB1EE0" w:rsidRDefault="00F236D5" w:rsidP="00F236D5">
      <w:pPr>
        <w:pStyle w:val="SingleTxtG"/>
      </w:pPr>
      <w:r w:rsidRPr="00AB1EE0">
        <w:t>205.</w:t>
      </w:r>
      <w:r w:rsidRPr="00AB1EE0">
        <w:tab/>
        <w:t>En general, para que un ciudadano pueda fundar una acción en los derechos consagrados en los instrumentos internacionales de derechos humanos, el derecho de que se trate ha de estar incorporado al derecho escrito del país. Si la letra de la ley lo permite, los tribunales la interpretarán de manera conforme y conducente a la aplicación del derecho internacional. La autoridad que adopte una decisión sin tener en cuenta los instrumentos internacionales pertinentes podrá ser sometida a examen judicial.</w:t>
      </w:r>
    </w:p>
    <w:p w:rsidR="00F236D5" w:rsidRPr="00AB1EE0" w:rsidRDefault="00F236D5" w:rsidP="00F236D5">
      <w:pPr>
        <w:pStyle w:val="H4G"/>
      </w:pPr>
      <w:r>
        <w:tab/>
      </w:r>
      <w:r>
        <w:tab/>
      </w:r>
      <w:r w:rsidRPr="00AB1EE0">
        <w:t>Recursos, indemnización y rehabilitación</w:t>
      </w:r>
    </w:p>
    <w:p w:rsidR="00F236D5" w:rsidRPr="00AB1EE0" w:rsidRDefault="00F236D5" w:rsidP="00F236D5">
      <w:pPr>
        <w:pStyle w:val="SingleTxtG"/>
      </w:pPr>
      <w:r w:rsidRPr="00AB1EE0">
        <w:t>206.</w:t>
      </w:r>
      <w:r w:rsidRPr="00AB1EE0">
        <w:tab/>
        <w:t>Los ciudadanos que estimen que se ha vulnerado alguno de los derechos que les reconoce la Carta de Derechos</w:t>
      </w:r>
      <w:r>
        <w:t xml:space="preserve"> </w:t>
      </w:r>
      <w:r w:rsidRPr="00AB1EE0">
        <w:t xml:space="preserve">pueden interponer una denuncia contra la Corona. Existen diversas formas de reparar esas violaciones, como las órdenes de exclusión de las pruebas obtenidas durante pesquisas injustificadas en infracción de un derecho garantizado en la </w:t>
      </w:r>
      <w:r w:rsidRPr="00AB1EE0">
        <w:rPr>
          <w:lang w:val="es-ES_tradnl"/>
        </w:rPr>
        <w:t>Carta</w:t>
      </w:r>
      <w:r w:rsidRPr="00AB1EE0">
        <w:t xml:space="preserve">. Estas órdenes se emiten tras haber sopesado adecuadamente la importancia del derecho y la de otros factores que actúan a favor o en contra de la exclusión. Un tribunal también puede suspender las actuaciones si se produce una demora tal que constituya una infracción del artículo 25 b) de la </w:t>
      </w:r>
      <w:r w:rsidRPr="00AB1EE0">
        <w:rPr>
          <w:lang w:val="es-ES_tradnl"/>
        </w:rPr>
        <w:t xml:space="preserve">Carta de Derechos </w:t>
      </w:r>
      <w:r w:rsidRPr="00AB1EE0">
        <w:t>(el derecho a ser</w:t>
      </w:r>
      <w:r>
        <w:t xml:space="preserve"> juzgado sin demoras indebidas)</w:t>
      </w:r>
      <w:r w:rsidRPr="00AE2297">
        <w:rPr>
          <w:sz w:val="18"/>
          <w:szCs w:val="18"/>
          <w:vertAlign w:val="superscript"/>
        </w:rPr>
        <w:footnoteReference w:id="12"/>
      </w:r>
      <w:r>
        <w:t>.</w:t>
      </w:r>
      <w:r w:rsidRPr="00AB1EE0">
        <w:t xml:space="preserve"> El Tribunal de Apelación ha sostenido que cuando no pueda darse a una disposición del derecho escrito una interpretación conforme a la </w:t>
      </w:r>
      <w:r>
        <w:rPr>
          <w:lang w:val="es-ES_tradnl"/>
        </w:rPr>
        <w:t>Carta de Derechos</w:t>
      </w:r>
      <w:r w:rsidRPr="00AB1EE0">
        <w:t>, un tribunal podrá emitir una declaración de incompatibilidad aunque la disposición deba ser aplicada</w:t>
      </w:r>
      <w:r w:rsidRPr="00AE2297">
        <w:rPr>
          <w:sz w:val="18"/>
          <w:szCs w:val="18"/>
          <w:vertAlign w:val="superscript"/>
        </w:rPr>
        <w:footnoteReference w:id="13"/>
      </w:r>
      <w:r w:rsidRPr="00AB1EE0">
        <w:t>.</w:t>
      </w:r>
    </w:p>
    <w:p w:rsidR="00F236D5" w:rsidRPr="00AB1EE0" w:rsidRDefault="00F236D5" w:rsidP="00F236D5">
      <w:pPr>
        <w:pStyle w:val="SingleTxtG"/>
      </w:pPr>
      <w:r w:rsidRPr="00AB1EE0">
        <w:t>207.</w:t>
      </w:r>
      <w:r w:rsidRPr="00AB1EE0">
        <w:tab/>
        <w:t>En lo que respecta a la Ley de derechos humanos, las denuncias de discriminación ilícita se tramitan según el mecanismo de quejas de la Comisión de Derechos Humanos de Nueva Zelandia.</w:t>
      </w:r>
      <w:r>
        <w:t xml:space="preserve"> </w:t>
      </w:r>
      <w:r w:rsidRPr="00AB1EE0">
        <w:t>La Comisión trata de ayudar a las partes a resolver las denuncias utilizando un sistema flexible y rápido de solución de controversias que incluye la mediación y otros mecanismos de solución de baja intensidad. Si estos mecanismos fracasan o resultan inadecuados, los denunciantes pueden llevar su caso ante el Tribunal de Examen de los Derechos Humanos (antiguo Tribunal de Examen de Quejas), el cual resolverá. El Director de la Oficina de Actuaciones de Derechos Humanos (oficina autónoma dentro de la Comisión de Derechos Humanos), que representa gratuitamente a los demandantes en el litigio si reúnen ciertos criterios, puede actuar en nombre de un demandante. Existe también la posibilidad de que los demandantes lleven su caso directamente ante el Tribunal o contraten los servicios de su propio abogado.</w:t>
      </w:r>
    </w:p>
    <w:p w:rsidR="00F236D5" w:rsidRPr="00AB1EE0" w:rsidRDefault="00F236D5" w:rsidP="00F236D5">
      <w:pPr>
        <w:pStyle w:val="SingleTxtG"/>
      </w:pPr>
      <w:r w:rsidRPr="00AB1EE0">
        <w:t>208.</w:t>
      </w:r>
      <w:r w:rsidRPr="00AB1EE0">
        <w:tab/>
      </w:r>
      <w:r w:rsidRPr="00AB1EE0">
        <w:rPr>
          <w:lang w:val="es-ES_tradnl"/>
        </w:rPr>
        <w:t>Cuando el Tribunal de Examen de los Derechos Humanos confirma la validez de una denuncia, incluidas las denuncias relacionadas con la política y la práctica gubernamentales, dispone de una amplia gama de recursos correctivos</w:t>
      </w:r>
      <w:r w:rsidRPr="00AB1EE0">
        <w:t>, a saber: indemnizaciones por daños y perjuicios; medidas cautelares; órdenes de ejecución de medidas compensatorias; y órdenes de impartir formación a los infractores de la Carta a fin de que en el futuro puedan cumplir sus obligaciones. Si la denuncia se refiere a leyes o reglamentos válidamente promulgados, y se considera fundada, el único remedio disponible es la declaración de incompatibilidad. Ello no significa que se invalide la legislación sino que el ministro responsable tiene que señalar la declaración a la atención del Parlamento, junto con la respuesta del ejecutivo a dicha declaración.</w:t>
      </w:r>
    </w:p>
    <w:p w:rsidR="00F236D5" w:rsidRPr="00AB1EE0" w:rsidRDefault="00F236D5" w:rsidP="00F236D5">
      <w:pPr>
        <w:pStyle w:val="SingleTxtG"/>
      </w:pPr>
      <w:r w:rsidRPr="00AB1EE0">
        <w:t>209.</w:t>
      </w:r>
      <w:r w:rsidRPr="00AB1EE0">
        <w:tab/>
        <w:t>Las decisiones del Tribunal de Examen de los Derechos Humanos pueden ser apeladas ante el Tribunal Superior cuando se trate de cuestiones de hecho o de derecho, o ante el Tribunal de Apelación cuando se trate de una cuestión de derecho.</w:t>
      </w:r>
    </w:p>
    <w:p w:rsidR="00F236D5" w:rsidRPr="00AB1EE0" w:rsidRDefault="00F236D5" w:rsidP="00F236D5">
      <w:pPr>
        <w:pStyle w:val="SingleTxtG"/>
      </w:pPr>
      <w:r w:rsidRPr="00AB1EE0">
        <w:t>210.</w:t>
      </w:r>
      <w:r w:rsidRPr="00AB1EE0">
        <w:tab/>
        <w:t>La Dirección de Relaciones Laborales y el Tribunal Laboral también tienen jurisdicción en las querellas por agravio personal y por incumplimiento de contratos de empleo. Entre los motivos para entablar una acción por agravio personal están el despido injustificado, la discriminación en determinadas cuestiones, los actos injustificables del empleador, el acoso sexual y la coacción en cuestiones que atañen a la afiliación o no afiliación a organizaciones de empleados. Las decisiones de la Dirección de Relaciones Laborales pueden ser recurridas ante el Tribunal Laboral.</w:t>
      </w:r>
    </w:p>
    <w:p w:rsidR="00F236D5" w:rsidRPr="00AB1EE0" w:rsidRDefault="00F236D5" w:rsidP="00F236D5">
      <w:pPr>
        <w:pStyle w:val="SingleTxtG"/>
      </w:pPr>
      <w:r w:rsidRPr="00AB1EE0">
        <w:t>211.</w:t>
      </w:r>
      <w:r w:rsidRPr="00AB1EE0">
        <w:tab/>
        <w:t>Por último, conforme a los artículos 131 y 134 de la Ley de derechos humanos, el Tribunal de Distrito es competente en los delitos de incitación a la discordia racial y de denegación de la entrada en lugares, vehículos o instalaciones públicas por motivos di</w:t>
      </w:r>
      <w:r>
        <w:t>scriminatorios. Esos sumarios so</w:t>
      </w:r>
      <w:r w:rsidRPr="00AB1EE0">
        <w:t>lo podrán instruirse con la aprobación del Fiscal General.</w:t>
      </w:r>
    </w:p>
    <w:p w:rsidR="00F236D5" w:rsidRPr="00AB1EE0" w:rsidRDefault="00F236D5" w:rsidP="00F236D5">
      <w:pPr>
        <w:pStyle w:val="SingleTxtG"/>
      </w:pPr>
      <w:r w:rsidRPr="00AB1EE0">
        <w:t>212.</w:t>
      </w:r>
      <w:r w:rsidRPr="00AB1EE0">
        <w:tab/>
        <w:t>Los ciudadanos de Nueva</w:t>
      </w:r>
      <w:r>
        <w:t xml:space="preserve"> </w:t>
      </w:r>
      <w:r w:rsidRPr="00AB1EE0">
        <w:t>Zelandia pueden también acogerse al procedimiento de comunicaciones relativas a</w:t>
      </w:r>
      <w:r>
        <w:t xml:space="preserve"> denuncias de particulares del p</w:t>
      </w:r>
      <w:r w:rsidRPr="00AB1EE0">
        <w:t>rimer Protocolo Facultativo del Pacto Internacional de Derechos Civiles y Políticos y del Protocolo Facultativo de la Convención sobre la eliminación de todas las formas de discriminación contra la mujer. Nueva</w:t>
      </w:r>
      <w:r>
        <w:t xml:space="preserve"> </w:t>
      </w:r>
      <w:r w:rsidRPr="00AB1EE0">
        <w:t xml:space="preserve">Zelandia ha hecho también la declaración en virtud del artículo 22 de la Convención contra la Tortura </w:t>
      </w:r>
      <w:r>
        <w:t xml:space="preserve">y Otros Tratos o Penas Crueles, Inhumanos o Degradantes </w:t>
      </w:r>
      <w:r w:rsidRPr="00AB1EE0">
        <w:t>de que reconoce la competencia del Comité contra la Tortura para recibir las comunicaciones enviadas por personas sujetas a su jurisdicción.</w:t>
      </w:r>
    </w:p>
    <w:p w:rsidR="00F236D5" w:rsidRPr="00AB1EE0" w:rsidRDefault="00F236D5" w:rsidP="00F236D5">
      <w:pPr>
        <w:pStyle w:val="H1G"/>
      </w:pPr>
      <w:r>
        <w:tab/>
      </w:r>
      <w:r w:rsidRPr="00AB1EE0">
        <w:t>C.</w:t>
      </w:r>
      <w:r>
        <w:tab/>
      </w:r>
      <w:r w:rsidRPr="00AB1EE0">
        <w:t>Marco general de promoción de los derechos humanos en el plano nacional</w:t>
      </w:r>
    </w:p>
    <w:p w:rsidR="00F236D5" w:rsidRPr="00AB1EE0" w:rsidRDefault="00F236D5" w:rsidP="00F236D5">
      <w:pPr>
        <w:pStyle w:val="H23G"/>
      </w:pPr>
      <w:r>
        <w:tab/>
      </w:r>
      <w:r w:rsidRPr="00AB1EE0">
        <w:t>1.</w:t>
      </w:r>
      <w:r w:rsidRPr="00AB1EE0">
        <w:tab/>
        <w:t>Publicación de los instrumentos de derechos humanos</w:t>
      </w:r>
    </w:p>
    <w:p w:rsidR="00F236D5" w:rsidRPr="00AB1EE0" w:rsidRDefault="00F236D5" w:rsidP="00F236D5">
      <w:pPr>
        <w:pStyle w:val="SingleTxtG"/>
      </w:pPr>
      <w:r w:rsidRPr="00AB1EE0">
        <w:t>213.</w:t>
      </w:r>
      <w:r w:rsidRPr="00AB1EE0">
        <w:tab/>
        <w:t xml:space="preserve">Para conmemorar en 2008 el 60º aniversario de la Declaración Universal de Derechos Humanos, el Gobierno publicó la tercera edición del </w:t>
      </w:r>
      <w:r w:rsidRPr="00AB1EE0">
        <w:rPr>
          <w:i/>
        </w:rPr>
        <w:t>N</w:t>
      </w:r>
      <w:r w:rsidRPr="00AB1EE0">
        <w:rPr>
          <w:i/>
          <w:iCs/>
        </w:rPr>
        <w:t>ew Zealand Handbook on International Human Rights</w:t>
      </w:r>
      <w:r w:rsidRPr="00E3558B">
        <w:rPr>
          <w:iCs/>
        </w:rPr>
        <w:t>,</w:t>
      </w:r>
      <w:r w:rsidRPr="00AB1EE0">
        <w:t xml:space="preserve"> un manual que había aparecido inicialmente en 1998 y luego en 2003 a modo de introducción para aquellos neozelandeses que quisieran profundizar sus conocimientos sobre el marco jurídico internacional de los derechos humanos. Este manual tiene una amplia distribución, en particular a los organismos gubernamentales, ministros, miembros del Parlamento, la Comisión de Derechos Humanos, las </w:t>
      </w:r>
      <w:r>
        <w:t>ONG</w:t>
      </w:r>
      <w:r w:rsidRPr="00AB1EE0">
        <w:t>, las escuelas y universidades, las bibliotecas, las misiones diplomáticas (tanto en Nueva Zelandia como en el extranjero) y las organizaciones internacionales. El manual contiene el texto de todos los tratados de derechos humanos en los que Nueva Zelandia es parte.</w:t>
      </w:r>
    </w:p>
    <w:p w:rsidR="00F236D5" w:rsidRPr="00AB1EE0" w:rsidRDefault="00F236D5" w:rsidP="00F236D5">
      <w:pPr>
        <w:pStyle w:val="H23G"/>
      </w:pPr>
      <w:r>
        <w:tab/>
      </w:r>
      <w:r w:rsidRPr="00AB1EE0">
        <w:t>2.</w:t>
      </w:r>
      <w:r w:rsidRPr="00AB1EE0">
        <w:tab/>
        <w:t>Instituciones nacionales de derechos humanos: la Comisión de Derechos</w:t>
      </w:r>
      <w:r>
        <w:br/>
      </w:r>
      <w:r w:rsidRPr="00AB1EE0">
        <w:t>Humanos de Nueva Zelandia</w:t>
      </w:r>
    </w:p>
    <w:p w:rsidR="00F236D5" w:rsidRPr="00AB1EE0" w:rsidRDefault="00F236D5" w:rsidP="00F236D5">
      <w:pPr>
        <w:pStyle w:val="SingleTxtG"/>
      </w:pPr>
      <w:r w:rsidRPr="00AB1EE0">
        <w:t>214.</w:t>
      </w:r>
      <w:r w:rsidRPr="00AB1EE0">
        <w:tab/>
        <w:t xml:space="preserve">La Comisión de Derechos Humanos de Nueva Zelandia fue creada en septiembre de 1978 como institución nacional independiente de derechos humanos con acreditación de clase </w:t>
      </w:r>
      <w:r>
        <w:t>"</w:t>
      </w:r>
      <w:r w:rsidRPr="00AB1EE0">
        <w:t>A</w:t>
      </w:r>
      <w:r>
        <w:t>"</w:t>
      </w:r>
      <w:r w:rsidRPr="00AB1EE0">
        <w:t xml:space="preserve"> del Comité Internacional de Coordinación de las instituciones nacionales de derechos humanos. Las principales funciones de la Comisión de Derechos Humanos, enunciadas en la Ley de derechos human</w:t>
      </w:r>
      <w:r>
        <w:t>os de 1993, son las siguientes:</w:t>
      </w:r>
    </w:p>
    <w:p w:rsidR="00F236D5" w:rsidRPr="00AB1EE0" w:rsidRDefault="00F236D5" w:rsidP="00F236D5">
      <w:pPr>
        <w:pStyle w:val="SingleTxtG"/>
      </w:pPr>
      <w:r>
        <w:tab/>
      </w:r>
      <w:r w:rsidRPr="00AB1EE0">
        <w:t>a)</w:t>
      </w:r>
      <w:r w:rsidRPr="00AB1EE0">
        <w:tab/>
        <w:t>Promover el respeto, la comprensión y la apreciación de los derechos humanos en la sociedad de Nueva Zelandia;</w:t>
      </w:r>
    </w:p>
    <w:p w:rsidR="00F236D5" w:rsidRPr="00AB1EE0" w:rsidRDefault="00F236D5" w:rsidP="00F236D5">
      <w:pPr>
        <w:pStyle w:val="SingleTxtG"/>
      </w:pPr>
      <w:r>
        <w:tab/>
      </w:r>
      <w:r w:rsidRPr="00AB1EE0">
        <w:t>b)</w:t>
      </w:r>
      <w:r w:rsidRPr="00AB1EE0">
        <w:tab/>
        <w:t>Fomentar el mantenimiento y desarrollo de relaciones armoniosas entre las personas y los diversos grupos de la sociedad de Nueva Zelandia;</w:t>
      </w:r>
    </w:p>
    <w:p w:rsidR="00F236D5" w:rsidRPr="00AB1EE0" w:rsidRDefault="00F236D5" w:rsidP="00F236D5">
      <w:pPr>
        <w:pStyle w:val="SingleTxtG"/>
      </w:pPr>
      <w:r>
        <w:tab/>
      </w:r>
      <w:r w:rsidRPr="00AB1EE0">
        <w:t>c)</w:t>
      </w:r>
      <w:r w:rsidRPr="00AB1EE0">
        <w:tab/>
        <w:t>Proporcionar orientación, evaluación, supervisión y asesoramiento en materia de oportunidades de empleo; y</w:t>
      </w:r>
    </w:p>
    <w:p w:rsidR="00F236D5" w:rsidRPr="00AB1EE0" w:rsidRDefault="00F236D5" w:rsidP="00F236D5">
      <w:pPr>
        <w:pStyle w:val="SingleTxtG"/>
      </w:pPr>
      <w:r>
        <w:tab/>
      </w:r>
      <w:r w:rsidRPr="00AB1EE0">
        <w:t>d)</w:t>
      </w:r>
      <w:r w:rsidRPr="00AB1EE0">
        <w:tab/>
        <w:t>Facilitar información sobre la discriminación a las personas que la requieran y contribuir a la solución de controversias relativas a la discriminación.</w:t>
      </w:r>
    </w:p>
    <w:p w:rsidR="00F236D5" w:rsidRPr="00AB1EE0" w:rsidRDefault="00F236D5" w:rsidP="00F236D5">
      <w:pPr>
        <w:pStyle w:val="H4G"/>
      </w:pPr>
      <w:r>
        <w:tab/>
      </w:r>
      <w:r w:rsidRPr="00AB1EE0">
        <w:t>a)</w:t>
      </w:r>
      <w:r w:rsidRPr="00AB1EE0">
        <w:tab/>
        <w:t>Funciones y responsabilidades</w:t>
      </w:r>
    </w:p>
    <w:p w:rsidR="00F236D5" w:rsidRPr="00AB1EE0" w:rsidRDefault="00F236D5" w:rsidP="00F236D5">
      <w:pPr>
        <w:pStyle w:val="SingleTxtG"/>
      </w:pPr>
      <w:r w:rsidRPr="00AB1EE0">
        <w:t>215.</w:t>
      </w:r>
      <w:r w:rsidRPr="00AB1EE0">
        <w:tab/>
        <w:t>En la Ley de derechos humanos de 1993 se enumeran las funciones y responsabilidades conexas de la Comisión de Derechos Humanos de Nueva Zelandia, entre las que figuran las siguientes:</w:t>
      </w:r>
    </w:p>
    <w:p w:rsidR="00F236D5" w:rsidRPr="00AB1EE0" w:rsidRDefault="00F236D5" w:rsidP="00F236D5">
      <w:pPr>
        <w:pStyle w:val="Bullet1G"/>
      </w:pPr>
      <w:r w:rsidRPr="00AB1EE0">
        <w:t>Promover los derechos humanos;</w:t>
      </w:r>
    </w:p>
    <w:p w:rsidR="00F236D5" w:rsidRPr="00AB1EE0" w:rsidRDefault="00F236D5" w:rsidP="00F236D5">
      <w:pPr>
        <w:pStyle w:val="Bullet1G"/>
      </w:pPr>
      <w:r w:rsidRPr="00AB1EE0">
        <w:t>Llevar a cabo programas y actividades en la esfera de los derechos humanos;</w:t>
      </w:r>
    </w:p>
    <w:p w:rsidR="00F236D5" w:rsidRPr="00AB1EE0" w:rsidRDefault="00F236D5" w:rsidP="00F236D5">
      <w:pPr>
        <w:pStyle w:val="Bullet1G"/>
      </w:pPr>
      <w:r w:rsidRPr="00AB1EE0">
        <w:t>Hacer declaraciones públicas sobre cuestiones relativas a los derechos humanos y las relaciones interraciales;</w:t>
      </w:r>
    </w:p>
    <w:p w:rsidR="00F236D5" w:rsidRPr="00AB1EE0" w:rsidRDefault="00F236D5" w:rsidP="00F236D5">
      <w:pPr>
        <w:pStyle w:val="Bullet1G"/>
      </w:pPr>
      <w:r w:rsidRPr="00AB1EE0">
        <w:t>Promover una mejor comprensión de las dimensiones de derechos humanos del Tratado de Waitangi;</w:t>
      </w:r>
    </w:p>
    <w:p w:rsidR="00F236D5" w:rsidRPr="00AB1EE0" w:rsidRDefault="00F236D5" w:rsidP="00F236D5">
      <w:pPr>
        <w:pStyle w:val="Bullet1G"/>
      </w:pPr>
      <w:r w:rsidRPr="00AB1EE0">
        <w:t>Preparar y publicar directrices y códigos de conducta voluntarios;</w:t>
      </w:r>
    </w:p>
    <w:p w:rsidR="00F236D5" w:rsidRPr="00AB1EE0" w:rsidRDefault="00F236D5" w:rsidP="00F236D5">
      <w:pPr>
        <w:pStyle w:val="Bullet1G"/>
      </w:pPr>
      <w:r w:rsidRPr="00AB1EE0">
        <w:t>Recibir e invitar a representantes oficiales en materia de derechos humanos;</w:t>
      </w:r>
    </w:p>
    <w:p w:rsidR="00F236D5" w:rsidRPr="00AB1EE0" w:rsidRDefault="00F236D5" w:rsidP="00F236D5">
      <w:pPr>
        <w:pStyle w:val="Bullet1G"/>
      </w:pPr>
      <w:r w:rsidRPr="00AB1EE0">
        <w:t>Realizar consultas y establecer cooperación con otras organizaciones;</w:t>
      </w:r>
    </w:p>
    <w:p w:rsidR="00F236D5" w:rsidRPr="00AB1EE0" w:rsidRDefault="00F236D5" w:rsidP="00F236D5">
      <w:pPr>
        <w:pStyle w:val="Bullet1G"/>
      </w:pPr>
      <w:r w:rsidRPr="00AB1EE0">
        <w:t>Investigar las violaciones de los derechos humanos;</w:t>
      </w:r>
    </w:p>
    <w:p w:rsidR="00F236D5" w:rsidRPr="00AB1EE0" w:rsidRDefault="00F236D5" w:rsidP="00F236D5">
      <w:pPr>
        <w:pStyle w:val="Bullet1G"/>
      </w:pPr>
      <w:r w:rsidRPr="00AB1EE0">
        <w:t>Iniciar actuaciones judiciales e intervenir en ellas;</w:t>
      </w:r>
    </w:p>
    <w:p w:rsidR="00F236D5" w:rsidRPr="00AB1EE0" w:rsidRDefault="00F236D5" w:rsidP="00F236D5">
      <w:pPr>
        <w:pStyle w:val="Bullet1G"/>
      </w:pPr>
      <w:r w:rsidRPr="00AB1EE0">
        <w:t>Presentar informes al Primer Ministro sobre la observancia, las normas internacionales y la legislación relativas a los derechos humanos;</w:t>
      </w:r>
    </w:p>
    <w:p w:rsidR="00F236D5" w:rsidRPr="00AB1EE0" w:rsidRDefault="00F236D5" w:rsidP="00F236D5">
      <w:pPr>
        <w:pStyle w:val="Bullet1G"/>
      </w:pPr>
      <w:r w:rsidRPr="00AB1EE0">
        <w:t>Elaborar un plan de acción nacional para la promoción de los derechos humanos.</w:t>
      </w:r>
    </w:p>
    <w:p w:rsidR="00F236D5" w:rsidRPr="00AB1EE0" w:rsidRDefault="00F236D5" w:rsidP="00F236D5">
      <w:pPr>
        <w:pStyle w:val="SingleTxtG"/>
      </w:pPr>
      <w:r w:rsidRPr="00AB1EE0">
        <w:t>216.</w:t>
      </w:r>
      <w:r w:rsidRPr="00AB1EE0">
        <w:tab/>
        <w:t>La Comisión de Derechos Humanos de Nueva Zelandia publica un informe anual sobre las relaciones interraciales en el que se examinan los acontecimientos ocurridos en el año anterior, el cumplimiento de las recomendaciones formuladas por los órganos creados en virtud de tratados y las prioridades para el año siguiente.</w:t>
      </w:r>
    </w:p>
    <w:p w:rsidR="00F236D5" w:rsidRPr="00AB1EE0" w:rsidRDefault="00F236D5" w:rsidP="00F236D5">
      <w:pPr>
        <w:pStyle w:val="SingleTxtG"/>
      </w:pPr>
      <w:r w:rsidRPr="00AB1EE0">
        <w:t>217.</w:t>
      </w:r>
      <w:r w:rsidRPr="00AB1EE0">
        <w:tab/>
        <w:t>La Comisión de Derechos Humanos de Nueva Zelandia tiene oficinas en las tres principales ciudades del país.</w:t>
      </w:r>
    </w:p>
    <w:p w:rsidR="00F236D5" w:rsidRPr="00AB1EE0" w:rsidRDefault="00F236D5" w:rsidP="00F236D5">
      <w:pPr>
        <w:pStyle w:val="H4G"/>
      </w:pPr>
      <w:r>
        <w:tab/>
      </w:r>
      <w:r w:rsidRPr="00AB1EE0">
        <w:t>b)</w:t>
      </w:r>
      <w:r w:rsidRPr="00AB1EE0">
        <w:tab/>
        <w:t>Plan de Acción de Nueva Zelandia para los Derechos Humanos</w:t>
      </w:r>
      <w:r w:rsidRPr="00AB1EE0">
        <w:tab/>
      </w:r>
    </w:p>
    <w:p w:rsidR="00F236D5" w:rsidRPr="00AB1EE0" w:rsidRDefault="00F236D5" w:rsidP="00F236D5">
      <w:pPr>
        <w:pStyle w:val="SingleTxtG"/>
      </w:pPr>
      <w:r w:rsidRPr="00AB1EE0">
        <w:t>218.</w:t>
      </w:r>
      <w:r w:rsidRPr="00AB1EE0">
        <w:tab/>
        <w:t>La Ley de enmienda de la Ley de derechos humanos de 2001 exigía</w:t>
      </w:r>
      <w:r>
        <w:t xml:space="preserve"> a</w:t>
      </w:r>
      <w:r w:rsidRPr="00AB1EE0">
        <w:t xml:space="preserve"> la Comisión de Derechos Humanos de Nueva Zelandia que elaborase un plan de acción nacional para la promoción de los derechos humanos. El Plan de Acción de Nueva Zelandia para los Derechos Humanos se hizo público en marzo de 2005 y contenía 178 prioridades de acción. En respuesta, el Gobierno ordenó a los departamentos que consideraran la puesta en práctica de esas prioridades como parte integral de sus actividades normales. También se alentó a los departamentos a que atendieran a las solicitudes de información formuladas por la Comisión de Derechos Humanos. Este enfoque propició el diálogo sostenido entre la Comisión y los departamentos del Gobierno.</w:t>
      </w:r>
    </w:p>
    <w:p w:rsidR="00F236D5" w:rsidRPr="00AB1EE0" w:rsidRDefault="00F236D5" w:rsidP="00F236D5">
      <w:pPr>
        <w:pStyle w:val="SingleTxtG"/>
      </w:pPr>
      <w:r w:rsidRPr="00AB1EE0">
        <w:t>219.</w:t>
      </w:r>
      <w:r w:rsidRPr="00AB1EE0">
        <w:tab/>
        <w:t>En 2008, la Comisión de Derechos Humanos realizó un examen de mitad de período del Plan de Acción de Nueva Zelandia para los Derechos Humanos. La Comisión observó que 21 de las prioridades de acción se habían cumplido y que con respecto a 132 de ellas se habían alcanzado algunos progresos, desde limitados hasta sustanciales. En 24 de esas esferas prioritarias no se había logrado avanzar (es decir, las cuestiones pertinentes no se habían integrado en el programa de trabajo del Gobierno). Entre los logros alcanzados cabe mencionar:</w:t>
      </w:r>
    </w:p>
    <w:p w:rsidR="00F236D5" w:rsidRPr="00AB1EE0" w:rsidRDefault="00F236D5" w:rsidP="00F236D5">
      <w:pPr>
        <w:pStyle w:val="Bullet1G"/>
      </w:pPr>
      <w:r w:rsidRPr="00AB1EE0">
        <w:t>Las medidas encaminadas a reducir la violencia contra los niños y jóvenes, incluida la enmienda del artículo 59 de la Ley sobre los delitos de 1961 (que permitía el uso razonable de la fuerza a efectos correccionales);</w:t>
      </w:r>
    </w:p>
    <w:p w:rsidR="00F236D5" w:rsidRPr="00AB1EE0" w:rsidRDefault="00F236D5" w:rsidP="00F236D5">
      <w:pPr>
        <w:pStyle w:val="Bullet1G"/>
      </w:pPr>
      <w:r w:rsidRPr="00AB1EE0">
        <w:t>Las medidas de reducción de la pobreza, incluidos los aumentos del salario mínimo;</w:t>
      </w:r>
    </w:p>
    <w:p w:rsidR="00F236D5" w:rsidRPr="00AB1EE0" w:rsidRDefault="00F236D5" w:rsidP="00F236D5">
      <w:pPr>
        <w:pStyle w:val="Bullet1G"/>
      </w:pPr>
      <w:r w:rsidRPr="00AB1EE0">
        <w:t>La instauración de la licencia parental remunerada;</w:t>
      </w:r>
    </w:p>
    <w:p w:rsidR="00F236D5" w:rsidRPr="00AB1EE0" w:rsidRDefault="00F236D5" w:rsidP="00F236D5">
      <w:pPr>
        <w:pStyle w:val="Bullet1G"/>
      </w:pPr>
      <w:r w:rsidRPr="00AB1EE0">
        <w:t>La ratificación de la Convención sobre los derechos de las personas con discapacidad;</w:t>
      </w:r>
    </w:p>
    <w:p w:rsidR="00F236D5" w:rsidRPr="00AB1EE0" w:rsidRDefault="00F236D5" w:rsidP="00F236D5">
      <w:pPr>
        <w:pStyle w:val="Bullet1G"/>
      </w:pPr>
      <w:r w:rsidRPr="00AB1EE0">
        <w:t>El reconocimiento del lenguaje por señas neozelandés como idioma oficial;</w:t>
      </w:r>
    </w:p>
    <w:p w:rsidR="00F236D5" w:rsidRPr="00AB1EE0" w:rsidRDefault="00F236D5" w:rsidP="00F236D5">
      <w:pPr>
        <w:pStyle w:val="Bullet1G"/>
      </w:pPr>
      <w:r w:rsidRPr="00AB1EE0">
        <w:t>La ratificación del Protocolo Facultativo de la Convención contra la Tortura y Otros Tratos o Penas Crueles, Inhumanos o Degradantes, que prevé las visitas de carácter preventivo a todos los establecimientos penitenciarios;</w:t>
      </w:r>
    </w:p>
    <w:p w:rsidR="00F236D5" w:rsidRPr="00AB1EE0" w:rsidRDefault="00F236D5" w:rsidP="00F236D5">
      <w:pPr>
        <w:pStyle w:val="Bullet1G"/>
      </w:pPr>
      <w:r w:rsidRPr="00AB1EE0">
        <w:t>Un mayor reconocimiento del derecho a la igualdad de los homosexuales, las lesbianas, los bisexuales y los transexuales, incluso en la Ley de unión civil de 2005.</w:t>
      </w:r>
    </w:p>
    <w:p w:rsidR="00F236D5" w:rsidRPr="00AB1EE0" w:rsidRDefault="00F236D5" w:rsidP="00F236D5">
      <w:pPr>
        <w:pStyle w:val="SingleTxtG"/>
      </w:pPr>
      <w:r w:rsidRPr="00AB1EE0">
        <w:t>220.</w:t>
      </w:r>
      <w:r w:rsidRPr="00AB1EE0">
        <w:tab/>
        <w:t>La Comisión de Derechos Humanos de Nueva Zelandia tiene previsto elaborar un segundo plan de acción para el período 2010-2015.</w:t>
      </w:r>
    </w:p>
    <w:p w:rsidR="00F236D5" w:rsidRPr="00AB1EE0" w:rsidRDefault="00F236D5" w:rsidP="00F236D5">
      <w:pPr>
        <w:pStyle w:val="H4G"/>
      </w:pPr>
      <w:r>
        <w:tab/>
      </w:r>
      <w:r w:rsidRPr="00AB1EE0">
        <w:t>c)</w:t>
      </w:r>
      <w:r w:rsidRPr="00AB1EE0">
        <w:tab/>
        <w:t>Educación e información en materia de derechos humanos</w:t>
      </w:r>
    </w:p>
    <w:p w:rsidR="00F236D5" w:rsidRPr="00AB1EE0" w:rsidRDefault="00F236D5" w:rsidP="00F236D5">
      <w:pPr>
        <w:pStyle w:val="SingleTxtG"/>
      </w:pPr>
      <w:r w:rsidRPr="00AB1EE0">
        <w:t>221.</w:t>
      </w:r>
      <w:r w:rsidRPr="00AB1EE0">
        <w:tab/>
        <w:t xml:space="preserve">La Comisión de Derechos Humanos de Nueva Zelandia proporciona información y educación en materia de derechos humanos de diversos modos. La Comisión dispone de una amplia página en la </w:t>
      </w:r>
      <w:r>
        <w:t>W</w:t>
      </w:r>
      <w:r w:rsidRPr="00AB1EE0">
        <w:t>eb que facilita a los usuarios el acceso en línea a la información sobre denuncias, artículos de prensa, recursos, comunicaciones, documentos de debate, respuestas a preguntas frecuentes y un calendario de actividades. Existe asimismo InfoLine, un servicio gratuito y confidencial para las personas que deseen obtener información o interponer denuncias. Mediante diversos boletines interactivos en línea y páginas de Facebook se facilita la participación de la comunidad en toda una gama de proyectos de la Comisión. La información sobre los derechos humanos también se difunde por conducto de publicaciones, en particular documentos de debate, folletos sobre los servicios de la Comisión, orientación respecto de situaciones concretas relacionadas con los derechos humanos, marcadores de página, tarjetas postales y carteles. La información de fondo se proporciona en varios idiomas, incluido el lenguaje por señas neozelandés, y en formatos accesibles, por ejemplo en letra grande.</w:t>
      </w:r>
    </w:p>
    <w:p w:rsidR="00F236D5" w:rsidRPr="00AB1EE0" w:rsidRDefault="00F236D5" w:rsidP="00F236D5">
      <w:pPr>
        <w:pStyle w:val="SingleTxtG"/>
      </w:pPr>
      <w:r w:rsidRPr="00AB1EE0">
        <w:t>222.</w:t>
      </w:r>
      <w:r w:rsidRPr="00AB1EE0">
        <w:tab/>
        <w:t xml:space="preserve">La Comisión de Derechos Humanos dispone de un grupo especializado de orientadores que imparte formación en derechos humanos a una amplia gama de actores de la sociedad civil y organizaciones públicas y privadas. Esos programas abarcan temas relacionados con la Ley de derechos humanos, la integración de los derechos humanos en la política y la práctica, el acoso sexual y racial y la intimidación, así como seminarios sobre los diversos instrumentos internacionales de derechos humanos, incluida la Convención sobre los derechos de las personas con discapacidad. En el marco del proyecto </w:t>
      </w:r>
      <w:r>
        <w:t>"</w:t>
      </w:r>
      <w:r w:rsidRPr="00AB1EE0">
        <w:t>Te Mana I Waitangi</w:t>
      </w:r>
      <w:r>
        <w:t>"</w:t>
      </w:r>
      <w:r w:rsidRPr="00AB1EE0">
        <w:t xml:space="preserve"> de la Comisión de Derechos Humanos de Nueva Zelandia se celebran en todo el país seminarios sobre los aspectos del Tratado de Waitangi relacionados con los derechos humanos.</w:t>
      </w:r>
    </w:p>
    <w:p w:rsidR="00F236D5" w:rsidRPr="00AB1EE0" w:rsidRDefault="00F236D5" w:rsidP="00F236D5">
      <w:pPr>
        <w:pStyle w:val="SingleTxtG"/>
      </w:pPr>
      <w:r w:rsidRPr="00AB1EE0">
        <w:t>223.</w:t>
      </w:r>
      <w:r w:rsidRPr="00AB1EE0">
        <w:tab/>
        <w:t xml:space="preserve">La Comisión de Derechos Humanos ha elaborado el programa </w:t>
      </w:r>
      <w:r w:rsidRPr="00AB1EE0">
        <w:rPr>
          <w:i/>
        </w:rPr>
        <w:t>Taku Manawa,</w:t>
      </w:r>
      <w:r w:rsidRPr="00AB1EE0">
        <w:t xml:space="preserve"> destinado a desarrollar la capacidad de las comunidades para hacer frente a situaciones relacionadas con los derechos humanos a nivel local. Mediante este programa se presta capacitación a los miembros de la comunidad para que puedan aplicar un enfoque basado en los derechos humanos al abogar por los intereses de grupos o personas de su comunidad. Los participantes en estas actividades de formación reciben créditos sobre la base del Marco de Calificaciones de Nueva Zelandia. El programa se ha puesto en marcha en tres regiones hasta la fecha.</w:t>
      </w:r>
    </w:p>
    <w:p w:rsidR="00F236D5" w:rsidRPr="00AB1EE0" w:rsidRDefault="00F236D5" w:rsidP="00F236D5">
      <w:pPr>
        <w:pStyle w:val="SingleTxtG"/>
      </w:pPr>
      <w:r w:rsidRPr="00AB1EE0">
        <w:t>224.</w:t>
      </w:r>
      <w:r w:rsidRPr="00AB1EE0">
        <w:tab/>
        <w:t>La Comisión de Derechos Humanos es la encargada del Programa de acción sobre la diversidad de Nueva Zelandia. En el marco de este programa, 250 organismos gubernamentales y organizaciones de la comunidad y del sector privado inscriben cada año los proyectos que organizan en apoyo de la diversidad cultural, la igualdad y la armonía en las relaciones interraciales. La Comisión de Derechos Humanos proporciona información, apoyo e intercambio de buenas prácticas por conducto de las cuatro redes temáticas que participan en el programa, así como de un foro anual sobre la diversidad.</w:t>
      </w:r>
    </w:p>
    <w:p w:rsidR="00F236D5" w:rsidRPr="00AB1EE0" w:rsidRDefault="00F236D5" w:rsidP="00F236D5">
      <w:pPr>
        <w:pStyle w:val="H4G"/>
      </w:pPr>
      <w:r>
        <w:tab/>
      </w:r>
      <w:r w:rsidRPr="00AB1EE0">
        <w:t>d)</w:t>
      </w:r>
      <w:r w:rsidRPr="00AB1EE0">
        <w:tab/>
        <w:t>Educación en materia de derechos humanos para el sector público</w:t>
      </w:r>
    </w:p>
    <w:p w:rsidR="00F236D5" w:rsidRPr="00AB1EE0" w:rsidRDefault="00F236D5" w:rsidP="00F236D5">
      <w:pPr>
        <w:pStyle w:val="SingleTxtG"/>
      </w:pPr>
      <w:r w:rsidRPr="00AB1EE0">
        <w:t>225.</w:t>
      </w:r>
      <w:r w:rsidRPr="00AB1EE0">
        <w:tab/>
        <w:t xml:space="preserve">La Comisión de Derechos Humanos de Nueva Zelandia colabora con una amplia gama de organismos gubernamentales a fin de integrar la perspectiva de derechos humanos en las políticas y prácticas de esas entidades. Hasta la fecha esta colaboración se ha establecido con la Policía de Nueva Zelandia, el Ministerio de Relaciones Exteriores y Comercio y la Administración Penitenciaria. </w:t>
      </w:r>
    </w:p>
    <w:p w:rsidR="00F236D5" w:rsidRPr="00AB1EE0" w:rsidRDefault="00F236D5" w:rsidP="00F236D5">
      <w:pPr>
        <w:pStyle w:val="SingleTxtG"/>
      </w:pPr>
      <w:r w:rsidRPr="00AB1EE0">
        <w:t>226.</w:t>
      </w:r>
      <w:r w:rsidRPr="00AB1EE0">
        <w:tab/>
        <w:t>En Nueva Zelandia no existe ningún programa coordinado de educación en materia de derechos humanos específicamente concebido para las autoridades locales. Más bien, cada autoridad tiene la responsabilidad de cerciorarse de que todos los empleados comprenden y pueden aplicar en la práctica las normas de derechos humanos correspondientes (como las enu</w:t>
      </w:r>
      <w:r>
        <w:t>nciadas en la Carta de Derechos). La L</w:t>
      </w:r>
      <w:r w:rsidRPr="00AB1EE0">
        <w:t>ey de gobierno local de 2002 exige que todas las autoridades locales tengan en cuenta las necesidades de desarrollo social, económico, ambiental y cultural de</w:t>
      </w:r>
      <w:r>
        <w:t xml:space="preserve"> sus comunidades y consulten a e</w:t>
      </w:r>
      <w:r w:rsidRPr="00AB1EE0">
        <w:t>stas al respecto.</w:t>
      </w:r>
    </w:p>
    <w:p w:rsidR="00F236D5" w:rsidRPr="00AB1EE0" w:rsidRDefault="00F236D5" w:rsidP="00F236D5">
      <w:pPr>
        <w:pStyle w:val="SingleTxtG"/>
      </w:pPr>
      <w:r w:rsidRPr="00AB1EE0">
        <w:t>227.</w:t>
      </w:r>
      <w:r w:rsidRPr="00AB1EE0">
        <w:tab/>
        <w:t>Cierto número de autoridades locales ha recibido formación en materia de derechos humanos por conducto del programa de participación regional de la Comisión de Derechos Humanos de Nueva Zelandia, que incluye la colaboración con la Comisión de Derechos Humanos y grupos comunitarios en el marco de determinadas actividades de derechos humanos, como el Día de las Relaciones Interraciales.</w:t>
      </w:r>
    </w:p>
    <w:p w:rsidR="00F236D5" w:rsidRPr="00AB1EE0" w:rsidRDefault="00F236D5" w:rsidP="00F236D5">
      <w:pPr>
        <w:pStyle w:val="H23G"/>
      </w:pPr>
      <w:r>
        <w:tab/>
      </w:r>
      <w:r w:rsidRPr="00AB1EE0">
        <w:t>3.</w:t>
      </w:r>
      <w:r>
        <w:tab/>
      </w:r>
      <w:r w:rsidRPr="00AB1EE0">
        <w:t>Promoción de la sensibilización en materia de derechos humanos mediante</w:t>
      </w:r>
      <w:r>
        <w:br/>
      </w:r>
      <w:r w:rsidRPr="00AB1EE0">
        <w:t xml:space="preserve">programas de educación y actividades de información pública organizadas </w:t>
      </w:r>
      <w:r>
        <w:br/>
      </w:r>
      <w:r w:rsidRPr="00AB1EE0">
        <w:t>por organismos gubernamentales</w:t>
      </w:r>
    </w:p>
    <w:p w:rsidR="00F236D5" w:rsidRPr="00AB1EE0" w:rsidRDefault="00F236D5" w:rsidP="00F236D5">
      <w:pPr>
        <w:pStyle w:val="SingleTxtG"/>
      </w:pPr>
      <w:r w:rsidRPr="00AB1EE0">
        <w:t>228.</w:t>
      </w:r>
      <w:r w:rsidRPr="00AB1EE0">
        <w:tab/>
        <w:t>Entre los principios básicos del nuevo plan de educación nacional se incluyen el reconocimiento de la importancia del Tratado de Waitangi, la diversidad cultural y la inclusión (que supone una actitud no sexista, no racista y no discriminatoria). Además, en la declaración de valores se alienta a los estudiantes a respetarse a sí mismos y a los demás y se hace hincapié en los derechos humanos. Los derechos humanos figuran en dos de los objetivos de rendimiento facultativos en la disciplina de estudios sociales para los alumnos de 13 a 16 años de edad.</w:t>
      </w:r>
    </w:p>
    <w:p w:rsidR="00F236D5" w:rsidRPr="00AB1EE0" w:rsidRDefault="00F236D5" w:rsidP="00F236D5">
      <w:pPr>
        <w:pStyle w:val="H4G"/>
      </w:pPr>
      <w:r>
        <w:tab/>
      </w:r>
      <w:r>
        <w:tab/>
      </w:r>
      <w:r w:rsidRPr="00AB1EE0">
        <w:t>Educación en materia de derechos humanos en las instituciones de educación superior</w:t>
      </w:r>
    </w:p>
    <w:p w:rsidR="00F236D5" w:rsidRPr="00AB1EE0" w:rsidRDefault="00F236D5" w:rsidP="00F236D5">
      <w:pPr>
        <w:pStyle w:val="SingleTxtG"/>
      </w:pPr>
      <w:r w:rsidRPr="00AB1EE0">
        <w:t>229.</w:t>
      </w:r>
      <w:r w:rsidRPr="00AB1EE0">
        <w:tab/>
        <w:t xml:space="preserve">El Marco de Calificaciones de Nueva Zelandia proporciona una serie de indicadores estándar en relación con los derechos humanos. Entre los proveedores acreditados figuran institutos de tecnología, </w:t>
      </w:r>
      <w:r w:rsidRPr="00D478DF">
        <w:rPr>
          <w:i/>
        </w:rPr>
        <w:t>wananga</w:t>
      </w:r>
      <w:r w:rsidRPr="00AB1EE0">
        <w:t xml:space="preserve"> (centros de formación e investigaciones maoríes), organizaciones de capacitación industrial, instituciones educativas privadas, </w:t>
      </w:r>
      <w:r>
        <w:t>ONG</w:t>
      </w:r>
      <w:r w:rsidRPr="00AB1EE0">
        <w:t xml:space="preserve"> y algunos grupos comunitarios. Muchos cursos universitarios incluyen componentes de derechos humanos, especialmente en los programas académicos de derecho, ciencias sociales y estudios comerciales.</w:t>
      </w:r>
    </w:p>
    <w:p w:rsidR="00F236D5" w:rsidRPr="00AB1EE0" w:rsidRDefault="00F236D5" w:rsidP="00F236D5">
      <w:pPr>
        <w:pStyle w:val="SingleTxtG"/>
      </w:pPr>
      <w:r w:rsidRPr="00AB1EE0">
        <w:t>230.</w:t>
      </w:r>
      <w:r w:rsidRPr="00AB1EE0">
        <w:tab/>
        <w:t>Como parte de su función de promoción, la Oficina del Comisionado de la Infancia ofrece información y asesoramiento con respecto a la aplicación de la Convención sobre los Derechos del Niño. En particular, la Oficina organiza seminarios de capacitación sobre los derechos del niño en la educación destinados a las personas que ayudan a resolver problemas que afectan a los niños, como los relacionados con su exclusión de la enseñanza por motivos de discapacidad o procesos disciplinarios.</w:t>
      </w:r>
    </w:p>
    <w:p w:rsidR="00F236D5" w:rsidRPr="00AB1EE0" w:rsidRDefault="00F236D5" w:rsidP="00F236D5">
      <w:pPr>
        <w:pStyle w:val="H23G"/>
      </w:pPr>
      <w:r>
        <w:tab/>
      </w:r>
      <w:r w:rsidRPr="00AB1EE0">
        <w:t>4.</w:t>
      </w:r>
      <w:r w:rsidRPr="00AB1EE0">
        <w:tab/>
        <w:t>Función de la sociedad civil, incluidas las organizaciones no gubernamentales</w:t>
      </w:r>
    </w:p>
    <w:p w:rsidR="00F236D5" w:rsidRPr="00AB1EE0" w:rsidRDefault="00F236D5" w:rsidP="00F236D5">
      <w:pPr>
        <w:pStyle w:val="SingleTxtG"/>
      </w:pPr>
      <w:r w:rsidRPr="00AB1EE0">
        <w:t>231.</w:t>
      </w:r>
      <w:r w:rsidRPr="00AB1EE0">
        <w:tab/>
        <w:t xml:space="preserve">Las </w:t>
      </w:r>
      <w:r>
        <w:t>ONG</w:t>
      </w:r>
      <w:r w:rsidRPr="00AB1EE0">
        <w:t xml:space="preserve"> desempeñan un papel activo en la promoción y protección de los derechos humanos en Nueva Zelandia. En el país existe un gran número de estas organizaciones, muchas de las cuales funcionan como grupos de presión que presentan peticiones al Gobierno sobre cuestiones que les preocupan en particular. Algunas de esas organizaciones han recibido financiación del Gobierno en apoyo de su labor.</w:t>
      </w:r>
    </w:p>
    <w:p w:rsidR="00F236D5" w:rsidRPr="00AB1EE0" w:rsidRDefault="00F236D5" w:rsidP="00F236D5">
      <w:pPr>
        <w:pStyle w:val="SingleTxtG"/>
      </w:pPr>
      <w:r w:rsidRPr="00AB1EE0">
        <w:t>232.</w:t>
      </w:r>
      <w:r w:rsidRPr="00AB1EE0">
        <w:tab/>
        <w:t xml:space="preserve">La iniciativa Educación sobre Derechos Humanos o Maori Mana Tika Tangata fue lanzada inicialmente </w:t>
      </w:r>
      <w:r>
        <w:t>por Amnistía Internacional,</w:t>
      </w:r>
      <w:r w:rsidRPr="00AB1EE0">
        <w:t xml:space="preserve"> el Comisionado de la Infancia, El Centro de Recursos para el Desarrollo, la Comisión de Derechos Humanos de Nueva Zelandia y la Fundación para la Paz. En el marco de este programa se presta asistencia a escuelas y centros de educación preescolar para fomentar su desarrollo como comunidades que comprenden, promueven y practican sus responsabilidades en materia de derechos humanos.</w:t>
      </w:r>
    </w:p>
    <w:p w:rsidR="00F236D5" w:rsidRPr="00AB1EE0" w:rsidRDefault="00F236D5" w:rsidP="00F236D5">
      <w:pPr>
        <w:pStyle w:val="SingleTxtG"/>
      </w:pPr>
      <w:r w:rsidRPr="00AB1EE0">
        <w:t>233.</w:t>
      </w:r>
      <w:r w:rsidRPr="00AB1EE0">
        <w:tab/>
        <w:t xml:space="preserve">Otras </w:t>
      </w:r>
      <w:r>
        <w:t>ONG</w:t>
      </w:r>
      <w:r w:rsidRPr="00AB1EE0">
        <w:t xml:space="preserve"> también ofrecen programas diseñados específicamente para las escuelas, como el Programa de fomento de la cultura de la paz y el Programa de mediación entre compañeros de escuela (Organización de las Naciones Unidas para la Educación, la Ciencia y la Cultura (UNESCO), 2000). Algunos programas han centrado la atención en los medios de hacer frente a la vulnerabilidad de los estudiantes al acoso y la intimidación e incluyen un análisis de la discriminación que sufren los estudiantes con discapacidad, así como cursos sobre cuestiones relativas a la orientación y la identidad sexuales.</w:t>
      </w:r>
    </w:p>
    <w:p w:rsidR="00F236D5" w:rsidRPr="00AB1EE0" w:rsidRDefault="00F236D5" w:rsidP="00F236D5">
      <w:pPr>
        <w:pStyle w:val="H23G"/>
      </w:pPr>
      <w:r>
        <w:tab/>
      </w:r>
      <w:r w:rsidRPr="00AB1EE0">
        <w:t>5.</w:t>
      </w:r>
      <w:r w:rsidRPr="00AB1EE0">
        <w:tab/>
        <w:t>Promoción de la sensibilización en materia de derechos humanos a través</w:t>
      </w:r>
      <w:r w:rsidR="003A76E8">
        <w:br/>
      </w:r>
      <w:r w:rsidRPr="00AB1EE0">
        <w:t>de los medios de comunicación</w:t>
      </w:r>
    </w:p>
    <w:p w:rsidR="00F236D5" w:rsidRPr="00AB1EE0" w:rsidRDefault="00F236D5" w:rsidP="00F236D5">
      <w:pPr>
        <w:pStyle w:val="SingleTxtG"/>
      </w:pPr>
      <w:r w:rsidRPr="00AB1EE0">
        <w:t>234.</w:t>
      </w:r>
      <w:r w:rsidRPr="00AB1EE0">
        <w:tab/>
        <w:t>En Nueva Zelandia los medios de comunicación gozan de un alto grado de libertad, lo que hace que la prensa, la radio, la televisión y la Internet desempeñen un papel importante en la divulgación de los casos de violación de los derechos humanos y la exigencia de recursos legales eficaces. Los medios de comunicación son libres de informar sobre las decisiones parlamentarias y judiciales relacionadas con los derechos humanos y a menudo suscitan debates parlamentarios a raíz de la cobertura mediática de algún tema concreto.</w:t>
      </w:r>
    </w:p>
    <w:p w:rsidR="00F236D5" w:rsidRPr="00AB1EE0" w:rsidRDefault="00F236D5" w:rsidP="00F236D5">
      <w:pPr>
        <w:pStyle w:val="H23G"/>
      </w:pPr>
      <w:r>
        <w:tab/>
      </w:r>
      <w:r w:rsidRPr="00AB1EE0">
        <w:t>6.</w:t>
      </w:r>
      <w:r w:rsidRPr="00AB1EE0">
        <w:tab/>
        <w:t>Cooperación y asistencia para el desarrollo</w:t>
      </w:r>
    </w:p>
    <w:p w:rsidR="00F236D5" w:rsidRPr="00AB1EE0" w:rsidRDefault="00F236D5" w:rsidP="00F236D5">
      <w:pPr>
        <w:pStyle w:val="SingleTxtG"/>
      </w:pPr>
      <w:r w:rsidRPr="00AB1EE0">
        <w:t>235.</w:t>
      </w:r>
      <w:r w:rsidRPr="00AB1EE0">
        <w:tab/>
        <w:t>Nueva Zelandia tiene un inquebrantable compromiso en el plano internacional con la protección y promoción de los derechos humanos consagrados en la Declaración Universal de Derechos Humanos y en los principales tratados de derechos humanos. Nueva Zelandia procura defender y promover los derechos humanos a nivel internacional en el marco de los foros multilaterales sobre derechos humanos, centrando especialmente la atención en los períodos de sesiones del Consejo de Derechos Humanos en Ginebra, las sesiones de la Tercera Comisión de la Asamblea General en Nueva York y las negociaciones relativas a nuevos instrumentos internacionales de derechos humanos.</w:t>
      </w:r>
    </w:p>
    <w:p w:rsidR="00F236D5" w:rsidRPr="00AB1EE0" w:rsidRDefault="00F236D5" w:rsidP="00F236D5">
      <w:pPr>
        <w:pStyle w:val="SingleTxtG"/>
      </w:pPr>
      <w:r w:rsidRPr="00AB1EE0">
        <w:t>236.</w:t>
      </w:r>
      <w:r w:rsidRPr="00AB1EE0">
        <w:tab/>
        <w:t>Nueva Zelandia también está empeñada en la promoción de los derechos humanos en la región de Asia y el Pacífico y en los países con los que tiene relaciones bilaterales mediante el intercambio de opiniones en materia de derechos humanos y la prestación de asistencia práctica. El objetivo estratégico del programa gubernamental de ayuda y desarrollo en el plano internacional es el desarrollo sostenible de los países en desarrollo a fin de reducir la pobreza y contribuir al logro de un mundo más seguro, equitativo y próspero. Los derechos humanos constituyen un tema que permea todos los aspectos del programa de ayuda y ello redunda en el logro de un desarrollo más pleno.</w:t>
      </w:r>
    </w:p>
    <w:p w:rsidR="00F236D5" w:rsidRPr="00AB1EE0" w:rsidRDefault="00F236D5" w:rsidP="00F236D5">
      <w:pPr>
        <w:pStyle w:val="H1G"/>
        <w:rPr>
          <w:lang w:val="es-ES_tradnl"/>
        </w:rPr>
      </w:pPr>
      <w:r>
        <w:tab/>
      </w:r>
      <w:r w:rsidRPr="00AB1EE0">
        <w:t>D.</w:t>
      </w:r>
      <w:r w:rsidRPr="00AB1EE0">
        <w:tab/>
      </w:r>
      <w:r w:rsidRPr="00AB1EE0">
        <w:rPr>
          <w:lang w:val="es-ES_tradnl"/>
        </w:rPr>
        <w:t>Importancia de la presentación de informes en la promoción</w:t>
      </w:r>
      <w:r w:rsidR="003A76E8">
        <w:rPr>
          <w:lang w:val="es-ES_tradnl"/>
        </w:rPr>
        <w:br/>
      </w:r>
      <w:r w:rsidRPr="00AB1EE0">
        <w:rPr>
          <w:lang w:val="es-ES_tradnl"/>
        </w:rPr>
        <w:t>de los derechos</w:t>
      </w:r>
      <w:r>
        <w:rPr>
          <w:lang w:val="es-ES_tradnl"/>
        </w:rPr>
        <w:t xml:space="preserve"> </w:t>
      </w:r>
      <w:r w:rsidRPr="00AB1EE0">
        <w:rPr>
          <w:lang w:val="es-ES_tradnl"/>
        </w:rPr>
        <w:t>humanos en el plano nacional</w:t>
      </w:r>
    </w:p>
    <w:p w:rsidR="00F236D5" w:rsidRPr="00AB1EE0" w:rsidRDefault="00F236D5" w:rsidP="00F236D5">
      <w:pPr>
        <w:pStyle w:val="H23G"/>
        <w:rPr>
          <w:lang w:val="es-ES_tradnl"/>
        </w:rPr>
      </w:pPr>
      <w:r>
        <w:rPr>
          <w:lang w:val="es-ES_tradnl"/>
        </w:rPr>
        <w:tab/>
      </w:r>
      <w:r>
        <w:rPr>
          <w:lang w:val="es-ES_tradnl"/>
        </w:rPr>
        <w:tab/>
      </w:r>
      <w:r w:rsidRPr="00AB1EE0">
        <w:rPr>
          <w:lang w:val="es-ES_tradnl"/>
        </w:rPr>
        <w:t>Estructura nacional de coordinación de la presentación de informes en virtud de tratados</w:t>
      </w:r>
    </w:p>
    <w:p w:rsidR="00F236D5" w:rsidRPr="00AB1EE0" w:rsidRDefault="00F236D5" w:rsidP="00F236D5">
      <w:pPr>
        <w:pStyle w:val="SingleTxtG"/>
      </w:pPr>
      <w:r w:rsidRPr="00AB1EE0">
        <w:rPr>
          <w:bCs/>
          <w:lang w:val="es-ES_tradnl"/>
        </w:rPr>
        <w:t>237.</w:t>
      </w:r>
      <w:r w:rsidRPr="00AB1EE0">
        <w:tab/>
        <w:t xml:space="preserve">El Ministerio de Relaciones Exteriores y Comercio tiene a su cargo la coordinación general de la elaboración de los informes periódicos de Nueva Zelandia a los órganos de las Naciones Unidas creados en virtud de tratados de derechos humanos. El Ministerio de Asuntos de la Mujer y el Ministerio de Desarrollo Social preparan los informes relacionados con la Convención sobre la eliminación de todas las formas de discriminación contra la mujer y la Convención sobre los Derechos del Niño, respectivamente. El Ministerio de Justicia elabora los informes de Nueva Zelandia previstos en el Pacto Internacional de Derechos Civiles y Políticos, el Pacto Internacional de Derechos Económicos, Sociales y Culturales, la Convención Internacional sobre la Eliminación de todas las Formas de Discriminación Racial y la </w:t>
      </w:r>
      <w:r w:rsidRPr="00AB1EE0">
        <w:rPr>
          <w:lang w:val="es-ES_tradnl"/>
        </w:rPr>
        <w:t>Convención contra la Tortura y Otros Tratos o Penas Crueles, Inhumanos o Degradantes</w:t>
      </w:r>
      <w:r w:rsidRPr="00AB1EE0">
        <w:t>. La Oficina de Asuntos de Discapacidad prepara los informes de Nueva Zelandia presentados en vir</w:t>
      </w:r>
      <w:r>
        <w:t>tud de la Convención sobre los d</w:t>
      </w:r>
      <w:r w:rsidRPr="00AB1EE0">
        <w:t xml:space="preserve">erechos de las </w:t>
      </w:r>
      <w:r>
        <w:t>p</w:t>
      </w:r>
      <w:r w:rsidRPr="00AB1EE0">
        <w:t xml:space="preserve">ersonas con </w:t>
      </w:r>
      <w:r>
        <w:t>d</w:t>
      </w:r>
      <w:r w:rsidRPr="00AB1EE0">
        <w:t>iscapacidad.</w:t>
      </w:r>
    </w:p>
    <w:p w:rsidR="00F236D5" w:rsidRPr="00AB1EE0" w:rsidRDefault="00F236D5" w:rsidP="00F236D5">
      <w:pPr>
        <w:pStyle w:val="H4G"/>
      </w:pPr>
      <w:r>
        <w:tab/>
      </w:r>
      <w:r w:rsidRPr="00AB1EE0">
        <w:t>a)</w:t>
      </w:r>
      <w:r w:rsidRPr="00AB1EE0">
        <w:tab/>
        <w:t>Participación de los departamentos, las institucio</w:t>
      </w:r>
      <w:r>
        <w:t>nes y los funcionarios públicos</w:t>
      </w:r>
      <w:r>
        <w:br/>
      </w:r>
      <w:r w:rsidRPr="00AB1EE0">
        <w:t>a nivel nacional y participación de las entidades no gubernamentales</w:t>
      </w:r>
    </w:p>
    <w:p w:rsidR="00F236D5" w:rsidRPr="00AB1EE0" w:rsidRDefault="00F236D5" w:rsidP="00F236D5">
      <w:pPr>
        <w:pStyle w:val="SingleTxtG"/>
      </w:pPr>
      <w:r w:rsidRPr="00AB1EE0">
        <w:t>238.</w:t>
      </w:r>
      <w:r w:rsidRPr="00AB1EE0">
        <w:tab/>
        <w:t xml:space="preserve">Los informes (incluido el documento básico común) se preparan sobre la base de la información facilitada por una amplia gama de departamentos y organismos públicos. Oportunamente se ponen a disposición de la Comisión de Derechos Humanos de Nueva Zelandia y de las organizaciones de la sociedad civil para que aporten observaciones al respecto. Además, pueden consultarse en el sitio web del Ministerio. El Pacto Internacional de Derechos Civiles </w:t>
      </w:r>
      <w:r>
        <w:t xml:space="preserve">y Políticos (y </w:t>
      </w:r>
      <w:r w:rsidRPr="00AB1EE0">
        <w:t xml:space="preserve">su </w:t>
      </w:r>
      <w:r>
        <w:t>p</w:t>
      </w:r>
      <w:r w:rsidRPr="00AB1EE0">
        <w:t>rimer Protocolo Facultativo), la Convención sobre la eliminación de todas las formas de discriminación contra la mujer (y su Protocolo Facultativo) y la Convención sobre los Derechos del Niño se han traducido al maorí.</w:t>
      </w:r>
    </w:p>
    <w:p w:rsidR="00F236D5" w:rsidRPr="00AB1EE0" w:rsidRDefault="00F236D5" w:rsidP="00F236D5">
      <w:pPr>
        <w:pStyle w:val="H4G"/>
      </w:pPr>
      <w:r>
        <w:tab/>
      </w:r>
      <w:r w:rsidRPr="00AB1EE0">
        <w:t>b)</w:t>
      </w:r>
      <w:r w:rsidRPr="00AB1EE0">
        <w:tab/>
        <w:t>Función de la legislatura</w:t>
      </w:r>
    </w:p>
    <w:p w:rsidR="00F236D5" w:rsidRPr="00AB1EE0" w:rsidRDefault="00F236D5" w:rsidP="00F236D5">
      <w:pPr>
        <w:pStyle w:val="SingleTxtG"/>
      </w:pPr>
      <w:r w:rsidRPr="00AB1EE0">
        <w:t>239.</w:t>
      </w:r>
      <w:r w:rsidRPr="00AB1EE0">
        <w:tab/>
        <w:t xml:space="preserve">Los informes de Nueva Zelandia se </w:t>
      </w:r>
      <w:r>
        <w:t>presentan al Gabinete para que e</w:t>
      </w:r>
      <w:r w:rsidRPr="00AB1EE0">
        <w:t>ste los apruebe antes de su presentación a la Secretaría de las Naciones Unidas.</w:t>
      </w:r>
    </w:p>
    <w:p w:rsidR="00F236D5" w:rsidRPr="00AB1EE0" w:rsidRDefault="00F236D5" w:rsidP="00F236D5">
      <w:pPr>
        <w:pStyle w:val="H4G"/>
      </w:pPr>
      <w:r>
        <w:tab/>
      </w:r>
      <w:r w:rsidRPr="00AB1EE0">
        <w:t>c)</w:t>
      </w:r>
      <w:r w:rsidRPr="00AB1EE0">
        <w:tab/>
        <w:t>Publicación de los informes</w:t>
      </w:r>
    </w:p>
    <w:p w:rsidR="00F236D5" w:rsidRPr="00AB1EE0" w:rsidRDefault="00F236D5" w:rsidP="00F236D5">
      <w:pPr>
        <w:pStyle w:val="SingleTxtG"/>
      </w:pPr>
      <w:r w:rsidRPr="00AB1EE0">
        <w:t>240.</w:t>
      </w:r>
      <w:r w:rsidRPr="00AB1EE0">
        <w:tab/>
        <w:t>En el sitio web del Ministerio de Relaciones Exteriores y Comercio está disponible gratuitamente</w:t>
      </w:r>
      <w:r>
        <w:t xml:space="preserve"> </w:t>
      </w:r>
      <w:r w:rsidRPr="00AB1EE0">
        <w:t>al público en general un resumen del examen de los informes periódicos de Nueva Zelandia que realizan los distintos órganos de las Naciones Unidas creados en virtud de tratados de derechos humanos, incluidas las preguntas específicas formuladas por los distintos comités.</w:t>
      </w:r>
    </w:p>
    <w:p w:rsidR="00F236D5" w:rsidRPr="00AB1EE0" w:rsidRDefault="00F236D5" w:rsidP="00F236D5">
      <w:pPr>
        <w:pStyle w:val="HChG"/>
      </w:pPr>
      <w:r>
        <w:tab/>
      </w:r>
      <w:r w:rsidRPr="00AB1EE0">
        <w:t>III.</w:t>
      </w:r>
      <w:r w:rsidRPr="00AB1EE0">
        <w:tab/>
        <w:t xml:space="preserve">Información sobre no discriminación e igualdad y </w:t>
      </w:r>
      <w:r>
        <w:br/>
      </w:r>
      <w:r w:rsidRPr="00AB1EE0">
        <w:t xml:space="preserve">recursos eficaces </w:t>
      </w:r>
    </w:p>
    <w:p w:rsidR="00F236D5" w:rsidRPr="00AB1EE0" w:rsidRDefault="00F236D5" w:rsidP="00F236D5">
      <w:pPr>
        <w:pStyle w:val="H1G"/>
      </w:pPr>
      <w:r>
        <w:tab/>
      </w:r>
      <w:r w:rsidRPr="00AB1EE0">
        <w:t>A.</w:t>
      </w:r>
      <w:r w:rsidRPr="00AB1EE0">
        <w:tab/>
        <w:t>No discriminación e igualdad</w:t>
      </w:r>
    </w:p>
    <w:p w:rsidR="00F236D5" w:rsidRPr="00AB1EE0" w:rsidRDefault="00F236D5" w:rsidP="00F236D5">
      <w:pPr>
        <w:pStyle w:val="SingleTxtG"/>
      </w:pPr>
      <w:r w:rsidRPr="00AB1EE0">
        <w:t>241.</w:t>
      </w:r>
      <w:r w:rsidRPr="00AB1EE0">
        <w:tab/>
        <w:t>El principio de no discriminación está consagrado en el artículo 19 de la Carta de Derechos</w:t>
      </w:r>
      <w:r>
        <w:t>y en las partes 1</w:t>
      </w:r>
      <w:r w:rsidRPr="00AB1EE0">
        <w:t>A y 2 de la Ley de derechos humanos.</w:t>
      </w:r>
    </w:p>
    <w:p w:rsidR="00F236D5" w:rsidRDefault="00F236D5" w:rsidP="00F236D5">
      <w:pPr>
        <w:pStyle w:val="SingleTxtG"/>
      </w:pPr>
      <w:r w:rsidRPr="00AB1EE0">
        <w:rPr>
          <w:lang w:val="es-ES_tradnl"/>
        </w:rPr>
        <w:t>242.</w:t>
      </w:r>
      <w:r w:rsidRPr="00AB1EE0">
        <w:rPr>
          <w:lang w:val="es-ES_tradnl"/>
        </w:rPr>
        <w:tab/>
        <w:t>La Ley de relaciones laborales de 2000 y la Ley sobre la igualdad de remuneración de 1972 contienen salvaguardias contra la discriminación en el trabajo por motivos de género. Los empleados que consideren que han sufrido discriminación por razón de su género pueden interponer una denuncia de agravio personal contra el empleador al amparo de la Ley de relaciones laborales; pueden formular una reclamación ante la Inspección General de Trabajo del Departamento de Trabajo acogiéndose a la Ley sobre la igualdad de remuneración; o pueden presentar una queja a la Comisión de Derechos Humanos de Nueva Zelandia en virtud de la Ley de derechos humanos. Existe una variada documentación accesible al público en la que se explican los procedimientos y recursos legales previstos en las leyes mencionadas</w:t>
      </w:r>
      <w:r>
        <w:rPr>
          <w:lang w:val="es-ES_tradnl"/>
        </w:rPr>
        <w:t>.</w:t>
      </w:r>
    </w:p>
    <w:p w:rsidR="00F236D5" w:rsidRDefault="00F236D5" w:rsidP="00F236D5">
      <w:pPr>
        <w:pStyle w:val="SingleTxtG"/>
        <w:rPr>
          <w:lang w:val="es-ES_tradnl"/>
        </w:rPr>
      </w:pPr>
      <w:r>
        <w:rPr>
          <w:lang w:val="es-ES_tradnl"/>
        </w:rPr>
        <w:t>243.</w:t>
      </w:r>
      <w:r>
        <w:rPr>
          <w:lang w:val="es-ES_tradnl"/>
        </w:rPr>
        <w:tab/>
        <w:t xml:space="preserve">La Comisión de Derechos Humanos de Nueva Zelandia vigila la situación relativa a la observancia de los derechos humanos, entre otras cosas mediante su informe quinquenal </w:t>
      </w:r>
      <w:r>
        <w:rPr>
          <w:i/>
          <w:iCs/>
          <w:lang w:val="es-ES_tradnl"/>
        </w:rPr>
        <w:t>Human Rights in New Zealand Today</w:t>
      </w:r>
      <w:r>
        <w:rPr>
          <w:iCs/>
          <w:lang w:val="es-ES_tradnl"/>
        </w:rPr>
        <w:t>. La Comisión también publica un censo bienal de mujeres en puestos de liderazgo, realiza una encuesta anual sobre las percepciones de la población respecto de la discriminación y publica un informe anual sobre el cumplimiento de las disposiciones</w:t>
      </w:r>
      <w:r>
        <w:rPr>
          <w:lang w:val="es-ES_tradnl"/>
        </w:rPr>
        <w:t xml:space="preserve"> de buen empleador y de igualdad de oportunidades de empleo contenidas en la Ley del sector estatal </w:t>
      </w:r>
      <w:r>
        <w:rPr>
          <w:iCs/>
          <w:lang w:val="es-ES_tradnl"/>
        </w:rPr>
        <w:t>por las entidades de la Corona</w:t>
      </w:r>
      <w:r>
        <w:rPr>
          <w:lang w:val="es-ES_tradnl"/>
        </w:rPr>
        <w:t>.</w:t>
      </w:r>
    </w:p>
    <w:p w:rsidR="00F236D5" w:rsidRDefault="00F236D5" w:rsidP="00F236D5">
      <w:pPr>
        <w:pStyle w:val="SingleTxtG"/>
        <w:rPr>
          <w:lang w:val="es-ES_tradnl"/>
        </w:rPr>
      </w:pPr>
      <w:r>
        <w:rPr>
          <w:lang w:val="es-ES_tradnl"/>
        </w:rPr>
        <w:t>244.</w:t>
      </w:r>
      <w:r>
        <w:rPr>
          <w:lang w:val="es-ES_tradnl"/>
        </w:rPr>
        <w:tab/>
        <w:t>Para satisfacer el requisito de "buen empleador", los directores generales de los organismos estatales de Nueva Zelandia deben poner en práctica una política de personal que incluya las siguientes disposiciones, entre otras: un programa de igualdad de oportunidades de empleo; el reconocimiento de la necesidad de una mayor participación de los maoríes en la administración pública; el reconocimiento de las necesidades de empleo y las diferencias culturales de los grupos étnicos o minoritarios; el reconocimiento de las necesidades de empleo de las mujeres; y el reconocimiento de las necesidades de empleo de las personas con discapacidad.</w:t>
      </w:r>
    </w:p>
    <w:p w:rsidR="00F236D5" w:rsidRDefault="00F236D5" w:rsidP="00F236D5">
      <w:pPr>
        <w:pStyle w:val="H1G"/>
        <w:rPr>
          <w:lang w:val="es-ES_tradnl"/>
        </w:rPr>
      </w:pPr>
      <w:r>
        <w:rPr>
          <w:lang w:val="es-ES_tradnl"/>
        </w:rPr>
        <w:tab/>
        <w:t>B.</w:t>
      </w:r>
      <w:r>
        <w:rPr>
          <w:lang w:val="es-ES_tradnl"/>
        </w:rPr>
        <w:tab/>
        <w:t>Protección social y educación</w:t>
      </w:r>
    </w:p>
    <w:p w:rsidR="00F236D5" w:rsidRDefault="00F236D5" w:rsidP="00F236D5">
      <w:pPr>
        <w:pStyle w:val="SingleTxtG"/>
        <w:rPr>
          <w:lang w:val="es-ES_tradnl"/>
        </w:rPr>
      </w:pPr>
      <w:r>
        <w:rPr>
          <w:lang w:val="es-ES_tradnl"/>
        </w:rPr>
        <w:t>245.</w:t>
      </w:r>
      <w:r>
        <w:rPr>
          <w:lang w:val="es-ES_tradnl"/>
        </w:rPr>
        <w:tab/>
        <w:t>Nueva Zelandia dispone de un sistema básico de seguridad social y de una serie de políticas que varían según las necesidades cambiantes de la sociedad. El sistema tiene por objeto garantizar un nivel de vida apropiado y proporcionar oportunidades para la plena participación de las personas en la sociedad. En la presente sección se describe el sistema básico de seguridad social y se dan ejemplos de políticas pertinentes en el marco de determinadas convenciones de las Naciones Unidas en las que Nueva Zelandia es parte.</w:t>
      </w:r>
    </w:p>
    <w:p w:rsidR="00F236D5" w:rsidRDefault="00F236D5" w:rsidP="00F236D5">
      <w:pPr>
        <w:pStyle w:val="SingleTxtG"/>
        <w:rPr>
          <w:lang w:val="es-ES_tradnl"/>
        </w:rPr>
      </w:pPr>
      <w:r>
        <w:rPr>
          <w:lang w:val="es-ES_tradnl"/>
        </w:rPr>
        <w:t>246.</w:t>
      </w:r>
      <w:r>
        <w:rPr>
          <w:lang w:val="es-ES_tradnl"/>
        </w:rPr>
        <w:tab/>
        <w:t>El sistema de seguridad social ofrece una red de seguridad a las personas que no están en condiciones de asegurar su propio sustento o el de sus familias. El sistema consta de cuatro componentes principales, a saber:</w:t>
      </w:r>
    </w:p>
    <w:p w:rsidR="00F236D5" w:rsidRDefault="00F236D5" w:rsidP="00F236D5">
      <w:pPr>
        <w:pStyle w:val="SingleTxtG"/>
        <w:rPr>
          <w:lang w:val="es-ES_tradnl"/>
        </w:rPr>
      </w:pPr>
      <w:r>
        <w:rPr>
          <w:lang w:val="es-ES_tradnl"/>
        </w:rPr>
        <w:tab/>
        <w:t>a)</w:t>
      </w:r>
      <w:r>
        <w:rPr>
          <w:lang w:val="es-ES_tradnl"/>
        </w:rPr>
        <w:tab/>
        <w:t>Un sistema universal de prestaciones de seguridad social financiado con cargo a la tributación general. Las prestaciones de seguridad social se pagan a todo residente que reúna los criterios establecidos, independientemente de su actual o anterior situación laboral, e incluyen un plan universal de jubilación para las personas de 65 años en adelante.</w:t>
      </w:r>
    </w:p>
    <w:p w:rsidR="00F236D5" w:rsidRDefault="00F236D5" w:rsidP="00F236D5">
      <w:pPr>
        <w:pStyle w:val="SingleTxtG"/>
        <w:rPr>
          <w:lang w:val="es-ES_tradnl"/>
        </w:rPr>
      </w:pPr>
      <w:r>
        <w:rPr>
          <w:lang w:val="es-ES_tradnl"/>
        </w:rPr>
        <w:tab/>
        <w:t>b)</w:t>
      </w:r>
      <w:r>
        <w:rPr>
          <w:lang w:val="es-ES_tradnl"/>
        </w:rPr>
        <w:tab/>
        <w:t>Un seguro de cobertura amplia contra todo riesgo, incluidas las lesiones resultantes de accidentes, para todos los residentes de Nueva Zelandia, así como para los visitantes mientras se encuentren en el territorio nacional, financiado con cargo a una combinación de gravámenes y tributación general.</w:t>
      </w:r>
    </w:p>
    <w:p w:rsidR="00F236D5" w:rsidRDefault="00F236D5" w:rsidP="00F236D5">
      <w:pPr>
        <w:pStyle w:val="SingleTxtG"/>
        <w:rPr>
          <w:lang w:val="es-ES_tradnl"/>
        </w:rPr>
      </w:pPr>
      <w:r>
        <w:rPr>
          <w:lang w:val="es-ES_tradnl"/>
        </w:rPr>
        <w:tab/>
        <w:t>c)</w:t>
      </w:r>
      <w:r>
        <w:rPr>
          <w:lang w:val="es-ES_tradnl"/>
        </w:rPr>
        <w:tab/>
        <w:t>Un sistema de atención de la salud financiado con fondos públicos, el 78% de los cuales se proviene de la tributación general, el cual abarca lo siguiente: servicios preventivos y promocionales de salud pública; atención hospitalaria interna y ambulatoria; servicios de atención primaria de la salud; prescripción de medicamentos para pacientes en régimen interno o ambulatorio; atención de la salud mental; atención médica de la madre; atención odontológica para escolares; atención odontológica limitada de emergencia para adultos vulnerables; y servicios de apoyo a las personas con discapacidad.</w:t>
      </w:r>
    </w:p>
    <w:p w:rsidR="00F236D5" w:rsidRDefault="00F236D5" w:rsidP="00F236D5">
      <w:pPr>
        <w:pStyle w:val="SingleTxtG"/>
        <w:rPr>
          <w:lang w:val="es-ES_tradnl"/>
        </w:rPr>
      </w:pPr>
      <w:r>
        <w:rPr>
          <w:lang w:val="es-ES_tradnl"/>
        </w:rPr>
        <w:tab/>
        <w:t>d)</w:t>
      </w:r>
      <w:r>
        <w:rPr>
          <w:lang w:val="es-ES_tradnl"/>
        </w:rPr>
        <w:tab/>
        <w:t>Viviendas de alquiler financiadas con fondos públicos para personas de bajos ingresos o con necesidades de vivienda especiales. El Gobierno posee o administra más de 66.000 viviendas de alquiler en todo el país, incluidas aproximadamente 1.500 viviendas para grupos comunitarios en las que se prestan servicios residenciales, y ofrece préstamos hipotecarios para personas de bajos a medianos ingresos.</w:t>
      </w:r>
    </w:p>
    <w:p w:rsidR="00F236D5" w:rsidRDefault="00F236D5" w:rsidP="00F236D5">
      <w:pPr>
        <w:pStyle w:val="SingleTxtG"/>
        <w:rPr>
          <w:lang w:val="es-ES_tradnl"/>
        </w:rPr>
      </w:pPr>
      <w:r>
        <w:rPr>
          <w:lang w:val="es-ES_tradnl"/>
        </w:rPr>
        <w:t>247.</w:t>
      </w:r>
      <w:r>
        <w:rPr>
          <w:lang w:val="es-ES_tradnl"/>
        </w:rPr>
        <w:tab/>
        <w:t>El Gobierno brinda más de 70 clases de donaciones, prestaciones y subsidios distintos que ayudan a las familias y a los particulares a asegurar su propio sustento. Entre esas ayudas cabe mencionar un subsidio a los estudios destinado a ayudar a las personas que desean establecer un negocio por cuenta propia, financiación para la asistencia a cursos de capacitación de corta duración relacionados con el empleo y toda una gama de donaciones para necesidades especiales.</w:t>
      </w:r>
    </w:p>
    <w:p w:rsidR="00F236D5" w:rsidRDefault="00F236D5" w:rsidP="00F236D5">
      <w:pPr>
        <w:pStyle w:val="SingleTxtG"/>
        <w:rPr>
          <w:lang w:val="es-ES_tradnl"/>
        </w:rPr>
      </w:pPr>
      <w:r>
        <w:rPr>
          <w:lang w:val="es-ES_tradnl"/>
        </w:rPr>
        <w:t>248.</w:t>
      </w:r>
      <w:r>
        <w:rPr>
          <w:lang w:val="es-ES_tradnl"/>
        </w:rPr>
        <w:tab/>
        <w:t>Las prestaciones y ayudas proporcionadas por Nueva Zelandia se ajustan anualmente al índice de precios al consumidor. Las pensiones de vejez están sujetas por ley a un ajuste adicional para que no sean inferiores al 66% del salario medio general.</w:t>
      </w:r>
    </w:p>
    <w:p w:rsidR="00F236D5" w:rsidRDefault="00F236D5" w:rsidP="00F236D5">
      <w:pPr>
        <w:pStyle w:val="SingleTxtG"/>
        <w:rPr>
          <w:lang w:val="es-ES_tradnl"/>
        </w:rPr>
      </w:pPr>
      <w:r>
        <w:rPr>
          <w:lang w:val="es-ES_tradnl"/>
        </w:rPr>
        <w:t>249.</w:t>
      </w:r>
      <w:r>
        <w:rPr>
          <w:lang w:val="es-ES_tradnl"/>
        </w:rPr>
        <w:tab/>
        <w:t>Los niños en situación vulnerable son una de las prioridades de la política social de Nueva Zelandia. Existen prestaciones generales para ayudar a las familias con hijos. Por ejemplo, se proporcionan subsidios de cuidado infantil a fin de ayudar a las familias a financiar la atención preescolar; además, la principal persona encargada del cuidado de un niño o un joven con discapacidad grave recibe una asignación especial. Algunas prestaciones se destinan a familias que participan en determinados programas de prevención de malos tratos infantiles a fin de ayudarles a sufragar el costo de la educación preescolar para niños de 18 meses a 3 años de edad.</w:t>
      </w:r>
    </w:p>
    <w:p w:rsidR="00F236D5" w:rsidRDefault="00F236D5" w:rsidP="00F236D5">
      <w:pPr>
        <w:pStyle w:val="SingleTxtG"/>
        <w:rPr>
          <w:lang w:val="es-ES_tradnl"/>
        </w:rPr>
      </w:pPr>
      <w:r>
        <w:rPr>
          <w:lang w:val="es-ES_tradnl"/>
        </w:rPr>
        <w:t>250.</w:t>
      </w:r>
      <w:r>
        <w:rPr>
          <w:lang w:val="es-ES_tradnl"/>
        </w:rPr>
        <w:tab/>
        <w:t>Algunas familias con hijos a cargo de hasta 17 años (18 años si aún son estudiantes matriculados) reciben créditos fiscales. Nueva Zelandia tiene un sistema de créditos fiscales estructurado en tres niveles. La diferencia entre un nivel y otro se basa en la renta familiar. Las familias con hijos a cargo pueden reunir los criterios necesarios para obtener uno o varios de estos créditos fiscales al mismo tiempo. El monto de crédito fiscal por concepto de familia o de hijo a cargo que percibe cada familia depende del ingreso familiar total y del número de hijos a cargo. El sistema principal de créditos fiscales para las familias incluye lo siguiente:</w:t>
      </w:r>
    </w:p>
    <w:p w:rsidR="00F236D5" w:rsidRDefault="00F236D5" w:rsidP="00F236D5">
      <w:pPr>
        <w:pStyle w:val="SingleTxtG"/>
        <w:rPr>
          <w:lang w:val="es-ES_tradnl"/>
        </w:rPr>
      </w:pPr>
      <w:r>
        <w:rPr>
          <w:lang w:val="es-ES_tradnl"/>
        </w:rPr>
        <w:tab/>
        <w:t>a)</w:t>
      </w:r>
      <w:r>
        <w:rPr>
          <w:lang w:val="es-ES_tradnl"/>
        </w:rPr>
        <w:tab/>
        <w:t>El crédito fiscal mínimo para familias, que es un suplemento destinado a garantizar a las familias trabajadoras de bajos ingresos un ingreso familiar mínimo.</w:t>
      </w:r>
    </w:p>
    <w:p w:rsidR="00F236D5" w:rsidRDefault="00F236D5" w:rsidP="00F236D5">
      <w:pPr>
        <w:pStyle w:val="SingleTxtG"/>
        <w:rPr>
          <w:lang w:val="es-ES_tradnl"/>
        </w:rPr>
      </w:pPr>
      <w:r>
        <w:rPr>
          <w:lang w:val="es-ES_tradnl"/>
        </w:rPr>
        <w:tab/>
        <w:t>b)</w:t>
      </w:r>
      <w:r>
        <w:rPr>
          <w:lang w:val="es-ES_tradnl"/>
        </w:rPr>
        <w:tab/>
        <w:t>El crédito fiscal para familias, otorgado a las familias trabajadoras que ya perciben una prestación de seguridad social. Para tener derecho a este crédito, la principal persona encargada del cuidado del niño debe demostrar que la renta familiar no sobrepasa el límite fijado.</w:t>
      </w:r>
    </w:p>
    <w:p w:rsidR="00F236D5" w:rsidRDefault="00F236D5" w:rsidP="00F236D5">
      <w:pPr>
        <w:pStyle w:val="SingleTxtG"/>
        <w:rPr>
          <w:lang w:val="es-ES_tradnl"/>
        </w:rPr>
      </w:pPr>
      <w:r>
        <w:rPr>
          <w:lang w:val="es-ES_tradnl"/>
        </w:rPr>
        <w:tab/>
        <w:t>c)</w:t>
      </w:r>
      <w:r>
        <w:rPr>
          <w:lang w:val="es-ES_tradnl"/>
        </w:rPr>
        <w:tab/>
        <w:t>El crédito fiscal para trabajadores activos, pagadero como tasa fija por hijo a cargo a las familias en que uno o ambos progenitores trabajan. El monto total que puede percibir cada familia está sujeto a un tope.</w:t>
      </w:r>
    </w:p>
    <w:p w:rsidR="00F236D5" w:rsidRDefault="00F236D5" w:rsidP="00F236D5">
      <w:pPr>
        <w:pStyle w:val="SingleTxtG"/>
        <w:rPr>
          <w:lang w:val="es-ES_tradnl"/>
        </w:rPr>
      </w:pPr>
      <w:r>
        <w:rPr>
          <w:lang w:val="es-ES_tradnl"/>
        </w:rPr>
        <w:t>251.</w:t>
      </w:r>
      <w:r>
        <w:rPr>
          <w:lang w:val="es-ES_tradnl"/>
        </w:rPr>
        <w:tab/>
        <w:t>El crédito fiscal parental queda fuera de este sistema dado que es un pago único que reciben las familias durante las primeras ocho semanas tras el nacimiento o la adopción de un niño. Se trata por lo general de una suma fija.</w:t>
      </w:r>
    </w:p>
    <w:p w:rsidR="00F236D5" w:rsidRDefault="00F236D5" w:rsidP="00F236D5">
      <w:pPr>
        <w:pStyle w:val="SingleTxtG"/>
        <w:rPr>
          <w:lang w:val="es-ES_tradnl"/>
        </w:rPr>
      </w:pPr>
      <w:r>
        <w:rPr>
          <w:lang w:val="es-ES_tradnl"/>
        </w:rPr>
        <w:t>252.</w:t>
      </w:r>
      <w:r>
        <w:rPr>
          <w:lang w:val="es-ES_tradnl"/>
        </w:rPr>
        <w:tab/>
        <w:t xml:space="preserve">Nueva Zelandia también dispone de políticas específicamente destinadas a reducir la carga que entraña la financiación de la educación preescolar. Todos los servicios de educación preescolar, centros de juego y </w:t>
      </w:r>
      <w:r w:rsidRPr="00F132BE">
        <w:rPr>
          <w:i/>
          <w:lang w:val="es-ES_tradnl"/>
        </w:rPr>
        <w:t>kohanga</w:t>
      </w:r>
      <w:r>
        <w:rPr>
          <w:lang w:val="es-ES_tradnl"/>
        </w:rPr>
        <w:t xml:space="preserve"> </w:t>
      </w:r>
      <w:r w:rsidRPr="00F132BE">
        <w:rPr>
          <w:i/>
          <w:lang w:val="es-ES_tradnl"/>
        </w:rPr>
        <w:t>reo</w:t>
      </w:r>
      <w:r>
        <w:rPr>
          <w:lang w:val="es-ES_tradnl"/>
        </w:rPr>
        <w:t xml:space="preserve"> (servicios de enseñanza del idioma maorí a nivel preescolar) prestados por personal docente ofrecen 20 horas de educación preescolar financiadas por el Gobierno.</w:t>
      </w:r>
    </w:p>
    <w:p w:rsidR="00F236D5" w:rsidRDefault="00F236D5" w:rsidP="00F236D5">
      <w:pPr>
        <w:pStyle w:val="SingleTxtG"/>
        <w:rPr>
          <w:lang w:val="es-ES_tradnl"/>
        </w:rPr>
      </w:pPr>
      <w:r>
        <w:rPr>
          <w:lang w:val="es-ES_tradnl"/>
        </w:rPr>
        <w:t>253.</w:t>
      </w:r>
      <w:r>
        <w:rPr>
          <w:lang w:val="es-ES_tradnl"/>
        </w:rPr>
        <w:tab/>
        <w:t>Una mayor participación de los grupos étnicos maorí y de pueblos del Pacífico en la educación preescolar se considera vital. A fin de lograr este objetivo, en mayo de 2010 se puso en marcha un nuevo conjunto de medidas entre las que se cuentan: proyectos de participación intensiva basados en la comunidad; apoyo a los grupos de juego; y proyectos de promoción del idioma y la cultura y de apoyo a la participación en actividades comunitarias. Los proyectos destinados a apoyar la participación en los servicios de educación preescolar prestados en el hogar se concentrarán en las zonas en que se encuentra un gran número de los niños que aún no reciben dicha educación y deberán responder a las distintas necesidades de cada zona. Se espera que hasta 3.500 niños accedan a la educación preescolar de calidad dentro de un plazo de cuatro años gracias a estos proyectos.</w:t>
      </w:r>
    </w:p>
    <w:p w:rsidR="00F236D5" w:rsidRDefault="00F236D5" w:rsidP="00F236D5">
      <w:pPr>
        <w:pStyle w:val="SingleTxtG"/>
        <w:rPr>
          <w:lang w:val="es-ES_tradnl"/>
        </w:rPr>
      </w:pPr>
      <w:r>
        <w:rPr>
          <w:lang w:val="es-ES_tradnl"/>
        </w:rPr>
        <w:t>254.</w:t>
      </w:r>
      <w:r>
        <w:rPr>
          <w:lang w:val="es-ES_tradnl"/>
        </w:rPr>
        <w:tab/>
        <w:t>Ya se han observado algunos progresos en la participación de los maoríes en la educación preescolar, que aumentó del 89,9% en 2006 al 91,4% en 2009. La proporción de maestros maoríes registrados (capacitados y acreditados para enseñar) en la enseñanza preescolar aumentó de un 23,2% en 2004 a un 52,8% en 2009.</w:t>
      </w:r>
    </w:p>
    <w:p w:rsidR="00F236D5" w:rsidRDefault="00F236D5" w:rsidP="00F236D5">
      <w:pPr>
        <w:pStyle w:val="SingleTxtG"/>
        <w:rPr>
          <w:lang w:val="es-ES_tradnl"/>
        </w:rPr>
      </w:pPr>
      <w:r>
        <w:rPr>
          <w:lang w:val="es-ES_tradnl"/>
        </w:rPr>
        <w:t>255.</w:t>
      </w:r>
      <w:r>
        <w:rPr>
          <w:lang w:val="es-ES_tradnl"/>
        </w:rPr>
        <w:tab/>
        <w:t xml:space="preserve">El apoyo a los progenitores adolescentes vulnerables y a sus hijos es otra política que puede llegar a reducir las desigualdades. A fin de respaldar a este grupo, Nueva Zelandia dispone de personal especializado con dedicación intensiva a esa tarea y en el curso de los próximos cuatro años tiene previsto dotar a las comunidades más necesitadas de hasta siete establecimientos subvencionados en los que el personal calificado prestará apoyo a los progenitores adolescentes y a sus hijos durante las 24 horas del día y los 7 días de la semana. Como parte de ese apoyo, se proporcionará información a los padres adolescentes y se les impartirán aptitudes básicas a fin de prepararlos para el nacimiento de los hijos y para que ofrezcan a estos una crianza adecuada, prestando atención a su salud, educación y necesidades sociales. </w:t>
      </w:r>
    </w:p>
    <w:p w:rsidR="00F236D5" w:rsidRDefault="00F236D5" w:rsidP="00F236D5">
      <w:pPr>
        <w:pStyle w:val="SingleTxtG"/>
        <w:rPr>
          <w:lang w:val="es-ES_tradnl"/>
        </w:rPr>
      </w:pPr>
      <w:r>
        <w:rPr>
          <w:lang w:val="es-ES_tradnl"/>
        </w:rPr>
        <w:t>256.</w:t>
      </w:r>
      <w:r>
        <w:rPr>
          <w:lang w:val="es-ES_tradnl"/>
        </w:rPr>
        <w:tab/>
        <w:t>Como forma de hacer frente a la recesión mundial, en 2009 se pusieron en marcha nuevas iniciativas destinadas a los jóvenes que pudiesen resultar más afectados por el desempleo a largo plazo. Esta serie de iniciativas tienen por objeto proporcionar oportunidades de empleo y capacitación a jóvenes de 16 a 24 años hasta fines de 2011 e incluyen un programa de fomento de las oportunidades de empleo para ayudarles a encontrar trabajo, así como un plan de capacitación encaminado a mejorar el rendimiento escolar de los jóvenes de 16 y 17 años.</w:t>
      </w:r>
    </w:p>
    <w:p w:rsidR="00F236D5" w:rsidRDefault="00F236D5" w:rsidP="00F236D5">
      <w:pPr>
        <w:pStyle w:val="SingleTxtG"/>
        <w:rPr>
          <w:lang w:val="es-ES_tradnl"/>
        </w:rPr>
      </w:pPr>
      <w:r>
        <w:rPr>
          <w:lang w:val="es-ES_tradnl"/>
        </w:rPr>
        <w:t>257.</w:t>
      </w:r>
      <w:r>
        <w:rPr>
          <w:lang w:val="es-ES_tradnl"/>
        </w:rPr>
        <w:tab/>
        <w:t>Entre otras iniciativas, programas y fondos destinados asimismo a prestar asistencia a familias y particulares figuran los siguientes:</w:t>
      </w:r>
    </w:p>
    <w:p w:rsidR="00F236D5" w:rsidRDefault="00F236D5" w:rsidP="00F236D5">
      <w:pPr>
        <w:pStyle w:val="SingleTxtG"/>
        <w:rPr>
          <w:lang w:val="es-ES_tradnl"/>
        </w:rPr>
      </w:pPr>
      <w:r>
        <w:rPr>
          <w:lang w:val="es-ES_tradnl"/>
        </w:rPr>
        <w:tab/>
        <w:t>a)</w:t>
      </w:r>
      <w:r>
        <w:rPr>
          <w:lang w:val="es-ES_tradnl"/>
        </w:rPr>
        <w:tab/>
        <w:t>La iniciativa Whanau Ora, que presta apoyo comunitario de carácter práctico a las familias para que puedan administrarse en forma autónoma y determinar su propio desarrollo económico, cultural y social.</w:t>
      </w:r>
    </w:p>
    <w:p w:rsidR="00F236D5" w:rsidRDefault="00F236D5" w:rsidP="00F236D5">
      <w:pPr>
        <w:pStyle w:val="SingleTxtG"/>
        <w:rPr>
          <w:lang w:val="es-ES_tradnl"/>
        </w:rPr>
      </w:pPr>
      <w:r>
        <w:rPr>
          <w:lang w:val="es-ES_tradnl"/>
        </w:rPr>
        <w:tab/>
        <w:t>b)</w:t>
      </w:r>
      <w:r>
        <w:rPr>
          <w:lang w:val="es-ES_tradnl"/>
        </w:rPr>
        <w:tab/>
        <w:t>El Fondo para nuevas viviendas, destinado a fomentar la colaboración entre las instancias gubernamentales y las organizaciones comunitarias a fin de proporcionar un mayor número de viviendas a los neozelandeses de bajos a medianos ingresos o con necesidades habitacionales especiales. Este Fondo ofrece a los proveedores de viviendas de alquiler con servicios comunes y a las organizaciones maoríes financiación para la construcción o compra de este tipo de viviendas y brinda así la posibilidad de adquirir una vivienda propia a un costo asequible.</w:t>
      </w:r>
    </w:p>
    <w:p w:rsidR="00F236D5" w:rsidRDefault="00F236D5" w:rsidP="00F236D5">
      <w:pPr>
        <w:pStyle w:val="SingleTxtG"/>
        <w:rPr>
          <w:lang w:val="es-ES_tradnl"/>
        </w:rPr>
      </w:pPr>
      <w:r>
        <w:rPr>
          <w:lang w:val="es-ES_tradnl"/>
        </w:rPr>
        <w:tab/>
        <w:t>c)</w:t>
      </w:r>
      <w:r>
        <w:rPr>
          <w:lang w:val="es-ES_tradnl"/>
        </w:rPr>
        <w:tab/>
        <w:t>El Programa de integración en la fuerza de trabajo nacional, que incluye un conjunto de subsidios, capacitación y otras formas de apoyo para ayudar a las personas con discapacidad considerable a encontrar empleo en el sector estatal.</w:t>
      </w:r>
    </w:p>
    <w:p w:rsidR="00F236D5" w:rsidRDefault="00F236D5" w:rsidP="00F236D5">
      <w:pPr>
        <w:pStyle w:val="SingleTxtG"/>
        <w:rPr>
          <w:lang w:val="es-ES_tradnl"/>
        </w:rPr>
      </w:pPr>
      <w:r>
        <w:rPr>
          <w:lang w:val="es-ES_tradnl"/>
        </w:rPr>
        <w:tab/>
        <w:t>d)</w:t>
      </w:r>
      <w:r>
        <w:rPr>
          <w:lang w:val="es-ES_tradnl"/>
        </w:rPr>
        <w:tab/>
        <w:t>La Norma de diseño para toda la vida (una iniciativa de una ONG parcialmente financiada por el Gobierno), mediante la cual se promueven y conceden licencias para el diseño de nuevas viviendas en el que se incorporen medios de hacerlas seguras, asequibles, cómodas y fácilmente adaptables a las cambiantes necesidades de las familias, especialmente cuando estas incluyen a personas con discapacidad o personas de edad.</w:t>
      </w:r>
    </w:p>
    <w:p w:rsidR="00F236D5" w:rsidRDefault="00F236D5" w:rsidP="00F236D5">
      <w:pPr>
        <w:pStyle w:val="SingleTxtG"/>
        <w:rPr>
          <w:lang w:val="es-ES_tradnl"/>
        </w:rPr>
      </w:pPr>
      <w:r>
        <w:rPr>
          <w:lang w:val="es-ES_tradnl"/>
        </w:rPr>
        <w:t>258.</w:t>
      </w:r>
      <w:r>
        <w:rPr>
          <w:lang w:val="es-ES_tradnl"/>
        </w:rPr>
        <w:tab/>
        <w:t>Durante los próximos tres años, Nueva Zelandia se propone ayudar a promover, proteger y vigilar los derechos de las personas con discapacidad, de conformidad con la Convención de las Naciones Unidas sobre los derechos de las personas con discapacidad, mediante el apoyo financiero y en materia de políticas. La Comisión de Derechos Humanos de Nueva Zelandia y la Oficina de los Ombudsmen desempeñarán un papel activo en esta labor, con independencia del Gobierno, junto con las organizaciones de apoyo a las personas con discapacidad.</w:t>
      </w:r>
    </w:p>
    <w:p w:rsidR="00F236D5" w:rsidRDefault="00F236D5" w:rsidP="00F236D5">
      <w:pPr>
        <w:pStyle w:val="H1G"/>
        <w:rPr>
          <w:lang w:val="es-ES_tradnl"/>
        </w:rPr>
      </w:pPr>
      <w:r>
        <w:rPr>
          <w:lang w:val="es-ES_tradnl"/>
        </w:rPr>
        <w:tab/>
        <w:t>C.</w:t>
      </w:r>
      <w:r>
        <w:rPr>
          <w:lang w:val="es-ES_tradnl"/>
        </w:rPr>
        <w:tab/>
        <w:t>Salud</w:t>
      </w:r>
    </w:p>
    <w:p w:rsidR="00F236D5" w:rsidRDefault="00F236D5" w:rsidP="00F236D5">
      <w:pPr>
        <w:pStyle w:val="SingleTxtG"/>
        <w:rPr>
          <w:lang w:val="es-ES_tradnl"/>
        </w:rPr>
      </w:pPr>
      <w:r>
        <w:rPr>
          <w:lang w:val="es-ES_tradnl"/>
        </w:rPr>
        <w:t>259.</w:t>
      </w:r>
      <w:r>
        <w:rPr>
          <w:lang w:val="es-ES_tradnl"/>
        </w:rPr>
        <w:tab/>
        <w:t xml:space="preserve">Desde 2002, el nivel de financiación pública de los servicios de atención primaria de la salud ha aumentado notablemente. Los subsidios públicos se han hecho extensivos a todos los grupos de población mediante los servicios de médicos generalistas. Esta iniciativa tuvo por objeto reducir los obstáculos económicos que inhibían la intervención temprana de los servicios sanitarios. En 2002 el Gobierno puso en práctica asimismo un método diferente para la financiación de las Organizaciones de Atención Primaria de la Salud, a saber, una financiación anual </w:t>
      </w:r>
      <w:r>
        <w:rPr>
          <w:i/>
          <w:lang w:val="es-ES_tradnl"/>
        </w:rPr>
        <w:t>per capita</w:t>
      </w:r>
      <w:r>
        <w:rPr>
          <w:lang w:val="es-ES_tradnl"/>
        </w:rPr>
        <w:t xml:space="preserve"> para todos los pacientes inscritos en alguna de esas organizaciones en lugar del pago de honorarios por servicio, efectuado directamente al médico después de cada consulta. </w:t>
      </w:r>
    </w:p>
    <w:p w:rsidR="00F236D5" w:rsidRDefault="00F236D5" w:rsidP="00F236D5">
      <w:pPr>
        <w:pStyle w:val="SingleTxtG"/>
        <w:rPr>
          <w:lang w:val="es-ES_tradnl"/>
        </w:rPr>
      </w:pPr>
      <w:r>
        <w:rPr>
          <w:lang w:val="es-ES_tradnl"/>
        </w:rPr>
        <w:t>260.</w:t>
      </w:r>
      <w:r>
        <w:rPr>
          <w:lang w:val="es-ES_tradnl"/>
        </w:rPr>
        <w:tab/>
        <w:t xml:space="preserve">Este método de financiación </w:t>
      </w:r>
      <w:r>
        <w:rPr>
          <w:i/>
          <w:lang w:val="es-ES_tradnl"/>
        </w:rPr>
        <w:t>per capita</w:t>
      </w:r>
      <w:r>
        <w:rPr>
          <w:lang w:val="es-ES_tradnl"/>
        </w:rPr>
        <w:t xml:space="preserve"> es coherente con el enfoque de la salud pública en materia de atención primaria, que incluye iniciativas de promoción de la salud y de prevención de las enfermedades, así como supervisión, detección y visitas de seguimiento y evaluación periódica más intensas para las poblaciones de riesgo. La financiación </w:t>
      </w:r>
      <w:r>
        <w:rPr>
          <w:i/>
          <w:lang w:val="es-ES_tradnl"/>
        </w:rPr>
        <w:t>per capita</w:t>
      </w:r>
      <w:r>
        <w:rPr>
          <w:lang w:val="es-ES_tradnl"/>
        </w:rPr>
        <w:t xml:space="preserve"> también permite establecer un equipo de atención primaria de la salud de modo que los servicios estén a cargo de toda una gama de proveedores sanitarios, incluidos médicos generalistas, enfermeros con experiencia práctica, educadores de la salud, nutricionistas, asesores en materia de diabetes y fisioterapeutas. Los pacientes pueden acudir al miembro del equipo más apropiado para atender a sus necesidades de salud en lugar de consultar casi siempre a un médico generalista.</w:t>
      </w:r>
    </w:p>
    <w:p w:rsidR="00F236D5" w:rsidRDefault="00F236D5" w:rsidP="00F236D5">
      <w:pPr>
        <w:pStyle w:val="SingleTxtG"/>
        <w:rPr>
          <w:lang w:val="es-ES_tradnl"/>
        </w:rPr>
      </w:pPr>
      <w:r>
        <w:rPr>
          <w:lang w:val="es-ES_tradnl"/>
        </w:rPr>
        <w:t>261.</w:t>
      </w:r>
      <w:r>
        <w:rPr>
          <w:lang w:val="es-ES_tradnl"/>
        </w:rPr>
        <w:tab/>
        <w:t>Se están logrando progresos en cuanto a hacer que los organismos públicos informen sobre la actuación de las Organizaciones de Atención Primaria de la Salud con respecto a las medidas de acceso, la utilización de los servicios y el mejoramiento de la salud. Esta información estará disponible al público antes de finales de 2010.</w:t>
      </w:r>
    </w:p>
    <w:p w:rsidR="00F236D5" w:rsidRDefault="00F236D5" w:rsidP="00F236D5">
      <w:pPr>
        <w:pStyle w:val="SingleTxtG"/>
        <w:rPr>
          <w:lang w:val="es-ES_tradnl"/>
        </w:rPr>
      </w:pPr>
      <w:r>
        <w:rPr>
          <w:lang w:val="es-ES_tradnl"/>
        </w:rPr>
        <w:t>262.</w:t>
      </w:r>
      <w:r>
        <w:rPr>
          <w:lang w:val="es-ES_tradnl"/>
        </w:rPr>
        <w:tab/>
        <w:t>Entre otras iniciativas cabe mencionar las siguientes:</w:t>
      </w:r>
    </w:p>
    <w:p w:rsidR="00F236D5" w:rsidRDefault="00F236D5" w:rsidP="00F236D5">
      <w:pPr>
        <w:pStyle w:val="SingleTxtG"/>
        <w:rPr>
          <w:lang w:val="es-ES_tradnl"/>
        </w:rPr>
      </w:pPr>
      <w:r>
        <w:rPr>
          <w:lang w:val="es-ES_tradnl"/>
        </w:rPr>
        <w:tab/>
        <w:t>a)</w:t>
      </w:r>
      <w:r>
        <w:rPr>
          <w:lang w:val="es-ES_tradnl"/>
        </w:rPr>
        <w:tab/>
        <w:t>La promoción activa de la participación de integrantes de los grupos étnicos maorí y de pueblos del Pacífico en los programas de formación de médicos y enfermeros y el aumento de la gama de proveedores de servicios de atención primaria de la salud, especialmente los procedentes de esos grupos étnicos.</w:t>
      </w:r>
    </w:p>
    <w:p w:rsidR="00F236D5" w:rsidRDefault="00F236D5" w:rsidP="00F236D5">
      <w:pPr>
        <w:pStyle w:val="SingleTxtG"/>
        <w:rPr>
          <w:lang w:val="es-ES_tradnl"/>
        </w:rPr>
      </w:pPr>
      <w:r>
        <w:rPr>
          <w:lang w:val="es-ES_tradnl"/>
        </w:rPr>
        <w:tab/>
        <w:t>b)</w:t>
      </w:r>
      <w:r>
        <w:rPr>
          <w:lang w:val="es-ES_tradnl"/>
        </w:rPr>
        <w:tab/>
        <w:t>Campañas de información pública para alentar a los ciudadanos a que dejen de fumar, aprovechen los programas de inmunización y detección de enfermedades y acudan con mayor prontitud al médico en caso de enfermedad.</w:t>
      </w:r>
    </w:p>
    <w:p w:rsidR="00F236D5" w:rsidRDefault="00F236D5" w:rsidP="00F236D5">
      <w:pPr>
        <w:pStyle w:val="SingleTxtG"/>
        <w:rPr>
          <w:lang w:val="es-ES_tradnl"/>
        </w:rPr>
      </w:pPr>
      <w:r>
        <w:rPr>
          <w:lang w:val="es-ES_tradnl"/>
        </w:rPr>
        <w:tab/>
        <w:t>c)</w:t>
      </w:r>
      <w:r>
        <w:rPr>
          <w:lang w:val="es-ES_tradnl"/>
        </w:rPr>
        <w:tab/>
        <w:t>Facilitación de información pública sobre el acceso a los servicios de atención de la salud, por ejemplo a los servicios sanitarios de atención de casos no urgentes, incluidos los servicios quirúrgicos. Este tema ha suscitado un debate sobre posibles situaciones en que las personas aquejadas enfermedades especialmente graves no reciban un nivel concomitante de servicios de salud. A raíz de ello, el personal clínico ha podido identificar y mejorar las prácticas que puedan haber dado lugar a un acceso limitado o a discriminación.</w:t>
      </w:r>
    </w:p>
    <w:p w:rsidR="00F236D5" w:rsidRDefault="00F236D5" w:rsidP="00F236D5">
      <w:pPr>
        <w:pStyle w:val="SingleTxtG"/>
        <w:rPr>
          <w:lang w:val="es-ES_tradnl"/>
        </w:rPr>
      </w:pPr>
      <w:r>
        <w:rPr>
          <w:lang w:val="es-ES_tradnl"/>
        </w:rPr>
        <w:tab/>
        <w:t>d)</w:t>
      </w:r>
      <w:r>
        <w:rPr>
          <w:lang w:val="es-ES_tradnl"/>
        </w:rPr>
        <w:tab/>
        <w:t>La identificación de las principales metas de rendimiento del sector de atención de la salud y la información del público al respecto a fin de alcanzar los objetivos gubernamentales de contar con una atención de la salud de mejor calidad, así como más oportuna y conveniente.</w:t>
      </w:r>
    </w:p>
    <w:p w:rsidR="00F236D5" w:rsidRDefault="00F236D5" w:rsidP="00F236D5">
      <w:pPr>
        <w:pStyle w:val="SingleTxtG"/>
        <w:rPr>
          <w:lang w:val="es-ES_tradnl"/>
        </w:rPr>
      </w:pPr>
      <w:r>
        <w:rPr>
          <w:lang w:val="es-ES_tradnl"/>
        </w:rPr>
        <w:tab/>
        <w:t>e)</w:t>
      </w:r>
      <w:r>
        <w:rPr>
          <w:lang w:val="es-ES_tradnl"/>
        </w:rPr>
        <w:tab/>
        <w:t>Mejor aislamiento en las viviendas y aumento de la tasa de inmunización de los niños.</w:t>
      </w:r>
    </w:p>
    <w:p w:rsidR="00F236D5" w:rsidRDefault="00F236D5" w:rsidP="00F236D5">
      <w:pPr>
        <w:pStyle w:val="H23G"/>
        <w:rPr>
          <w:lang w:val="es-ES_tradnl"/>
        </w:rPr>
      </w:pPr>
      <w:r>
        <w:rPr>
          <w:lang w:val="es-ES_tradnl"/>
        </w:rPr>
        <w:tab/>
      </w:r>
      <w:r>
        <w:rPr>
          <w:lang w:val="es-ES_tradnl"/>
        </w:rPr>
        <w:tab/>
        <w:t>Información pública y campañas de comunicación social</w:t>
      </w:r>
    </w:p>
    <w:p w:rsidR="00F236D5" w:rsidRDefault="00F236D5" w:rsidP="00F236D5">
      <w:pPr>
        <w:pStyle w:val="SingleTxtG"/>
        <w:rPr>
          <w:lang w:val="es-ES_tradnl"/>
        </w:rPr>
      </w:pPr>
      <w:r>
        <w:rPr>
          <w:lang w:val="es-ES_tradnl"/>
        </w:rPr>
        <w:t>263.</w:t>
      </w:r>
      <w:r>
        <w:rPr>
          <w:lang w:val="es-ES_tradnl"/>
        </w:rPr>
        <w:tab/>
        <w:t>Como cuestión de política, Nueva Zelandia recurre a las campañas de comunicación social, los programas educativos y las campañas de información pública para modificar las actitudes y los comportamientos. A continuación se describen algunas campañas recientes destinadas a conseguir esos objetivos:</w:t>
      </w:r>
    </w:p>
    <w:p w:rsidR="00F236D5" w:rsidRDefault="00F236D5" w:rsidP="00F236D5">
      <w:pPr>
        <w:pStyle w:val="SingleTxtG"/>
        <w:rPr>
          <w:lang w:val="es-ES_tradnl"/>
        </w:rPr>
      </w:pPr>
      <w:r>
        <w:rPr>
          <w:lang w:val="es-ES_tradnl"/>
        </w:rPr>
        <w:tab/>
        <w:t>a)</w:t>
      </w:r>
      <w:r>
        <w:rPr>
          <w:lang w:val="es-ES_tradnl"/>
        </w:rPr>
        <w:tab/>
        <w:t xml:space="preserve">La campaña "No está bien" </w:t>
      </w:r>
      <w:r>
        <w:rPr>
          <w:i/>
          <w:lang w:val="es-ES_tradnl"/>
        </w:rPr>
        <w:t>("It's not OK")</w:t>
      </w:r>
      <w:r>
        <w:rPr>
          <w:lang w:val="es-ES_tradnl"/>
        </w:rPr>
        <w:t>. Esta campaña consiste en anuncios televisivos y proyectos comunitarios centrados en el mensaje de que "la violencia doméstica no está bien, pero sí está bien pedir ayuda". Se dispone de un fondo de acción comunitaria destinado a prestar apoyo a las iniciativas de la comunidad y de una línea de información sobre la violencia doméstica para brindar información sobre medidas de autoayuda y remitir a los interesados a los servicios pertinentes cuando proceda.</w:t>
      </w:r>
    </w:p>
    <w:p w:rsidR="00F236D5" w:rsidRDefault="00F236D5" w:rsidP="00F236D5">
      <w:pPr>
        <w:pStyle w:val="SingleTxtG"/>
        <w:rPr>
          <w:lang w:val="es-ES_tradnl"/>
        </w:rPr>
      </w:pPr>
      <w:r>
        <w:rPr>
          <w:lang w:val="es-ES_tradnl"/>
        </w:rPr>
        <w:tab/>
        <w:t>b)</w:t>
      </w:r>
      <w:r>
        <w:rPr>
          <w:lang w:val="es-ES_tradnl"/>
        </w:rPr>
        <w:tab/>
        <w:t xml:space="preserve">La campaña "Nunca sacudas a un bebé" </w:t>
      </w:r>
      <w:r>
        <w:rPr>
          <w:i/>
          <w:lang w:val="es-ES_tradnl"/>
        </w:rPr>
        <w:t>("Never shake a baby")</w:t>
      </w:r>
      <w:r>
        <w:rPr>
          <w:lang w:val="es-ES_tradnl"/>
        </w:rPr>
        <w:t>, destinada a educar a las personas encargadas del cuidado de niños para que aprendan por qué no ha de sacudirse nunca a un bebé. Esta campaña incluye anuncios de televisión, radio y prensa, publicidad en línea, carteles en los centros comerciales y en las paradas de autobús de los principales núcleos de población, con apoyo de un fuerte componente de actividades comunitarias. El objetivo es hacer llegar a todos los nuevos progenitores, en particular a las madres y padres jóvenes que han tenido su primer hijo, el mensaje sobre el peligro de sacudir a un niño pequeño y los medios de ayuda disponibles.</w:t>
      </w:r>
    </w:p>
    <w:p w:rsidR="00F236D5" w:rsidRDefault="00F236D5" w:rsidP="00F236D5">
      <w:pPr>
        <w:pStyle w:val="SingleTxtG"/>
        <w:rPr>
          <w:lang w:val="es-ES_tradnl"/>
        </w:rPr>
      </w:pPr>
      <w:r>
        <w:rPr>
          <w:lang w:val="es-ES_tradnl"/>
        </w:rPr>
        <w:tab/>
        <w:t>c)</w:t>
      </w:r>
      <w:r>
        <w:rPr>
          <w:lang w:val="es-ES_tradnl"/>
        </w:rPr>
        <w:tab/>
        <w:t xml:space="preserve">La campaña "Considera por un momento" </w:t>
      </w:r>
      <w:r>
        <w:rPr>
          <w:i/>
          <w:lang w:val="es-ES_tradnl"/>
        </w:rPr>
        <w:t>("Take a moment").</w:t>
      </w:r>
      <w:r>
        <w:rPr>
          <w:lang w:val="es-ES_tradnl"/>
        </w:rPr>
        <w:t xml:space="preserve"> Esta campaña tiene por objeto fomentar un sentimiento de inclusión social en las personas con discapacidad intelectual y cambiar la percepción que se suele tener con respecto a esas personas. Los anuncios utilizados muestran momentos de la vida diaria de una persona con discapacidad intelectual.</w:t>
      </w:r>
    </w:p>
    <w:p w:rsidR="00F236D5" w:rsidRDefault="00F236D5" w:rsidP="00F236D5">
      <w:pPr>
        <w:pStyle w:val="SingleTxtG"/>
        <w:rPr>
          <w:lang w:val="es-ES_tradnl"/>
        </w:rPr>
      </w:pPr>
      <w:r>
        <w:rPr>
          <w:lang w:val="es-ES_tradnl"/>
        </w:rPr>
        <w:tab/>
        <w:t>d)</w:t>
      </w:r>
      <w:r>
        <w:rPr>
          <w:lang w:val="es-ES_tradnl"/>
        </w:rPr>
        <w:tab/>
        <w:t>Campañas de salud, por ejemplo campañas periódicas de información pública para instar a las personas a inscribirse en programas para dejar de fumar y en programas de inmunización o de detección de enfermedades y a participar en las iniciativas nacionales de lucha contra la depresión. Estos son algunos de los medios, entre otros, con los que el sector sanitario de Nueva Zelandia se propone ayudar a los ciudadanos a participar plenamente en la sociedad y a tomar decisiones con respecto al curso que desean dar a su vida.</w:t>
      </w:r>
    </w:p>
    <w:p w:rsidR="00F236D5" w:rsidRDefault="00F236D5" w:rsidP="00F236D5">
      <w:pPr>
        <w:pStyle w:val="H1G"/>
        <w:rPr>
          <w:lang w:val="es-ES_tradnl"/>
        </w:rPr>
      </w:pPr>
      <w:r>
        <w:rPr>
          <w:lang w:val="es-ES_tradnl"/>
        </w:rPr>
        <w:tab/>
        <w:t>D.</w:t>
      </w:r>
      <w:r>
        <w:rPr>
          <w:lang w:val="es-ES_tradnl"/>
        </w:rPr>
        <w:tab/>
        <w:t>Justicia y administración penitenciaria</w:t>
      </w:r>
    </w:p>
    <w:p w:rsidR="00F236D5" w:rsidRDefault="00F236D5" w:rsidP="00F236D5">
      <w:pPr>
        <w:pStyle w:val="SingleTxtG"/>
        <w:rPr>
          <w:lang w:val="es-ES_tradnl"/>
        </w:rPr>
      </w:pPr>
      <w:r>
        <w:rPr>
          <w:lang w:val="es-ES_tradnl"/>
        </w:rPr>
        <w:t>264.</w:t>
      </w:r>
      <w:r>
        <w:rPr>
          <w:lang w:val="es-ES_tradnl"/>
        </w:rPr>
        <w:tab/>
        <w:t>Una de las prioridades globales del Gobierno es atacar las causas profundas del delito. Los organismos del sector social y de la judicatura colaboran en aras de la reducción del delito y la victimización, especialmente en lo que respecta a los maoríes. En 2009, tras una consulta pública, se establecieron cuatro ámbitos de acción prioritarios, a saber:</w:t>
      </w:r>
    </w:p>
    <w:p w:rsidR="00F236D5" w:rsidRDefault="00F236D5" w:rsidP="00F236D5">
      <w:pPr>
        <w:pStyle w:val="SingleTxtG"/>
        <w:rPr>
          <w:lang w:val="es-ES_tradnl"/>
        </w:rPr>
      </w:pPr>
      <w:r>
        <w:rPr>
          <w:lang w:val="es-ES_tradnl"/>
        </w:rPr>
        <w:tab/>
        <w:t>a)</w:t>
      </w:r>
      <w:r>
        <w:rPr>
          <w:lang w:val="es-ES_tradnl"/>
        </w:rPr>
        <w:tab/>
        <w:t>Lograr que los servicios de apoyo a las madres y a los progenitores jóvenes en general, en particular los que se encuentren en una situación de riesgo especialmente aguda, sean más eficaces. Los organismos estatales ya ayudan a las familias a acceder a los distintos servicios de maternidad, salud infantil y apoyo familiar disponibles.</w:t>
      </w:r>
    </w:p>
    <w:p w:rsidR="00F236D5" w:rsidRDefault="00F236D5" w:rsidP="00F236D5">
      <w:pPr>
        <w:pStyle w:val="SingleTxtG"/>
        <w:rPr>
          <w:lang w:val="es-ES_tradnl"/>
        </w:rPr>
      </w:pPr>
      <w:r>
        <w:rPr>
          <w:lang w:val="es-ES_tradnl"/>
        </w:rPr>
        <w:tab/>
        <w:t>b)</w:t>
      </w:r>
      <w:r>
        <w:rPr>
          <w:lang w:val="es-ES_tradnl"/>
        </w:rPr>
        <w:tab/>
        <w:t>Solucionar los problemas de conducta y comportamiento. La aparición de tales problemas en la infancia es el indicador más claro de un futuro comportamiento antisocial, e incluso delictual. La labor en esta esfera se centra en la elaboración y puesta en marcha de programas escolares culturalmente apropiados, programas de mentores y servicios especializados de apoyo a los progenitores.</w:t>
      </w:r>
    </w:p>
    <w:p w:rsidR="00F236D5" w:rsidRDefault="00F236D5" w:rsidP="00F236D5">
      <w:pPr>
        <w:pStyle w:val="SingleTxtG"/>
        <w:rPr>
          <w:lang w:val="es-ES_tradnl"/>
        </w:rPr>
      </w:pPr>
      <w:r>
        <w:rPr>
          <w:lang w:val="es-ES_tradnl"/>
        </w:rPr>
        <w:tab/>
        <w:t>c)</w:t>
      </w:r>
      <w:r>
        <w:rPr>
          <w:lang w:val="es-ES_tradnl"/>
        </w:rPr>
        <w:tab/>
        <w:t>Reducir los riesgos derivados del consumo de alcohol y aumentar la disponibilidad y accesibilidad de los tratamientos destinados a mitigar el alcoholismo y otras formas de adicción, en particular a las drogas. El Gobierno ha aumentado el acceso a las evaluaciones en materia de adicción y a los servicios de tratamiento en todos los niveles del sistema de justicia penal de adultos. Además, la Comisión de Derecho ha emprendido un examen de la venta de bebidas alcohólicas en Nueva Zelandia, lo que probablemente dará lugar a una reforma encaminada a limitar la disponibilidad de dichas bebidas.</w:t>
      </w:r>
    </w:p>
    <w:p w:rsidR="00F236D5" w:rsidRDefault="00F236D5" w:rsidP="00F236D5">
      <w:pPr>
        <w:pStyle w:val="SingleTxtG"/>
        <w:rPr>
          <w:lang w:val="es-ES_tradnl"/>
        </w:rPr>
      </w:pPr>
      <w:r>
        <w:rPr>
          <w:lang w:val="es-ES_tradnl"/>
        </w:rPr>
        <w:tab/>
        <w:t>d)</w:t>
      </w:r>
      <w:r>
        <w:rPr>
          <w:lang w:val="es-ES_tradnl"/>
        </w:rPr>
        <w:tab/>
        <w:t xml:space="preserve">Hallar enfoques alternativos para tratar y apoyar a los reincidentes en la comisión de delitos no graves. Se están aplicando o elaborando métodos como la justicia restitutiva y la asistencia especial para aprovechar las oportunidades de educación y de empleo. Actualmente algunas audiencias de los tribunales de menores se celebran en </w:t>
      </w:r>
      <w:r>
        <w:rPr>
          <w:i/>
          <w:lang w:val="es-ES_tradnl"/>
        </w:rPr>
        <w:t>marae</w:t>
      </w:r>
      <w:r>
        <w:rPr>
          <w:lang w:val="es-ES_tradnl"/>
        </w:rPr>
        <w:t xml:space="preserve"> (lugares de reunión maoríes tradicionales). Los jóvenes maoríes responden positivamente a un ambiente en que el cuidado y la autoridad tribales se hagan sentir. Conforme a la justicia restitutiva se organiza un encuentro entre la víctima y el autor del delito para que la primera exprese sus necesidades y el segundo asuma la responsabilidad de reparar el daño causado. Los delincuentes deben haber admitido su culpabilidad antes de que pueda iniciarse el proceso de justicia restitutiva. El Ministerio de Justicia financia la administración de justicia restitutiva previa a la sentencia por conducto de 26 grupos de profesionales con base en comunidades de distintas partes de Nueva Zelandia.</w:t>
      </w:r>
    </w:p>
    <w:p w:rsidR="00F236D5" w:rsidRDefault="00F236D5" w:rsidP="00F236D5">
      <w:pPr>
        <w:pStyle w:val="SingleTxtG"/>
        <w:rPr>
          <w:lang w:val="es-ES_tradnl"/>
        </w:rPr>
      </w:pPr>
      <w:r>
        <w:rPr>
          <w:lang w:val="es-ES_tradnl"/>
        </w:rPr>
        <w:t>265.</w:t>
      </w:r>
      <w:r>
        <w:rPr>
          <w:lang w:val="es-ES_tradnl"/>
        </w:rPr>
        <w:tab/>
        <w:t xml:space="preserve">La Administración Penitenciaria ofrece varios programas y servicios destinados específicamente a reducir la reincidencia delictiva por parte de maoríes mediante el recurso a conceptos y valores maoríes tradicionales, o </w:t>
      </w:r>
      <w:r>
        <w:rPr>
          <w:i/>
          <w:lang w:val="es-ES_tradnl"/>
        </w:rPr>
        <w:t>tikanga</w:t>
      </w:r>
      <w:r>
        <w:rPr>
          <w:lang w:val="es-ES_tradnl"/>
        </w:rPr>
        <w:t>. Algunos de esos programas y servicios se detallan a continuación:</w:t>
      </w:r>
    </w:p>
    <w:p w:rsidR="00F236D5" w:rsidRDefault="00F236D5" w:rsidP="00F236D5">
      <w:pPr>
        <w:pStyle w:val="Bullet1G"/>
        <w:rPr>
          <w:lang w:val="es-ES_tradnl"/>
        </w:rPr>
      </w:pPr>
      <w:r>
        <w:rPr>
          <w:i/>
          <w:lang w:val="es-ES_tradnl"/>
        </w:rPr>
        <w:t xml:space="preserve">Programas maoríes </w:t>
      </w:r>
      <w:r w:rsidRPr="00F132BE">
        <w:rPr>
          <w:lang w:val="es-ES_tradnl"/>
        </w:rPr>
        <w:t>tikanga</w:t>
      </w:r>
      <w:r>
        <w:rPr>
          <w:i/>
          <w:lang w:val="es-ES_tradnl"/>
        </w:rPr>
        <w:t>.</w:t>
      </w:r>
      <w:r>
        <w:rPr>
          <w:lang w:val="es-ES_tradnl"/>
        </w:rPr>
        <w:t xml:space="preserve"> Estos programas se destinan a todos los delincuentes que se identifiquen como maorí y que hayan sido sentenciados a prisión, supervisión, supervisión intensiva, arresto domiciliario, libertad condicional o bajo palabra y trabajo en la comunidad. Los programas se basan en conceptos y valores tradicionales a fin de suscitar en los participantes la voluntad y la motivación para emprender su rehabilitación, centrando la atención en particular en su comportamiento delictivo. Según una evaluación realizada en 2007-2008, se habían logrado progresos moderados a la luz del examen de las respuestas de los participantes.</w:t>
      </w:r>
    </w:p>
    <w:p w:rsidR="00F236D5" w:rsidRDefault="00F236D5" w:rsidP="00F236D5">
      <w:pPr>
        <w:pStyle w:val="Bullet1G"/>
        <w:rPr>
          <w:lang w:val="es-ES_tradnl"/>
        </w:rPr>
      </w:pPr>
      <w:r>
        <w:rPr>
          <w:i/>
          <w:lang w:val="es-ES_tradnl"/>
        </w:rPr>
        <w:t>Programas terapéuticos para maoríes</w:t>
      </w:r>
      <w:r>
        <w:rPr>
          <w:lang w:val="es-ES_tradnl"/>
        </w:rPr>
        <w:t xml:space="preserve">, concebidos específicamente para los hombres maoríes con un alto riesgo de delinquir. Estos programas se basan en una terapia cognoscitiva conductual combinada con conceptos maoríes </w:t>
      </w:r>
      <w:r>
        <w:rPr>
          <w:i/>
          <w:lang w:val="es-ES_tradnl"/>
        </w:rPr>
        <w:t>tikanga</w:t>
      </w:r>
      <w:r>
        <w:rPr>
          <w:lang w:val="es-ES_tradnl"/>
        </w:rPr>
        <w:t xml:space="preserve"> y se desarrollan en las cinco dependencias penitenciarias para maoríes de la Administración y en la penitenciaría de la región de Northland.</w:t>
      </w:r>
    </w:p>
    <w:p w:rsidR="00F236D5" w:rsidRDefault="00F236D5" w:rsidP="00F236D5">
      <w:pPr>
        <w:pStyle w:val="Bullet1G"/>
        <w:rPr>
          <w:lang w:val="es-ES_tradnl"/>
        </w:rPr>
      </w:pPr>
      <w:r>
        <w:rPr>
          <w:i/>
          <w:lang w:val="es-ES_tradnl"/>
        </w:rPr>
        <w:t>Dependencias penitenciarias para maoríes</w:t>
      </w:r>
      <w:r>
        <w:rPr>
          <w:lang w:val="es-ES_tradnl"/>
        </w:rPr>
        <w:t xml:space="preserve">. En las cinco dependencias penitenciarias para reclusos maoríes varones, con un total de 60 camas, se utiliza la tradición maorí </w:t>
      </w:r>
      <w:r w:rsidRPr="00F132BE">
        <w:rPr>
          <w:i/>
          <w:lang w:val="es-ES_tradnl"/>
        </w:rPr>
        <w:t>tikanga</w:t>
      </w:r>
      <w:r>
        <w:rPr>
          <w:lang w:val="es-ES_tradnl"/>
        </w:rPr>
        <w:t xml:space="preserve"> para motivar y rehabilitar a los reclusos en el marco de una comunidad terapéutica en un entorno de detención. El personal penitenciario colabora estrechamente con los animadores de los programas, que son miembros de la familia extensa o clan, </w:t>
      </w:r>
      <w:r>
        <w:rPr>
          <w:i/>
          <w:lang w:val="es-ES_tradnl"/>
        </w:rPr>
        <w:t>hapu</w:t>
      </w:r>
      <w:r>
        <w:rPr>
          <w:lang w:val="es-ES_tradnl"/>
        </w:rPr>
        <w:t xml:space="preserve">, y de la tribu, </w:t>
      </w:r>
      <w:r>
        <w:rPr>
          <w:i/>
          <w:lang w:val="es-ES_tradnl"/>
        </w:rPr>
        <w:t>iwi</w:t>
      </w:r>
      <w:r>
        <w:rPr>
          <w:lang w:val="es-ES_tradnl"/>
        </w:rPr>
        <w:t>, a fin de ayudar a los reclusos a recorrer el camino hacia una vida responsable y solidaria en la comunidad.</w:t>
      </w:r>
    </w:p>
    <w:p w:rsidR="00F236D5" w:rsidRDefault="00F236D5" w:rsidP="00F236D5">
      <w:pPr>
        <w:pStyle w:val="Bullet1G"/>
        <w:rPr>
          <w:lang w:val="es-ES_tradnl"/>
        </w:rPr>
      </w:pPr>
      <w:r>
        <w:rPr>
          <w:i/>
          <w:lang w:val="es-ES_tradnl"/>
        </w:rPr>
        <w:t xml:space="preserve">Funcionarios de enlace </w:t>
      </w:r>
      <w:r w:rsidRPr="00F132BE">
        <w:rPr>
          <w:lang w:val="es-ES_tradnl"/>
        </w:rPr>
        <w:t>whanau</w:t>
      </w:r>
      <w:r>
        <w:rPr>
          <w:i/>
          <w:lang w:val="es-ES_tradnl"/>
        </w:rPr>
        <w:t>.</w:t>
      </w:r>
      <w:r>
        <w:rPr>
          <w:lang w:val="es-ES_tradnl"/>
        </w:rPr>
        <w:t xml:space="preserve"> Cada dependencia penitenciaria para maoríes cuenta con un funcionario de enlace </w:t>
      </w:r>
      <w:r>
        <w:rPr>
          <w:i/>
          <w:lang w:val="es-ES_tradnl"/>
        </w:rPr>
        <w:t>whanau</w:t>
      </w:r>
      <w:r>
        <w:rPr>
          <w:lang w:val="es-ES_tradnl"/>
        </w:rPr>
        <w:t xml:space="preserve">. Estos funcionarios desempeñan un papel fundamental en el establecimiento de enlaces previos a la liberación entre los presos, su </w:t>
      </w:r>
      <w:r>
        <w:rPr>
          <w:i/>
          <w:lang w:val="es-ES_tradnl"/>
        </w:rPr>
        <w:t>whanau</w:t>
      </w:r>
      <w:r>
        <w:rPr>
          <w:lang w:val="es-ES_tradnl"/>
        </w:rPr>
        <w:t xml:space="preserve"> (grupo familiar), </w:t>
      </w:r>
      <w:r>
        <w:rPr>
          <w:i/>
          <w:lang w:val="es-ES_tradnl"/>
        </w:rPr>
        <w:t>hapu</w:t>
      </w:r>
      <w:r>
        <w:rPr>
          <w:lang w:val="es-ES_tradnl"/>
        </w:rPr>
        <w:t xml:space="preserve"> e </w:t>
      </w:r>
      <w:r>
        <w:rPr>
          <w:i/>
          <w:lang w:val="es-ES_tradnl"/>
        </w:rPr>
        <w:t>iwi</w:t>
      </w:r>
      <w:r>
        <w:rPr>
          <w:lang w:val="es-ES_tradnl"/>
        </w:rPr>
        <w:t xml:space="preserve"> y la comunidad maorí. Los funcionarios de enlace </w:t>
      </w:r>
      <w:r>
        <w:rPr>
          <w:i/>
          <w:lang w:val="es-ES_tradnl"/>
        </w:rPr>
        <w:t>whanau</w:t>
      </w:r>
      <w:r>
        <w:rPr>
          <w:lang w:val="es-ES_tradnl"/>
        </w:rPr>
        <w:t xml:space="preserve"> trabajan directamente con el </w:t>
      </w:r>
      <w:r>
        <w:rPr>
          <w:i/>
          <w:lang w:val="es-ES_tradnl"/>
        </w:rPr>
        <w:t>whanau</w:t>
      </w:r>
      <w:r>
        <w:rPr>
          <w:lang w:val="es-ES_tradnl"/>
        </w:rPr>
        <w:t xml:space="preserve"> del delincuente a fin de elaborar estrategias para la solución o gestión de determinadas cuestiones relacionadas con su reinserción.</w:t>
      </w:r>
    </w:p>
    <w:p w:rsidR="00F236D5" w:rsidRDefault="00F236D5" w:rsidP="00F236D5">
      <w:pPr>
        <w:pStyle w:val="Bullet1G"/>
        <w:rPr>
          <w:lang w:val="es-ES_tradnl"/>
        </w:rPr>
      </w:pPr>
      <w:r w:rsidRPr="00F132BE">
        <w:rPr>
          <w:lang w:val="es-ES_tradnl"/>
        </w:rPr>
        <w:t>Kaitiaki</w:t>
      </w:r>
      <w:r>
        <w:rPr>
          <w:lang w:val="es-ES_tradnl"/>
        </w:rPr>
        <w:t xml:space="preserve">. Los </w:t>
      </w:r>
      <w:r>
        <w:rPr>
          <w:i/>
          <w:lang w:val="es-ES_tradnl"/>
        </w:rPr>
        <w:t>kaitiaki</w:t>
      </w:r>
      <w:r>
        <w:rPr>
          <w:lang w:val="es-ES_tradnl"/>
        </w:rPr>
        <w:t xml:space="preserve"> (guardianes) son grupos maoríes de las zonas donde se han establecido cuatro nuevos establecimientos penitenciarios regionales. Los </w:t>
      </w:r>
      <w:r>
        <w:rPr>
          <w:i/>
          <w:lang w:val="es-ES_tradnl"/>
        </w:rPr>
        <w:t>kaitiaki</w:t>
      </w:r>
      <w:r>
        <w:rPr>
          <w:lang w:val="es-ES_tradnl"/>
        </w:rPr>
        <w:t xml:space="preserve"> desempeñan una importante función de apoyo en relación con la recepción, rehabilitación y reinserción de los reclusos maoríes y la colaboración de sus respectivas familias. Los </w:t>
      </w:r>
      <w:r>
        <w:rPr>
          <w:i/>
          <w:lang w:val="es-ES_tradnl"/>
        </w:rPr>
        <w:t>kaitiaki</w:t>
      </w:r>
      <w:r>
        <w:rPr>
          <w:lang w:val="es-ES_tradnl"/>
        </w:rPr>
        <w:t xml:space="preserve"> también participan en la contratación y la capacitación del personal penitenciario.</w:t>
      </w:r>
    </w:p>
    <w:p w:rsidR="00381C24" w:rsidRPr="00F236D5" w:rsidRDefault="00F236D5" w:rsidP="00F236D5">
      <w:pPr>
        <w:pStyle w:val="Bullet1G"/>
      </w:pPr>
      <w:r w:rsidRPr="00F132BE">
        <w:rPr>
          <w:lang w:val="es-ES_tradnl"/>
        </w:rPr>
        <w:t>Kowhiritanga</w:t>
      </w:r>
      <w:r>
        <w:rPr>
          <w:lang w:val="es-ES_tradnl"/>
        </w:rPr>
        <w:t xml:space="preserve">. El programa de </w:t>
      </w:r>
      <w:r>
        <w:rPr>
          <w:i/>
          <w:lang w:val="es-ES_tradnl"/>
        </w:rPr>
        <w:t>kowhiritanga</w:t>
      </w:r>
      <w:r>
        <w:rPr>
          <w:lang w:val="es-ES_tradnl"/>
        </w:rPr>
        <w:t xml:space="preserve"> (toma de decisiones) tiene por objeto ayudar a las reclusas a examinar las causas de su actuación delictiva y a desarrollar aptitudes para evitar la reincidencia. El programa incorpora terapias occidentales y está concebido en función de las necesidades de las mujeres maoríes.</w:t>
      </w:r>
    </w:p>
    <w:p w:rsidR="00F236D5" w:rsidRDefault="00F236D5" w:rsidP="00F236D5">
      <w:pPr>
        <w:pStyle w:val="Bullet1G"/>
        <w:numPr>
          <w:ilvl w:val="0"/>
          <w:numId w:val="0"/>
        </w:numPr>
        <w:ind w:left="1531"/>
        <w:sectPr w:rsidR="00F236D5" w:rsidSect="00F236D5">
          <w:headerReference w:type="even" r:id="rId48"/>
          <w:headerReference w:type="default" r:id="rId49"/>
          <w:footerReference w:type="even" r:id="rId50"/>
          <w:footerReference w:type="default" r:id="rId51"/>
          <w:footerReference w:type="first" r:id="rId52"/>
          <w:pgSz w:w="11906" w:h="16838" w:code="9"/>
          <w:pgMar w:top="1701" w:right="1134" w:bottom="2268" w:left="1134" w:header="1134" w:footer="1701" w:gutter="0"/>
          <w:cols w:space="708"/>
          <w:titlePg/>
          <w:docGrid w:linePitch="360"/>
        </w:sectPr>
      </w:pPr>
    </w:p>
    <w:p w:rsidR="003C2ABF" w:rsidRDefault="003C2ABF" w:rsidP="003C2ABF">
      <w:pPr>
        <w:pStyle w:val="HChG"/>
        <w:rPr>
          <w:lang w:val="es-ES_tradnl"/>
        </w:rPr>
      </w:pPr>
      <w:r>
        <w:rPr>
          <w:lang w:val="es-ES_tradnl"/>
        </w:rPr>
        <w:t>Anexo</w:t>
      </w:r>
    </w:p>
    <w:p w:rsidR="003C2ABF" w:rsidRDefault="003C2ABF" w:rsidP="003C2ABF">
      <w:pPr>
        <w:pStyle w:val="HChG"/>
        <w:rPr>
          <w:lang w:val="es-ES_tradnl"/>
        </w:rPr>
      </w:pPr>
      <w:r>
        <w:rPr>
          <w:lang w:val="es-ES_tradnl"/>
        </w:rPr>
        <w:tab/>
      </w:r>
      <w:r>
        <w:rPr>
          <w:lang w:val="es-ES_tradnl"/>
        </w:rPr>
        <w:tab/>
        <w:t xml:space="preserve">Situación relativa a la ratificación de los instrumentos internacionales de </w:t>
      </w:r>
      <w:r>
        <w:rPr>
          <w:lang w:val="es-ES_tradnl"/>
        </w:rPr>
        <w:br/>
        <w:t>derechos humanos</w:t>
      </w:r>
    </w:p>
    <w:tbl>
      <w:tblPr>
        <w:tblStyle w:val="TableGrid"/>
        <w:tblW w:w="12359"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1E0" w:firstRow="1" w:lastRow="1" w:firstColumn="1" w:lastColumn="1" w:noHBand="0" w:noVBand="0"/>
      </w:tblPr>
      <w:tblGrid>
        <w:gridCol w:w="1217"/>
        <w:gridCol w:w="11142"/>
      </w:tblGrid>
      <w:tr w:rsidR="003C2ABF" w:rsidTr="00947046">
        <w:trPr>
          <w:tblHeader/>
        </w:trPr>
        <w:tc>
          <w:tcPr>
            <w:tcW w:w="12359" w:type="dxa"/>
            <w:gridSpan w:val="2"/>
            <w:tcBorders>
              <w:top w:val="single" w:sz="4" w:space="0" w:color="auto"/>
              <w:bottom w:val="single" w:sz="12" w:space="0" w:color="auto"/>
            </w:tcBorders>
            <w:shd w:val="clear" w:color="auto" w:fill="auto"/>
            <w:vAlign w:val="bottom"/>
          </w:tcPr>
          <w:p w:rsidR="003C2ABF" w:rsidRDefault="003C2ABF" w:rsidP="00947046">
            <w:pPr>
              <w:pStyle w:val="SingleTxtG"/>
              <w:spacing w:before="80" w:after="80" w:line="200" w:lineRule="exact"/>
              <w:ind w:left="0" w:right="113"/>
              <w:jc w:val="left"/>
              <w:rPr>
                <w:i/>
                <w:sz w:val="16"/>
                <w:lang w:val="es-ES_tradnl"/>
              </w:rPr>
            </w:pPr>
            <w:r>
              <w:rPr>
                <w:i/>
                <w:sz w:val="16"/>
                <w:lang w:val="es-ES_tradnl"/>
              </w:rPr>
              <w:t>Instrumentos internacionales de derechos humanos</w:t>
            </w:r>
          </w:p>
        </w:tc>
      </w:tr>
      <w:tr w:rsidR="003C2ABF" w:rsidTr="00947046">
        <w:trPr>
          <w:trHeight w:hRule="exact" w:val="113"/>
          <w:tblHeader/>
        </w:trPr>
        <w:tc>
          <w:tcPr>
            <w:tcW w:w="12359" w:type="dxa"/>
            <w:gridSpan w:val="2"/>
            <w:tcBorders>
              <w:top w:val="single" w:sz="12" w:space="0" w:color="auto"/>
            </w:tcBorders>
            <w:shd w:val="clear" w:color="auto" w:fill="auto"/>
          </w:tcPr>
          <w:p w:rsidR="003C2ABF" w:rsidRDefault="003C2ABF" w:rsidP="00947046">
            <w:pPr>
              <w:pStyle w:val="SingleTxtG"/>
              <w:spacing w:before="40"/>
              <w:ind w:left="0" w:right="113"/>
              <w:jc w:val="left"/>
              <w:rPr>
                <w:i/>
                <w:lang w:val="es-ES_tradnl"/>
              </w:rPr>
            </w:pPr>
          </w:p>
        </w:tc>
      </w:tr>
      <w:tr w:rsidR="003C2ABF" w:rsidTr="00947046">
        <w:tc>
          <w:tcPr>
            <w:tcW w:w="12359" w:type="dxa"/>
            <w:gridSpan w:val="2"/>
            <w:shd w:val="clear" w:color="auto" w:fill="auto"/>
          </w:tcPr>
          <w:p w:rsidR="003C2ABF" w:rsidRDefault="003C2ABF" w:rsidP="00947046">
            <w:pPr>
              <w:pStyle w:val="SingleTxtG"/>
              <w:spacing w:before="40"/>
              <w:ind w:left="0" w:right="113"/>
              <w:jc w:val="left"/>
              <w:rPr>
                <w:lang w:val="es-ES_tradnl"/>
              </w:rPr>
            </w:pPr>
            <w:r>
              <w:rPr>
                <w:i/>
                <w:lang w:val="es-ES_tradnl"/>
              </w:rPr>
              <w:t>Pacto Internacional de Derechos Económicos, Sociales y Culturales</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Situación</w:t>
            </w:r>
          </w:p>
        </w:tc>
        <w:tc>
          <w:tcPr>
            <w:tcW w:w="11142" w:type="dxa"/>
            <w:shd w:val="clear" w:color="auto" w:fill="auto"/>
          </w:tcPr>
          <w:p w:rsidR="003C2ABF" w:rsidRDefault="003C2ABF" w:rsidP="00947046">
            <w:pPr>
              <w:spacing w:before="40" w:after="120"/>
              <w:ind w:right="113"/>
              <w:rPr>
                <w:lang w:val="es-ES_tradnl"/>
              </w:rPr>
            </w:pPr>
            <w:r>
              <w:rPr>
                <w:lang w:val="es-ES_tradnl"/>
              </w:rPr>
              <w:t>Firmado en 1968. Ratificado en 1978.</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Reserva</w:t>
            </w:r>
          </w:p>
        </w:tc>
        <w:tc>
          <w:tcPr>
            <w:tcW w:w="11142" w:type="dxa"/>
            <w:shd w:val="clear" w:color="auto" w:fill="auto"/>
          </w:tcPr>
          <w:p w:rsidR="003C2ABF" w:rsidRDefault="003C2ABF" w:rsidP="00947046">
            <w:pPr>
              <w:spacing w:before="40" w:after="120"/>
              <w:ind w:right="113"/>
              <w:rPr>
                <w:lang w:val="es-ES_tradnl"/>
              </w:rPr>
            </w:pPr>
            <w:r>
              <w:rPr>
                <w:lang w:val="es-ES_tradnl"/>
              </w:rPr>
              <w:t>El Gobierno de Nueva Zelandia se reserva el derecho de no aplicar el artículo 8 en la medida en que ciertas disposiciones legislativas actuales, promulgadas para garantizar la eficaz representación de los sindicatos y alentar las relaciones laborales regulares, tal vez no sean del todo compatibles con ese artículo.</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Motivo</w:t>
            </w:r>
          </w:p>
        </w:tc>
        <w:tc>
          <w:tcPr>
            <w:tcW w:w="11142" w:type="dxa"/>
            <w:shd w:val="clear" w:color="auto" w:fill="auto"/>
          </w:tcPr>
          <w:p w:rsidR="003C2ABF" w:rsidRDefault="003C2ABF" w:rsidP="00947046">
            <w:pPr>
              <w:spacing w:before="40" w:after="120"/>
              <w:ind w:right="113"/>
              <w:rPr>
                <w:lang w:val="es-ES_tradnl"/>
              </w:rPr>
            </w:pPr>
            <w:r>
              <w:rPr>
                <w:lang w:val="es-ES_tradnl"/>
              </w:rPr>
              <w:t>Nueva Zelandia formuló esta reserva por la incompatibilidad con las disposiciones de la Ley de relaciones laborales de 1973. La ley y la política de Nueva Zelandia en materia de relaciones laborales son actualmente muy diferentes.</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Medidas adoptadas</w:t>
            </w:r>
          </w:p>
        </w:tc>
        <w:tc>
          <w:tcPr>
            <w:tcW w:w="11142" w:type="dxa"/>
            <w:shd w:val="clear" w:color="auto" w:fill="auto"/>
          </w:tcPr>
          <w:p w:rsidR="003C2ABF" w:rsidRDefault="003C2ABF" w:rsidP="00947046">
            <w:pPr>
              <w:spacing w:before="40" w:after="120"/>
              <w:ind w:right="113"/>
              <w:rPr>
                <w:lang w:val="es-ES_tradnl"/>
              </w:rPr>
            </w:pPr>
            <w:r>
              <w:rPr>
                <w:lang w:val="es-ES_tradnl"/>
              </w:rPr>
              <w:t>Hasta la fecha, los progresos realizados con respecto a las dos reservas han estado vinculados a la ratificación del Convenio Nº 87 de la OIT sobre la libertad sindical y la protección del derecho de sindicación, de 1948, artículo 3, por el que se fomenta la posibilidad de los trabajadores de participar legalmente en huelgas de solidaridad y protesta. Según la OIT, el artículo 86 de la Ley de relaciones laborales de 2000 de Nueva Zelandia (en el que se dispone que se sancionará a los trabajadores que participen en huelgas) impide que Nueva Zelandia ratifique la Convención. En este momento, el Gobierno no desea revocar las sanciones previstas para legalizar las huelgas de solidaridad o protesta.</w:t>
            </w:r>
          </w:p>
          <w:p w:rsidR="003C2ABF" w:rsidRDefault="003C2ABF" w:rsidP="00947046">
            <w:pPr>
              <w:spacing w:before="40" w:after="120"/>
              <w:ind w:right="113"/>
              <w:rPr>
                <w:lang w:val="es-ES_tradnl"/>
              </w:rPr>
            </w:pPr>
            <w:r>
              <w:rPr>
                <w:lang w:val="es-ES_tradnl"/>
              </w:rPr>
              <w:t>Aunque en sí no es necesario ratificar el Convenio Nº 87 de la OIT para retirar esta reserva, Nueva Zelandia considera que la jurisprudencia de la OIT será un factor de peso al determinar el alcance del derecho a la huelga previsto en el Pacto Internacional de Derechos Económicos, Sociales y Culturales.</w:t>
            </w:r>
          </w:p>
        </w:tc>
      </w:tr>
      <w:tr w:rsidR="003C2ABF" w:rsidTr="00947046">
        <w:tc>
          <w:tcPr>
            <w:tcW w:w="12359" w:type="dxa"/>
            <w:gridSpan w:val="2"/>
            <w:shd w:val="clear" w:color="auto" w:fill="auto"/>
          </w:tcPr>
          <w:p w:rsidR="003C2ABF" w:rsidRDefault="003C2ABF" w:rsidP="00947046">
            <w:pPr>
              <w:pStyle w:val="SingleTxtG"/>
              <w:spacing w:before="40"/>
              <w:ind w:left="0" w:right="113"/>
              <w:jc w:val="left"/>
              <w:rPr>
                <w:lang w:val="es-ES_tradnl"/>
              </w:rPr>
            </w:pPr>
            <w:r>
              <w:rPr>
                <w:i/>
                <w:lang w:val="es-ES_tradnl"/>
              </w:rPr>
              <w:t>Pacto Internacional de Derechos Civiles y Políticos</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Situación</w:t>
            </w:r>
          </w:p>
        </w:tc>
        <w:tc>
          <w:tcPr>
            <w:tcW w:w="11142" w:type="dxa"/>
            <w:shd w:val="clear" w:color="auto" w:fill="auto"/>
          </w:tcPr>
          <w:p w:rsidR="003C2ABF" w:rsidRDefault="003C2ABF" w:rsidP="00947046">
            <w:pPr>
              <w:pStyle w:val="SingleTxtG"/>
              <w:spacing w:before="40"/>
              <w:ind w:left="0" w:right="113"/>
              <w:jc w:val="left"/>
              <w:rPr>
                <w:lang w:val="es-ES_tradnl"/>
              </w:rPr>
            </w:pPr>
            <w:r>
              <w:rPr>
                <w:lang w:val="es-ES_tradnl"/>
              </w:rPr>
              <w:t>Firmado en 1968. Ratificado en 1978.</w:t>
            </w:r>
          </w:p>
        </w:tc>
      </w:tr>
      <w:tr w:rsidR="003C2ABF" w:rsidTr="00947046">
        <w:tc>
          <w:tcPr>
            <w:tcW w:w="1217" w:type="dxa"/>
            <w:shd w:val="clear" w:color="auto" w:fill="auto"/>
          </w:tcPr>
          <w:p w:rsidR="003C2ABF" w:rsidRDefault="003C2ABF" w:rsidP="00947046">
            <w:pPr>
              <w:keepNext/>
              <w:spacing w:before="40" w:after="120"/>
              <w:ind w:right="113"/>
              <w:rPr>
                <w:lang w:val="es-ES_tradnl"/>
              </w:rPr>
            </w:pPr>
            <w:r>
              <w:rPr>
                <w:lang w:val="es-ES_tradnl"/>
              </w:rPr>
              <w:t>Declaración</w:t>
            </w:r>
          </w:p>
        </w:tc>
        <w:tc>
          <w:tcPr>
            <w:tcW w:w="11142" w:type="dxa"/>
            <w:shd w:val="clear" w:color="auto" w:fill="auto"/>
          </w:tcPr>
          <w:p w:rsidR="003C2ABF" w:rsidRDefault="003C2ABF" w:rsidP="00947046">
            <w:pPr>
              <w:pStyle w:val="SingleTxtG"/>
              <w:keepNext/>
              <w:spacing w:before="40"/>
              <w:ind w:left="0" w:right="113"/>
              <w:jc w:val="left"/>
              <w:rPr>
                <w:lang w:val="es-ES_tradnl"/>
              </w:rPr>
            </w:pPr>
            <w:r>
              <w:rPr>
                <w:lang w:val="es-ES_tradnl"/>
              </w:rPr>
              <w:t>El Gobierno de Nueva Zelandia declara, de conformidad con el artículo 41 del Pacto Internacional de Derechos Civiles y Políticos, que reconoce la competencia del Comité de Derechos Humanos para recibir y examinar las comunicaciones de otro Estado parte que también haya declarado, en virtud del artículo 41, reconocer con respecto a sí mismo la competencia del Comité, salvo en el caso de que dicho Estado parte haya formulado su declaración menos de 12 horas antes de presentar una queja relativa a Nueva Zelandia.</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Reserva</w:t>
            </w:r>
          </w:p>
        </w:tc>
        <w:tc>
          <w:tcPr>
            <w:tcW w:w="11142" w:type="dxa"/>
            <w:shd w:val="clear" w:color="auto" w:fill="auto"/>
          </w:tcPr>
          <w:p w:rsidR="003C2ABF" w:rsidRDefault="003C2ABF" w:rsidP="00947046">
            <w:pPr>
              <w:spacing w:before="40" w:after="120"/>
              <w:ind w:right="113"/>
              <w:rPr>
                <w:lang w:val="es-ES_tradnl"/>
              </w:rPr>
            </w:pPr>
            <w:r>
              <w:rPr>
                <w:lang w:val="es-ES_tradnl"/>
              </w:rPr>
              <w:t>El Gobierno de Nueva Zelandia se reserva el derecho a no aplicar el artículo 10 2) b) y el artículo 10 3) cuando por falta de instalaciones adecuadas sea inevitable separar a los menores de los adultos; se reserva asimismo el derecho a no aplicar el artículo 10 3) cuando el interés de otros menores detenidos en un establecimiento exija que uno de ellos sea retirado de ese establecimiento, o cuando se considere que un régimen común puede beneficiar a los interesados.</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Motivo</w:t>
            </w:r>
          </w:p>
        </w:tc>
        <w:tc>
          <w:tcPr>
            <w:tcW w:w="11142" w:type="dxa"/>
            <w:shd w:val="clear" w:color="auto" w:fill="auto"/>
          </w:tcPr>
          <w:p w:rsidR="003C2ABF" w:rsidRDefault="003C2ABF" w:rsidP="00947046">
            <w:pPr>
              <w:spacing w:before="40" w:after="120"/>
              <w:ind w:right="113"/>
              <w:rPr>
                <w:lang w:val="es-ES_tradnl"/>
              </w:rPr>
            </w:pPr>
            <w:r>
              <w:rPr>
                <w:lang w:val="es-ES_tradnl"/>
              </w:rPr>
              <w:t>Nueva Zelandia formuló esta reserva y otra reserva análoga al artículo 37 de la Convención sobre los Derechos del Niño porque no tenía suficientes centros penitenciarios exclusivamente destinados a los menores, lo cual le impedía aplicar el artículo. Nueva Zelandia tenía además otras preocupaciones al respecto, como por ejemplo que no siempre era lo mejor para los menores estar separados de los detenidos adultos, en particular en los casos en que ello implicase que se vieran separados de su familia.</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Medidas adoptadas</w:t>
            </w:r>
          </w:p>
        </w:tc>
        <w:tc>
          <w:tcPr>
            <w:tcW w:w="11142" w:type="dxa"/>
            <w:shd w:val="clear" w:color="auto" w:fill="auto"/>
          </w:tcPr>
          <w:p w:rsidR="003C2ABF" w:rsidRDefault="003C2ABF" w:rsidP="00947046">
            <w:pPr>
              <w:pStyle w:val="SingleTxtG"/>
              <w:spacing w:before="40"/>
              <w:ind w:left="0" w:right="113"/>
              <w:jc w:val="left"/>
              <w:rPr>
                <w:lang w:val="es-ES_tradnl"/>
              </w:rPr>
            </w:pPr>
            <w:r>
              <w:rPr>
                <w:lang w:val="es-ES_tradnl"/>
              </w:rPr>
              <w:t>En septiembre de 2003, el Comité sobre los Derechos del Niño indicó a Nueva Zelandia que, si se retirara la reserva, internar a personas vulnerables de 18 o 19 años en los pabellones reservados a los menores delincuentes no infringiría las obligaciones estipuladas en el artículo 37 c).</w:t>
            </w:r>
          </w:p>
          <w:p w:rsidR="003C2ABF" w:rsidRDefault="003C2ABF" w:rsidP="00947046">
            <w:pPr>
              <w:pStyle w:val="SingleTxtG"/>
              <w:spacing w:before="40"/>
              <w:ind w:left="0" w:right="113"/>
              <w:jc w:val="left"/>
              <w:rPr>
                <w:lang w:val="es-ES_tradnl"/>
              </w:rPr>
            </w:pPr>
            <w:r>
              <w:rPr>
                <w:lang w:val="es-ES_tradnl"/>
              </w:rPr>
              <w:t>En 2005 se finalizó la construcción de nuevas unidades para menores. Además, en julio de 2005 entraron en vigor nuevas leyes y reglamentos sobre establecimientos penitenciarios, con lo cual se disminuía a 18 años la edad máxima de los delincuentes juveniles y se establecía que no se mezclaría a detenidos adultos y menores a no ser que la autoridad competente determinara que esa fuera la mejor solución para la persona interesada. Se han efectuado mejoras considerables en los establecimientos penitenciarios en aras del cumplimiento de esta disposición. No obstante, queda bastante por hacer para cumplir plenamente la obligación con respecto a otros lugares de detención, en particular las celdas existentes en los tribunales y en los vehículos de la Policía. Por lo general, durante el transporte y en las celdas de los tribunales se separa a los reclusos de hasta 17 años de edad de los adultos. Esto no siempre es posible debido a las limitaciones de las instalaciones actuales, especialmente en tribunales pequeños y remotos. En consecuencia, Nueva Zelandia aún no está en condiciones de retirar la reserva.</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Reserva</w:t>
            </w:r>
          </w:p>
        </w:tc>
        <w:tc>
          <w:tcPr>
            <w:tcW w:w="11142" w:type="dxa"/>
            <w:shd w:val="clear" w:color="auto" w:fill="auto"/>
          </w:tcPr>
          <w:p w:rsidR="003C2ABF" w:rsidRDefault="003C2ABF" w:rsidP="00947046">
            <w:pPr>
              <w:spacing w:before="40" w:after="120"/>
              <w:ind w:right="113"/>
              <w:rPr>
                <w:lang w:val="es-ES_tradnl"/>
              </w:rPr>
            </w:pPr>
            <w:r>
              <w:rPr>
                <w:lang w:val="es-ES_tradnl"/>
              </w:rPr>
              <w:t xml:space="preserve">El Gobierno de Nueva Zelandia se reserva el derecho a no aplicar el artículo 14 6) en la medida en que no le satisface el sistema actual de concesión de indemnizaciones a título graciable a las víctimas de un error judicial. </w:t>
            </w:r>
          </w:p>
        </w:tc>
      </w:tr>
      <w:tr w:rsidR="003C2ABF" w:rsidTr="00947046">
        <w:tc>
          <w:tcPr>
            <w:tcW w:w="1217" w:type="dxa"/>
            <w:shd w:val="clear" w:color="auto" w:fill="auto"/>
          </w:tcPr>
          <w:p w:rsidR="003C2ABF" w:rsidRDefault="003C2ABF" w:rsidP="00947046">
            <w:pPr>
              <w:keepNext/>
              <w:spacing w:before="40" w:after="120"/>
              <w:ind w:right="113"/>
              <w:rPr>
                <w:lang w:val="es-ES_tradnl"/>
              </w:rPr>
            </w:pPr>
            <w:r>
              <w:rPr>
                <w:lang w:val="es-ES_tradnl"/>
              </w:rPr>
              <w:t>Motivo</w:t>
            </w:r>
          </w:p>
        </w:tc>
        <w:tc>
          <w:tcPr>
            <w:tcW w:w="11142" w:type="dxa"/>
            <w:shd w:val="clear" w:color="auto" w:fill="auto"/>
          </w:tcPr>
          <w:p w:rsidR="003C2ABF" w:rsidRDefault="003C2ABF" w:rsidP="00947046">
            <w:pPr>
              <w:keepNext/>
              <w:spacing w:before="40" w:after="120"/>
              <w:ind w:right="113"/>
              <w:rPr>
                <w:lang w:val="es-ES_tradnl"/>
              </w:rPr>
            </w:pPr>
            <w:r>
              <w:rPr>
                <w:lang w:val="es-ES_tradnl"/>
              </w:rPr>
              <w:t>Esa reserva se formuló porque el sistema neozelandés de concesión de indemnizaciones a título graciable a las víctimas de condenas injustas no es conforme a lo dispuesto en el artículo 14 6) en el sentido de que las indemnizaciones deben ser conformes a la ley. Ningún mecanismo de indemnización está previsto por ley. La Corona puede realizar un pago a título graciable a una persona que haya sido indultada por la Reina o el Gobernador General, o cuya condena haya sido revocada en virtud del artículo 406 de la Ley penal de 1961, pero dichas indemnizaciones quedan a la completa discreción de la Corona y no constituyen una obligación legal.</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Medidas adoptadas</w:t>
            </w:r>
          </w:p>
        </w:tc>
        <w:tc>
          <w:tcPr>
            <w:tcW w:w="11142" w:type="dxa"/>
            <w:shd w:val="clear" w:color="auto" w:fill="auto"/>
          </w:tcPr>
          <w:p w:rsidR="003C2ABF" w:rsidRDefault="003C2ABF" w:rsidP="00947046">
            <w:pPr>
              <w:spacing w:before="40" w:after="120"/>
              <w:ind w:right="113"/>
              <w:rPr>
                <w:lang w:val="es-ES_tradnl"/>
              </w:rPr>
            </w:pPr>
            <w:r>
              <w:rPr>
                <w:lang w:val="es-ES_tradnl"/>
              </w:rPr>
              <w:t>En 2001, el Gabinete revisó las directrices que sigue el poder ejecutivo al examinar una solicitud de indemnización. Las directrices revisadas incluyen criterios de idoneidad y una lista de factores que se deben tomar en cuenta para determinar la cuantía de los pagos. Esos criterios y factores son muy detallados, están formulados en un lenguaje imperativo e instruyen al Ministro de Justicia que someta los casos que cumplan los requisitos de idoneidad al examen de un fiscal de la Corona para que haga una evaluación a fondo. Así pues, las directrices revisadas contribuyen a que el proceso sea más definido y transparente. Sin embargo, no tienen carácter de ley y por lo tanto no se las puede invocar para solicitar una indemnización. En consecuencia, Nueva Zelandia mantendrá su reserva por el momento.</w:t>
            </w:r>
          </w:p>
        </w:tc>
      </w:tr>
      <w:tr w:rsidR="003C2ABF" w:rsidTr="00947046">
        <w:tc>
          <w:tcPr>
            <w:tcW w:w="1217" w:type="dxa"/>
            <w:shd w:val="clear" w:color="auto" w:fill="auto"/>
          </w:tcPr>
          <w:p w:rsidR="003C2ABF" w:rsidRDefault="003C2ABF" w:rsidP="00CB63B0">
            <w:pPr>
              <w:keepNext/>
              <w:keepLines/>
              <w:spacing w:before="40" w:after="120"/>
              <w:ind w:right="113"/>
              <w:rPr>
                <w:lang w:val="es-ES_tradnl"/>
              </w:rPr>
            </w:pPr>
            <w:r>
              <w:rPr>
                <w:lang w:val="es-ES_tradnl"/>
              </w:rPr>
              <w:t>Reserva</w:t>
            </w:r>
          </w:p>
        </w:tc>
        <w:tc>
          <w:tcPr>
            <w:tcW w:w="11142" w:type="dxa"/>
            <w:shd w:val="clear" w:color="auto" w:fill="auto"/>
          </w:tcPr>
          <w:p w:rsidR="003C2ABF" w:rsidRDefault="003C2ABF" w:rsidP="00CB63B0">
            <w:pPr>
              <w:keepNext/>
              <w:keepLines/>
              <w:spacing w:before="40" w:after="120"/>
              <w:ind w:right="113"/>
              <w:rPr>
                <w:lang w:val="es-ES_tradnl"/>
              </w:rPr>
            </w:pPr>
            <w:r>
              <w:rPr>
                <w:lang w:val="es-ES_tradnl"/>
              </w:rPr>
              <w:t>El Gobierno de Nueva Zelandia ha adoptado ya disposiciones legislativas relativas a la apología del odio nacional y racial y a la incitación a la hostilidad o a la animadversión contra cualquier grupo de personas y, teniendo en cuenta el derecho a la libertad de expresión, se reserva el derecho a no adoptar nuevas disposiciones legislativas con respecto al artículo 20.</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Motivo</w:t>
            </w:r>
          </w:p>
        </w:tc>
        <w:tc>
          <w:tcPr>
            <w:tcW w:w="11142" w:type="dxa"/>
            <w:shd w:val="clear" w:color="auto" w:fill="auto"/>
          </w:tcPr>
          <w:p w:rsidR="003C2ABF" w:rsidRDefault="003C2ABF" w:rsidP="00947046">
            <w:pPr>
              <w:spacing w:before="40" w:after="120"/>
              <w:ind w:right="113"/>
              <w:rPr>
                <w:lang w:val="es-ES_tradnl"/>
              </w:rPr>
            </w:pPr>
            <w:r>
              <w:rPr>
                <w:lang w:val="es-ES_tradnl"/>
              </w:rPr>
              <w:t>La ley de Nueva Zelandia no prohíbe expresamente la propaganda de guerra ni la apología del odio religioso. La Ley penal de 1963 prohíbe la incitación a la hostilidad o a la animadversión entre diferentes grupos de personas en casos en que ello pueda constituir una amenaza para la seguridad pública. La Ley de derechos humanos de 1993 prohíbe la incitación a la hostilidad contra cualquier grupo de personas por motivos de color de la piel, raza u origen étnico o nacional.</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Medidas adoptadas</w:t>
            </w:r>
          </w:p>
        </w:tc>
        <w:tc>
          <w:tcPr>
            <w:tcW w:w="11142" w:type="dxa"/>
            <w:vMerge w:val="restart"/>
            <w:shd w:val="clear" w:color="auto" w:fill="auto"/>
          </w:tcPr>
          <w:p w:rsidR="003C2ABF" w:rsidRDefault="003C2ABF" w:rsidP="00947046">
            <w:pPr>
              <w:spacing w:before="40" w:after="120"/>
              <w:ind w:right="113"/>
              <w:rPr>
                <w:lang w:val="es-ES_tradnl"/>
              </w:rPr>
            </w:pPr>
            <w:r>
              <w:rPr>
                <w:lang w:val="es-ES_tradnl"/>
              </w:rPr>
              <w:t>El Comité de Derechos Humanos manifestó su preocupación ante el hecho de que la Ley de derechos humanos de 1993 no prohibiera la apología del odio religioso cuando examinó el tercer informe periódico de Nueva Zelandia en virtud del Pacto Internacional de Derechos Civiles y Políticos. A raíz de las observaciones del Comité, la Comisión de Derechos Humanos de Nueva Zelandia analizó la cuestión, pero no encontró señales de que hubiera problemas. Las cuestiones de religión que habían sido investigadas por la Comisión tendían a relacionarse con el asunto del manejo de las diferencias religiosas, más que con casos de discriminación manifiesta por ese motivo. Por el momento, la Comisión no está promoviendo ninguna enmienda de la ley sino que la mantiene en observación por si surgieran problemas en este contexto.</w:t>
            </w:r>
          </w:p>
        </w:tc>
      </w:tr>
      <w:tr w:rsidR="003C2ABF" w:rsidTr="00947046">
        <w:tc>
          <w:tcPr>
            <w:tcW w:w="1217" w:type="dxa"/>
            <w:shd w:val="clear" w:color="auto" w:fill="auto"/>
          </w:tcPr>
          <w:p w:rsidR="003C2ABF" w:rsidRDefault="003C2ABF" w:rsidP="00947046">
            <w:pPr>
              <w:spacing w:before="40" w:after="120"/>
              <w:ind w:right="113"/>
              <w:rPr>
                <w:lang w:val="es-ES_tradnl"/>
              </w:rPr>
            </w:pPr>
          </w:p>
        </w:tc>
        <w:tc>
          <w:tcPr>
            <w:tcW w:w="11142" w:type="dxa"/>
            <w:vMerge/>
            <w:shd w:val="clear" w:color="auto" w:fill="auto"/>
          </w:tcPr>
          <w:p w:rsidR="003C2ABF" w:rsidRDefault="003C2ABF" w:rsidP="00947046">
            <w:pPr>
              <w:spacing w:before="40" w:after="120"/>
              <w:ind w:right="113"/>
              <w:rPr>
                <w:lang w:val="es-ES_tradnl"/>
              </w:rPr>
            </w:pP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Reserva</w:t>
            </w:r>
          </w:p>
        </w:tc>
        <w:tc>
          <w:tcPr>
            <w:tcW w:w="11142" w:type="dxa"/>
            <w:shd w:val="clear" w:color="auto" w:fill="auto"/>
          </w:tcPr>
          <w:p w:rsidR="003C2ABF" w:rsidRDefault="003C2ABF" w:rsidP="00947046">
            <w:pPr>
              <w:spacing w:before="40" w:after="120"/>
              <w:ind w:right="113"/>
              <w:rPr>
                <w:lang w:val="es-ES_tradnl"/>
              </w:rPr>
            </w:pPr>
            <w:r>
              <w:rPr>
                <w:lang w:val="es-ES_tradnl"/>
              </w:rPr>
              <w:t>El Gobierno de Nueva Zelandia se reserva el derecho a no aplicar el artículo 22 relativo a los sindicatos en la medida en que ciertas disposiciones legislativas vigentes, dictadas para garantizar una representación sindical efectiva y fomentar relaciones laborales armoniosas, podrían no ser totalmente compatibles con ese artículo.</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Motivo</w:t>
            </w:r>
          </w:p>
        </w:tc>
        <w:tc>
          <w:tcPr>
            <w:tcW w:w="11142" w:type="dxa"/>
            <w:shd w:val="clear" w:color="auto" w:fill="auto"/>
          </w:tcPr>
          <w:p w:rsidR="003C2ABF" w:rsidRDefault="003C2ABF" w:rsidP="00947046">
            <w:pPr>
              <w:spacing w:before="40" w:after="120"/>
              <w:ind w:right="113"/>
              <w:rPr>
                <w:lang w:val="es-ES_tradnl"/>
              </w:rPr>
            </w:pPr>
            <w:r>
              <w:rPr>
                <w:lang w:val="es-ES_tradnl"/>
              </w:rPr>
              <w:t xml:space="preserve">Véase la información sobre la reserva de Nueva Zelandia al artículo 8 del Pacto Internacional de Derechos Económicos, Sociales y Culturales, </w:t>
            </w:r>
            <w:r>
              <w:rPr>
                <w:i/>
                <w:lang w:val="es-ES_tradnl"/>
              </w:rPr>
              <w:t>supra</w:t>
            </w:r>
            <w:r>
              <w:rPr>
                <w:lang w:val="es-ES_tradnl"/>
              </w:rPr>
              <w:t>.</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Medidas adoptadas</w:t>
            </w:r>
          </w:p>
        </w:tc>
        <w:tc>
          <w:tcPr>
            <w:tcW w:w="11142" w:type="dxa"/>
            <w:shd w:val="clear" w:color="auto" w:fill="auto"/>
          </w:tcPr>
          <w:p w:rsidR="003C2ABF" w:rsidRDefault="003C2ABF" w:rsidP="00947046">
            <w:pPr>
              <w:spacing w:before="40" w:after="120"/>
              <w:ind w:right="113"/>
              <w:rPr>
                <w:lang w:val="es-ES_tradnl"/>
              </w:rPr>
            </w:pPr>
            <w:r>
              <w:rPr>
                <w:lang w:val="es-ES_tradnl"/>
              </w:rPr>
              <w:t xml:space="preserve">Véase la información sobre la reserva de Nueva Zelandia al artículo 8 del Pacto Internacional de Derechos Económicos, Sociales y Culturales, </w:t>
            </w:r>
            <w:r>
              <w:rPr>
                <w:i/>
                <w:lang w:val="es-ES_tradnl"/>
              </w:rPr>
              <w:t>supra</w:t>
            </w:r>
            <w:r>
              <w:rPr>
                <w:lang w:val="es-ES_tradnl"/>
              </w:rPr>
              <w:t>.</w:t>
            </w:r>
          </w:p>
        </w:tc>
      </w:tr>
      <w:tr w:rsidR="003C2ABF" w:rsidTr="00947046">
        <w:tc>
          <w:tcPr>
            <w:tcW w:w="12359" w:type="dxa"/>
            <w:gridSpan w:val="2"/>
            <w:shd w:val="clear" w:color="auto" w:fill="auto"/>
          </w:tcPr>
          <w:p w:rsidR="003C2ABF" w:rsidRDefault="003C2ABF" w:rsidP="00947046">
            <w:pPr>
              <w:pStyle w:val="SingleTxtG"/>
              <w:spacing w:before="40"/>
              <w:ind w:left="0" w:right="113"/>
              <w:jc w:val="left"/>
              <w:rPr>
                <w:lang w:val="es-ES_tradnl"/>
              </w:rPr>
            </w:pPr>
            <w:r>
              <w:rPr>
                <w:i/>
                <w:lang w:val="es-ES_tradnl"/>
              </w:rPr>
              <w:t>Protocolo Facultativo del Pacto Internacional de Derechos Civiles y Políticos (comunicaciones individuales)</w:t>
            </w:r>
          </w:p>
        </w:tc>
      </w:tr>
      <w:tr w:rsidR="003C2ABF" w:rsidTr="00947046">
        <w:tc>
          <w:tcPr>
            <w:tcW w:w="1217" w:type="dxa"/>
            <w:shd w:val="clear" w:color="auto" w:fill="auto"/>
          </w:tcPr>
          <w:p w:rsidR="003C2ABF" w:rsidRDefault="003C2ABF" w:rsidP="00947046">
            <w:pPr>
              <w:pStyle w:val="SingleTxtG"/>
              <w:spacing w:before="40"/>
              <w:ind w:left="0" w:right="113"/>
              <w:jc w:val="left"/>
              <w:rPr>
                <w:lang w:val="es-ES_tradnl"/>
              </w:rPr>
            </w:pPr>
            <w:r>
              <w:rPr>
                <w:lang w:val="es-ES_tradnl"/>
              </w:rPr>
              <w:t>Situación</w:t>
            </w:r>
          </w:p>
        </w:tc>
        <w:tc>
          <w:tcPr>
            <w:tcW w:w="11142" w:type="dxa"/>
            <w:shd w:val="clear" w:color="auto" w:fill="auto"/>
          </w:tcPr>
          <w:p w:rsidR="003C2ABF" w:rsidRDefault="003C2ABF" w:rsidP="00947046">
            <w:pPr>
              <w:pStyle w:val="SingleTxtG"/>
              <w:spacing w:before="40"/>
              <w:ind w:left="0" w:right="113"/>
              <w:jc w:val="left"/>
              <w:rPr>
                <w:lang w:val="es-ES_tradnl"/>
              </w:rPr>
            </w:pPr>
            <w:r>
              <w:rPr>
                <w:lang w:val="es-ES_tradnl"/>
              </w:rPr>
              <w:t>Adhesión en 1989.</w:t>
            </w:r>
          </w:p>
        </w:tc>
      </w:tr>
      <w:tr w:rsidR="003C2ABF" w:rsidTr="00947046">
        <w:tc>
          <w:tcPr>
            <w:tcW w:w="12359" w:type="dxa"/>
            <w:gridSpan w:val="2"/>
            <w:shd w:val="clear" w:color="auto" w:fill="auto"/>
          </w:tcPr>
          <w:p w:rsidR="003C2ABF" w:rsidRDefault="003C2ABF" w:rsidP="00947046">
            <w:pPr>
              <w:pStyle w:val="SingleTxtG"/>
              <w:keepNext/>
              <w:spacing w:before="40"/>
              <w:ind w:left="0" w:right="113"/>
              <w:jc w:val="left"/>
              <w:rPr>
                <w:lang w:val="es-ES_tradnl"/>
              </w:rPr>
            </w:pPr>
            <w:r>
              <w:rPr>
                <w:i/>
                <w:lang w:val="es-ES_tradnl"/>
              </w:rPr>
              <w:t>Segundo Protocolo Facultativo del Pacto Internacional de Derechos Civiles y Políticos (abolición de la pena de muerte)</w:t>
            </w:r>
          </w:p>
        </w:tc>
      </w:tr>
      <w:tr w:rsidR="003C2ABF" w:rsidTr="00947046">
        <w:tc>
          <w:tcPr>
            <w:tcW w:w="1217" w:type="dxa"/>
            <w:shd w:val="clear" w:color="auto" w:fill="auto"/>
          </w:tcPr>
          <w:p w:rsidR="003C2ABF" w:rsidRDefault="003C2ABF" w:rsidP="00947046">
            <w:pPr>
              <w:pStyle w:val="SingleTxtG"/>
              <w:spacing w:before="40"/>
              <w:ind w:left="0" w:right="113"/>
              <w:jc w:val="left"/>
              <w:rPr>
                <w:lang w:val="es-ES_tradnl"/>
              </w:rPr>
            </w:pPr>
            <w:r>
              <w:rPr>
                <w:lang w:val="es-ES_tradnl"/>
              </w:rPr>
              <w:t>Situación</w:t>
            </w:r>
          </w:p>
        </w:tc>
        <w:tc>
          <w:tcPr>
            <w:tcW w:w="11142" w:type="dxa"/>
            <w:shd w:val="clear" w:color="auto" w:fill="auto"/>
          </w:tcPr>
          <w:p w:rsidR="003C2ABF" w:rsidRDefault="003C2ABF" w:rsidP="00947046">
            <w:pPr>
              <w:pStyle w:val="SingleTxtG"/>
              <w:spacing w:before="40"/>
              <w:ind w:left="0" w:right="113"/>
              <w:jc w:val="left"/>
              <w:rPr>
                <w:lang w:val="es-ES_tradnl"/>
              </w:rPr>
            </w:pPr>
            <w:r>
              <w:rPr>
                <w:lang w:val="es-ES_tradnl"/>
              </w:rPr>
              <w:t>Firmado en 1990. Ratificado en 1990.</w:t>
            </w:r>
          </w:p>
        </w:tc>
      </w:tr>
      <w:tr w:rsidR="003C2ABF" w:rsidTr="00947046">
        <w:tc>
          <w:tcPr>
            <w:tcW w:w="12359" w:type="dxa"/>
            <w:gridSpan w:val="2"/>
            <w:shd w:val="clear" w:color="auto" w:fill="auto"/>
          </w:tcPr>
          <w:p w:rsidR="003C2ABF" w:rsidRDefault="003C2ABF" w:rsidP="00947046">
            <w:pPr>
              <w:pStyle w:val="SingleTxtG"/>
              <w:keepNext/>
              <w:spacing w:before="40"/>
              <w:ind w:left="0" w:right="113"/>
              <w:jc w:val="left"/>
              <w:rPr>
                <w:lang w:val="es-ES_tradnl"/>
              </w:rPr>
            </w:pPr>
            <w:r>
              <w:rPr>
                <w:i/>
                <w:lang w:val="es-ES_tradnl"/>
              </w:rPr>
              <w:t>Convención Internacional sobre la Eliminación de todas las Formas de Discriminación Racial</w:t>
            </w:r>
          </w:p>
        </w:tc>
      </w:tr>
      <w:tr w:rsidR="003C2ABF" w:rsidTr="00947046">
        <w:tc>
          <w:tcPr>
            <w:tcW w:w="1217" w:type="dxa"/>
            <w:shd w:val="clear" w:color="auto" w:fill="auto"/>
          </w:tcPr>
          <w:p w:rsidR="003C2ABF" w:rsidRDefault="003C2ABF" w:rsidP="00947046">
            <w:pPr>
              <w:pStyle w:val="SingleTxtG"/>
              <w:spacing w:before="40"/>
              <w:ind w:left="0" w:right="113"/>
              <w:jc w:val="left"/>
              <w:rPr>
                <w:lang w:val="es-ES_tradnl"/>
              </w:rPr>
            </w:pPr>
            <w:r>
              <w:rPr>
                <w:lang w:val="es-ES_tradnl"/>
              </w:rPr>
              <w:t>Situación</w:t>
            </w:r>
          </w:p>
        </w:tc>
        <w:tc>
          <w:tcPr>
            <w:tcW w:w="11142" w:type="dxa"/>
            <w:shd w:val="clear" w:color="auto" w:fill="auto"/>
          </w:tcPr>
          <w:p w:rsidR="003C2ABF" w:rsidRDefault="003C2ABF" w:rsidP="00947046">
            <w:pPr>
              <w:pStyle w:val="SingleTxtG"/>
              <w:spacing w:before="40"/>
              <w:ind w:left="0" w:right="113"/>
              <w:jc w:val="left"/>
              <w:rPr>
                <w:lang w:val="es-ES_tradnl"/>
              </w:rPr>
            </w:pPr>
            <w:r>
              <w:rPr>
                <w:lang w:val="es-ES_tradnl"/>
              </w:rPr>
              <w:t>Firmada en 1966. Ratificada en 1972.</w:t>
            </w:r>
          </w:p>
          <w:p w:rsidR="003C2ABF" w:rsidRDefault="003C2ABF" w:rsidP="00947046">
            <w:pPr>
              <w:pStyle w:val="SingleTxtG"/>
              <w:spacing w:before="40"/>
              <w:ind w:left="0" w:right="113"/>
              <w:jc w:val="left"/>
              <w:rPr>
                <w:lang w:val="es-ES_tradnl"/>
              </w:rPr>
            </w:pPr>
            <w:r>
              <w:rPr>
                <w:lang w:val="es-ES_tradnl"/>
              </w:rPr>
              <w:t>El 8 de octubre de 1993 Nueva Zelandia depositó en manos del Secretario General su instrumento de aceptación de las enmiendas de 1992.</w:t>
            </w:r>
          </w:p>
        </w:tc>
      </w:tr>
      <w:tr w:rsidR="003C2ABF" w:rsidTr="00947046">
        <w:tc>
          <w:tcPr>
            <w:tcW w:w="12359" w:type="dxa"/>
            <w:gridSpan w:val="2"/>
            <w:shd w:val="clear" w:color="auto" w:fill="auto"/>
          </w:tcPr>
          <w:p w:rsidR="003C2ABF" w:rsidRDefault="003C2ABF" w:rsidP="00947046">
            <w:pPr>
              <w:pStyle w:val="SingleTxtG"/>
              <w:spacing w:before="40"/>
              <w:ind w:left="0" w:right="113"/>
              <w:jc w:val="left"/>
              <w:rPr>
                <w:lang w:val="es-ES_tradnl"/>
              </w:rPr>
            </w:pPr>
            <w:r>
              <w:rPr>
                <w:i/>
                <w:lang w:val="es-ES_tradnl"/>
              </w:rPr>
              <w:t>Convención sobre la eliminación de todas las formas de discriminación contra la mujer</w:t>
            </w:r>
          </w:p>
        </w:tc>
      </w:tr>
      <w:tr w:rsidR="003C2ABF" w:rsidTr="00947046">
        <w:tc>
          <w:tcPr>
            <w:tcW w:w="1217" w:type="dxa"/>
            <w:shd w:val="clear" w:color="auto" w:fill="auto"/>
          </w:tcPr>
          <w:p w:rsidR="003C2ABF" w:rsidRDefault="003C2ABF" w:rsidP="00947046">
            <w:pPr>
              <w:pStyle w:val="SingleTxtG"/>
              <w:spacing w:before="40"/>
              <w:ind w:left="0" w:right="113"/>
              <w:jc w:val="left"/>
              <w:rPr>
                <w:lang w:val="es-ES_tradnl"/>
              </w:rPr>
            </w:pPr>
            <w:r>
              <w:rPr>
                <w:lang w:val="es-ES_tradnl"/>
              </w:rPr>
              <w:t>Situación</w:t>
            </w:r>
          </w:p>
        </w:tc>
        <w:tc>
          <w:tcPr>
            <w:tcW w:w="11142" w:type="dxa"/>
            <w:shd w:val="clear" w:color="auto" w:fill="auto"/>
          </w:tcPr>
          <w:p w:rsidR="003C2ABF" w:rsidRDefault="003C2ABF" w:rsidP="00947046">
            <w:pPr>
              <w:pStyle w:val="SingleTxtG"/>
              <w:spacing w:before="40"/>
              <w:ind w:left="0" w:right="113"/>
              <w:jc w:val="left"/>
              <w:rPr>
                <w:lang w:val="es-ES_tradnl"/>
              </w:rPr>
            </w:pPr>
            <w:r>
              <w:rPr>
                <w:lang w:val="es-ES_tradnl"/>
              </w:rPr>
              <w:t>Firmada en 1980. Ratificada en 1985.</w:t>
            </w:r>
          </w:p>
        </w:tc>
      </w:tr>
      <w:tr w:rsidR="003C2ABF" w:rsidTr="00947046">
        <w:tc>
          <w:tcPr>
            <w:tcW w:w="12359" w:type="dxa"/>
            <w:gridSpan w:val="2"/>
            <w:shd w:val="clear" w:color="auto" w:fill="auto"/>
          </w:tcPr>
          <w:p w:rsidR="003C2ABF" w:rsidRDefault="003C2ABF" w:rsidP="00947046">
            <w:pPr>
              <w:pStyle w:val="SingleTxtG"/>
              <w:spacing w:before="40"/>
              <w:ind w:left="0" w:right="113"/>
              <w:jc w:val="left"/>
              <w:rPr>
                <w:lang w:val="es-ES_tradnl"/>
              </w:rPr>
            </w:pPr>
            <w:r>
              <w:rPr>
                <w:i/>
                <w:lang w:val="es-ES_tradnl"/>
              </w:rPr>
              <w:t>Protocolo Facultativo de la Convención sobre la eliminación de todas las formas de discriminación contra la mujer</w:t>
            </w:r>
          </w:p>
        </w:tc>
      </w:tr>
      <w:tr w:rsidR="003C2ABF" w:rsidTr="00947046">
        <w:tc>
          <w:tcPr>
            <w:tcW w:w="1217" w:type="dxa"/>
            <w:shd w:val="clear" w:color="auto" w:fill="auto"/>
          </w:tcPr>
          <w:p w:rsidR="003C2ABF" w:rsidRDefault="003C2ABF" w:rsidP="00947046">
            <w:pPr>
              <w:pStyle w:val="SingleTxtG"/>
              <w:spacing w:before="40"/>
              <w:ind w:left="0" w:right="113"/>
              <w:jc w:val="left"/>
              <w:rPr>
                <w:lang w:val="es-ES_tradnl"/>
              </w:rPr>
            </w:pPr>
            <w:r>
              <w:rPr>
                <w:lang w:val="es-ES_tradnl"/>
              </w:rPr>
              <w:t>Situación</w:t>
            </w:r>
          </w:p>
        </w:tc>
        <w:tc>
          <w:tcPr>
            <w:tcW w:w="11142" w:type="dxa"/>
            <w:shd w:val="clear" w:color="auto" w:fill="auto"/>
          </w:tcPr>
          <w:p w:rsidR="003C2ABF" w:rsidRDefault="003C2ABF" w:rsidP="00947046">
            <w:pPr>
              <w:pStyle w:val="SingleTxtG"/>
              <w:spacing w:before="40"/>
              <w:ind w:left="0" w:right="113"/>
              <w:jc w:val="left"/>
              <w:rPr>
                <w:lang w:val="es-ES_tradnl"/>
              </w:rPr>
            </w:pPr>
            <w:r>
              <w:rPr>
                <w:lang w:val="es-ES_tradnl"/>
              </w:rPr>
              <w:t>Firmado en 2000. Ratificado en 2000.</w:t>
            </w:r>
          </w:p>
        </w:tc>
      </w:tr>
      <w:tr w:rsidR="003C2ABF" w:rsidTr="00947046">
        <w:tc>
          <w:tcPr>
            <w:tcW w:w="12359" w:type="dxa"/>
            <w:gridSpan w:val="2"/>
            <w:shd w:val="clear" w:color="auto" w:fill="auto"/>
          </w:tcPr>
          <w:p w:rsidR="003C2ABF" w:rsidRDefault="003C2ABF" w:rsidP="00947046">
            <w:pPr>
              <w:pStyle w:val="SingleTxtG"/>
              <w:spacing w:before="40"/>
              <w:ind w:left="0" w:right="113"/>
              <w:jc w:val="left"/>
              <w:rPr>
                <w:lang w:val="es-ES_tradnl"/>
              </w:rPr>
            </w:pPr>
            <w:r>
              <w:rPr>
                <w:i/>
                <w:lang w:val="es-ES_tradnl"/>
              </w:rPr>
              <w:t>Convención contra la Tortura y Otros Tratos o Penas Crueles, Inhumanos o Degradantes</w:t>
            </w:r>
          </w:p>
        </w:tc>
      </w:tr>
      <w:tr w:rsidR="003C2ABF" w:rsidTr="00947046">
        <w:tc>
          <w:tcPr>
            <w:tcW w:w="1217" w:type="dxa"/>
            <w:shd w:val="clear" w:color="auto" w:fill="auto"/>
          </w:tcPr>
          <w:p w:rsidR="003C2ABF" w:rsidRDefault="003C2ABF" w:rsidP="00947046">
            <w:pPr>
              <w:pStyle w:val="SingleTxtG"/>
              <w:spacing w:before="40"/>
              <w:ind w:left="0" w:right="113"/>
              <w:jc w:val="left"/>
              <w:rPr>
                <w:lang w:val="es-ES_tradnl"/>
              </w:rPr>
            </w:pPr>
            <w:r>
              <w:rPr>
                <w:lang w:val="es-ES_tradnl"/>
              </w:rPr>
              <w:t>Situación</w:t>
            </w:r>
          </w:p>
        </w:tc>
        <w:tc>
          <w:tcPr>
            <w:tcW w:w="11142" w:type="dxa"/>
            <w:shd w:val="clear" w:color="auto" w:fill="auto"/>
          </w:tcPr>
          <w:p w:rsidR="003C2ABF" w:rsidRDefault="003C2ABF" w:rsidP="00947046">
            <w:pPr>
              <w:pStyle w:val="SingleTxtG"/>
              <w:spacing w:before="40"/>
              <w:ind w:left="0" w:right="113"/>
              <w:jc w:val="left"/>
              <w:rPr>
                <w:lang w:val="es-ES_tradnl"/>
              </w:rPr>
            </w:pPr>
            <w:r>
              <w:rPr>
                <w:lang w:val="es-ES_tradnl"/>
              </w:rPr>
              <w:t>Firmada en 1986. Ratificada en 1989.</w:t>
            </w:r>
          </w:p>
          <w:p w:rsidR="003C2ABF" w:rsidRDefault="003C2ABF" w:rsidP="00947046">
            <w:pPr>
              <w:pStyle w:val="SingleTxtG"/>
              <w:spacing w:before="40"/>
              <w:ind w:left="0" w:right="113"/>
              <w:jc w:val="left"/>
              <w:rPr>
                <w:lang w:val="es-ES_tradnl"/>
              </w:rPr>
            </w:pPr>
            <w:r>
              <w:rPr>
                <w:lang w:val="es-ES_tradnl"/>
              </w:rPr>
              <w:t>El 8 de octubre de 1993 Nueva Zelandia depositó en manos del Secretario General su instrumento de aceptación de las enmiendas de 1992.</w:t>
            </w:r>
          </w:p>
        </w:tc>
      </w:tr>
      <w:tr w:rsidR="003C2ABF" w:rsidTr="00947046">
        <w:tc>
          <w:tcPr>
            <w:tcW w:w="1217" w:type="dxa"/>
            <w:shd w:val="clear" w:color="auto" w:fill="auto"/>
          </w:tcPr>
          <w:p w:rsidR="003C2ABF" w:rsidRDefault="003C2ABF" w:rsidP="00947046">
            <w:pPr>
              <w:keepNext/>
              <w:spacing w:before="40" w:after="120"/>
              <w:ind w:right="113"/>
              <w:rPr>
                <w:lang w:val="es-ES_tradnl"/>
              </w:rPr>
            </w:pPr>
            <w:r>
              <w:rPr>
                <w:lang w:val="es-ES_tradnl"/>
              </w:rPr>
              <w:t>Declaración</w:t>
            </w:r>
          </w:p>
        </w:tc>
        <w:tc>
          <w:tcPr>
            <w:tcW w:w="11142" w:type="dxa"/>
            <w:shd w:val="clear" w:color="auto" w:fill="auto"/>
          </w:tcPr>
          <w:p w:rsidR="003C2ABF" w:rsidRDefault="003C2ABF" w:rsidP="00947046">
            <w:pPr>
              <w:keepNext/>
              <w:spacing w:before="40" w:after="120"/>
              <w:ind w:right="113"/>
              <w:rPr>
                <w:lang w:val="es-ES_tradnl"/>
              </w:rPr>
            </w:pPr>
            <w:r>
              <w:rPr>
                <w:lang w:val="es-ES_tradnl"/>
              </w:rPr>
              <w:t>De conformidad con el artículo 21, párrafo 1, de la Convención, el Gobierno de Nueva Zelandia declara que reconoce la competencia del Comité contra la Tortura para recibir y examinar las comunicaciones en que un Estado parte alegue que otro Estado parte no cumple las obligaciones que le impone la Convención; y de conformidad con el artículo 22, párrafo 1, de la Convención, el Gobierno de Nueva Zelandia reconoce la competencia del Comité contra la Tortura para recibir y examinar las comunicaciones enviadas por personas sometidas a su jurisdicción, o en su nombre, que aleguen ser víctimas de una violación por un Estado parte de las disposiciones de la Convención.</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Reserva</w:t>
            </w:r>
          </w:p>
        </w:tc>
        <w:tc>
          <w:tcPr>
            <w:tcW w:w="11142" w:type="dxa"/>
            <w:shd w:val="clear" w:color="auto" w:fill="auto"/>
          </w:tcPr>
          <w:p w:rsidR="003C2ABF" w:rsidRDefault="003C2ABF" w:rsidP="00947046">
            <w:pPr>
              <w:spacing w:before="40" w:after="120"/>
              <w:ind w:right="113"/>
              <w:rPr>
                <w:lang w:val="es-ES_tradnl"/>
              </w:rPr>
            </w:pPr>
            <w:r>
              <w:rPr>
                <w:lang w:val="es-ES_tradnl"/>
              </w:rPr>
              <w:t>El Gobierno de Nueva Zelandia se reserva el derecho de conceder una indemnización a las víctimas de la tortura a que se hace referencia en el artículo 14 de la Convención únicamente a discreción del Fiscal General de Nueva Zelandia.</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Motivo</w:t>
            </w:r>
          </w:p>
        </w:tc>
        <w:tc>
          <w:tcPr>
            <w:tcW w:w="11142" w:type="dxa"/>
            <w:shd w:val="clear" w:color="auto" w:fill="auto"/>
          </w:tcPr>
          <w:p w:rsidR="003C2ABF" w:rsidRDefault="003C2ABF" w:rsidP="00947046">
            <w:pPr>
              <w:spacing w:before="40" w:after="120"/>
              <w:ind w:right="113"/>
              <w:rPr>
                <w:lang w:val="es-ES_tradnl"/>
              </w:rPr>
            </w:pPr>
            <w:r>
              <w:rPr>
                <w:lang w:val="es-ES_tradnl"/>
              </w:rPr>
              <w:t>Nueva Zelandia ha formulado esta reserva porque la indemnización de las víctimas de la tortura queda a discreción exclusiva de la Corona y no es un derecho establecido por ninguna ley.</w:t>
            </w:r>
          </w:p>
        </w:tc>
      </w:tr>
      <w:tr w:rsidR="003C2ABF" w:rsidTr="00947046">
        <w:tc>
          <w:tcPr>
            <w:tcW w:w="1217" w:type="dxa"/>
            <w:shd w:val="clear" w:color="auto" w:fill="auto"/>
          </w:tcPr>
          <w:p w:rsidR="003C2ABF" w:rsidRDefault="003C2ABF" w:rsidP="00947046">
            <w:pPr>
              <w:keepNext/>
              <w:spacing w:before="40" w:after="120"/>
              <w:ind w:right="113"/>
              <w:rPr>
                <w:lang w:val="es-ES_tradnl"/>
              </w:rPr>
            </w:pPr>
            <w:r>
              <w:rPr>
                <w:lang w:val="es-ES_tradnl"/>
              </w:rPr>
              <w:t>Medidas adoptadas</w:t>
            </w:r>
          </w:p>
        </w:tc>
        <w:tc>
          <w:tcPr>
            <w:tcW w:w="11142" w:type="dxa"/>
            <w:shd w:val="clear" w:color="auto" w:fill="auto"/>
          </w:tcPr>
          <w:p w:rsidR="003C2ABF" w:rsidRDefault="003C2ABF" w:rsidP="00947046">
            <w:pPr>
              <w:keepNext/>
              <w:spacing w:before="40" w:after="120"/>
              <w:ind w:right="113"/>
              <w:rPr>
                <w:lang w:val="es-ES_tradnl"/>
              </w:rPr>
            </w:pPr>
            <w:r>
              <w:rPr>
                <w:lang w:val="es-ES_tradnl"/>
              </w:rPr>
              <w:t>Existen ahora otras formas de indemnización para las víctimas de la tortura, como las que están previstas en los artículos 69 b) y c) de la Ley de prevención de accidentes, rehabilitación e indemnización de 2001 o la indemnización pecuniaria por daños y perjuicios prevista en el artículo 9 de la Carta de Derechos de Nueva Zelandia de 1990. El Gobierno está analizando si esas modificaciones y los cambios que se propongan en adelante son suficientes para permitir el retiro de la reserva.</w:t>
            </w:r>
          </w:p>
        </w:tc>
      </w:tr>
      <w:tr w:rsidR="003C2ABF" w:rsidTr="00947046">
        <w:tc>
          <w:tcPr>
            <w:tcW w:w="12359" w:type="dxa"/>
            <w:gridSpan w:val="2"/>
            <w:shd w:val="clear" w:color="auto" w:fill="auto"/>
          </w:tcPr>
          <w:p w:rsidR="003C2ABF" w:rsidRDefault="003C2ABF" w:rsidP="00947046">
            <w:pPr>
              <w:spacing w:before="40" w:after="120"/>
              <w:ind w:right="113"/>
              <w:rPr>
                <w:lang w:val="es-ES_tradnl"/>
              </w:rPr>
            </w:pPr>
            <w:r>
              <w:rPr>
                <w:i/>
                <w:lang w:val="es-ES_tradnl"/>
              </w:rPr>
              <w:t>Protocolo Facultativo de la Convención contra la Tortura y Otros Tratos o Penas Crueles, Inhumanos o Degradantes</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Situación</w:t>
            </w:r>
          </w:p>
        </w:tc>
        <w:tc>
          <w:tcPr>
            <w:tcW w:w="11142" w:type="dxa"/>
            <w:shd w:val="clear" w:color="auto" w:fill="auto"/>
          </w:tcPr>
          <w:p w:rsidR="003C2ABF" w:rsidRDefault="003C2ABF" w:rsidP="00947046">
            <w:pPr>
              <w:spacing w:before="40" w:after="120"/>
              <w:ind w:right="113"/>
              <w:rPr>
                <w:lang w:val="es-ES_tradnl"/>
              </w:rPr>
            </w:pPr>
            <w:r>
              <w:rPr>
                <w:lang w:val="es-ES_tradnl"/>
              </w:rPr>
              <w:t>Firmado en 2003. Ratificado en 2007.</w:t>
            </w:r>
          </w:p>
        </w:tc>
      </w:tr>
      <w:tr w:rsidR="003C2ABF" w:rsidTr="00947046">
        <w:tc>
          <w:tcPr>
            <w:tcW w:w="12359" w:type="dxa"/>
            <w:gridSpan w:val="2"/>
            <w:shd w:val="clear" w:color="auto" w:fill="auto"/>
          </w:tcPr>
          <w:p w:rsidR="003C2ABF" w:rsidRDefault="003C2ABF" w:rsidP="00947046">
            <w:pPr>
              <w:spacing w:before="40" w:after="120"/>
              <w:ind w:right="113"/>
              <w:rPr>
                <w:lang w:val="es-ES_tradnl"/>
              </w:rPr>
            </w:pPr>
            <w:r>
              <w:rPr>
                <w:i/>
                <w:lang w:val="es-ES_tradnl"/>
              </w:rPr>
              <w:t>Convención sobre los Derechos del Niño</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Situación</w:t>
            </w:r>
          </w:p>
        </w:tc>
        <w:tc>
          <w:tcPr>
            <w:tcW w:w="11142" w:type="dxa"/>
            <w:shd w:val="clear" w:color="auto" w:fill="auto"/>
          </w:tcPr>
          <w:p w:rsidR="003C2ABF" w:rsidRDefault="003C2ABF" w:rsidP="00947046">
            <w:pPr>
              <w:spacing w:before="40" w:after="120"/>
              <w:ind w:right="113"/>
              <w:rPr>
                <w:lang w:val="es-ES_tradnl"/>
              </w:rPr>
            </w:pPr>
            <w:r>
              <w:rPr>
                <w:lang w:val="es-ES_tradnl"/>
              </w:rPr>
              <w:t>Firmada en 1990. Ratificada en 1993.</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Reserva</w:t>
            </w:r>
          </w:p>
        </w:tc>
        <w:tc>
          <w:tcPr>
            <w:tcW w:w="11142" w:type="dxa"/>
            <w:shd w:val="clear" w:color="auto" w:fill="auto"/>
          </w:tcPr>
          <w:p w:rsidR="003C2ABF" w:rsidRDefault="003C2ABF" w:rsidP="00947046">
            <w:pPr>
              <w:spacing w:before="40" w:after="120"/>
              <w:ind w:right="113"/>
              <w:rPr>
                <w:lang w:val="es-ES_tradnl"/>
              </w:rPr>
            </w:pPr>
            <w:r>
              <w:rPr>
                <w:lang w:val="es-ES_tradnl"/>
              </w:rPr>
              <w:t>Ninguna disposición de la presente Convención afectará el derecho del Gobierno de Nueva Zelandia a continuar efectuando las distinciones entre personas que considere apropiadas en sus leyes y su práctica de acuerdo con la naturaleza de su derecho a estar en Nueva Zelandia, incluido, entre otras cosas, su derecho a prestaciones y otros beneficios descritos en la Convención, y el Gobierno de Nueva Zelandia se reserva el derecho de interpretar la Convención en consecuencia.</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Motivo</w:t>
            </w:r>
          </w:p>
        </w:tc>
        <w:tc>
          <w:tcPr>
            <w:tcW w:w="11142" w:type="dxa"/>
            <w:shd w:val="clear" w:color="auto" w:fill="auto"/>
          </w:tcPr>
          <w:p w:rsidR="003C2ABF" w:rsidRDefault="003C2ABF" w:rsidP="00947046">
            <w:pPr>
              <w:spacing w:before="40" w:after="120"/>
              <w:ind w:right="113"/>
              <w:rPr>
                <w:lang w:val="es-ES_tradnl"/>
              </w:rPr>
            </w:pPr>
            <w:r>
              <w:rPr>
                <w:lang w:val="es-ES_tradnl"/>
              </w:rPr>
              <w:t>El Gobierno de Nueva Zelandia ha formulado esta reserva sobre la base del principio internacionalmente aceptado de que un Estado soberano debe poder administrar y controlar sus fronteras, y que puede dar la prioridad a las personas que normalmente residen en su territorio al decidir la asignación de recursos sociales limitados.</w:t>
            </w:r>
          </w:p>
        </w:tc>
      </w:tr>
      <w:tr w:rsidR="003C2ABF" w:rsidTr="00947046">
        <w:tc>
          <w:tcPr>
            <w:tcW w:w="1217" w:type="dxa"/>
            <w:shd w:val="clear" w:color="auto" w:fill="auto"/>
          </w:tcPr>
          <w:p w:rsidR="003C2ABF" w:rsidRDefault="003C2ABF" w:rsidP="00947046">
            <w:pPr>
              <w:keepNext/>
              <w:spacing w:before="40" w:after="120"/>
              <w:ind w:right="113"/>
              <w:rPr>
                <w:lang w:val="es-ES_tradnl"/>
              </w:rPr>
            </w:pPr>
            <w:r>
              <w:rPr>
                <w:lang w:val="es-ES_tradnl"/>
              </w:rPr>
              <w:t>Medidas adoptadas</w:t>
            </w:r>
          </w:p>
        </w:tc>
        <w:tc>
          <w:tcPr>
            <w:tcW w:w="11142" w:type="dxa"/>
            <w:shd w:val="clear" w:color="auto" w:fill="auto"/>
          </w:tcPr>
          <w:p w:rsidR="003C2ABF" w:rsidRDefault="003C2ABF" w:rsidP="00947046">
            <w:pPr>
              <w:keepNext/>
              <w:spacing w:before="40" w:after="120"/>
              <w:ind w:right="113"/>
              <w:rPr>
                <w:lang w:val="es-ES_tradnl"/>
              </w:rPr>
            </w:pPr>
            <w:r>
              <w:rPr>
                <w:lang w:val="es-ES_tradnl"/>
              </w:rPr>
              <w:t>Esta reserva está en proceso de examen.</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Reserva</w:t>
            </w:r>
          </w:p>
        </w:tc>
        <w:tc>
          <w:tcPr>
            <w:tcW w:w="11142" w:type="dxa"/>
            <w:shd w:val="clear" w:color="auto" w:fill="auto"/>
          </w:tcPr>
          <w:p w:rsidR="003C2ABF" w:rsidRDefault="003C2ABF" w:rsidP="00947046">
            <w:pPr>
              <w:spacing w:before="40" w:after="120"/>
              <w:ind w:right="113"/>
              <w:rPr>
                <w:lang w:val="es-ES_tradnl"/>
              </w:rPr>
            </w:pPr>
            <w:r>
              <w:rPr>
                <w:lang w:val="es-ES_tradnl"/>
              </w:rPr>
              <w:t>El Gobierno de Nueva Zelandia considera que los derechos del niño previstos en el artículo 32 1) están adecuadamente protegidos por su derecho vigente. Por lo tanto, se reserva el derecho a abstenerse de promulgar nuevas disposiciones legislativas o a adoptar medidas adicionales conforme se prevé en el artículo 32 2).</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Motivo</w:t>
            </w:r>
          </w:p>
        </w:tc>
        <w:tc>
          <w:tcPr>
            <w:tcW w:w="11142" w:type="dxa"/>
            <w:shd w:val="clear" w:color="auto" w:fill="auto"/>
          </w:tcPr>
          <w:p w:rsidR="003C2ABF" w:rsidRDefault="003C2ABF" w:rsidP="00947046">
            <w:pPr>
              <w:spacing w:before="40" w:after="120"/>
              <w:ind w:right="113"/>
              <w:rPr>
                <w:lang w:val="es-ES_tradnl"/>
              </w:rPr>
            </w:pPr>
            <w:r>
              <w:rPr>
                <w:lang w:val="es-ES_tradnl"/>
              </w:rPr>
              <w:t>Esta reserva se formuló porque se consideraba que la ley vigente protegía adecuadamente a los niños y los jóvenes de la explotación, de situaciones peligrosas o dañinas, o de factores que pudieran interferir con sus estudios. Además, se consideraba que este artículo limitaba las posibilidades de los jóvenes de adquirir experiencia laboral.</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Medidas adoptadas</w:t>
            </w:r>
          </w:p>
        </w:tc>
        <w:tc>
          <w:tcPr>
            <w:tcW w:w="11142" w:type="dxa"/>
            <w:shd w:val="clear" w:color="auto" w:fill="auto"/>
          </w:tcPr>
          <w:p w:rsidR="003C2ABF" w:rsidRDefault="003C2ABF" w:rsidP="00947046">
            <w:pPr>
              <w:spacing w:before="40" w:after="120"/>
              <w:ind w:right="113"/>
              <w:rPr>
                <w:lang w:val="es-ES_tradnl"/>
              </w:rPr>
            </w:pPr>
            <w:r>
              <w:rPr>
                <w:lang w:val="es-ES_tradnl"/>
              </w:rPr>
              <w:t xml:space="preserve">En 2003 el Gobierno decidió posponer el examen de esta reserva hasta que hubiera evaluado las medidas necesarias para ratificar el Convenio Nº 138 de la OIT sobre la edad mínima de admisión al empleo, 1973. En respuesta a las preocupaciones del Comité sobre la idoneidad de las medidas adoptadas para proteger a los niños en el trabajo, el Gobierno de Nueva Zelandia ha aprobado un programa de trabajo que será dirigido por el Departamento del Trabajo para concientizar al público acerca de los derechos laborales de los niños y para identificar formas de supervisar la participación de los niños en el lugar de trabajo. </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Reserva</w:t>
            </w:r>
          </w:p>
        </w:tc>
        <w:tc>
          <w:tcPr>
            <w:tcW w:w="11142" w:type="dxa"/>
            <w:shd w:val="clear" w:color="auto" w:fill="auto"/>
          </w:tcPr>
          <w:p w:rsidR="003C2ABF" w:rsidRDefault="003C2ABF" w:rsidP="00947046">
            <w:pPr>
              <w:spacing w:before="40" w:after="120"/>
              <w:ind w:right="113"/>
              <w:rPr>
                <w:lang w:val="es-ES_tradnl"/>
              </w:rPr>
            </w:pPr>
            <w:r>
              <w:rPr>
                <w:lang w:val="es-ES_tradnl"/>
              </w:rPr>
              <w:t>El Gobierno de Nueva Zelandia se reserva el derecho de abstenerse de aplicar el artículo 37 c) cuando la insuficiencia de establecimientos apropiados haga inevitable recluir juntos a delincuentes juveniles y a delincuentes adultos; se reserva igualmente el derecho de abstenerse de aplicar el artículo 37 c) cuando los intereses de otros delincuentes juveniles en un establecimiento penitenciario exijan que un determinado delincuente juvenil sea retirado de él o cuando la reclusión junto con otros se considere beneficiosa para los interesados.</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Motivo</w:t>
            </w:r>
          </w:p>
        </w:tc>
        <w:tc>
          <w:tcPr>
            <w:tcW w:w="11142" w:type="dxa"/>
            <w:shd w:val="clear" w:color="auto" w:fill="auto"/>
          </w:tcPr>
          <w:p w:rsidR="003C2ABF" w:rsidRDefault="003C2ABF" w:rsidP="00947046">
            <w:pPr>
              <w:spacing w:before="40" w:after="120"/>
              <w:ind w:right="113"/>
              <w:rPr>
                <w:lang w:val="es-ES_tradnl"/>
              </w:rPr>
            </w:pPr>
            <w:r>
              <w:rPr>
                <w:lang w:val="es-ES_tradnl"/>
              </w:rPr>
              <w:t xml:space="preserve">Véase la información sobre la reserva de Nueva Zelandia a los artículos 10 2) b) y 10 3) del Pacto Internacional de Derechos Civiles y Políticos, </w:t>
            </w:r>
            <w:r>
              <w:rPr>
                <w:i/>
                <w:lang w:val="es-ES_tradnl"/>
              </w:rPr>
              <w:t>supra</w:t>
            </w:r>
            <w:r>
              <w:rPr>
                <w:lang w:val="es-ES_tradnl"/>
              </w:rPr>
              <w:t>.</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Medida</w:t>
            </w:r>
          </w:p>
        </w:tc>
        <w:tc>
          <w:tcPr>
            <w:tcW w:w="11142" w:type="dxa"/>
            <w:shd w:val="clear" w:color="auto" w:fill="auto"/>
          </w:tcPr>
          <w:p w:rsidR="003C2ABF" w:rsidRDefault="003C2ABF" w:rsidP="00947046">
            <w:pPr>
              <w:spacing w:before="40" w:after="120"/>
              <w:ind w:right="113"/>
              <w:rPr>
                <w:lang w:val="es-ES_tradnl"/>
              </w:rPr>
            </w:pPr>
            <w:r>
              <w:rPr>
                <w:lang w:val="es-ES_tradnl"/>
              </w:rPr>
              <w:t xml:space="preserve">Véase la información sobre la reserva de Nueva Zelandia a los artículos 10 2) b) y 10 3) del Pacto Internacional de Derechos Civiles y Políticos, </w:t>
            </w:r>
            <w:r>
              <w:rPr>
                <w:i/>
                <w:lang w:val="es-ES_tradnl"/>
              </w:rPr>
              <w:t>supra</w:t>
            </w:r>
            <w:r>
              <w:rPr>
                <w:lang w:val="es-ES_tradnl"/>
              </w:rPr>
              <w:t>.</w:t>
            </w:r>
          </w:p>
        </w:tc>
      </w:tr>
      <w:tr w:rsidR="003C2ABF" w:rsidTr="00947046">
        <w:tc>
          <w:tcPr>
            <w:tcW w:w="12359" w:type="dxa"/>
            <w:gridSpan w:val="2"/>
            <w:shd w:val="clear" w:color="auto" w:fill="auto"/>
          </w:tcPr>
          <w:p w:rsidR="003C2ABF" w:rsidRDefault="003C2ABF" w:rsidP="00947046">
            <w:pPr>
              <w:pStyle w:val="SingleTxtG"/>
              <w:spacing w:before="40"/>
              <w:ind w:left="0" w:right="113"/>
              <w:jc w:val="left"/>
              <w:rPr>
                <w:lang w:val="es-ES_tradnl"/>
              </w:rPr>
            </w:pPr>
            <w:r>
              <w:rPr>
                <w:i/>
                <w:lang w:val="es-ES_tradnl"/>
              </w:rPr>
              <w:t>Protocolo facultativo de la Convención sobre los Derechos del Niño relativo a la participación de niños en los conflictos armados</w:t>
            </w:r>
          </w:p>
        </w:tc>
      </w:tr>
      <w:tr w:rsidR="003C2ABF" w:rsidTr="00947046">
        <w:tc>
          <w:tcPr>
            <w:tcW w:w="1217" w:type="dxa"/>
            <w:shd w:val="clear" w:color="auto" w:fill="auto"/>
          </w:tcPr>
          <w:p w:rsidR="003C2ABF" w:rsidRDefault="003C2ABF" w:rsidP="00947046">
            <w:pPr>
              <w:spacing w:before="40" w:after="120"/>
              <w:ind w:right="113"/>
              <w:rPr>
                <w:lang w:val="es-ES_tradnl"/>
              </w:rPr>
            </w:pPr>
            <w:r>
              <w:rPr>
                <w:lang w:val="es-ES_tradnl"/>
              </w:rPr>
              <w:t>Situación</w:t>
            </w:r>
          </w:p>
        </w:tc>
        <w:tc>
          <w:tcPr>
            <w:tcW w:w="11142" w:type="dxa"/>
            <w:shd w:val="clear" w:color="auto" w:fill="auto"/>
          </w:tcPr>
          <w:p w:rsidR="003C2ABF" w:rsidRDefault="003C2ABF" w:rsidP="00947046">
            <w:pPr>
              <w:spacing w:before="40" w:after="120"/>
              <w:ind w:right="113"/>
              <w:rPr>
                <w:lang w:val="es-ES_tradnl"/>
              </w:rPr>
            </w:pPr>
            <w:r>
              <w:rPr>
                <w:lang w:val="es-ES_tradnl"/>
              </w:rPr>
              <w:t>Firmado en 2000. Ratificado en 2001.</w:t>
            </w:r>
          </w:p>
        </w:tc>
      </w:tr>
      <w:tr w:rsidR="003C2ABF" w:rsidTr="00947046">
        <w:tc>
          <w:tcPr>
            <w:tcW w:w="1217" w:type="dxa"/>
            <w:shd w:val="clear" w:color="auto" w:fill="auto"/>
          </w:tcPr>
          <w:p w:rsidR="003C2ABF" w:rsidRDefault="003C2ABF" w:rsidP="00947046">
            <w:pPr>
              <w:keepNext/>
              <w:spacing w:before="40" w:after="120"/>
              <w:ind w:right="113"/>
              <w:rPr>
                <w:lang w:val="es-ES_tradnl"/>
              </w:rPr>
            </w:pPr>
            <w:r>
              <w:rPr>
                <w:lang w:val="es-ES_tradnl"/>
              </w:rPr>
              <w:t>Declaración</w:t>
            </w:r>
          </w:p>
        </w:tc>
        <w:tc>
          <w:tcPr>
            <w:tcW w:w="11142" w:type="dxa"/>
            <w:shd w:val="clear" w:color="auto" w:fill="auto"/>
          </w:tcPr>
          <w:p w:rsidR="003C2ABF" w:rsidRDefault="003C2ABF" w:rsidP="00947046">
            <w:pPr>
              <w:keepNext/>
              <w:spacing w:before="40" w:after="120"/>
              <w:ind w:right="113"/>
              <w:rPr>
                <w:lang w:val="es-ES_tradnl"/>
              </w:rPr>
            </w:pPr>
            <w:r>
              <w:rPr>
                <w:lang w:val="es-ES_tradnl"/>
              </w:rPr>
              <w:t>El Gobierno de Nueva Zelandia declara que la edad mínima para el reclutamiento voluntario en sus fuerzas armadas nacionales será de 17 años. El Gobierno de Nueva Zelandia declara además que entre las salvaguardias que ha adoptado para impedir que el reclutamiento se realice por la fuerza o bajo coacción están las siguientes:</w:t>
            </w:r>
          </w:p>
        </w:tc>
      </w:tr>
      <w:tr w:rsidR="003C2ABF" w:rsidTr="00947046">
        <w:tc>
          <w:tcPr>
            <w:tcW w:w="1217" w:type="dxa"/>
            <w:shd w:val="clear" w:color="auto" w:fill="auto"/>
          </w:tcPr>
          <w:p w:rsidR="003C2ABF" w:rsidRDefault="003C2ABF" w:rsidP="00947046">
            <w:pPr>
              <w:pStyle w:val="SingleTxtG"/>
              <w:spacing w:before="40"/>
              <w:ind w:left="0" w:right="113"/>
              <w:jc w:val="left"/>
              <w:rPr>
                <w:lang w:val="es-ES_tradnl"/>
              </w:rPr>
            </w:pPr>
          </w:p>
        </w:tc>
        <w:tc>
          <w:tcPr>
            <w:tcW w:w="11142" w:type="dxa"/>
            <w:shd w:val="clear" w:color="auto" w:fill="auto"/>
          </w:tcPr>
          <w:p w:rsidR="003C2ABF" w:rsidRDefault="003C2ABF" w:rsidP="00947046">
            <w:pPr>
              <w:spacing w:before="40" w:after="120"/>
              <w:ind w:right="113"/>
              <w:rPr>
                <w:lang w:val="es-ES_tradnl"/>
              </w:rPr>
            </w:pPr>
            <w:r>
              <w:rPr>
                <w:lang w:val="es-ES_tradnl"/>
              </w:rPr>
              <w:tab/>
              <w:t>a)</w:t>
            </w:r>
            <w:r>
              <w:rPr>
                <w:lang w:val="es-ES_tradnl"/>
              </w:rPr>
              <w:tab/>
              <w:t>Los procedimientos de reclutamiento de la Fuerza de Defensa de Nueva Zelandia que exigen que los responsables se aseguren de que el reclutamiento es auténticamente voluntario.</w:t>
            </w:r>
          </w:p>
        </w:tc>
      </w:tr>
      <w:tr w:rsidR="003C2ABF" w:rsidTr="00947046">
        <w:tc>
          <w:tcPr>
            <w:tcW w:w="1217" w:type="dxa"/>
            <w:shd w:val="clear" w:color="auto" w:fill="auto"/>
          </w:tcPr>
          <w:p w:rsidR="003C2ABF" w:rsidRDefault="003C2ABF" w:rsidP="00947046">
            <w:pPr>
              <w:pStyle w:val="SingleTxtG"/>
              <w:spacing w:before="40"/>
              <w:ind w:left="0" w:right="113"/>
              <w:jc w:val="left"/>
              <w:rPr>
                <w:lang w:val="es-ES_tradnl"/>
              </w:rPr>
            </w:pPr>
          </w:p>
        </w:tc>
        <w:tc>
          <w:tcPr>
            <w:tcW w:w="11142" w:type="dxa"/>
            <w:shd w:val="clear" w:color="auto" w:fill="auto"/>
          </w:tcPr>
          <w:p w:rsidR="003C2ABF" w:rsidRDefault="003C2ABF" w:rsidP="00947046">
            <w:pPr>
              <w:spacing w:before="40" w:after="120"/>
              <w:ind w:right="113"/>
              <w:rPr>
                <w:lang w:val="es-ES_tradnl"/>
              </w:rPr>
            </w:pPr>
            <w:r>
              <w:rPr>
                <w:lang w:val="es-ES_tradnl"/>
              </w:rPr>
              <w:tab/>
              <w:t>b)</w:t>
            </w:r>
            <w:r>
              <w:rPr>
                <w:lang w:val="es-ES_tradnl"/>
              </w:rPr>
              <w:tab/>
              <w:t>Los requisitos legislativos de que los padres o tutores den su consentimiento para el alistamiento si así lo dispone la ley de Nueva Zelandia. Los padres o tutores deben también reconocer que la persona alistada podrá ser llamada a servicio activo una vez que cumpla los 18 años.</w:t>
            </w:r>
          </w:p>
        </w:tc>
      </w:tr>
      <w:tr w:rsidR="003C2ABF" w:rsidTr="00947046">
        <w:tc>
          <w:tcPr>
            <w:tcW w:w="1217" w:type="dxa"/>
            <w:shd w:val="clear" w:color="auto" w:fill="auto"/>
          </w:tcPr>
          <w:p w:rsidR="003C2ABF" w:rsidRDefault="003C2ABF" w:rsidP="00947046">
            <w:pPr>
              <w:pStyle w:val="SingleTxtG"/>
              <w:spacing w:before="40"/>
              <w:ind w:left="0" w:right="113"/>
              <w:jc w:val="left"/>
              <w:rPr>
                <w:lang w:val="es-ES_tradnl"/>
              </w:rPr>
            </w:pPr>
          </w:p>
        </w:tc>
        <w:tc>
          <w:tcPr>
            <w:tcW w:w="11142" w:type="dxa"/>
            <w:shd w:val="clear" w:color="auto" w:fill="auto"/>
          </w:tcPr>
          <w:p w:rsidR="003C2ABF" w:rsidRDefault="003C2ABF" w:rsidP="00947046">
            <w:pPr>
              <w:spacing w:before="40" w:after="120"/>
              <w:ind w:right="113"/>
              <w:rPr>
                <w:lang w:val="es-ES_tradnl"/>
              </w:rPr>
            </w:pPr>
            <w:r>
              <w:rPr>
                <w:lang w:val="es-ES_tradnl"/>
              </w:rPr>
              <w:tab/>
              <w:t>c)</w:t>
            </w:r>
            <w:r>
              <w:rPr>
                <w:lang w:val="es-ES_tradnl"/>
              </w:rPr>
              <w:tab/>
              <w:t>Un proceso de alistamiento detallado e informativo que garantice que todos esos menores estén plenamente informados de los deberes que supone el servicio militar antes de efectuar el juramento de lealtad.</w:t>
            </w:r>
          </w:p>
        </w:tc>
      </w:tr>
      <w:tr w:rsidR="003C2ABF" w:rsidTr="00947046">
        <w:tc>
          <w:tcPr>
            <w:tcW w:w="1217" w:type="dxa"/>
            <w:shd w:val="clear" w:color="auto" w:fill="auto"/>
          </w:tcPr>
          <w:p w:rsidR="003C2ABF" w:rsidRDefault="003C2ABF" w:rsidP="00947046">
            <w:pPr>
              <w:pStyle w:val="SingleTxtG"/>
              <w:spacing w:before="40"/>
              <w:ind w:left="0" w:right="113"/>
              <w:jc w:val="left"/>
              <w:rPr>
                <w:lang w:val="es-ES_tradnl"/>
              </w:rPr>
            </w:pPr>
          </w:p>
        </w:tc>
        <w:tc>
          <w:tcPr>
            <w:tcW w:w="11142" w:type="dxa"/>
            <w:shd w:val="clear" w:color="auto" w:fill="auto"/>
          </w:tcPr>
          <w:p w:rsidR="003C2ABF" w:rsidRDefault="003C2ABF" w:rsidP="00947046">
            <w:pPr>
              <w:spacing w:before="40" w:after="120"/>
              <w:ind w:right="113"/>
              <w:rPr>
                <w:lang w:val="es-ES_tradnl"/>
              </w:rPr>
            </w:pPr>
            <w:r>
              <w:rPr>
                <w:lang w:val="es-ES_tradnl"/>
              </w:rPr>
              <w:tab/>
              <w:t>d)</w:t>
            </w:r>
            <w:r>
              <w:rPr>
                <w:lang w:val="es-ES_tradnl"/>
              </w:rPr>
              <w:tab/>
              <w:t>Un procedimiento de reclutamiento en el que se exige que las personas alistadas presenten sus certificados de nacimiento como prueba fiable de su edad.</w:t>
            </w:r>
          </w:p>
        </w:tc>
      </w:tr>
      <w:tr w:rsidR="003C2ABF" w:rsidTr="00947046">
        <w:tc>
          <w:tcPr>
            <w:tcW w:w="12359" w:type="dxa"/>
            <w:gridSpan w:val="2"/>
            <w:shd w:val="clear" w:color="auto" w:fill="auto"/>
          </w:tcPr>
          <w:p w:rsidR="003C2ABF" w:rsidRDefault="003C2ABF" w:rsidP="00947046">
            <w:pPr>
              <w:keepNext/>
              <w:spacing w:before="40" w:after="120"/>
              <w:ind w:right="113"/>
              <w:rPr>
                <w:lang w:val="es-ES_tradnl"/>
              </w:rPr>
            </w:pPr>
            <w:r>
              <w:rPr>
                <w:i/>
                <w:lang w:val="es-ES_tradnl"/>
              </w:rPr>
              <w:t>Segundo Protocolo facultativo de la Convención sobre los Derechos del Niño relativo a la venta de niños, la prostitución infantil y la utilización de niños en la pornografía</w:t>
            </w:r>
          </w:p>
        </w:tc>
      </w:tr>
      <w:tr w:rsidR="003C2ABF" w:rsidTr="00947046">
        <w:tc>
          <w:tcPr>
            <w:tcW w:w="1217" w:type="dxa"/>
            <w:shd w:val="clear" w:color="auto" w:fill="auto"/>
          </w:tcPr>
          <w:p w:rsidR="003C2ABF" w:rsidRDefault="003C2ABF" w:rsidP="00947046">
            <w:pPr>
              <w:keepNext/>
              <w:spacing w:before="40" w:after="120"/>
              <w:ind w:right="113"/>
              <w:rPr>
                <w:lang w:val="es-ES_tradnl"/>
              </w:rPr>
            </w:pPr>
            <w:r>
              <w:rPr>
                <w:lang w:val="es-ES_tradnl"/>
              </w:rPr>
              <w:t>Situación</w:t>
            </w:r>
          </w:p>
        </w:tc>
        <w:tc>
          <w:tcPr>
            <w:tcW w:w="11142" w:type="dxa"/>
            <w:shd w:val="clear" w:color="auto" w:fill="auto"/>
          </w:tcPr>
          <w:p w:rsidR="003C2ABF" w:rsidRDefault="003C2ABF" w:rsidP="00947046">
            <w:pPr>
              <w:keepNext/>
              <w:spacing w:before="40" w:after="120"/>
              <w:ind w:right="113"/>
              <w:rPr>
                <w:lang w:val="es-ES_tradnl"/>
              </w:rPr>
            </w:pPr>
            <w:r>
              <w:rPr>
                <w:lang w:val="es-ES_tradnl"/>
              </w:rPr>
              <w:t>Firmado en 2000. Se está estudiando la posibilidad de ratificarlo.</w:t>
            </w:r>
          </w:p>
        </w:tc>
      </w:tr>
      <w:tr w:rsidR="003C2ABF" w:rsidTr="00947046">
        <w:tc>
          <w:tcPr>
            <w:tcW w:w="12359" w:type="dxa"/>
            <w:gridSpan w:val="2"/>
            <w:shd w:val="clear" w:color="auto" w:fill="auto"/>
          </w:tcPr>
          <w:p w:rsidR="003C2ABF" w:rsidRDefault="003C2ABF" w:rsidP="00947046">
            <w:pPr>
              <w:spacing w:before="40" w:after="120"/>
              <w:ind w:right="113"/>
              <w:rPr>
                <w:lang w:val="es-ES_tradnl"/>
              </w:rPr>
            </w:pPr>
            <w:r>
              <w:rPr>
                <w:i/>
                <w:lang w:val="es-ES_tradnl"/>
              </w:rPr>
              <w:t>Convención internacional sobre la protección de los derechos de todos los trabajadores migratorios y de sus familiares</w:t>
            </w:r>
          </w:p>
        </w:tc>
      </w:tr>
      <w:tr w:rsidR="003C2ABF" w:rsidTr="00947046">
        <w:tc>
          <w:tcPr>
            <w:tcW w:w="1217" w:type="dxa"/>
            <w:shd w:val="clear" w:color="auto" w:fill="auto"/>
          </w:tcPr>
          <w:p w:rsidR="003C2ABF" w:rsidRDefault="003C2ABF" w:rsidP="00947046">
            <w:pPr>
              <w:pStyle w:val="SingleTxtG"/>
              <w:spacing w:before="40"/>
              <w:ind w:left="0" w:right="113"/>
              <w:jc w:val="left"/>
              <w:rPr>
                <w:lang w:val="es-ES_tradnl"/>
              </w:rPr>
            </w:pPr>
            <w:r>
              <w:rPr>
                <w:lang w:val="es-ES_tradnl"/>
              </w:rPr>
              <w:t>Situación</w:t>
            </w:r>
          </w:p>
        </w:tc>
        <w:tc>
          <w:tcPr>
            <w:tcW w:w="11142" w:type="dxa"/>
            <w:shd w:val="clear" w:color="auto" w:fill="auto"/>
          </w:tcPr>
          <w:p w:rsidR="003C2ABF" w:rsidRDefault="003C2ABF" w:rsidP="00947046">
            <w:pPr>
              <w:pStyle w:val="SingleTxtG"/>
              <w:spacing w:before="40"/>
              <w:ind w:left="0" w:right="113"/>
              <w:jc w:val="left"/>
              <w:rPr>
                <w:lang w:val="es-ES_tradnl"/>
              </w:rPr>
            </w:pPr>
            <w:r>
              <w:rPr>
                <w:lang w:val="es-ES_tradnl"/>
              </w:rPr>
              <w:t>En 2003 se consideró y desechó la posibilidad de adherirse a la Convención.</w:t>
            </w:r>
          </w:p>
        </w:tc>
      </w:tr>
      <w:tr w:rsidR="003C2ABF" w:rsidTr="00947046">
        <w:tc>
          <w:tcPr>
            <w:tcW w:w="12359" w:type="dxa"/>
            <w:gridSpan w:val="2"/>
            <w:shd w:val="clear" w:color="auto" w:fill="auto"/>
          </w:tcPr>
          <w:p w:rsidR="003C2ABF" w:rsidRDefault="003C2ABF" w:rsidP="00947046">
            <w:pPr>
              <w:pStyle w:val="SingleTxtG"/>
              <w:spacing w:before="40"/>
              <w:ind w:left="0" w:right="113"/>
              <w:jc w:val="left"/>
              <w:rPr>
                <w:lang w:val="es-ES_tradnl"/>
              </w:rPr>
            </w:pPr>
            <w:r>
              <w:rPr>
                <w:i/>
                <w:lang w:val="es-ES_tradnl"/>
              </w:rPr>
              <w:t>Convención sobre los derechos de las personas con discapacidad</w:t>
            </w:r>
          </w:p>
        </w:tc>
      </w:tr>
      <w:tr w:rsidR="003C2ABF" w:rsidTr="00947046">
        <w:tc>
          <w:tcPr>
            <w:tcW w:w="1217" w:type="dxa"/>
            <w:shd w:val="clear" w:color="auto" w:fill="auto"/>
          </w:tcPr>
          <w:p w:rsidR="003C2ABF" w:rsidRDefault="003C2ABF" w:rsidP="00947046">
            <w:pPr>
              <w:pStyle w:val="SingleTxtG"/>
              <w:spacing w:before="40"/>
              <w:ind w:left="0" w:right="113"/>
              <w:jc w:val="left"/>
              <w:rPr>
                <w:lang w:val="es-ES_tradnl"/>
              </w:rPr>
            </w:pPr>
            <w:r>
              <w:rPr>
                <w:lang w:val="es-ES_tradnl"/>
              </w:rPr>
              <w:t>Situación</w:t>
            </w:r>
          </w:p>
        </w:tc>
        <w:tc>
          <w:tcPr>
            <w:tcW w:w="11142" w:type="dxa"/>
            <w:shd w:val="clear" w:color="auto" w:fill="auto"/>
          </w:tcPr>
          <w:p w:rsidR="003C2ABF" w:rsidRDefault="003C2ABF" w:rsidP="00947046">
            <w:pPr>
              <w:pStyle w:val="SingleTxtG"/>
              <w:spacing w:before="40"/>
              <w:ind w:left="0" w:right="113"/>
              <w:jc w:val="left"/>
              <w:rPr>
                <w:lang w:val="es-ES_tradnl"/>
              </w:rPr>
            </w:pPr>
            <w:r>
              <w:rPr>
                <w:lang w:val="es-ES_tradnl"/>
              </w:rPr>
              <w:t>Firmada en 2007. Ratificada el 25 de septiembre de 2008.</w:t>
            </w:r>
          </w:p>
        </w:tc>
      </w:tr>
      <w:tr w:rsidR="003C2ABF" w:rsidTr="00947046">
        <w:tc>
          <w:tcPr>
            <w:tcW w:w="12359" w:type="dxa"/>
            <w:gridSpan w:val="2"/>
            <w:shd w:val="clear" w:color="auto" w:fill="auto"/>
          </w:tcPr>
          <w:p w:rsidR="003C2ABF" w:rsidRDefault="003C2ABF" w:rsidP="00947046">
            <w:pPr>
              <w:pStyle w:val="SingleTxtG"/>
              <w:spacing w:before="40"/>
              <w:ind w:left="0" w:right="113"/>
              <w:jc w:val="left"/>
              <w:rPr>
                <w:lang w:val="es-ES_tradnl"/>
              </w:rPr>
            </w:pPr>
            <w:r>
              <w:rPr>
                <w:i/>
                <w:lang w:val="es-ES_tradnl"/>
              </w:rPr>
              <w:t>Protocolo Facultativo de la Convención sobre los derechos de las personas con discapacidad</w:t>
            </w:r>
          </w:p>
        </w:tc>
      </w:tr>
      <w:tr w:rsidR="003C2ABF" w:rsidTr="00947046">
        <w:tc>
          <w:tcPr>
            <w:tcW w:w="1217" w:type="dxa"/>
            <w:tcBorders>
              <w:bottom w:val="single" w:sz="12" w:space="0" w:color="auto"/>
            </w:tcBorders>
            <w:shd w:val="clear" w:color="auto" w:fill="auto"/>
          </w:tcPr>
          <w:p w:rsidR="003C2ABF" w:rsidRDefault="003C2ABF" w:rsidP="00947046">
            <w:pPr>
              <w:pStyle w:val="SingleTxtG"/>
              <w:spacing w:before="40"/>
              <w:ind w:left="0" w:right="113"/>
              <w:jc w:val="left"/>
              <w:rPr>
                <w:lang w:val="es-ES_tradnl"/>
              </w:rPr>
            </w:pPr>
          </w:p>
        </w:tc>
        <w:tc>
          <w:tcPr>
            <w:tcW w:w="11142" w:type="dxa"/>
            <w:tcBorders>
              <w:bottom w:val="single" w:sz="12" w:space="0" w:color="auto"/>
            </w:tcBorders>
            <w:shd w:val="clear" w:color="auto" w:fill="auto"/>
          </w:tcPr>
          <w:p w:rsidR="003C2ABF" w:rsidRDefault="003C2ABF" w:rsidP="00947046">
            <w:pPr>
              <w:pStyle w:val="SingleTxtG"/>
              <w:spacing w:before="40"/>
              <w:ind w:left="0" w:right="113"/>
              <w:jc w:val="left"/>
              <w:rPr>
                <w:lang w:val="es-ES_tradnl"/>
              </w:rPr>
            </w:pPr>
            <w:r>
              <w:rPr>
                <w:lang w:val="es-ES_tradnl"/>
              </w:rPr>
              <w:t>No es parte.</w:t>
            </w:r>
          </w:p>
        </w:tc>
      </w:tr>
    </w:tbl>
    <w:p w:rsidR="003A76E8" w:rsidRDefault="003A76E8" w:rsidP="003A76E8">
      <w:pPr>
        <w:pStyle w:val="H1G"/>
        <w:spacing w:before="0" w:after="0"/>
        <w:rPr>
          <w:lang w:val="es-ES_tradnl"/>
        </w:rPr>
      </w:pPr>
    </w:p>
    <w:p w:rsidR="003A76E8" w:rsidRPr="003A76E8" w:rsidRDefault="003A76E8" w:rsidP="003A76E8">
      <w:pPr>
        <w:rPr>
          <w:lang w:val="es-ES_tradnl"/>
        </w:rPr>
      </w:pPr>
    </w:p>
    <w:p w:rsidR="003C2ABF" w:rsidRDefault="003C2ABF" w:rsidP="003A76E8">
      <w:pPr>
        <w:pStyle w:val="H1G"/>
        <w:rPr>
          <w:lang w:val="es-ES_tradnl"/>
        </w:rPr>
      </w:pPr>
      <w:r>
        <w:rPr>
          <w:lang w:val="es-ES_tradnl"/>
        </w:rPr>
        <w:tab/>
      </w:r>
      <w:r>
        <w:rPr>
          <w:lang w:val="es-ES_tradnl"/>
        </w:rPr>
        <w:tab/>
        <w:t>Otras convenciones de las Naciones Unidas e instrumentos conexos</w:t>
      </w:r>
    </w:p>
    <w:tbl>
      <w:tblPr>
        <w:tblW w:w="12359" w:type="dxa"/>
        <w:jc w:val="center"/>
        <w:tblBorders>
          <w:top w:val="single" w:sz="4" w:space="0" w:color="auto"/>
        </w:tblBorders>
        <w:tblCellMar>
          <w:left w:w="0" w:type="dxa"/>
          <w:right w:w="113" w:type="dxa"/>
        </w:tblCellMar>
        <w:tblLook w:val="0000" w:firstRow="0" w:lastRow="0" w:firstColumn="0" w:lastColumn="0" w:noHBand="0" w:noVBand="0"/>
      </w:tblPr>
      <w:tblGrid>
        <w:gridCol w:w="5591"/>
        <w:gridCol w:w="2254"/>
        <w:gridCol w:w="2257"/>
        <w:gridCol w:w="2257"/>
      </w:tblGrid>
      <w:tr w:rsidR="003C2ABF" w:rsidTr="00947046">
        <w:tblPrEx>
          <w:tblCellMar>
            <w:top w:w="0" w:type="dxa"/>
            <w:bottom w:w="0" w:type="dxa"/>
          </w:tblCellMar>
        </w:tblPrEx>
        <w:trPr>
          <w:cantSplit/>
          <w:trHeight w:val="240"/>
          <w:tblHeader/>
          <w:jc w:val="center"/>
        </w:trPr>
        <w:tc>
          <w:tcPr>
            <w:tcW w:w="2262" w:type="pct"/>
            <w:tcBorders>
              <w:top w:val="single" w:sz="4" w:space="0" w:color="auto"/>
              <w:bottom w:val="single" w:sz="12" w:space="0" w:color="auto"/>
            </w:tcBorders>
            <w:shd w:val="clear" w:color="auto" w:fill="auto"/>
            <w:vAlign w:val="bottom"/>
          </w:tcPr>
          <w:p w:rsidR="003C2ABF" w:rsidRDefault="003C2ABF" w:rsidP="003A76E8">
            <w:pPr>
              <w:keepNext/>
              <w:spacing w:before="80" w:after="80" w:line="200" w:lineRule="exact"/>
              <w:ind w:right="113"/>
              <w:rPr>
                <w:i/>
                <w:sz w:val="16"/>
                <w:lang w:val="es-ES_tradnl"/>
              </w:rPr>
            </w:pPr>
            <w:r>
              <w:rPr>
                <w:i/>
                <w:sz w:val="16"/>
                <w:lang w:val="es-ES_tradnl"/>
              </w:rPr>
              <w:t xml:space="preserve">Otras convenciones de las Naciones Unidas sobre derechos humanos </w:t>
            </w:r>
            <w:r>
              <w:rPr>
                <w:i/>
                <w:sz w:val="16"/>
                <w:lang w:val="es-ES_tradnl"/>
              </w:rPr>
              <w:br/>
              <w:t>e instrumentos conexos</w:t>
            </w:r>
          </w:p>
        </w:tc>
        <w:tc>
          <w:tcPr>
            <w:tcW w:w="912" w:type="pct"/>
            <w:tcBorders>
              <w:top w:val="single" w:sz="4" w:space="0" w:color="auto"/>
              <w:bottom w:val="single" w:sz="12" w:space="0" w:color="auto"/>
            </w:tcBorders>
            <w:shd w:val="clear" w:color="auto" w:fill="auto"/>
            <w:vAlign w:val="bottom"/>
          </w:tcPr>
          <w:p w:rsidR="003C2ABF" w:rsidRDefault="003C2ABF" w:rsidP="003A76E8">
            <w:pPr>
              <w:keepNext/>
              <w:spacing w:before="80" w:after="80" w:line="200" w:lineRule="exact"/>
              <w:ind w:right="57"/>
              <w:rPr>
                <w:i/>
                <w:sz w:val="16"/>
                <w:lang w:val="es-ES_tradnl"/>
              </w:rPr>
            </w:pPr>
            <w:r>
              <w:rPr>
                <w:i/>
                <w:sz w:val="16"/>
                <w:lang w:val="es-ES_tradnl"/>
              </w:rPr>
              <w:t>Firma</w:t>
            </w:r>
          </w:p>
        </w:tc>
        <w:tc>
          <w:tcPr>
            <w:tcW w:w="913" w:type="pct"/>
            <w:tcBorders>
              <w:top w:val="single" w:sz="4" w:space="0" w:color="auto"/>
              <w:bottom w:val="single" w:sz="12" w:space="0" w:color="auto"/>
            </w:tcBorders>
            <w:shd w:val="clear" w:color="auto" w:fill="auto"/>
            <w:vAlign w:val="bottom"/>
          </w:tcPr>
          <w:p w:rsidR="003C2ABF" w:rsidRDefault="003C2ABF" w:rsidP="003A76E8">
            <w:pPr>
              <w:keepNext/>
              <w:spacing w:before="80" w:after="80" w:line="200" w:lineRule="exact"/>
              <w:ind w:right="57"/>
              <w:rPr>
                <w:i/>
                <w:sz w:val="16"/>
                <w:lang w:val="es-ES_tradnl"/>
              </w:rPr>
            </w:pPr>
            <w:r>
              <w:rPr>
                <w:i/>
                <w:sz w:val="16"/>
                <w:lang w:val="es-ES_tradnl"/>
              </w:rPr>
              <w:t>Ratificación</w:t>
            </w:r>
          </w:p>
        </w:tc>
        <w:tc>
          <w:tcPr>
            <w:tcW w:w="913" w:type="pct"/>
            <w:tcBorders>
              <w:top w:val="single" w:sz="4" w:space="0" w:color="auto"/>
              <w:bottom w:val="single" w:sz="12" w:space="0" w:color="auto"/>
            </w:tcBorders>
            <w:shd w:val="clear" w:color="auto" w:fill="auto"/>
            <w:vAlign w:val="bottom"/>
          </w:tcPr>
          <w:p w:rsidR="003C2ABF" w:rsidRDefault="003C2ABF" w:rsidP="003A76E8">
            <w:pPr>
              <w:keepNext/>
              <w:spacing w:before="80" w:after="80" w:line="200" w:lineRule="exact"/>
              <w:ind w:right="57"/>
              <w:rPr>
                <w:i/>
                <w:sz w:val="16"/>
                <w:lang w:val="es-ES_tradnl"/>
              </w:rPr>
            </w:pPr>
            <w:r>
              <w:rPr>
                <w:i/>
                <w:sz w:val="16"/>
                <w:lang w:val="es-ES_tradnl"/>
              </w:rPr>
              <w:t>Adhesión</w:t>
            </w:r>
          </w:p>
        </w:tc>
      </w:tr>
      <w:tr w:rsidR="003C2ABF" w:rsidTr="00947046">
        <w:tblPrEx>
          <w:tblCellMar>
            <w:top w:w="0" w:type="dxa"/>
            <w:bottom w:w="0" w:type="dxa"/>
          </w:tblCellMar>
        </w:tblPrEx>
        <w:trPr>
          <w:cantSplit/>
          <w:trHeight w:hRule="exact" w:val="113"/>
          <w:tblHeader/>
          <w:jc w:val="center"/>
        </w:trPr>
        <w:tc>
          <w:tcPr>
            <w:tcW w:w="2262" w:type="pct"/>
            <w:tcBorders>
              <w:top w:val="single" w:sz="12" w:space="0" w:color="auto"/>
              <w:bottom w:val="nil"/>
            </w:tcBorders>
            <w:shd w:val="clear" w:color="auto" w:fill="auto"/>
          </w:tcPr>
          <w:p w:rsidR="003C2ABF" w:rsidRDefault="003C2ABF" w:rsidP="00947046">
            <w:pPr>
              <w:spacing w:before="40" w:after="120"/>
              <w:ind w:right="113"/>
              <w:rPr>
                <w:lang w:val="es-ES_tradnl"/>
              </w:rPr>
            </w:pPr>
          </w:p>
        </w:tc>
        <w:tc>
          <w:tcPr>
            <w:tcW w:w="912" w:type="pct"/>
            <w:tcBorders>
              <w:top w:val="single" w:sz="12" w:space="0" w:color="auto"/>
              <w:bottom w:val="nil"/>
            </w:tcBorders>
            <w:shd w:val="clear" w:color="auto" w:fill="auto"/>
          </w:tcPr>
          <w:p w:rsidR="003C2ABF" w:rsidRDefault="003C2ABF" w:rsidP="00947046">
            <w:pPr>
              <w:spacing w:before="40" w:after="120"/>
              <w:ind w:right="57"/>
              <w:rPr>
                <w:lang w:val="es-ES_tradnl"/>
              </w:rPr>
            </w:pPr>
          </w:p>
        </w:tc>
        <w:tc>
          <w:tcPr>
            <w:tcW w:w="913" w:type="pct"/>
            <w:tcBorders>
              <w:top w:val="single" w:sz="12" w:space="0" w:color="auto"/>
              <w:bottom w:val="nil"/>
            </w:tcBorders>
            <w:shd w:val="clear" w:color="auto" w:fill="auto"/>
          </w:tcPr>
          <w:p w:rsidR="003C2ABF" w:rsidRDefault="003C2ABF" w:rsidP="00947046">
            <w:pPr>
              <w:spacing w:before="40" w:after="120"/>
              <w:ind w:right="57"/>
              <w:rPr>
                <w:lang w:val="es-ES_tradnl"/>
              </w:rPr>
            </w:pPr>
          </w:p>
        </w:tc>
        <w:tc>
          <w:tcPr>
            <w:tcW w:w="913" w:type="pct"/>
            <w:tcBorders>
              <w:top w:val="single" w:sz="12" w:space="0" w:color="auto"/>
              <w:bottom w:val="nil"/>
            </w:tcBorders>
            <w:shd w:val="clear" w:color="auto" w:fill="auto"/>
          </w:tcPr>
          <w:p w:rsidR="003C2ABF" w:rsidRDefault="003C2ABF" w:rsidP="00947046">
            <w:pPr>
              <w:spacing w:before="40" w:after="120"/>
              <w:ind w:right="57"/>
              <w:rPr>
                <w:lang w:val="es-ES_tradnl"/>
              </w:rPr>
            </w:pPr>
          </w:p>
        </w:tc>
      </w:tr>
      <w:tr w:rsidR="003C2ABF" w:rsidTr="00947046">
        <w:tblPrEx>
          <w:tblCellMar>
            <w:top w:w="0" w:type="dxa"/>
            <w:bottom w:w="0" w:type="dxa"/>
          </w:tblCellMar>
        </w:tblPrEx>
        <w:trPr>
          <w:cantSplit/>
          <w:trHeight w:val="240"/>
          <w:jc w:val="center"/>
        </w:trPr>
        <w:tc>
          <w:tcPr>
            <w:tcW w:w="2262" w:type="pct"/>
            <w:tcBorders>
              <w:top w:val="nil"/>
            </w:tcBorders>
            <w:shd w:val="clear" w:color="auto" w:fill="auto"/>
          </w:tcPr>
          <w:p w:rsidR="003C2ABF" w:rsidRDefault="003C2ABF" w:rsidP="00947046">
            <w:pPr>
              <w:spacing w:before="40" w:after="120"/>
              <w:ind w:right="113"/>
              <w:rPr>
                <w:lang w:val="es-ES_tradnl"/>
              </w:rPr>
            </w:pPr>
            <w:r>
              <w:rPr>
                <w:lang w:val="es-ES_tradnl"/>
              </w:rPr>
              <w:t>Convención para la Prevención y la Sanción del Delito de Genocidio</w:t>
            </w:r>
          </w:p>
        </w:tc>
        <w:tc>
          <w:tcPr>
            <w:tcW w:w="912" w:type="pct"/>
            <w:tcBorders>
              <w:top w:val="nil"/>
            </w:tcBorders>
            <w:shd w:val="clear" w:color="auto" w:fill="auto"/>
          </w:tcPr>
          <w:p w:rsidR="003C2ABF" w:rsidRDefault="003C2ABF" w:rsidP="00947046">
            <w:pPr>
              <w:spacing w:before="40" w:after="120"/>
              <w:ind w:right="57"/>
              <w:rPr>
                <w:lang w:val="es-ES_tradnl"/>
              </w:rPr>
            </w:pPr>
            <w:r>
              <w:rPr>
                <w:lang w:val="es-ES_tradnl"/>
              </w:rPr>
              <w:t>25 de noviembre de 1949</w:t>
            </w:r>
          </w:p>
        </w:tc>
        <w:tc>
          <w:tcPr>
            <w:tcW w:w="913" w:type="pct"/>
            <w:tcBorders>
              <w:top w:val="nil"/>
            </w:tcBorders>
            <w:shd w:val="clear" w:color="auto" w:fill="auto"/>
          </w:tcPr>
          <w:p w:rsidR="003C2ABF" w:rsidRDefault="003C2ABF" w:rsidP="00947046">
            <w:pPr>
              <w:spacing w:before="40" w:after="120"/>
              <w:ind w:right="57"/>
              <w:rPr>
                <w:lang w:val="es-ES_tradnl"/>
              </w:rPr>
            </w:pPr>
            <w:r>
              <w:rPr>
                <w:lang w:val="es-ES_tradnl"/>
              </w:rPr>
              <w:t xml:space="preserve">28 de diciembre </w:t>
            </w:r>
            <w:r>
              <w:rPr>
                <w:lang w:val="es-ES_tradnl"/>
              </w:rPr>
              <w:br/>
              <w:t>de 1978</w:t>
            </w:r>
            <w:r>
              <w:rPr>
                <w:lang w:val="es-ES_tradnl"/>
              </w:rPr>
              <w:br/>
              <w:t>28 de marzo de 1979</w:t>
            </w:r>
            <w:r>
              <w:rPr>
                <w:lang w:val="es-ES_tradnl"/>
              </w:rPr>
              <w:br/>
              <w:t>(entrada en vigor)</w:t>
            </w:r>
          </w:p>
        </w:tc>
        <w:tc>
          <w:tcPr>
            <w:tcW w:w="913" w:type="pct"/>
            <w:tcBorders>
              <w:top w:val="nil"/>
            </w:tcBorders>
            <w:shd w:val="clear" w:color="auto" w:fill="auto"/>
          </w:tcPr>
          <w:p w:rsidR="003C2ABF" w:rsidRDefault="003C2ABF" w:rsidP="00947046">
            <w:pPr>
              <w:spacing w:before="40" w:after="120"/>
              <w:ind w:right="57"/>
              <w:rPr>
                <w:lang w:val="es-ES_tradnl"/>
              </w:rPr>
            </w:pPr>
          </w:p>
        </w:tc>
      </w:tr>
      <w:tr w:rsidR="003C2ABF" w:rsidTr="00947046">
        <w:tblPrEx>
          <w:tblCellMar>
            <w:top w:w="0" w:type="dxa"/>
            <w:bottom w:w="0" w:type="dxa"/>
          </w:tblCellMar>
        </w:tblPrEx>
        <w:trPr>
          <w:cantSplit/>
          <w:trHeight w:val="240"/>
          <w:jc w:val="center"/>
        </w:trPr>
        <w:tc>
          <w:tcPr>
            <w:tcW w:w="2262" w:type="pct"/>
            <w:shd w:val="clear" w:color="auto" w:fill="auto"/>
          </w:tcPr>
          <w:p w:rsidR="003C2ABF" w:rsidRDefault="003C2ABF" w:rsidP="00947046">
            <w:pPr>
              <w:spacing w:before="40" w:after="120"/>
              <w:ind w:right="113"/>
              <w:rPr>
                <w:lang w:val="es-ES_tradnl"/>
              </w:rPr>
            </w:pPr>
            <w:r>
              <w:rPr>
                <w:lang w:val="es-ES_tradnl"/>
              </w:rPr>
              <w:t>Convención sobre la Esclavitud de 1926, modificada en 1955</w:t>
            </w:r>
          </w:p>
        </w:tc>
        <w:tc>
          <w:tcPr>
            <w:tcW w:w="912" w:type="pct"/>
            <w:shd w:val="clear" w:color="auto" w:fill="auto"/>
          </w:tcPr>
          <w:p w:rsidR="003C2ABF" w:rsidRDefault="003C2ABF" w:rsidP="00947046">
            <w:pPr>
              <w:spacing w:before="40" w:after="120"/>
              <w:ind w:right="57"/>
              <w:rPr>
                <w:lang w:val="es-ES_tradnl"/>
              </w:rPr>
            </w:pPr>
            <w:r>
              <w:rPr>
                <w:lang w:val="es-ES_tradnl"/>
              </w:rPr>
              <w:t>25 de septiembre de 1926</w:t>
            </w:r>
          </w:p>
        </w:tc>
        <w:tc>
          <w:tcPr>
            <w:tcW w:w="913" w:type="pct"/>
            <w:shd w:val="clear" w:color="auto" w:fill="auto"/>
          </w:tcPr>
          <w:p w:rsidR="003C2ABF" w:rsidRDefault="003C2ABF" w:rsidP="00947046">
            <w:pPr>
              <w:spacing w:before="40" w:after="120"/>
              <w:ind w:right="57"/>
              <w:rPr>
                <w:lang w:val="es-ES_tradnl"/>
              </w:rPr>
            </w:pPr>
            <w:r>
              <w:rPr>
                <w:lang w:val="es-ES_tradnl"/>
              </w:rPr>
              <w:t>18 de junio de 1927</w:t>
            </w:r>
            <w:r>
              <w:rPr>
                <w:lang w:val="es-ES_tradnl"/>
              </w:rPr>
              <w:br/>
              <w:t>18 de junio de 1927</w:t>
            </w:r>
            <w:r>
              <w:rPr>
                <w:lang w:val="es-ES_tradnl"/>
              </w:rPr>
              <w:br/>
              <w:t>(entrada en vigor)</w:t>
            </w:r>
          </w:p>
        </w:tc>
        <w:tc>
          <w:tcPr>
            <w:tcW w:w="913" w:type="pct"/>
            <w:shd w:val="clear" w:color="auto" w:fill="auto"/>
          </w:tcPr>
          <w:p w:rsidR="003C2ABF" w:rsidRDefault="003C2ABF" w:rsidP="00947046">
            <w:pPr>
              <w:spacing w:before="40" w:after="120"/>
              <w:ind w:right="57"/>
              <w:rPr>
                <w:lang w:val="es-ES_tradnl"/>
              </w:rPr>
            </w:pPr>
          </w:p>
        </w:tc>
      </w:tr>
      <w:tr w:rsidR="003C2ABF" w:rsidTr="00947046">
        <w:tblPrEx>
          <w:tblCellMar>
            <w:top w:w="0" w:type="dxa"/>
            <w:bottom w:w="0" w:type="dxa"/>
          </w:tblCellMar>
        </w:tblPrEx>
        <w:trPr>
          <w:cantSplit/>
          <w:trHeight w:val="240"/>
          <w:jc w:val="center"/>
        </w:trPr>
        <w:tc>
          <w:tcPr>
            <w:tcW w:w="2262" w:type="pct"/>
            <w:shd w:val="clear" w:color="auto" w:fill="auto"/>
          </w:tcPr>
          <w:p w:rsidR="003C2ABF" w:rsidRDefault="003C2ABF" w:rsidP="00947046">
            <w:pPr>
              <w:spacing w:before="40" w:after="120"/>
              <w:ind w:right="113"/>
              <w:rPr>
                <w:lang w:val="es-ES_tradnl"/>
              </w:rPr>
            </w:pPr>
            <w:r>
              <w:rPr>
                <w:lang w:val="es-ES_tradnl"/>
              </w:rPr>
              <w:t>Protocolo para modificar la Convención sobre la Esclavitud, 1926, firmado en Ginebra el 25 de septiembre de 1926</w:t>
            </w:r>
          </w:p>
        </w:tc>
        <w:tc>
          <w:tcPr>
            <w:tcW w:w="912" w:type="pct"/>
            <w:shd w:val="clear" w:color="auto" w:fill="auto"/>
          </w:tcPr>
          <w:p w:rsidR="003C2ABF" w:rsidRDefault="003C2ABF" w:rsidP="00947046">
            <w:pPr>
              <w:spacing w:before="40" w:after="120"/>
              <w:ind w:right="57"/>
              <w:rPr>
                <w:lang w:val="es-ES_tradnl"/>
              </w:rPr>
            </w:pPr>
          </w:p>
        </w:tc>
        <w:tc>
          <w:tcPr>
            <w:tcW w:w="913" w:type="pct"/>
            <w:shd w:val="clear" w:color="auto" w:fill="auto"/>
          </w:tcPr>
          <w:p w:rsidR="003C2ABF" w:rsidRDefault="003C2ABF" w:rsidP="00947046">
            <w:pPr>
              <w:spacing w:before="40" w:after="120"/>
              <w:ind w:right="57"/>
              <w:rPr>
                <w:lang w:val="es-ES_tradnl"/>
              </w:rPr>
            </w:pPr>
          </w:p>
        </w:tc>
        <w:tc>
          <w:tcPr>
            <w:tcW w:w="913" w:type="pct"/>
            <w:shd w:val="clear" w:color="auto" w:fill="auto"/>
          </w:tcPr>
          <w:p w:rsidR="003C2ABF" w:rsidRDefault="003C2ABF" w:rsidP="00947046">
            <w:pPr>
              <w:spacing w:before="40" w:after="120"/>
              <w:ind w:right="57"/>
              <w:rPr>
                <w:lang w:val="es-ES_tradnl"/>
              </w:rPr>
            </w:pPr>
            <w:r>
              <w:rPr>
                <w:lang w:val="es-ES_tradnl"/>
              </w:rPr>
              <w:t>16 de diciembre de 1953</w:t>
            </w:r>
            <w:r>
              <w:rPr>
                <w:lang w:val="es-ES_tradnl"/>
              </w:rPr>
              <w:br/>
              <w:t>16 de diciembre de 1953</w:t>
            </w:r>
            <w:r>
              <w:rPr>
                <w:lang w:val="es-ES_tradnl"/>
              </w:rPr>
              <w:br/>
              <w:t>(entrada en vigor)</w:t>
            </w:r>
          </w:p>
        </w:tc>
      </w:tr>
      <w:tr w:rsidR="003C2ABF" w:rsidTr="00947046">
        <w:tblPrEx>
          <w:tblCellMar>
            <w:top w:w="0" w:type="dxa"/>
            <w:bottom w:w="0" w:type="dxa"/>
          </w:tblCellMar>
        </w:tblPrEx>
        <w:trPr>
          <w:cantSplit/>
          <w:trHeight w:val="240"/>
          <w:jc w:val="center"/>
        </w:trPr>
        <w:tc>
          <w:tcPr>
            <w:tcW w:w="2262" w:type="pct"/>
            <w:shd w:val="clear" w:color="auto" w:fill="auto"/>
          </w:tcPr>
          <w:p w:rsidR="003C2ABF" w:rsidRDefault="003C2ABF" w:rsidP="00947046">
            <w:pPr>
              <w:spacing w:before="40" w:after="120"/>
              <w:ind w:right="113"/>
              <w:rPr>
                <w:lang w:val="es-ES_tradnl"/>
              </w:rPr>
            </w:pPr>
            <w:r>
              <w:rPr>
                <w:lang w:val="es-ES_tradnl"/>
              </w:rPr>
              <w:t>Convención suplementaria sobre la abolición de la esclavitud, la trata de esclavos y las instituciones y prácticas análogas a la esclavitud</w:t>
            </w:r>
          </w:p>
        </w:tc>
        <w:tc>
          <w:tcPr>
            <w:tcW w:w="912" w:type="pct"/>
            <w:shd w:val="clear" w:color="auto" w:fill="auto"/>
          </w:tcPr>
          <w:p w:rsidR="003C2ABF" w:rsidRDefault="003C2ABF" w:rsidP="00947046">
            <w:pPr>
              <w:spacing w:before="40" w:after="120"/>
              <w:ind w:right="57"/>
              <w:rPr>
                <w:lang w:val="es-ES_tradnl"/>
              </w:rPr>
            </w:pPr>
          </w:p>
        </w:tc>
        <w:tc>
          <w:tcPr>
            <w:tcW w:w="913" w:type="pct"/>
            <w:shd w:val="clear" w:color="auto" w:fill="auto"/>
          </w:tcPr>
          <w:p w:rsidR="003C2ABF" w:rsidRDefault="003C2ABF" w:rsidP="00947046">
            <w:pPr>
              <w:spacing w:before="40" w:after="120"/>
              <w:ind w:right="57"/>
              <w:rPr>
                <w:lang w:val="es-ES_tradnl"/>
              </w:rPr>
            </w:pPr>
          </w:p>
        </w:tc>
        <w:tc>
          <w:tcPr>
            <w:tcW w:w="913" w:type="pct"/>
            <w:shd w:val="clear" w:color="auto" w:fill="auto"/>
          </w:tcPr>
          <w:p w:rsidR="003C2ABF" w:rsidRDefault="003C2ABF" w:rsidP="00947046">
            <w:pPr>
              <w:spacing w:before="40" w:after="120"/>
              <w:ind w:right="57"/>
              <w:rPr>
                <w:lang w:val="es-ES_tradnl"/>
              </w:rPr>
            </w:pPr>
            <w:r>
              <w:rPr>
                <w:lang w:val="es-ES_tradnl"/>
              </w:rPr>
              <w:t>26 de abril de 1962</w:t>
            </w:r>
            <w:r>
              <w:rPr>
                <w:lang w:val="es-ES_tradnl"/>
              </w:rPr>
              <w:br/>
              <w:t>26 de abril de 1962</w:t>
            </w:r>
            <w:r>
              <w:rPr>
                <w:lang w:val="es-ES_tradnl"/>
              </w:rPr>
              <w:br/>
              <w:t>(entrada en vigor)</w:t>
            </w:r>
          </w:p>
        </w:tc>
      </w:tr>
      <w:tr w:rsidR="003C2ABF" w:rsidTr="00947046">
        <w:tblPrEx>
          <w:tblCellMar>
            <w:top w:w="0" w:type="dxa"/>
            <w:bottom w:w="0" w:type="dxa"/>
          </w:tblCellMar>
        </w:tblPrEx>
        <w:trPr>
          <w:cantSplit/>
          <w:trHeight w:val="240"/>
          <w:jc w:val="center"/>
        </w:trPr>
        <w:tc>
          <w:tcPr>
            <w:tcW w:w="2262" w:type="pct"/>
            <w:shd w:val="clear" w:color="auto" w:fill="auto"/>
          </w:tcPr>
          <w:p w:rsidR="003C2ABF" w:rsidRDefault="003C2ABF" w:rsidP="00947046">
            <w:pPr>
              <w:spacing w:before="40" w:after="120"/>
              <w:ind w:right="113"/>
              <w:rPr>
                <w:lang w:val="es-ES_tradnl"/>
              </w:rPr>
            </w:pPr>
            <w:r>
              <w:rPr>
                <w:lang w:val="es-ES_tradnl"/>
              </w:rPr>
              <w:t>Convenio para la represión de la trata de personas y de la explotación de la prostitución ajena</w:t>
            </w:r>
          </w:p>
        </w:tc>
        <w:tc>
          <w:tcPr>
            <w:tcW w:w="912" w:type="pct"/>
            <w:shd w:val="clear" w:color="auto" w:fill="auto"/>
          </w:tcPr>
          <w:p w:rsidR="003C2ABF" w:rsidRDefault="003C2ABF" w:rsidP="00947046">
            <w:pPr>
              <w:spacing w:before="40" w:after="120"/>
              <w:ind w:right="57"/>
              <w:rPr>
                <w:lang w:val="es-ES_tradnl"/>
              </w:rPr>
            </w:pPr>
            <w:r>
              <w:rPr>
                <w:lang w:val="es-ES_tradnl"/>
              </w:rPr>
              <w:t>No es parte</w:t>
            </w:r>
          </w:p>
        </w:tc>
        <w:tc>
          <w:tcPr>
            <w:tcW w:w="913" w:type="pct"/>
            <w:shd w:val="clear" w:color="auto" w:fill="auto"/>
          </w:tcPr>
          <w:p w:rsidR="003C2ABF" w:rsidRDefault="003C2ABF" w:rsidP="00947046">
            <w:pPr>
              <w:spacing w:before="40" w:after="120"/>
              <w:ind w:right="57"/>
              <w:rPr>
                <w:lang w:val="es-ES_tradnl"/>
              </w:rPr>
            </w:pPr>
          </w:p>
        </w:tc>
        <w:tc>
          <w:tcPr>
            <w:tcW w:w="913" w:type="pct"/>
            <w:shd w:val="clear" w:color="auto" w:fill="auto"/>
          </w:tcPr>
          <w:p w:rsidR="003C2ABF" w:rsidRDefault="003C2ABF" w:rsidP="00947046">
            <w:pPr>
              <w:spacing w:before="40" w:after="120"/>
              <w:ind w:right="57"/>
              <w:rPr>
                <w:lang w:val="es-ES_tradnl"/>
              </w:rPr>
            </w:pPr>
          </w:p>
        </w:tc>
      </w:tr>
      <w:tr w:rsidR="003C2ABF" w:rsidTr="00947046">
        <w:tblPrEx>
          <w:tblCellMar>
            <w:top w:w="0" w:type="dxa"/>
            <w:bottom w:w="0" w:type="dxa"/>
          </w:tblCellMar>
        </w:tblPrEx>
        <w:trPr>
          <w:cantSplit/>
          <w:trHeight w:val="240"/>
          <w:jc w:val="center"/>
        </w:trPr>
        <w:tc>
          <w:tcPr>
            <w:tcW w:w="2262" w:type="pct"/>
            <w:shd w:val="clear" w:color="auto" w:fill="auto"/>
          </w:tcPr>
          <w:p w:rsidR="003C2ABF" w:rsidRDefault="003C2ABF" w:rsidP="00947046">
            <w:pPr>
              <w:spacing w:before="40" w:after="120"/>
              <w:ind w:right="113"/>
              <w:rPr>
                <w:lang w:val="es-ES_tradnl"/>
              </w:rPr>
            </w:pPr>
            <w:r>
              <w:rPr>
                <w:lang w:val="es-ES_tradnl"/>
              </w:rPr>
              <w:t>Convención sobre el Estatuto de los Refugiados de 1951</w:t>
            </w:r>
          </w:p>
        </w:tc>
        <w:tc>
          <w:tcPr>
            <w:tcW w:w="912" w:type="pct"/>
            <w:shd w:val="clear" w:color="auto" w:fill="auto"/>
          </w:tcPr>
          <w:p w:rsidR="003C2ABF" w:rsidRDefault="003C2ABF" w:rsidP="00947046">
            <w:pPr>
              <w:spacing w:before="40" w:after="120"/>
              <w:ind w:right="57"/>
              <w:rPr>
                <w:lang w:val="es-ES_tradnl"/>
              </w:rPr>
            </w:pPr>
          </w:p>
        </w:tc>
        <w:tc>
          <w:tcPr>
            <w:tcW w:w="913" w:type="pct"/>
            <w:shd w:val="clear" w:color="auto" w:fill="auto"/>
          </w:tcPr>
          <w:p w:rsidR="003C2ABF" w:rsidRDefault="003C2ABF" w:rsidP="00947046">
            <w:pPr>
              <w:spacing w:before="40" w:after="120"/>
              <w:ind w:right="57"/>
              <w:rPr>
                <w:lang w:val="es-ES_tradnl"/>
              </w:rPr>
            </w:pPr>
          </w:p>
        </w:tc>
        <w:tc>
          <w:tcPr>
            <w:tcW w:w="913" w:type="pct"/>
            <w:shd w:val="clear" w:color="auto" w:fill="auto"/>
          </w:tcPr>
          <w:p w:rsidR="003C2ABF" w:rsidRDefault="003C2ABF" w:rsidP="00947046">
            <w:pPr>
              <w:spacing w:before="40" w:after="120"/>
              <w:ind w:right="57"/>
              <w:rPr>
                <w:lang w:val="es-ES_tradnl"/>
              </w:rPr>
            </w:pPr>
            <w:r>
              <w:rPr>
                <w:lang w:val="es-ES_tradnl"/>
              </w:rPr>
              <w:t>30 de junio de 1960</w:t>
            </w:r>
            <w:r>
              <w:rPr>
                <w:lang w:val="es-ES_tradnl"/>
              </w:rPr>
              <w:br/>
              <w:t>28 de septiembre de 1960 (entrada en vigor)</w:t>
            </w:r>
          </w:p>
        </w:tc>
      </w:tr>
      <w:tr w:rsidR="003C2ABF" w:rsidTr="00947046">
        <w:tblPrEx>
          <w:tblCellMar>
            <w:top w:w="0" w:type="dxa"/>
            <w:bottom w:w="0" w:type="dxa"/>
          </w:tblCellMar>
        </w:tblPrEx>
        <w:trPr>
          <w:cantSplit/>
          <w:trHeight w:val="240"/>
          <w:jc w:val="center"/>
        </w:trPr>
        <w:tc>
          <w:tcPr>
            <w:tcW w:w="2262" w:type="pct"/>
            <w:shd w:val="clear" w:color="auto" w:fill="auto"/>
          </w:tcPr>
          <w:p w:rsidR="003C2ABF" w:rsidRDefault="003C2ABF" w:rsidP="00947046">
            <w:pPr>
              <w:spacing w:before="40" w:after="120"/>
              <w:ind w:right="113"/>
              <w:rPr>
                <w:lang w:val="es-ES_tradnl"/>
              </w:rPr>
            </w:pPr>
            <w:r>
              <w:rPr>
                <w:lang w:val="es-ES_tradnl"/>
              </w:rPr>
              <w:t>Protocolo sobre el Estatuto de los Refugiados</w:t>
            </w:r>
          </w:p>
        </w:tc>
        <w:tc>
          <w:tcPr>
            <w:tcW w:w="912" w:type="pct"/>
            <w:shd w:val="clear" w:color="auto" w:fill="auto"/>
          </w:tcPr>
          <w:p w:rsidR="003C2ABF" w:rsidRDefault="003C2ABF" w:rsidP="00947046">
            <w:pPr>
              <w:spacing w:before="40" w:after="120"/>
              <w:ind w:right="57"/>
              <w:rPr>
                <w:lang w:val="es-ES_tradnl"/>
              </w:rPr>
            </w:pPr>
          </w:p>
        </w:tc>
        <w:tc>
          <w:tcPr>
            <w:tcW w:w="913" w:type="pct"/>
            <w:shd w:val="clear" w:color="auto" w:fill="auto"/>
          </w:tcPr>
          <w:p w:rsidR="003C2ABF" w:rsidRDefault="003C2ABF" w:rsidP="00947046">
            <w:pPr>
              <w:spacing w:before="40" w:after="120"/>
              <w:ind w:right="57"/>
              <w:rPr>
                <w:lang w:val="es-ES_tradnl"/>
              </w:rPr>
            </w:pPr>
          </w:p>
        </w:tc>
        <w:tc>
          <w:tcPr>
            <w:tcW w:w="913" w:type="pct"/>
            <w:shd w:val="clear" w:color="auto" w:fill="auto"/>
          </w:tcPr>
          <w:p w:rsidR="003C2ABF" w:rsidRDefault="003C2ABF" w:rsidP="00947046">
            <w:pPr>
              <w:spacing w:before="40" w:after="120"/>
              <w:ind w:right="57"/>
              <w:rPr>
                <w:lang w:val="es-ES_tradnl"/>
              </w:rPr>
            </w:pPr>
            <w:r>
              <w:rPr>
                <w:lang w:val="es-ES_tradnl"/>
              </w:rPr>
              <w:t>6 de agosto de 1973</w:t>
            </w:r>
            <w:r>
              <w:rPr>
                <w:lang w:val="es-ES_tradnl"/>
              </w:rPr>
              <w:br/>
              <w:t>6 de agosto de 1973</w:t>
            </w:r>
            <w:r>
              <w:rPr>
                <w:lang w:val="es-ES_tradnl"/>
              </w:rPr>
              <w:br/>
              <w:t>(entrada en vigor)</w:t>
            </w:r>
          </w:p>
        </w:tc>
      </w:tr>
      <w:tr w:rsidR="003C2ABF" w:rsidTr="00947046">
        <w:tblPrEx>
          <w:tblCellMar>
            <w:top w:w="0" w:type="dxa"/>
            <w:bottom w:w="0" w:type="dxa"/>
          </w:tblCellMar>
        </w:tblPrEx>
        <w:trPr>
          <w:cantSplit/>
          <w:trHeight w:val="240"/>
          <w:jc w:val="center"/>
        </w:trPr>
        <w:tc>
          <w:tcPr>
            <w:tcW w:w="2262" w:type="pct"/>
            <w:shd w:val="clear" w:color="auto" w:fill="auto"/>
          </w:tcPr>
          <w:p w:rsidR="003C2ABF" w:rsidRDefault="003C2ABF" w:rsidP="00947046">
            <w:pPr>
              <w:spacing w:before="40" w:after="120"/>
              <w:ind w:right="113"/>
              <w:rPr>
                <w:lang w:val="es-ES_tradnl"/>
              </w:rPr>
            </w:pPr>
            <w:r>
              <w:rPr>
                <w:lang w:val="es-ES_tradnl"/>
              </w:rPr>
              <w:t>Convención sobre el Estatuto de los Apátridas de 1954</w:t>
            </w:r>
          </w:p>
        </w:tc>
        <w:tc>
          <w:tcPr>
            <w:tcW w:w="912" w:type="pct"/>
            <w:shd w:val="clear" w:color="auto" w:fill="auto"/>
          </w:tcPr>
          <w:p w:rsidR="003C2ABF" w:rsidRDefault="003C2ABF" w:rsidP="00947046">
            <w:pPr>
              <w:spacing w:before="40" w:after="120"/>
              <w:ind w:right="57"/>
              <w:rPr>
                <w:lang w:val="es-ES_tradnl"/>
              </w:rPr>
            </w:pPr>
            <w:r>
              <w:rPr>
                <w:lang w:val="es-ES_tradnl"/>
              </w:rPr>
              <w:t>No es parte</w:t>
            </w:r>
          </w:p>
        </w:tc>
        <w:tc>
          <w:tcPr>
            <w:tcW w:w="913" w:type="pct"/>
            <w:shd w:val="clear" w:color="auto" w:fill="auto"/>
          </w:tcPr>
          <w:p w:rsidR="003C2ABF" w:rsidRDefault="003C2ABF" w:rsidP="00947046">
            <w:pPr>
              <w:spacing w:before="40" w:after="120"/>
              <w:ind w:right="57"/>
              <w:rPr>
                <w:lang w:val="es-ES_tradnl"/>
              </w:rPr>
            </w:pPr>
          </w:p>
        </w:tc>
        <w:tc>
          <w:tcPr>
            <w:tcW w:w="913" w:type="pct"/>
            <w:shd w:val="clear" w:color="auto" w:fill="auto"/>
          </w:tcPr>
          <w:p w:rsidR="003C2ABF" w:rsidRDefault="003C2ABF" w:rsidP="00947046">
            <w:pPr>
              <w:spacing w:before="40" w:after="120"/>
              <w:ind w:right="57"/>
              <w:rPr>
                <w:lang w:val="es-ES_tradnl"/>
              </w:rPr>
            </w:pPr>
          </w:p>
        </w:tc>
      </w:tr>
      <w:tr w:rsidR="003C2ABF" w:rsidTr="00947046">
        <w:tblPrEx>
          <w:tblCellMar>
            <w:top w:w="0" w:type="dxa"/>
            <w:bottom w:w="0" w:type="dxa"/>
          </w:tblCellMar>
        </w:tblPrEx>
        <w:trPr>
          <w:cantSplit/>
          <w:trHeight w:val="240"/>
          <w:jc w:val="center"/>
        </w:trPr>
        <w:tc>
          <w:tcPr>
            <w:tcW w:w="2262" w:type="pct"/>
            <w:shd w:val="clear" w:color="auto" w:fill="auto"/>
          </w:tcPr>
          <w:p w:rsidR="003C2ABF" w:rsidRDefault="003C2ABF" w:rsidP="00947046">
            <w:pPr>
              <w:spacing w:before="40" w:after="120"/>
              <w:ind w:right="113"/>
              <w:rPr>
                <w:lang w:val="es-ES_tradnl"/>
              </w:rPr>
            </w:pPr>
            <w:r>
              <w:rPr>
                <w:lang w:val="es-ES_tradnl"/>
              </w:rPr>
              <w:t>Convención para reducir los casos de apatridia de 1961</w:t>
            </w:r>
          </w:p>
        </w:tc>
        <w:tc>
          <w:tcPr>
            <w:tcW w:w="912" w:type="pct"/>
            <w:shd w:val="clear" w:color="auto" w:fill="auto"/>
          </w:tcPr>
          <w:p w:rsidR="003C2ABF" w:rsidRDefault="003C2ABF" w:rsidP="00947046">
            <w:pPr>
              <w:spacing w:before="40" w:after="120"/>
              <w:ind w:right="57"/>
              <w:rPr>
                <w:lang w:val="es-ES_tradnl"/>
              </w:rPr>
            </w:pPr>
          </w:p>
        </w:tc>
        <w:tc>
          <w:tcPr>
            <w:tcW w:w="913" w:type="pct"/>
            <w:shd w:val="clear" w:color="auto" w:fill="auto"/>
          </w:tcPr>
          <w:p w:rsidR="003C2ABF" w:rsidRDefault="003C2ABF" w:rsidP="00947046">
            <w:pPr>
              <w:spacing w:before="40" w:after="120"/>
              <w:ind w:right="57"/>
              <w:rPr>
                <w:lang w:val="es-ES_tradnl"/>
              </w:rPr>
            </w:pPr>
          </w:p>
        </w:tc>
        <w:tc>
          <w:tcPr>
            <w:tcW w:w="913" w:type="pct"/>
            <w:shd w:val="clear" w:color="auto" w:fill="auto"/>
          </w:tcPr>
          <w:p w:rsidR="003C2ABF" w:rsidRDefault="003C2ABF" w:rsidP="00947046">
            <w:pPr>
              <w:spacing w:before="40" w:after="120"/>
              <w:ind w:right="57"/>
              <w:rPr>
                <w:lang w:val="es-ES_tradnl"/>
              </w:rPr>
            </w:pPr>
            <w:r>
              <w:rPr>
                <w:lang w:val="es-ES_tradnl"/>
              </w:rPr>
              <w:t>20 de septiembre de 2006</w:t>
            </w:r>
            <w:r>
              <w:rPr>
                <w:lang w:val="es-ES_tradnl"/>
              </w:rPr>
              <w:br/>
              <w:t>19 de diciembre de 2006</w:t>
            </w:r>
            <w:r>
              <w:rPr>
                <w:lang w:val="es-ES_tradnl"/>
              </w:rPr>
              <w:br/>
              <w:t>(entrada en vigor)</w:t>
            </w:r>
          </w:p>
        </w:tc>
      </w:tr>
      <w:tr w:rsidR="003C2ABF" w:rsidTr="00947046">
        <w:tblPrEx>
          <w:tblCellMar>
            <w:top w:w="0" w:type="dxa"/>
            <w:bottom w:w="0" w:type="dxa"/>
          </w:tblCellMar>
        </w:tblPrEx>
        <w:trPr>
          <w:cantSplit/>
          <w:trHeight w:val="240"/>
          <w:jc w:val="center"/>
        </w:trPr>
        <w:tc>
          <w:tcPr>
            <w:tcW w:w="2262" w:type="pct"/>
            <w:shd w:val="clear" w:color="auto" w:fill="auto"/>
          </w:tcPr>
          <w:p w:rsidR="003C2ABF" w:rsidRDefault="003C2ABF" w:rsidP="00947046">
            <w:pPr>
              <w:spacing w:before="40" w:after="120"/>
              <w:ind w:right="113"/>
              <w:rPr>
                <w:lang w:val="es-ES_tradnl"/>
              </w:rPr>
            </w:pPr>
            <w:r>
              <w:rPr>
                <w:lang w:val="es-ES_tradnl"/>
              </w:rPr>
              <w:t>Estatuto de Roma de la Corte Penal Internacional de 1998</w:t>
            </w:r>
          </w:p>
        </w:tc>
        <w:tc>
          <w:tcPr>
            <w:tcW w:w="912" w:type="pct"/>
            <w:shd w:val="clear" w:color="auto" w:fill="auto"/>
          </w:tcPr>
          <w:p w:rsidR="003C2ABF" w:rsidRDefault="003C2ABF" w:rsidP="00947046">
            <w:pPr>
              <w:spacing w:before="40" w:after="120"/>
              <w:ind w:right="57"/>
              <w:rPr>
                <w:lang w:val="es-ES_tradnl"/>
              </w:rPr>
            </w:pPr>
            <w:r>
              <w:rPr>
                <w:lang w:val="es-ES_tradnl"/>
              </w:rPr>
              <w:t>7 de octubre de 1998</w:t>
            </w:r>
          </w:p>
        </w:tc>
        <w:tc>
          <w:tcPr>
            <w:tcW w:w="913" w:type="pct"/>
            <w:shd w:val="clear" w:color="auto" w:fill="auto"/>
          </w:tcPr>
          <w:p w:rsidR="003C2ABF" w:rsidRDefault="003C2ABF" w:rsidP="00947046">
            <w:pPr>
              <w:spacing w:before="40" w:after="120"/>
              <w:ind w:right="57"/>
              <w:rPr>
                <w:lang w:val="es-ES_tradnl"/>
              </w:rPr>
            </w:pPr>
            <w:r>
              <w:rPr>
                <w:lang w:val="es-ES_tradnl"/>
              </w:rPr>
              <w:t>7 de septiembre de 2000</w:t>
            </w:r>
            <w:r>
              <w:rPr>
                <w:lang w:val="es-ES_tradnl"/>
              </w:rPr>
              <w:br/>
              <w:t>1º de julio de 2002 (entrada en vigor)</w:t>
            </w:r>
          </w:p>
        </w:tc>
        <w:tc>
          <w:tcPr>
            <w:tcW w:w="913" w:type="pct"/>
            <w:shd w:val="clear" w:color="auto" w:fill="auto"/>
          </w:tcPr>
          <w:p w:rsidR="003C2ABF" w:rsidRDefault="003C2ABF" w:rsidP="00947046">
            <w:pPr>
              <w:spacing w:before="40" w:after="120"/>
              <w:ind w:right="57"/>
              <w:rPr>
                <w:lang w:val="es-ES_tradnl"/>
              </w:rPr>
            </w:pPr>
          </w:p>
        </w:tc>
      </w:tr>
      <w:tr w:rsidR="003C2ABF" w:rsidTr="00947046">
        <w:tblPrEx>
          <w:tblCellMar>
            <w:top w:w="0" w:type="dxa"/>
            <w:bottom w:w="0" w:type="dxa"/>
          </w:tblCellMar>
        </w:tblPrEx>
        <w:trPr>
          <w:cantSplit/>
          <w:trHeight w:val="240"/>
          <w:jc w:val="center"/>
        </w:trPr>
        <w:tc>
          <w:tcPr>
            <w:tcW w:w="2262" w:type="pct"/>
            <w:shd w:val="clear" w:color="auto" w:fill="auto"/>
          </w:tcPr>
          <w:p w:rsidR="003C2ABF" w:rsidRDefault="003C2ABF" w:rsidP="00947046">
            <w:pPr>
              <w:spacing w:before="40" w:after="120"/>
              <w:ind w:right="113"/>
              <w:rPr>
                <w:lang w:val="es-ES_tradnl"/>
              </w:rPr>
            </w:pPr>
            <w:r>
              <w:rPr>
                <w:lang w:val="es-ES_tradnl"/>
              </w:rPr>
              <w:t>Convención de las Naciones Unidas contra la Delincuencia Organizada Transnacional de 2000</w:t>
            </w:r>
          </w:p>
        </w:tc>
        <w:tc>
          <w:tcPr>
            <w:tcW w:w="912" w:type="pct"/>
            <w:shd w:val="clear" w:color="auto" w:fill="auto"/>
          </w:tcPr>
          <w:p w:rsidR="003C2ABF" w:rsidRDefault="003C2ABF" w:rsidP="00947046">
            <w:pPr>
              <w:spacing w:before="40" w:after="120"/>
              <w:ind w:right="57"/>
              <w:rPr>
                <w:lang w:val="es-ES_tradnl"/>
              </w:rPr>
            </w:pPr>
            <w:r>
              <w:rPr>
                <w:lang w:val="es-ES_tradnl"/>
              </w:rPr>
              <w:t>14 de diciembre de 2000</w:t>
            </w:r>
          </w:p>
        </w:tc>
        <w:tc>
          <w:tcPr>
            <w:tcW w:w="913" w:type="pct"/>
            <w:shd w:val="clear" w:color="auto" w:fill="auto"/>
          </w:tcPr>
          <w:p w:rsidR="003C2ABF" w:rsidRDefault="003C2ABF" w:rsidP="00947046">
            <w:pPr>
              <w:spacing w:before="40" w:after="120"/>
              <w:ind w:right="57"/>
              <w:rPr>
                <w:lang w:val="es-ES_tradnl"/>
              </w:rPr>
            </w:pPr>
            <w:r>
              <w:rPr>
                <w:lang w:val="es-ES_tradnl"/>
              </w:rPr>
              <w:t>19 de julio de 2002</w:t>
            </w:r>
            <w:r>
              <w:rPr>
                <w:lang w:val="es-ES_tradnl"/>
              </w:rPr>
              <w:br/>
              <w:t xml:space="preserve">29 de septiembre </w:t>
            </w:r>
            <w:r>
              <w:rPr>
                <w:lang w:val="es-ES_tradnl"/>
              </w:rPr>
              <w:br/>
              <w:t>de 2003</w:t>
            </w:r>
            <w:r>
              <w:rPr>
                <w:lang w:val="es-ES_tradnl"/>
              </w:rPr>
              <w:br/>
              <w:t>(entrada en vigor)</w:t>
            </w:r>
          </w:p>
        </w:tc>
        <w:tc>
          <w:tcPr>
            <w:tcW w:w="913" w:type="pct"/>
            <w:shd w:val="clear" w:color="auto" w:fill="auto"/>
          </w:tcPr>
          <w:p w:rsidR="003C2ABF" w:rsidRDefault="003C2ABF" w:rsidP="00947046">
            <w:pPr>
              <w:spacing w:before="40" w:after="120"/>
              <w:ind w:right="57"/>
              <w:rPr>
                <w:lang w:val="es-ES_tradnl"/>
              </w:rPr>
            </w:pPr>
          </w:p>
        </w:tc>
      </w:tr>
      <w:tr w:rsidR="003C2ABF" w:rsidTr="00947046">
        <w:tblPrEx>
          <w:tblCellMar>
            <w:top w:w="0" w:type="dxa"/>
            <w:bottom w:w="0" w:type="dxa"/>
          </w:tblCellMar>
        </w:tblPrEx>
        <w:trPr>
          <w:cantSplit/>
          <w:trHeight w:val="240"/>
          <w:jc w:val="center"/>
        </w:trPr>
        <w:tc>
          <w:tcPr>
            <w:tcW w:w="2262" w:type="pct"/>
            <w:shd w:val="clear" w:color="auto" w:fill="auto"/>
          </w:tcPr>
          <w:p w:rsidR="003C2ABF" w:rsidRDefault="003C2ABF" w:rsidP="00947046">
            <w:pPr>
              <w:spacing w:before="40" w:after="120"/>
              <w:ind w:right="113"/>
              <w:rPr>
                <w:lang w:val="es-ES_tradnl"/>
              </w:rPr>
            </w:pPr>
            <w:r>
              <w:rPr>
                <w:lang w:val="es-ES_tradnl"/>
              </w:rPr>
              <w:t>Protocolo para prevenir, reprimir y sancionar la trata de personas, especialmente de mujeres y niños, que complementa la Convención de las Naciones Unidas contra la Delincuencia Organizada Transnacional</w:t>
            </w:r>
          </w:p>
        </w:tc>
        <w:tc>
          <w:tcPr>
            <w:tcW w:w="912" w:type="pct"/>
            <w:shd w:val="clear" w:color="auto" w:fill="auto"/>
          </w:tcPr>
          <w:p w:rsidR="003C2ABF" w:rsidRDefault="003C2ABF" w:rsidP="00947046">
            <w:pPr>
              <w:spacing w:before="40" w:after="120"/>
              <w:ind w:right="57"/>
              <w:rPr>
                <w:lang w:val="es-ES_tradnl"/>
              </w:rPr>
            </w:pPr>
            <w:r>
              <w:rPr>
                <w:lang w:val="es-ES_tradnl"/>
              </w:rPr>
              <w:t>14 de diciembre de 2000</w:t>
            </w:r>
          </w:p>
        </w:tc>
        <w:tc>
          <w:tcPr>
            <w:tcW w:w="913" w:type="pct"/>
            <w:shd w:val="clear" w:color="auto" w:fill="auto"/>
          </w:tcPr>
          <w:p w:rsidR="003C2ABF" w:rsidRDefault="003C2ABF" w:rsidP="00947046">
            <w:pPr>
              <w:spacing w:before="40" w:after="120"/>
              <w:ind w:right="57"/>
              <w:rPr>
                <w:lang w:val="es-ES_tradnl"/>
              </w:rPr>
            </w:pPr>
            <w:r>
              <w:rPr>
                <w:lang w:val="es-ES_tradnl"/>
              </w:rPr>
              <w:t>19 de julio de 2002</w:t>
            </w:r>
            <w:r>
              <w:rPr>
                <w:lang w:val="es-ES_tradnl"/>
              </w:rPr>
              <w:br/>
              <w:t xml:space="preserve">25 de diciembre </w:t>
            </w:r>
            <w:r>
              <w:rPr>
                <w:lang w:val="es-ES_tradnl"/>
              </w:rPr>
              <w:br/>
              <w:t>de 2003</w:t>
            </w:r>
            <w:r>
              <w:rPr>
                <w:lang w:val="es-ES_tradnl"/>
              </w:rPr>
              <w:br/>
              <w:t>(entrada en vigor)</w:t>
            </w:r>
          </w:p>
        </w:tc>
        <w:tc>
          <w:tcPr>
            <w:tcW w:w="913" w:type="pct"/>
            <w:shd w:val="clear" w:color="auto" w:fill="auto"/>
          </w:tcPr>
          <w:p w:rsidR="003C2ABF" w:rsidRDefault="003C2ABF" w:rsidP="00947046">
            <w:pPr>
              <w:spacing w:before="40" w:after="120"/>
              <w:ind w:right="57"/>
              <w:rPr>
                <w:lang w:val="es-ES_tradnl"/>
              </w:rPr>
            </w:pPr>
          </w:p>
        </w:tc>
      </w:tr>
      <w:tr w:rsidR="003C2ABF" w:rsidTr="00947046">
        <w:tblPrEx>
          <w:tblCellMar>
            <w:top w:w="0" w:type="dxa"/>
            <w:bottom w:w="0" w:type="dxa"/>
          </w:tblCellMar>
        </w:tblPrEx>
        <w:trPr>
          <w:cantSplit/>
          <w:trHeight w:val="240"/>
          <w:jc w:val="center"/>
        </w:trPr>
        <w:tc>
          <w:tcPr>
            <w:tcW w:w="2262" w:type="pct"/>
            <w:shd w:val="clear" w:color="auto" w:fill="auto"/>
          </w:tcPr>
          <w:p w:rsidR="003C2ABF" w:rsidRDefault="003C2ABF" w:rsidP="00947046">
            <w:pPr>
              <w:spacing w:before="40" w:after="120"/>
              <w:ind w:right="113"/>
              <w:rPr>
                <w:lang w:val="es-ES_tradnl"/>
              </w:rPr>
            </w:pPr>
            <w:r>
              <w:rPr>
                <w:lang w:val="es-ES_tradnl"/>
              </w:rPr>
              <w:t>Protocolo contra el tráfico ilícito de migrantes por tierra, mar y aire, que complementa la Convención de las Naciones Unidas contra la Delincuencia Organizada Transnacional</w:t>
            </w:r>
          </w:p>
        </w:tc>
        <w:tc>
          <w:tcPr>
            <w:tcW w:w="912" w:type="pct"/>
            <w:shd w:val="clear" w:color="auto" w:fill="auto"/>
          </w:tcPr>
          <w:p w:rsidR="003C2ABF" w:rsidRDefault="003C2ABF" w:rsidP="00947046">
            <w:pPr>
              <w:spacing w:before="40" w:after="120"/>
              <w:ind w:right="57"/>
              <w:rPr>
                <w:lang w:val="es-ES_tradnl"/>
              </w:rPr>
            </w:pPr>
            <w:r>
              <w:rPr>
                <w:lang w:val="es-ES_tradnl"/>
              </w:rPr>
              <w:t>14 de diciembre de 2000</w:t>
            </w:r>
          </w:p>
        </w:tc>
        <w:tc>
          <w:tcPr>
            <w:tcW w:w="913" w:type="pct"/>
            <w:shd w:val="clear" w:color="auto" w:fill="auto"/>
          </w:tcPr>
          <w:p w:rsidR="003C2ABF" w:rsidRDefault="003C2ABF" w:rsidP="00947046">
            <w:pPr>
              <w:spacing w:before="40" w:after="120"/>
              <w:ind w:right="57"/>
              <w:rPr>
                <w:lang w:val="es-ES_tradnl"/>
              </w:rPr>
            </w:pPr>
            <w:r>
              <w:rPr>
                <w:lang w:val="es-ES_tradnl"/>
              </w:rPr>
              <w:t>19 de julio de 2002</w:t>
            </w:r>
            <w:r>
              <w:rPr>
                <w:lang w:val="es-ES_tradnl"/>
              </w:rPr>
              <w:br/>
              <w:t>28 de enero de 2004</w:t>
            </w:r>
            <w:r>
              <w:rPr>
                <w:lang w:val="es-ES_tradnl"/>
              </w:rPr>
              <w:br/>
              <w:t>(entrada en vigor)</w:t>
            </w:r>
          </w:p>
        </w:tc>
        <w:tc>
          <w:tcPr>
            <w:tcW w:w="913" w:type="pct"/>
            <w:shd w:val="clear" w:color="auto" w:fill="auto"/>
          </w:tcPr>
          <w:p w:rsidR="003C2ABF" w:rsidRDefault="003C2ABF" w:rsidP="00947046">
            <w:pPr>
              <w:spacing w:before="40" w:after="120"/>
              <w:ind w:right="57"/>
              <w:rPr>
                <w:lang w:val="es-ES_tradnl"/>
              </w:rPr>
            </w:pPr>
          </w:p>
        </w:tc>
      </w:tr>
      <w:tr w:rsidR="003C2ABF" w:rsidTr="00947046">
        <w:tblPrEx>
          <w:tblCellMar>
            <w:top w:w="0" w:type="dxa"/>
            <w:bottom w:w="0" w:type="dxa"/>
          </w:tblCellMar>
        </w:tblPrEx>
        <w:trPr>
          <w:cantSplit/>
          <w:trHeight w:val="240"/>
          <w:jc w:val="center"/>
        </w:trPr>
        <w:tc>
          <w:tcPr>
            <w:tcW w:w="2262" w:type="pct"/>
            <w:shd w:val="clear" w:color="auto" w:fill="auto"/>
          </w:tcPr>
          <w:p w:rsidR="003C2ABF" w:rsidRDefault="003C2ABF" w:rsidP="00947046">
            <w:pPr>
              <w:spacing w:before="40" w:after="120"/>
              <w:ind w:right="113"/>
              <w:rPr>
                <w:lang w:val="es-ES_tradnl"/>
              </w:rPr>
            </w:pPr>
            <w:r>
              <w:rPr>
                <w:lang w:val="es-ES_tradnl"/>
              </w:rPr>
              <w:t>Protocolo contra la fabricación y el tráfico ilícitos de armas de fuego, sus piezas y componentes y municiones, que complementa la Convención de las Naciones Unidas contra la Delincuencia Organizada Transnacional</w:t>
            </w:r>
          </w:p>
        </w:tc>
        <w:tc>
          <w:tcPr>
            <w:tcW w:w="912" w:type="pct"/>
            <w:shd w:val="clear" w:color="auto" w:fill="auto"/>
          </w:tcPr>
          <w:p w:rsidR="003C2ABF" w:rsidRDefault="003C2ABF" w:rsidP="00947046">
            <w:pPr>
              <w:spacing w:before="40" w:after="120"/>
              <w:ind w:right="57"/>
              <w:rPr>
                <w:lang w:val="es-ES_tradnl"/>
              </w:rPr>
            </w:pPr>
            <w:r>
              <w:rPr>
                <w:lang w:val="es-ES_tradnl"/>
              </w:rPr>
              <w:t>No es parte</w:t>
            </w:r>
          </w:p>
        </w:tc>
        <w:tc>
          <w:tcPr>
            <w:tcW w:w="913" w:type="pct"/>
            <w:shd w:val="clear" w:color="auto" w:fill="auto"/>
          </w:tcPr>
          <w:p w:rsidR="003C2ABF" w:rsidRDefault="003C2ABF" w:rsidP="00947046">
            <w:pPr>
              <w:spacing w:before="40" w:after="120"/>
              <w:ind w:right="57"/>
              <w:rPr>
                <w:lang w:val="es-ES_tradnl"/>
              </w:rPr>
            </w:pPr>
          </w:p>
        </w:tc>
        <w:tc>
          <w:tcPr>
            <w:tcW w:w="913" w:type="pct"/>
            <w:shd w:val="clear" w:color="auto" w:fill="auto"/>
          </w:tcPr>
          <w:p w:rsidR="003C2ABF" w:rsidRDefault="003C2ABF" w:rsidP="00947046">
            <w:pPr>
              <w:spacing w:before="40" w:after="120"/>
              <w:ind w:right="57"/>
              <w:rPr>
                <w:lang w:val="es-ES_tradnl"/>
              </w:rPr>
            </w:pPr>
          </w:p>
        </w:tc>
      </w:tr>
      <w:tr w:rsidR="003C2ABF" w:rsidTr="00947046">
        <w:tblPrEx>
          <w:tblCellMar>
            <w:top w:w="0" w:type="dxa"/>
            <w:bottom w:w="0" w:type="dxa"/>
          </w:tblCellMar>
        </w:tblPrEx>
        <w:trPr>
          <w:cantSplit/>
          <w:trHeight w:val="240"/>
          <w:jc w:val="center"/>
        </w:trPr>
        <w:tc>
          <w:tcPr>
            <w:tcW w:w="2262" w:type="pct"/>
            <w:tcBorders>
              <w:bottom w:val="single" w:sz="12" w:space="0" w:color="auto"/>
            </w:tcBorders>
            <w:shd w:val="clear" w:color="auto" w:fill="auto"/>
          </w:tcPr>
          <w:p w:rsidR="003C2ABF" w:rsidRDefault="003C2ABF" w:rsidP="00947046">
            <w:pPr>
              <w:spacing w:before="40" w:after="120"/>
              <w:ind w:right="113"/>
              <w:rPr>
                <w:lang w:val="es-ES_tradnl"/>
              </w:rPr>
            </w:pPr>
            <w:r>
              <w:rPr>
                <w:lang w:val="es-ES_tradnl"/>
              </w:rPr>
              <w:t>Convención sobre el consentimiento para el matrimonio, la edad mínima para contraer matrimonio y el registro de los matrimonios</w:t>
            </w:r>
          </w:p>
        </w:tc>
        <w:tc>
          <w:tcPr>
            <w:tcW w:w="912" w:type="pct"/>
            <w:tcBorders>
              <w:bottom w:val="single" w:sz="12" w:space="0" w:color="auto"/>
            </w:tcBorders>
            <w:shd w:val="clear" w:color="auto" w:fill="auto"/>
          </w:tcPr>
          <w:p w:rsidR="003C2ABF" w:rsidRDefault="003C2ABF" w:rsidP="00947046">
            <w:pPr>
              <w:spacing w:before="40" w:after="120"/>
              <w:ind w:right="57"/>
              <w:rPr>
                <w:lang w:val="es-ES_tradnl"/>
              </w:rPr>
            </w:pPr>
            <w:r>
              <w:rPr>
                <w:lang w:val="es-ES_tradnl"/>
              </w:rPr>
              <w:t>23 de diciembre de 1963</w:t>
            </w:r>
          </w:p>
        </w:tc>
        <w:tc>
          <w:tcPr>
            <w:tcW w:w="913" w:type="pct"/>
            <w:tcBorders>
              <w:bottom w:val="single" w:sz="12" w:space="0" w:color="auto"/>
            </w:tcBorders>
            <w:shd w:val="clear" w:color="auto" w:fill="auto"/>
          </w:tcPr>
          <w:p w:rsidR="003C2ABF" w:rsidRDefault="003C2ABF" w:rsidP="00947046">
            <w:pPr>
              <w:spacing w:before="40" w:after="120"/>
              <w:ind w:right="57"/>
              <w:rPr>
                <w:lang w:val="es-ES_tradnl"/>
              </w:rPr>
            </w:pPr>
            <w:r>
              <w:rPr>
                <w:lang w:val="es-ES_tradnl"/>
              </w:rPr>
              <w:t>12 de junio de 1964</w:t>
            </w:r>
            <w:r>
              <w:rPr>
                <w:lang w:val="es-ES_tradnl"/>
              </w:rPr>
              <w:br/>
              <w:t>9 de diciembre de 1964</w:t>
            </w:r>
            <w:r>
              <w:rPr>
                <w:lang w:val="es-ES_tradnl"/>
              </w:rPr>
              <w:br/>
              <w:t>(entrada en vigor)</w:t>
            </w:r>
          </w:p>
        </w:tc>
        <w:tc>
          <w:tcPr>
            <w:tcW w:w="913" w:type="pct"/>
            <w:tcBorders>
              <w:bottom w:val="single" w:sz="12" w:space="0" w:color="auto"/>
            </w:tcBorders>
            <w:shd w:val="clear" w:color="auto" w:fill="auto"/>
          </w:tcPr>
          <w:p w:rsidR="003C2ABF" w:rsidRDefault="003C2ABF" w:rsidP="00947046">
            <w:pPr>
              <w:spacing w:before="40" w:after="120"/>
              <w:ind w:right="57"/>
              <w:rPr>
                <w:lang w:val="es-ES_tradnl"/>
              </w:rPr>
            </w:pPr>
          </w:p>
        </w:tc>
      </w:tr>
    </w:tbl>
    <w:p w:rsidR="003C2ABF" w:rsidRDefault="003C2ABF" w:rsidP="003C2ABF">
      <w:pPr>
        <w:pStyle w:val="H1G"/>
        <w:rPr>
          <w:lang w:val="es-ES_tradnl"/>
        </w:rPr>
      </w:pPr>
      <w:r>
        <w:rPr>
          <w:lang w:val="es-ES_tradnl"/>
        </w:rPr>
        <w:tab/>
      </w:r>
      <w:r>
        <w:rPr>
          <w:lang w:val="es-ES_tradnl"/>
        </w:rPr>
        <w:tab/>
        <w:t>Convenios pertinentes de la Organización Internacional del Trabajo</w:t>
      </w:r>
    </w:p>
    <w:tbl>
      <w:tblPr>
        <w:tblW w:w="12359" w:type="dxa"/>
        <w:jc w:val="center"/>
        <w:tblBorders>
          <w:top w:val="single" w:sz="4" w:space="0" w:color="auto"/>
        </w:tblBorders>
        <w:tblCellMar>
          <w:left w:w="0" w:type="dxa"/>
          <w:right w:w="113" w:type="dxa"/>
        </w:tblCellMar>
        <w:tblLook w:val="0000" w:firstRow="0" w:lastRow="0" w:firstColumn="0" w:lastColumn="0" w:noHBand="0" w:noVBand="0"/>
      </w:tblPr>
      <w:tblGrid>
        <w:gridCol w:w="7645"/>
        <w:gridCol w:w="1300"/>
        <w:gridCol w:w="2101"/>
        <w:gridCol w:w="1313"/>
      </w:tblGrid>
      <w:tr w:rsidR="003C2ABF" w:rsidTr="00947046">
        <w:tblPrEx>
          <w:tblCellMar>
            <w:top w:w="0" w:type="dxa"/>
            <w:bottom w:w="0" w:type="dxa"/>
          </w:tblCellMar>
        </w:tblPrEx>
        <w:trPr>
          <w:cantSplit/>
          <w:trHeight w:val="240"/>
          <w:tblHeader/>
          <w:jc w:val="center"/>
        </w:trPr>
        <w:tc>
          <w:tcPr>
            <w:tcW w:w="3093" w:type="pct"/>
            <w:tcBorders>
              <w:top w:val="single" w:sz="4" w:space="0" w:color="auto"/>
              <w:bottom w:val="single" w:sz="12" w:space="0" w:color="auto"/>
            </w:tcBorders>
            <w:shd w:val="clear" w:color="auto" w:fill="auto"/>
            <w:vAlign w:val="bottom"/>
          </w:tcPr>
          <w:p w:rsidR="003C2ABF" w:rsidRDefault="003C2ABF" w:rsidP="00947046">
            <w:pPr>
              <w:spacing w:before="80" w:after="80" w:line="200" w:lineRule="exact"/>
              <w:ind w:right="113"/>
              <w:rPr>
                <w:i/>
                <w:sz w:val="16"/>
                <w:lang w:val="es-ES_tradnl"/>
              </w:rPr>
            </w:pPr>
            <w:r>
              <w:rPr>
                <w:i/>
                <w:sz w:val="16"/>
                <w:lang w:val="es-ES_tradnl"/>
              </w:rPr>
              <w:t>Convenios de la Organización Internacional del Trabajo</w:t>
            </w:r>
          </w:p>
        </w:tc>
        <w:tc>
          <w:tcPr>
            <w:tcW w:w="526" w:type="pct"/>
            <w:tcBorders>
              <w:top w:val="single" w:sz="4" w:space="0" w:color="auto"/>
              <w:bottom w:val="single" w:sz="12" w:space="0" w:color="auto"/>
            </w:tcBorders>
            <w:shd w:val="clear" w:color="auto" w:fill="auto"/>
            <w:vAlign w:val="bottom"/>
          </w:tcPr>
          <w:p w:rsidR="003C2ABF" w:rsidRDefault="003C2ABF" w:rsidP="00947046">
            <w:pPr>
              <w:spacing w:before="80" w:after="80" w:line="200" w:lineRule="exact"/>
              <w:ind w:right="113"/>
              <w:rPr>
                <w:i/>
                <w:sz w:val="16"/>
                <w:lang w:val="es-ES_tradnl"/>
              </w:rPr>
            </w:pPr>
            <w:r>
              <w:rPr>
                <w:i/>
                <w:sz w:val="16"/>
                <w:lang w:val="es-ES_tradnl"/>
              </w:rPr>
              <w:t>Firma</w:t>
            </w:r>
          </w:p>
        </w:tc>
        <w:tc>
          <w:tcPr>
            <w:tcW w:w="850" w:type="pct"/>
            <w:tcBorders>
              <w:top w:val="single" w:sz="4" w:space="0" w:color="auto"/>
              <w:bottom w:val="single" w:sz="12" w:space="0" w:color="auto"/>
            </w:tcBorders>
            <w:shd w:val="clear" w:color="auto" w:fill="auto"/>
            <w:vAlign w:val="bottom"/>
          </w:tcPr>
          <w:p w:rsidR="003C2ABF" w:rsidRDefault="003C2ABF" w:rsidP="00947046">
            <w:pPr>
              <w:spacing w:before="80" w:after="80" w:line="200" w:lineRule="exact"/>
              <w:ind w:right="113"/>
              <w:rPr>
                <w:i/>
                <w:sz w:val="16"/>
                <w:lang w:val="es-ES_tradnl"/>
              </w:rPr>
            </w:pPr>
            <w:r>
              <w:rPr>
                <w:i/>
                <w:sz w:val="16"/>
                <w:lang w:val="es-ES_tradnl"/>
              </w:rPr>
              <w:t>Ratificación</w:t>
            </w:r>
          </w:p>
        </w:tc>
        <w:tc>
          <w:tcPr>
            <w:tcW w:w="531" w:type="pct"/>
            <w:tcBorders>
              <w:top w:val="single" w:sz="4" w:space="0" w:color="auto"/>
              <w:bottom w:val="single" w:sz="12" w:space="0" w:color="auto"/>
            </w:tcBorders>
            <w:shd w:val="clear" w:color="auto" w:fill="auto"/>
            <w:vAlign w:val="bottom"/>
          </w:tcPr>
          <w:p w:rsidR="003C2ABF" w:rsidRDefault="003C2ABF" w:rsidP="00947046">
            <w:pPr>
              <w:spacing w:before="80" w:after="80" w:line="200" w:lineRule="exact"/>
              <w:ind w:right="113"/>
              <w:rPr>
                <w:i/>
                <w:sz w:val="16"/>
                <w:lang w:val="es-ES_tradnl"/>
              </w:rPr>
            </w:pPr>
            <w:r>
              <w:rPr>
                <w:i/>
                <w:sz w:val="16"/>
                <w:lang w:val="es-ES_tradnl"/>
              </w:rPr>
              <w:t>Adhesión</w:t>
            </w:r>
          </w:p>
        </w:tc>
      </w:tr>
      <w:tr w:rsidR="003C2ABF" w:rsidTr="00947046">
        <w:tblPrEx>
          <w:tblCellMar>
            <w:top w:w="0" w:type="dxa"/>
            <w:bottom w:w="0" w:type="dxa"/>
          </w:tblCellMar>
        </w:tblPrEx>
        <w:trPr>
          <w:cantSplit/>
          <w:trHeight w:hRule="exact" w:val="113"/>
          <w:tblHeader/>
          <w:jc w:val="center"/>
        </w:trPr>
        <w:tc>
          <w:tcPr>
            <w:tcW w:w="3093" w:type="pct"/>
            <w:tcBorders>
              <w:top w:val="single" w:sz="12" w:space="0" w:color="auto"/>
              <w:bottom w:val="nil"/>
            </w:tcBorders>
            <w:shd w:val="clear" w:color="auto" w:fill="auto"/>
          </w:tcPr>
          <w:p w:rsidR="003C2ABF" w:rsidRDefault="003C2ABF" w:rsidP="00947046">
            <w:pPr>
              <w:spacing w:before="40" w:after="120"/>
              <w:ind w:right="113"/>
              <w:rPr>
                <w:lang w:val="es-ES_tradnl"/>
              </w:rPr>
            </w:pPr>
          </w:p>
        </w:tc>
        <w:tc>
          <w:tcPr>
            <w:tcW w:w="526" w:type="pct"/>
            <w:tcBorders>
              <w:top w:val="single" w:sz="12" w:space="0" w:color="auto"/>
              <w:bottom w:val="nil"/>
            </w:tcBorders>
            <w:shd w:val="clear" w:color="auto" w:fill="auto"/>
          </w:tcPr>
          <w:p w:rsidR="003C2ABF" w:rsidRDefault="003C2ABF" w:rsidP="00947046">
            <w:pPr>
              <w:spacing w:before="40" w:after="120"/>
              <w:ind w:right="113"/>
              <w:rPr>
                <w:lang w:val="es-ES_tradnl"/>
              </w:rPr>
            </w:pPr>
          </w:p>
        </w:tc>
        <w:tc>
          <w:tcPr>
            <w:tcW w:w="850" w:type="pct"/>
            <w:tcBorders>
              <w:top w:val="single" w:sz="12" w:space="0" w:color="auto"/>
              <w:bottom w:val="nil"/>
            </w:tcBorders>
            <w:shd w:val="clear" w:color="auto" w:fill="auto"/>
          </w:tcPr>
          <w:p w:rsidR="003C2ABF" w:rsidRDefault="003C2ABF" w:rsidP="00947046">
            <w:pPr>
              <w:spacing w:before="40" w:after="120"/>
              <w:ind w:right="113"/>
              <w:rPr>
                <w:lang w:val="es-ES_tradnl"/>
              </w:rPr>
            </w:pPr>
          </w:p>
        </w:tc>
        <w:tc>
          <w:tcPr>
            <w:tcW w:w="531" w:type="pct"/>
            <w:tcBorders>
              <w:top w:val="single" w:sz="12" w:space="0" w:color="auto"/>
              <w:bottom w:val="nil"/>
            </w:tcBorders>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tcBorders>
              <w:top w:val="nil"/>
            </w:tcBorders>
            <w:shd w:val="clear" w:color="auto" w:fill="auto"/>
          </w:tcPr>
          <w:p w:rsidR="003C2ABF" w:rsidRDefault="003C2ABF" w:rsidP="00947046">
            <w:pPr>
              <w:spacing w:before="40" w:after="120"/>
              <w:ind w:right="113"/>
              <w:rPr>
                <w:lang w:val="es-ES_tradnl"/>
              </w:rPr>
            </w:pPr>
            <w:r>
              <w:rPr>
                <w:lang w:val="es-ES_tradnl"/>
              </w:rPr>
              <w:t>Convenio Nº 14 sobre el descanso semanal (industria), 1921</w:t>
            </w:r>
          </w:p>
        </w:tc>
        <w:tc>
          <w:tcPr>
            <w:tcW w:w="526" w:type="pct"/>
            <w:tcBorders>
              <w:top w:val="nil"/>
            </w:tcBorders>
            <w:shd w:val="clear" w:color="auto" w:fill="auto"/>
          </w:tcPr>
          <w:p w:rsidR="003C2ABF" w:rsidRDefault="003C2ABF" w:rsidP="00947046">
            <w:pPr>
              <w:spacing w:before="40" w:after="120"/>
              <w:ind w:right="113"/>
              <w:rPr>
                <w:lang w:val="es-ES_tradnl"/>
              </w:rPr>
            </w:pPr>
          </w:p>
        </w:tc>
        <w:tc>
          <w:tcPr>
            <w:tcW w:w="850" w:type="pct"/>
            <w:tcBorders>
              <w:top w:val="nil"/>
            </w:tcBorders>
            <w:shd w:val="clear" w:color="auto" w:fill="auto"/>
          </w:tcPr>
          <w:p w:rsidR="003C2ABF" w:rsidRDefault="003C2ABF" w:rsidP="00947046">
            <w:pPr>
              <w:spacing w:before="40" w:after="120"/>
              <w:ind w:right="113"/>
              <w:rPr>
                <w:lang w:val="es-ES_tradnl"/>
              </w:rPr>
            </w:pPr>
            <w:r>
              <w:rPr>
                <w:lang w:val="es-ES_tradnl"/>
              </w:rPr>
              <w:t>29 de marzo de 1938</w:t>
            </w:r>
            <w:r>
              <w:rPr>
                <w:lang w:val="es-ES_tradnl"/>
              </w:rPr>
              <w:br/>
              <w:t xml:space="preserve">29 de marzo de 1938 </w:t>
            </w:r>
            <w:r>
              <w:rPr>
                <w:lang w:val="es-ES_tradnl"/>
              </w:rPr>
              <w:br/>
              <w:t>(entrada en vigor)</w:t>
            </w:r>
          </w:p>
        </w:tc>
        <w:tc>
          <w:tcPr>
            <w:tcW w:w="531" w:type="pct"/>
            <w:tcBorders>
              <w:top w:val="nil"/>
            </w:tcBorders>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Convenio Nº 29 sobre el trabajo forzoso, 1930</w:t>
            </w:r>
          </w:p>
        </w:tc>
        <w:tc>
          <w:tcPr>
            <w:tcW w:w="526" w:type="pct"/>
            <w:shd w:val="clear" w:color="auto" w:fill="auto"/>
          </w:tcPr>
          <w:p w:rsidR="003C2ABF" w:rsidRDefault="003C2ABF" w:rsidP="00947046">
            <w:pPr>
              <w:spacing w:before="40" w:after="120"/>
              <w:ind w:right="113"/>
              <w:rPr>
                <w:lang w:val="es-ES_tradnl"/>
              </w:rPr>
            </w:pPr>
          </w:p>
        </w:tc>
        <w:tc>
          <w:tcPr>
            <w:tcW w:w="850" w:type="pct"/>
            <w:shd w:val="clear" w:color="auto" w:fill="auto"/>
          </w:tcPr>
          <w:p w:rsidR="003C2ABF" w:rsidRDefault="003C2ABF" w:rsidP="00947046">
            <w:pPr>
              <w:spacing w:before="40" w:after="120"/>
              <w:ind w:right="113"/>
              <w:rPr>
                <w:lang w:val="es-ES_tradnl"/>
              </w:rPr>
            </w:pPr>
            <w:r>
              <w:rPr>
                <w:lang w:val="es-ES_tradnl"/>
              </w:rPr>
              <w:t>29 de marzo de 1938</w:t>
            </w:r>
            <w:r>
              <w:rPr>
                <w:lang w:val="es-ES_tradnl"/>
              </w:rPr>
              <w:br/>
              <w:t xml:space="preserve">29 de marzo de 1939 </w:t>
            </w:r>
            <w:r>
              <w:rPr>
                <w:lang w:val="es-ES_tradnl"/>
              </w:rPr>
              <w:br/>
              <w:t>(entrada en vigor)</w:t>
            </w: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Convenio Nº 81 sobre la inspección del trabajo, 1947</w:t>
            </w:r>
          </w:p>
        </w:tc>
        <w:tc>
          <w:tcPr>
            <w:tcW w:w="526" w:type="pct"/>
            <w:shd w:val="clear" w:color="auto" w:fill="auto"/>
          </w:tcPr>
          <w:p w:rsidR="003C2ABF" w:rsidRDefault="003C2ABF" w:rsidP="00947046">
            <w:pPr>
              <w:spacing w:before="40" w:after="120"/>
              <w:ind w:right="113"/>
              <w:rPr>
                <w:lang w:val="es-ES_tradnl"/>
              </w:rPr>
            </w:pPr>
          </w:p>
        </w:tc>
        <w:tc>
          <w:tcPr>
            <w:tcW w:w="850" w:type="pct"/>
            <w:shd w:val="clear" w:color="auto" w:fill="auto"/>
          </w:tcPr>
          <w:p w:rsidR="003C2ABF" w:rsidRDefault="003C2ABF" w:rsidP="00947046">
            <w:pPr>
              <w:spacing w:before="40" w:after="120"/>
              <w:ind w:right="113"/>
              <w:rPr>
                <w:lang w:val="es-ES_tradnl"/>
              </w:rPr>
            </w:pPr>
            <w:r>
              <w:rPr>
                <w:lang w:val="es-ES_tradnl"/>
              </w:rPr>
              <w:t xml:space="preserve">30 de noviembre </w:t>
            </w:r>
            <w:r>
              <w:rPr>
                <w:lang w:val="es-ES_tradnl"/>
              </w:rPr>
              <w:br/>
              <w:t>de 1959</w:t>
            </w:r>
            <w:r>
              <w:rPr>
                <w:lang w:val="es-ES_tradnl"/>
              </w:rPr>
              <w:br/>
              <w:t xml:space="preserve">30 de noviembre </w:t>
            </w:r>
            <w:r>
              <w:rPr>
                <w:lang w:val="es-ES_tradnl"/>
              </w:rPr>
              <w:br/>
              <w:t xml:space="preserve">de 1960 </w:t>
            </w:r>
            <w:r>
              <w:rPr>
                <w:lang w:val="es-ES_tradnl"/>
              </w:rPr>
              <w:br/>
              <w:t>(entrada en vigor)</w:t>
            </w: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Convenio Nº 87 sobre la libertad sindical y la protección del derecho de sindicación, 1948</w:t>
            </w:r>
          </w:p>
        </w:tc>
        <w:tc>
          <w:tcPr>
            <w:tcW w:w="526" w:type="pct"/>
            <w:shd w:val="clear" w:color="auto" w:fill="auto"/>
          </w:tcPr>
          <w:p w:rsidR="003C2ABF" w:rsidRDefault="003C2ABF" w:rsidP="00947046">
            <w:pPr>
              <w:spacing w:before="40" w:after="120"/>
              <w:ind w:right="113"/>
              <w:rPr>
                <w:lang w:val="es-ES_tradnl"/>
              </w:rPr>
            </w:pPr>
            <w:r>
              <w:rPr>
                <w:lang w:val="es-ES_tradnl"/>
              </w:rPr>
              <w:t>No es parte</w:t>
            </w:r>
          </w:p>
        </w:tc>
        <w:tc>
          <w:tcPr>
            <w:tcW w:w="850" w:type="pct"/>
            <w:shd w:val="clear" w:color="auto" w:fill="auto"/>
          </w:tcPr>
          <w:p w:rsidR="003C2ABF" w:rsidRDefault="003C2ABF" w:rsidP="00947046">
            <w:pPr>
              <w:spacing w:before="40" w:after="120"/>
              <w:ind w:right="113"/>
              <w:rPr>
                <w:lang w:val="es-ES_tradnl"/>
              </w:rPr>
            </w:pP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 xml:space="preserve">Convenio Nº 97 sobre los trabajadores migrantes (revisado), 1949 </w:t>
            </w:r>
          </w:p>
        </w:tc>
        <w:tc>
          <w:tcPr>
            <w:tcW w:w="526" w:type="pct"/>
            <w:shd w:val="clear" w:color="auto" w:fill="auto"/>
          </w:tcPr>
          <w:p w:rsidR="003C2ABF" w:rsidRDefault="003C2ABF" w:rsidP="00947046">
            <w:pPr>
              <w:spacing w:before="40" w:after="120"/>
              <w:ind w:right="113"/>
              <w:rPr>
                <w:lang w:val="es-ES_tradnl"/>
              </w:rPr>
            </w:pPr>
          </w:p>
        </w:tc>
        <w:tc>
          <w:tcPr>
            <w:tcW w:w="850" w:type="pct"/>
            <w:shd w:val="clear" w:color="auto" w:fill="auto"/>
          </w:tcPr>
          <w:p w:rsidR="003C2ABF" w:rsidRDefault="003C2ABF" w:rsidP="00947046">
            <w:pPr>
              <w:spacing w:before="40" w:after="120"/>
              <w:ind w:right="113"/>
              <w:rPr>
                <w:lang w:val="es-ES_tradnl"/>
              </w:rPr>
            </w:pPr>
            <w:r>
              <w:rPr>
                <w:lang w:val="es-ES_tradnl"/>
              </w:rPr>
              <w:t xml:space="preserve">10 de noviembre </w:t>
            </w:r>
            <w:r>
              <w:rPr>
                <w:lang w:val="es-ES_tradnl"/>
              </w:rPr>
              <w:br/>
              <w:t>de 1950</w:t>
            </w:r>
            <w:r>
              <w:rPr>
                <w:lang w:val="es-ES_tradnl"/>
              </w:rPr>
              <w:br/>
              <w:t xml:space="preserve">22 de enero de 1952 </w:t>
            </w:r>
            <w:r>
              <w:rPr>
                <w:lang w:val="es-ES_tradnl"/>
              </w:rPr>
              <w:br/>
              <w:t>(entrada en vigor)</w:t>
            </w: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Convenio Nº 98 sobre el derecho de sindicación y de negociación colectiva, 1949</w:t>
            </w:r>
          </w:p>
        </w:tc>
        <w:tc>
          <w:tcPr>
            <w:tcW w:w="526" w:type="pct"/>
            <w:shd w:val="clear" w:color="auto" w:fill="auto"/>
          </w:tcPr>
          <w:p w:rsidR="003C2ABF" w:rsidRDefault="003C2ABF" w:rsidP="00947046">
            <w:pPr>
              <w:spacing w:before="40" w:after="120"/>
              <w:ind w:right="113"/>
              <w:rPr>
                <w:lang w:val="es-ES_tradnl"/>
              </w:rPr>
            </w:pPr>
          </w:p>
        </w:tc>
        <w:tc>
          <w:tcPr>
            <w:tcW w:w="850" w:type="pct"/>
            <w:shd w:val="clear" w:color="auto" w:fill="auto"/>
          </w:tcPr>
          <w:p w:rsidR="003C2ABF" w:rsidRDefault="003C2ABF" w:rsidP="00947046">
            <w:pPr>
              <w:spacing w:before="40" w:after="120"/>
              <w:ind w:right="113"/>
              <w:rPr>
                <w:lang w:val="es-ES_tradnl"/>
              </w:rPr>
            </w:pPr>
            <w:r>
              <w:rPr>
                <w:lang w:val="es-ES_tradnl"/>
              </w:rPr>
              <w:t>9 de junio de 2003</w:t>
            </w:r>
            <w:r>
              <w:rPr>
                <w:lang w:val="es-ES_tradnl"/>
              </w:rPr>
              <w:br/>
              <w:t xml:space="preserve">9 de junio de 2004 </w:t>
            </w:r>
            <w:r>
              <w:rPr>
                <w:lang w:val="es-ES_tradnl"/>
              </w:rPr>
              <w:br/>
              <w:t>(entrada en vigor)</w:t>
            </w: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Convenio Nº 100 sobre igualdad de remuneración, 1951</w:t>
            </w:r>
          </w:p>
        </w:tc>
        <w:tc>
          <w:tcPr>
            <w:tcW w:w="526" w:type="pct"/>
            <w:shd w:val="clear" w:color="auto" w:fill="auto"/>
          </w:tcPr>
          <w:p w:rsidR="003C2ABF" w:rsidRDefault="003C2ABF" w:rsidP="00947046">
            <w:pPr>
              <w:spacing w:before="40" w:after="120"/>
              <w:ind w:right="113"/>
              <w:rPr>
                <w:lang w:val="es-ES_tradnl"/>
              </w:rPr>
            </w:pPr>
          </w:p>
        </w:tc>
        <w:tc>
          <w:tcPr>
            <w:tcW w:w="850" w:type="pct"/>
            <w:shd w:val="clear" w:color="auto" w:fill="auto"/>
          </w:tcPr>
          <w:p w:rsidR="003C2ABF" w:rsidRDefault="003C2ABF" w:rsidP="00947046">
            <w:pPr>
              <w:spacing w:before="40" w:after="120"/>
              <w:ind w:right="113"/>
              <w:rPr>
                <w:lang w:val="es-ES_tradnl"/>
              </w:rPr>
            </w:pPr>
            <w:r>
              <w:rPr>
                <w:lang w:val="es-ES_tradnl"/>
              </w:rPr>
              <w:t>3 de junio de 1983</w:t>
            </w:r>
            <w:r>
              <w:rPr>
                <w:lang w:val="es-ES_tradnl"/>
              </w:rPr>
              <w:br/>
              <w:t xml:space="preserve">3 de junio de 1984 </w:t>
            </w:r>
            <w:r>
              <w:rPr>
                <w:lang w:val="es-ES_tradnl"/>
              </w:rPr>
              <w:br/>
              <w:t>(entrada en vigor)</w:t>
            </w: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 xml:space="preserve">Convenio Nº 105 sobre la abolición del trabajo forzoso, 1957 </w:t>
            </w:r>
          </w:p>
        </w:tc>
        <w:tc>
          <w:tcPr>
            <w:tcW w:w="526" w:type="pct"/>
            <w:shd w:val="clear" w:color="auto" w:fill="auto"/>
          </w:tcPr>
          <w:p w:rsidR="003C2ABF" w:rsidRDefault="003C2ABF" w:rsidP="00947046">
            <w:pPr>
              <w:spacing w:before="40" w:after="120"/>
              <w:ind w:right="113"/>
              <w:rPr>
                <w:lang w:val="es-ES_tradnl"/>
              </w:rPr>
            </w:pPr>
          </w:p>
        </w:tc>
        <w:tc>
          <w:tcPr>
            <w:tcW w:w="850" w:type="pct"/>
            <w:shd w:val="clear" w:color="auto" w:fill="auto"/>
          </w:tcPr>
          <w:p w:rsidR="003C2ABF" w:rsidRDefault="003C2ABF" w:rsidP="00947046">
            <w:pPr>
              <w:spacing w:before="40" w:after="120"/>
              <w:ind w:right="113"/>
              <w:rPr>
                <w:lang w:val="es-ES_tradnl"/>
              </w:rPr>
            </w:pPr>
            <w:r>
              <w:rPr>
                <w:lang w:val="es-ES_tradnl"/>
              </w:rPr>
              <w:t>14 de junio de 1968</w:t>
            </w:r>
            <w:r>
              <w:rPr>
                <w:lang w:val="es-ES_tradnl"/>
              </w:rPr>
              <w:br/>
              <w:t xml:space="preserve">14 de junio de 1969 </w:t>
            </w:r>
            <w:r>
              <w:rPr>
                <w:lang w:val="es-ES_tradnl"/>
              </w:rPr>
              <w:br/>
              <w:t>(entrada en vigor)</w:t>
            </w: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 xml:space="preserve">Convenio Nº 106 sobre el descanso semanal (comercio y oficinas), 1957 </w:t>
            </w:r>
          </w:p>
        </w:tc>
        <w:tc>
          <w:tcPr>
            <w:tcW w:w="526" w:type="pct"/>
            <w:shd w:val="clear" w:color="auto" w:fill="auto"/>
          </w:tcPr>
          <w:p w:rsidR="003C2ABF" w:rsidRDefault="003C2ABF" w:rsidP="00947046">
            <w:pPr>
              <w:spacing w:before="40" w:after="120"/>
              <w:ind w:right="113"/>
              <w:rPr>
                <w:lang w:val="es-ES_tradnl"/>
              </w:rPr>
            </w:pPr>
            <w:r>
              <w:rPr>
                <w:lang w:val="es-ES_tradnl"/>
              </w:rPr>
              <w:t>No es parte</w:t>
            </w:r>
          </w:p>
        </w:tc>
        <w:tc>
          <w:tcPr>
            <w:tcW w:w="850" w:type="pct"/>
            <w:shd w:val="clear" w:color="auto" w:fill="auto"/>
          </w:tcPr>
          <w:p w:rsidR="003C2ABF" w:rsidRDefault="003C2ABF" w:rsidP="00947046">
            <w:pPr>
              <w:spacing w:before="40" w:after="120"/>
              <w:ind w:right="113"/>
              <w:rPr>
                <w:lang w:val="es-ES_tradnl"/>
              </w:rPr>
            </w:pP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 xml:space="preserve">Convenio Nº 111 sobre la discriminación (empleo y ocupación), 1958 </w:t>
            </w:r>
          </w:p>
        </w:tc>
        <w:tc>
          <w:tcPr>
            <w:tcW w:w="526" w:type="pct"/>
            <w:shd w:val="clear" w:color="auto" w:fill="auto"/>
          </w:tcPr>
          <w:p w:rsidR="003C2ABF" w:rsidRDefault="003C2ABF" w:rsidP="00947046">
            <w:pPr>
              <w:spacing w:before="40" w:after="120"/>
              <w:ind w:right="113"/>
              <w:rPr>
                <w:lang w:val="es-ES_tradnl"/>
              </w:rPr>
            </w:pPr>
          </w:p>
        </w:tc>
        <w:tc>
          <w:tcPr>
            <w:tcW w:w="850" w:type="pct"/>
            <w:shd w:val="clear" w:color="auto" w:fill="auto"/>
          </w:tcPr>
          <w:p w:rsidR="003C2ABF" w:rsidRDefault="003C2ABF" w:rsidP="00947046">
            <w:pPr>
              <w:spacing w:before="40" w:after="120"/>
              <w:ind w:right="113"/>
              <w:rPr>
                <w:lang w:val="es-ES_tradnl"/>
              </w:rPr>
            </w:pPr>
            <w:r>
              <w:rPr>
                <w:lang w:val="es-ES_tradnl"/>
              </w:rPr>
              <w:t>3 de junio de 1983</w:t>
            </w:r>
            <w:r>
              <w:rPr>
                <w:lang w:val="es-ES_tradnl"/>
              </w:rPr>
              <w:br/>
              <w:t xml:space="preserve">3 de junio de 1984 </w:t>
            </w:r>
            <w:r>
              <w:rPr>
                <w:lang w:val="es-ES_tradnl"/>
              </w:rPr>
              <w:br/>
              <w:t>(entrada en vigor)</w:t>
            </w: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 xml:space="preserve">Convenio Nº 122 sobre la política del empleo, 1964 </w:t>
            </w:r>
          </w:p>
        </w:tc>
        <w:tc>
          <w:tcPr>
            <w:tcW w:w="526" w:type="pct"/>
            <w:shd w:val="clear" w:color="auto" w:fill="auto"/>
          </w:tcPr>
          <w:p w:rsidR="003C2ABF" w:rsidRDefault="003C2ABF" w:rsidP="00947046">
            <w:pPr>
              <w:spacing w:before="40" w:after="120"/>
              <w:ind w:right="113"/>
              <w:rPr>
                <w:lang w:val="es-ES_tradnl"/>
              </w:rPr>
            </w:pPr>
          </w:p>
        </w:tc>
        <w:tc>
          <w:tcPr>
            <w:tcW w:w="850" w:type="pct"/>
            <w:shd w:val="clear" w:color="auto" w:fill="auto"/>
          </w:tcPr>
          <w:p w:rsidR="003C2ABF" w:rsidRDefault="003C2ABF" w:rsidP="00947046">
            <w:pPr>
              <w:spacing w:before="40" w:after="120"/>
              <w:ind w:right="113"/>
              <w:rPr>
                <w:lang w:val="es-ES_tradnl"/>
              </w:rPr>
            </w:pPr>
            <w:r>
              <w:rPr>
                <w:lang w:val="es-ES_tradnl"/>
              </w:rPr>
              <w:t>15 de julio de 1965</w:t>
            </w:r>
            <w:r>
              <w:rPr>
                <w:lang w:val="es-ES_tradnl"/>
              </w:rPr>
              <w:br/>
              <w:t xml:space="preserve">15 de julio de 1966 </w:t>
            </w:r>
            <w:r>
              <w:rPr>
                <w:lang w:val="es-ES_tradnl"/>
              </w:rPr>
              <w:br/>
              <w:t>(entrada en vigor)</w:t>
            </w: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 xml:space="preserve">Convenio Nº 129 sobre la inspección del trabajo (agricultura), 1969 </w:t>
            </w:r>
          </w:p>
        </w:tc>
        <w:tc>
          <w:tcPr>
            <w:tcW w:w="526" w:type="pct"/>
            <w:shd w:val="clear" w:color="auto" w:fill="auto"/>
          </w:tcPr>
          <w:p w:rsidR="003C2ABF" w:rsidRDefault="003C2ABF" w:rsidP="00947046">
            <w:pPr>
              <w:spacing w:before="40" w:after="120"/>
              <w:ind w:right="113"/>
              <w:rPr>
                <w:lang w:val="es-ES_tradnl"/>
              </w:rPr>
            </w:pPr>
            <w:r>
              <w:rPr>
                <w:lang w:val="es-ES_tradnl"/>
              </w:rPr>
              <w:t>No es parte</w:t>
            </w:r>
          </w:p>
        </w:tc>
        <w:tc>
          <w:tcPr>
            <w:tcW w:w="850" w:type="pct"/>
            <w:shd w:val="clear" w:color="auto" w:fill="auto"/>
          </w:tcPr>
          <w:p w:rsidR="003C2ABF" w:rsidRDefault="003C2ABF" w:rsidP="00947046">
            <w:pPr>
              <w:spacing w:before="40" w:after="120"/>
              <w:ind w:right="113"/>
              <w:rPr>
                <w:lang w:val="es-ES_tradnl"/>
              </w:rPr>
            </w:pP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Convenio Nº 131 sobre la fijación de salarios mínimos, 1970</w:t>
            </w:r>
          </w:p>
        </w:tc>
        <w:tc>
          <w:tcPr>
            <w:tcW w:w="526" w:type="pct"/>
            <w:shd w:val="clear" w:color="auto" w:fill="auto"/>
          </w:tcPr>
          <w:p w:rsidR="003C2ABF" w:rsidRDefault="003C2ABF" w:rsidP="00947046">
            <w:pPr>
              <w:spacing w:before="40" w:after="120"/>
              <w:ind w:right="113"/>
              <w:rPr>
                <w:lang w:val="es-ES_tradnl"/>
              </w:rPr>
            </w:pPr>
            <w:r>
              <w:rPr>
                <w:lang w:val="es-ES_tradnl"/>
              </w:rPr>
              <w:t>No es parte</w:t>
            </w:r>
          </w:p>
        </w:tc>
        <w:tc>
          <w:tcPr>
            <w:tcW w:w="850" w:type="pct"/>
            <w:shd w:val="clear" w:color="auto" w:fill="auto"/>
          </w:tcPr>
          <w:p w:rsidR="003C2ABF" w:rsidRDefault="003C2ABF" w:rsidP="00947046">
            <w:pPr>
              <w:spacing w:before="40" w:after="120"/>
              <w:ind w:right="113"/>
              <w:rPr>
                <w:lang w:val="es-ES_tradnl"/>
              </w:rPr>
            </w:pP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 xml:space="preserve">Convenio Nº 132 sobre las vacaciones pagadas (revisado), 1970 </w:t>
            </w:r>
          </w:p>
        </w:tc>
        <w:tc>
          <w:tcPr>
            <w:tcW w:w="526" w:type="pct"/>
            <w:shd w:val="clear" w:color="auto" w:fill="auto"/>
          </w:tcPr>
          <w:p w:rsidR="003C2ABF" w:rsidRDefault="003C2ABF" w:rsidP="00947046">
            <w:pPr>
              <w:spacing w:before="40" w:after="120"/>
              <w:ind w:right="113"/>
              <w:rPr>
                <w:lang w:val="es-ES_tradnl"/>
              </w:rPr>
            </w:pPr>
            <w:r>
              <w:rPr>
                <w:lang w:val="es-ES_tradnl"/>
              </w:rPr>
              <w:t>No es parte</w:t>
            </w:r>
          </w:p>
        </w:tc>
        <w:tc>
          <w:tcPr>
            <w:tcW w:w="850" w:type="pct"/>
            <w:shd w:val="clear" w:color="auto" w:fill="auto"/>
          </w:tcPr>
          <w:p w:rsidR="003C2ABF" w:rsidRDefault="003C2ABF" w:rsidP="00947046">
            <w:pPr>
              <w:spacing w:before="40" w:after="120"/>
              <w:ind w:right="113"/>
              <w:rPr>
                <w:lang w:val="es-ES_tradnl"/>
              </w:rPr>
            </w:pP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 xml:space="preserve">Convenio Nº 138 sobre la edad mínima, 1973 </w:t>
            </w:r>
          </w:p>
        </w:tc>
        <w:tc>
          <w:tcPr>
            <w:tcW w:w="526" w:type="pct"/>
            <w:shd w:val="clear" w:color="auto" w:fill="auto"/>
          </w:tcPr>
          <w:p w:rsidR="003C2ABF" w:rsidRDefault="003C2ABF" w:rsidP="00947046">
            <w:pPr>
              <w:spacing w:before="40" w:after="120"/>
              <w:ind w:right="113"/>
              <w:rPr>
                <w:lang w:val="es-ES_tradnl"/>
              </w:rPr>
            </w:pPr>
            <w:r>
              <w:rPr>
                <w:lang w:val="es-ES_tradnl"/>
              </w:rPr>
              <w:t>No es parte</w:t>
            </w:r>
          </w:p>
        </w:tc>
        <w:tc>
          <w:tcPr>
            <w:tcW w:w="850" w:type="pct"/>
            <w:shd w:val="clear" w:color="auto" w:fill="auto"/>
          </w:tcPr>
          <w:p w:rsidR="003C2ABF" w:rsidRDefault="003C2ABF" w:rsidP="00947046">
            <w:pPr>
              <w:spacing w:before="40" w:after="120"/>
              <w:ind w:right="113"/>
              <w:rPr>
                <w:lang w:val="es-ES_tradnl"/>
              </w:rPr>
            </w:pP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 xml:space="preserve">Convenio Nº 143 sobre los trabajadores migrantes (disposiciones complementarias), 1975 </w:t>
            </w:r>
          </w:p>
        </w:tc>
        <w:tc>
          <w:tcPr>
            <w:tcW w:w="526" w:type="pct"/>
            <w:shd w:val="clear" w:color="auto" w:fill="auto"/>
          </w:tcPr>
          <w:p w:rsidR="003C2ABF" w:rsidRDefault="003C2ABF" w:rsidP="00947046">
            <w:pPr>
              <w:spacing w:before="40" w:after="120"/>
              <w:ind w:right="113"/>
              <w:rPr>
                <w:lang w:val="es-ES_tradnl"/>
              </w:rPr>
            </w:pPr>
            <w:r>
              <w:rPr>
                <w:lang w:val="es-ES_tradnl"/>
              </w:rPr>
              <w:t>No es parte</w:t>
            </w:r>
          </w:p>
        </w:tc>
        <w:tc>
          <w:tcPr>
            <w:tcW w:w="850" w:type="pct"/>
            <w:shd w:val="clear" w:color="auto" w:fill="auto"/>
          </w:tcPr>
          <w:p w:rsidR="003C2ABF" w:rsidRDefault="003C2ABF" w:rsidP="00947046">
            <w:pPr>
              <w:spacing w:before="40" w:after="120"/>
              <w:ind w:right="113"/>
              <w:rPr>
                <w:lang w:val="es-ES_tradnl"/>
              </w:rPr>
            </w:pP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Convenio Nº 151 sobre las relaciones de trabajo en la administración pública, 1978</w:t>
            </w:r>
          </w:p>
        </w:tc>
        <w:tc>
          <w:tcPr>
            <w:tcW w:w="526" w:type="pct"/>
            <w:shd w:val="clear" w:color="auto" w:fill="auto"/>
          </w:tcPr>
          <w:p w:rsidR="003C2ABF" w:rsidRDefault="003C2ABF" w:rsidP="00947046">
            <w:pPr>
              <w:spacing w:before="40" w:after="120"/>
              <w:ind w:right="113"/>
              <w:rPr>
                <w:lang w:val="es-ES_tradnl"/>
              </w:rPr>
            </w:pPr>
            <w:r>
              <w:rPr>
                <w:lang w:val="es-ES_tradnl"/>
              </w:rPr>
              <w:t>No es parte</w:t>
            </w:r>
          </w:p>
        </w:tc>
        <w:tc>
          <w:tcPr>
            <w:tcW w:w="850" w:type="pct"/>
            <w:shd w:val="clear" w:color="auto" w:fill="auto"/>
          </w:tcPr>
          <w:p w:rsidR="003C2ABF" w:rsidRDefault="003C2ABF" w:rsidP="00947046">
            <w:pPr>
              <w:spacing w:before="40" w:after="120"/>
              <w:ind w:right="113"/>
              <w:rPr>
                <w:lang w:val="es-ES_tradnl"/>
              </w:rPr>
            </w:pP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 xml:space="preserve">Convenio Nº 155 sobre seguridad y salud de los trabajadores, 1981 </w:t>
            </w:r>
          </w:p>
        </w:tc>
        <w:tc>
          <w:tcPr>
            <w:tcW w:w="526" w:type="pct"/>
            <w:shd w:val="clear" w:color="auto" w:fill="auto"/>
          </w:tcPr>
          <w:p w:rsidR="003C2ABF" w:rsidRDefault="003C2ABF" w:rsidP="00947046">
            <w:pPr>
              <w:spacing w:before="40" w:after="120"/>
              <w:ind w:right="113"/>
              <w:rPr>
                <w:lang w:val="es-ES_tradnl"/>
              </w:rPr>
            </w:pPr>
          </w:p>
        </w:tc>
        <w:tc>
          <w:tcPr>
            <w:tcW w:w="850" w:type="pct"/>
            <w:shd w:val="clear" w:color="auto" w:fill="auto"/>
          </w:tcPr>
          <w:p w:rsidR="003C2ABF" w:rsidRDefault="003C2ABF" w:rsidP="00947046">
            <w:pPr>
              <w:spacing w:before="40" w:after="120"/>
              <w:ind w:right="113"/>
              <w:rPr>
                <w:lang w:val="es-ES_tradnl"/>
              </w:rPr>
            </w:pPr>
            <w:r>
              <w:rPr>
                <w:lang w:val="es-ES_tradnl"/>
              </w:rPr>
              <w:t>12 de junio de 2007</w:t>
            </w:r>
            <w:r>
              <w:rPr>
                <w:lang w:val="es-ES_tradnl"/>
              </w:rPr>
              <w:br/>
              <w:t>12 de junio de 2008</w:t>
            </w:r>
            <w:r>
              <w:rPr>
                <w:lang w:val="es-ES_tradnl"/>
              </w:rPr>
              <w:br/>
              <w:t>(entrada en vigor)</w:t>
            </w: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 xml:space="preserve">Convenio Nº 156 sobre los trabajadores con responsabilidades familiares, 1981 </w:t>
            </w:r>
          </w:p>
        </w:tc>
        <w:tc>
          <w:tcPr>
            <w:tcW w:w="526" w:type="pct"/>
            <w:shd w:val="clear" w:color="auto" w:fill="auto"/>
          </w:tcPr>
          <w:p w:rsidR="003C2ABF" w:rsidRDefault="003C2ABF" w:rsidP="00947046">
            <w:pPr>
              <w:spacing w:before="40" w:after="120"/>
              <w:ind w:right="113"/>
              <w:rPr>
                <w:lang w:val="es-ES_tradnl"/>
              </w:rPr>
            </w:pPr>
            <w:r>
              <w:rPr>
                <w:lang w:val="es-ES_tradnl"/>
              </w:rPr>
              <w:t>No es parte</w:t>
            </w:r>
          </w:p>
        </w:tc>
        <w:tc>
          <w:tcPr>
            <w:tcW w:w="850" w:type="pct"/>
            <w:shd w:val="clear" w:color="auto" w:fill="auto"/>
          </w:tcPr>
          <w:p w:rsidR="003C2ABF" w:rsidRDefault="003C2ABF" w:rsidP="00947046">
            <w:pPr>
              <w:spacing w:before="40" w:after="120"/>
              <w:ind w:right="113"/>
              <w:rPr>
                <w:lang w:val="es-ES_tradnl"/>
              </w:rPr>
            </w:pP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shd w:val="clear" w:color="auto" w:fill="auto"/>
          </w:tcPr>
          <w:p w:rsidR="003C2ABF" w:rsidRDefault="003C2ABF" w:rsidP="00947046">
            <w:pPr>
              <w:spacing w:before="40" w:after="120"/>
              <w:ind w:right="113"/>
              <w:rPr>
                <w:lang w:val="es-ES_tradnl"/>
              </w:rPr>
            </w:pPr>
            <w:r>
              <w:rPr>
                <w:lang w:val="es-ES_tradnl"/>
              </w:rPr>
              <w:t xml:space="preserve">Convenio Nº 169 sobre pueblos indígenas y tribales, 1989 </w:t>
            </w:r>
          </w:p>
        </w:tc>
        <w:tc>
          <w:tcPr>
            <w:tcW w:w="526" w:type="pct"/>
            <w:shd w:val="clear" w:color="auto" w:fill="auto"/>
          </w:tcPr>
          <w:p w:rsidR="003C2ABF" w:rsidRDefault="003C2ABF" w:rsidP="00947046">
            <w:pPr>
              <w:spacing w:before="40" w:after="120"/>
              <w:ind w:right="113"/>
              <w:rPr>
                <w:lang w:val="es-ES_tradnl"/>
              </w:rPr>
            </w:pPr>
            <w:r>
              <w:rPr>
                <w:lang w:val="es-ES_tradnl"/>
              </w:rPr>
              <w:t>No es parte</w:t>
            </w:r>
          </w:p>
        </w:tc>
        <w:tc>
          <w:tcPr>
            <w:tcW w:w="850" w:type="pct"/>
            <w:shd w:val="clear" w:color="auto" w:fill="auto"/>
          </w:tcPr>
          <w:p w:rsidR="003C2ABF" w:rsidRDefault="003C2ABF" w:rsidP="00947046">
            <w:pPr>
              <w:spacing w:before="40" w:after="120"/>
              <w:ind w:right="113"/>
              <w:rPr>
                <w:lang w:val="es-ES_tradnl"/>
              </w:rPr>
            </w:pPr>
          </w:p>
        </w:tc>
        <w:tc>
          <w:tcPr>
            <w:tcW w:w="531" w:type="pct"/>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3093" w:type="pct"/>
            <w:tcBorders>
              <w:bottom w:val="single" w:sz="12" w:space="0" w:color="auto"/>
            </w:tcBorders>
            <w:shd w:val="clear" w:color="auto" w:fill="auto"/>
          </w:tcPr>
          <w:p w:rsidR="003C2ABF" w:rsidRDefault="003C2ABF" w:rsidP="00947046">
            <w:pPr>
              <w:spacing w:before="40" w:after="120"/>
              <w:ind w:right="113"/>
              <w:rPr>
                <w:lang w:val="es-ES_tradnl"/>
              </w:rPr>
            </w:pPr>
            <w:r>
              <w:rPr>
                <w:lang w:val="es-ES_tradnl"/>
              </w:rPr>
              <w:t>Convenio Nº 182 sobre las peores formas de trabajo infantil, 1999</w:t>
            </w:r>
          </w:p>
        </w:tc>
        <w:tc>
          <w:tcPr>
            <w:tcW w:w="526" w:type="pct"/>
            <w:tcBorders>
              <w:bottom w:val="single" w:sz="12" w:space="0" w:color="auto"/>
            </w:tcBorders>
            <w:shd w:val="clear" w:color="auto" w:fill="auto"/>
          </w:tcPr>
          <w:p w:rsidR="003C2ABF" w:rsidRDefault="003C2ABF" w:rsidP="00947046">
            <w:pPr>
              <w:spacing w:before="40" w:after="120"/>
              <w:ind w:right="113"/>
              <w:rPr>
                <w:lang w:val="es-ES_tradnl"/>
              </w:rPr>
            </w:pPr>
          </w:p>
        </w:tc>
        <w:tc>
          <w:tcPr>
            <w:tcW w:w="850" w:type="pct"/>
            <w:tcBorders>
              <w:bottom w:val="single" w:sz="12" w:space="0" w:color="auto"/>
            </w:tcBorders>
            <w:shd w:val="clear" w:color="auto" w:fill="auto"/>
          </w:tcPr>
          <w:p w:rsidR="003C2ABF" w:rsidRDefault="003C2ABF" w:rsidP="00947046">
            <w:pPr>
              <w:spacing w:before="40" w:after="120"/>
              <w:ind w:right="113"/>
              <w:rPr>
                <w:lang w:val="es-ES_tradnl"/>
              </w:rPr>
            </w:pPr>
            <w:r>
              <w:rPr>
                <w:lang w:val="es-ES_tradnl"/>
              </w:rPr>
              <w:t>14 de junio de 2001</w:t>
            </w:r>
            <w:r>
              <w:rPr>
                <w:lang w:val="es-ES_tradnl"/>
              </w:rPr>
              <w:br/>
              <w:t xml:space="preserve">14 de junio de 2001 </w:t>
            </w:r>
            <w:r>
              <w:rPr>
                <w:lang w:val="es-ES_tradnl"/>
              </w:rPr>
              <w:br/>
              <w:t>(entrada en vigor)</w:t>
            </w:r>
          </w:p>
        </w:tc>
        <w:tc>
          <w:tcPr>
            <w:tcW w:w="531" w:type="pct"/>
            <w:tcBorders>
              <w:bottom w:val="single" w:sz="12" w:space="0" w:color="auto"/>
            </w:tcBorders>
            <w:shd w:val="clear" w:color="auto" w:fill="auto"/>
          </w:tcPr>
          <w:p w:rsidR="003C2ABF" w:rsidRDefault="003C2ABF" w:rsidP="00947046">
            <w:pPr>
              <w:spacing w:before="40" w:after="120"/>
              <w:ind w:right="113"/>
              <w:rPr>
                <w:lang w:val="es-ES_tradnl"/>
              </w:rPr>
            </w:pPr>
          </w:p>
        </w:tc>
      </w:tr>
    </w:tbl>
    <w:p w:rsidR="003C2ABF" w:rsidRDefault="003C2ABF" w:rsidP="003C2ABF">
      <w:pPr>
        <w:pStyle w:val="H1G"/>
        <w:rPr>
          <w:lang w:val="es-ES_tradnl"/>
        </w:rPr>
      </w:pPr>
      <w:r>
        <w:rPr>
          <w:lang w:val="es-ES_tradnl"/>
        </w:rPr>
        <w:tab/>
      </w:r>
      <w:r>
        <w:rPr>
          <w:lang w:val="es-ES_tradnl"/>
        </w:rPr>
        <w:tab/>
        <w:t xml:space="preserve">Convenciones pertinentes de la Organización de las Naciones Unidas para la Educación, </w:t>
      </w:r>
      <w:r>
        <w:rPr>
          <w:lang w:val="es-ES_tradnl"/>
        </w:rPr>
        <w:br/>
        <w:t>la Ciencia y la Cultura</w:t>
      </w:r>
    </w:p>
    <w:tbl>
      <w:tblPr>
        <w:tblW w:w="12359" w:type="dxa"/>
        <w:jc w:val="center"/>
        <w:tblBorders>
          <w:top w:val="single" w:sz="4" w:space="0" w:color="auto"/>
        </w:tblBorders>
        <w:tblCellMar>
          <w:left w:w="0" w:type="dxa"/>
          <w:right w:w="113" w:type="dxa"/>
        </w:tblCellMar>
        <w:tblLook w:val="0000" w:firstRow="0" w:lastRow="0" w:firstColumn="0" w:lastColumn="0" w:noHBand="0" w:noVBand="0"/>
      </w:tblPr>
      <w:tblGrid>
        <w:gridCol w:w="7062"/>
        <w:gridCol w:w="1765"/>
        <w:gridCol w:w="1765"/>
        <w:gridCol w:w="1767"/>
      </w:tblGrid>
      <w:tr w:rsidR="003C2ABF" w:rsidTr="00947046">
        <w:tblPrEx>
          <w:tblCellMar>
            <w:top w:w="0" w:type="dxa"/>
            <w:bottom w:w="0" w:type="dxa"/>
          </w:tblCellMar>
        </w:tblPrEx>
        <w:trPr>
          <w:cantSplit/>
          <w:trHeight w:val="240"/>
          <w:tblHeader/>
          <w:jc w:val="center"/>
        </w:trPr>
        <w:tc>
          <w:tcPr>
            <w:tcW w:w="2857" w:type="pct"/>
            <w:tcBorders>
              <w:top w:val="single" w:sz="4" w:space="0" w:color="auto"/>
              <w:bottom w:val="single" w:sz="12" w:space="0" w:color="auto"/>
            </w:tcBorders>
            <w:shd w:val="clear" w:color="auto" w:fill="auto"/>
            <w:vAlign w:val="bottom"/>
          </w:tcPr>
          <w:p w:rsidR="003C2ABF" w:rsidRDefault="003C2ABF" w:rsidP="00947046">
            <w:pPr>
              <w:spacing w:before="80" w:after="80" w:line="200" w:lineRule="exact"/>
              <w:ind w:right="113"/>
              <w:rPr>
                <w:i/>
                <w:sz w:val="16"/>
                <w:lang w:val="es-ES_tradnl"/>
              </w:rPr>
            </w:pPr>
            <w:r>
              <w:rPr>
                <w:i/>
                <w:sz w:val="16"/>
                <w:lang w:val="es-ES_tradnl"/>
              </w:rPr>
              <w:t xml:space="preserve">Convenciones pertinentes de la Organización de las Naciones Unidas para la Educación, </w:t>
            </w:r>
            <w:r>
              <w:rPr>
                <w:i/>
                <w:sz w:val="16"/>
                <w:lang w:val="es-ES_tradnl"/>
              </w:rPr>
              <w:br/>
              <w:t>la Ciencia y la Cultura</w:t>
            </w:r>
          </w:p>
        </w:tc>
        <w:tc>
          <w:tcPr>
            <w:tcW w:w="714" w:type="pct"/>
            <w:tcBorders>
              <w:top w:val="single" w:sz="4" w:space="0" w:color="auto"/>
              <w:bottom w:val="single" w:sz="12" w:space="0" w:color="auto"/>
            </w:tcBorders>
            <w:shd w:val="clear" w:color="auto" w:fill="auto"/>
            <w:vAlign w:val="bottom"/>
          </w:tcPr>
          <w:p w:rsidR="003C2ABF" w:rsidRDefault="003C2ABF" w:rsidP="00947046">
            <w:pPr>
              <w:spacing w:before="80" w:after="80" w:line="200" w:lineRule="exact"/>
              <w:ind w:right="113"/>
              <w:rPr>
                <w:i/>
                <w:sz w:val="16"/>
                <w:lang w:val="es-ES_tradnl"/>
              </w:rPr>
            </w:pPr>
            <w:r>
              <w:rPr>
                <w:i/>
                <w:sz w:val="16"/>
                <w:lang w:val="es-ES_tradnl"/>
              </w:rPr>
              <w:t>Firma</w:t>
            </w:r>
          </w:p>
        </w:tc>
        <w:tc>
          <w:tcPr>
            <w:tcW w:w="714" w:type="pct"/>
            <w:tcBorders>
              <w:top w:val="single" w:sz="4" w:space="0" w:color="auto"/>
              <w:bottom w:val="single" w:sz="12" w:space="0" w:color="auto"/>
            </w:tcBorders>
            <w:shd w:val="clear" w:color="auto" w:fill="auto"/>
            <w:vAlign w:val="bottom"/>
          </w:tcPr>
          <w:p w:rsidR="003C2ABF" w:rsidRDefault="003C2ABF" w:rsidP="00947046">
            <w:pPr>
              <w:spacing w:before="80" w:after="80" w:line="200" w:lineRule="exact"/>
              <w:ind w:right="113"/>
              <w:rPr>
                <w:i/>
                <w:sz w:val="16"/>
                <w:lang w:val="es-ES_tradnl"/>
              </w:rPr>
            </w:pPr>
            <w:r>
              <w:rPr>
                <w:i/>
                <w:sz w:val="16"/>
                <w:lang w:val="es-ES_tradnl"/>
              </w:rPr>
              <w:t>Ratificación</w:t>
            </w:r>
          </w:p>
        </w:tc>
        <w:tc>
          <w:tcPr>
            <w:tcW w:w="715" w:type="pct"/>
            <w:tcBorders>
              <w:top w:val="single" w:sz="4" w:space="0" w:color="auto"/>
              <w:bottom w:val="single" w:sz="12" w:space="0" w:color="auto"/>
            </w:tcBorders>
            <w:shd w:val="clear" w:color="auto" w:fill="auto"/>
            <w:vAlign w:val="bottom"/>
          </w:tcPr>
          <w:p w:rsidR="003C2ABF" w:rsidRDefault="003C2ABF" w:rsidP="00947046">
            <w:pPr>
              <w:spacing w:before="80" w:after="80" w:line="200" w:lineRule="exact"/>
              <w:ind w:right="113"/>
              <w:rPr>
                <w:i/>
                <w:sz w:val="16"/>
                <w:lang w:val="es-ES_tradnl"/>
              </w:rPr>
            </w:pPr>
            <w:r>
              <w:rPr>
                <w:i/>
                <w:sz w:val="16"/>
                <w:lang w:val="es-ES_tradnl"/>
              </w:rPr>
              <w:t>Adhesión</w:t>
            </w:r>
          </w:p>
        </w:tc>
      </w:tr>
      <w:tr w:rsidR="003C2ABF" w:rsidTr="00947046">
        <w:tblPrEx>
          <w:tblCellMar>
            <w:top w:w="0" w:type="dxa"/>
            <w:bottom w:w="0" w:type="dxa"/>
          </w:tblCellMar>
        </w:tblPrEx>
        <w:trPr>
          <w:cantSplit/>
          <w:trHeight w:hRule="exact" w:val="113"/>
          <w:tblHeader/>
          <w:jc w:val="center"/>
        </w:trPr>
        <w:tc>
          <w:tcPr>
            <w:tcW w:w="2857" w:type="pct"/>
            <w:tcBorders>
              <w:top w:val="single" w:sz="12" w:space="0" w:color="auto"/>
              <w:bottom w:val="nil"/>
            </w:tcBorders>
            <w:shd w:val="clear" w:color="auto" w:fill="auto"/>
          </w:tcPr>
          <w:p w:rsidR="003C2ABF" w:rsidRDefault="003C2ABF" w:rsidP="00947046">
            <w:pPr>
              <w:spacing w:before="40" w:after="120"/>
              <w:ind w:right="113"/>
              <w:rPr>
                <w:lang w:val="es-ES_tradnl"/>
              </w:rPr>
            </w:pPr>
          </w:p>
        </w:tc>
        <w:tc>
          <w:tcPr>
            <w:tcW w:w="714" w:type="pct"/>
            <w:tcBorders>
              <w:top w:val="single" w:sz="12" w:space="0" w:color="auto"/>
              <w:bottom w:val="nil"/>
            </w:tcBorders>
            <w:shd w:val="clear" w:color="auto" w:fill="auto"/>
          </w:tcPr>
          <w:p w:rsidR="003C2ABF" w:rsidRDefault="003C2ABF" w:rsidP="00947046">
            <w:pPr>
              <w:spacing w:before="40" w:after="120"/>
              <w:ind w:right="113"/>
              <w:rPr>
                <w:lang w:val="es-ES_tradnl"/>
              </w:rPr>
            </w:pPr>
          </w:p>
        </w:tc>
        <w:tc>
          <w:tcPr>
            <w:tcW w:w="714" w:type="pct"/>
            <w:tcBorders>
              <w:top w:val="single" w:sz="12" w:space="0" w:color="auto"/>
              <w:bottom w:val="nil"/>
            </w:tcBorders>
            <w:shd w:val="clear" w:color="auto" w:fill="auto"/>
          </w:tcPr>
          <w:p w:rsidR="003C2ABF" w:rsidRDefault="003C2ABF" w:rsidP="00947046">
            <w:pPr>
              <w:spacing w:before="40" w:after="120"/>
              <w:ind w:right="113"/>
              <w:rPr>
                <w:lang w:val="es-ES_tradnl"/>
              </w:rPr>
            </w:pPr>
          </w:p>
        </w:tc>
        <w:tc>
          <w:tcPr>
            <w:tcW w:w="715" w:type="pct"/>
            <w:tcBorders>
              <w:top w:val="single" w:sz="12" w:space="0" w:color="auto"/>
              <w:bottom w:val="nil"/>
            </w:tcBorders>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2857" w:type="pct"/>
            <w:tcBorders>
              <w:top w:val="nil"/>
            </w:tcBorders>
            <w:shd w:val="clear" w:color="auto" w:fill="auto"/>
          </w:tcPr>
          <w:p w:rsidR="003C2ABF" w:rsidRDefault="003C2ABF" w:rsidP="00947046">
            <w:pPr>
              <w:spacing w:before="40" w:after="120"/>
              <w:ind w:right="113"/>
              <w:rPr>
                <w:lang w:val="es-ES_tradnl"/>
              </w:rPr>
            </w:pPr>
            <w:r>
              <w:rPr>
                <w:lang w:val="es-ES_tradnl"/>
              </w:rPr>
              <w:t>Convención relativa a la lucha contra las discriminaciones en la esfera de la enseñanza</w:t>
            </w:r>
          </w:p>
        </w:tc>
        <w:tc>
          <w:tcPr>
            <w:tcW w:w="714" w:type="pct"/>
            <w:tcBorders>
              <w:top w:val="nil"/>
            </w:tcBorders>
            <w:shd w:val="clear" w:color="auto" w:fill="auto"/>
          </w:tcPr>
          <w:p w:rsidR="003C2ABF" w:rsidRDefault="003C2ABF" w:rsidP="00947046">
            <w:pPr>
              <w:spacing w:before="40" w:after="120"/>
              <w:ind w:right="113"/>
              <w:rPr>
                <w:lang w:val="es-ES_tradnl"/>
              </w:rPr>
            </w:pPr>
          </w:p>
        </w:tc>
        <w:tc>
          <w:tcPr>
            <w:tcW w:w="714" w:type="pct"/>
            <w:tcBorders>
              <w:top w:val="nil"/>
            </w:tcBorders>
            <w:shd w:val="clear" w:color="auto" w:fill="auto"/>
          </w:tcPr>
          <w:p w:rsidR="003C2ABF" w:rsidRDefault="003C2ABF" w:rsidP="00947046">
            <w:pPr>
              <w:spacing w:before="40" w:after="120"/>
              <w:ind w:right="113"/>
              <w:rPr>
                <w:lang w:val="es-ES_tradnl"/>
              </w:rPr>
            </w:pPr>
            <w:r>
              <w:rPr>
                <w:lang w:val="es-ES_tradnl"/>
              </w:rPr>
              <w:t xml:space="preserve">12 de febrero </w:t>
            </w:r>
            <w:r>
              <w:rPr>
                <w:lang w:val="es-ES_tradnl"/>
              </w:rPr>
              <w:br/>
              <w:t>de 1963</w:t>
            </w:r>
            <w:r>
              <w:rPr>
                <w:lang w:val="es-ES_tradnl"/>
              </w:rPr>
              <w:br/>
              <w:t xml:space="preserve">12 de mayo </w:t>
            </w:r>
            <w:r>
              <w:rPr>
                <w:lang w:val="es-ES_tradnl"/>
              </w:rPr>
              <w:br/>
              <w:t xml:space="preserve">de 1963 </w:t>
            </w:r>
            <w:r>
              <w:rPr>
                <w:lang w:val="es-ES_tradnl"/>
              </w:rPr>
              <w:br/>
              <w:t>(entrada en vigor)</w:t>
            </w:r>
          </w:p>
        </w:tc>
        <w:tc>
          <w:tcPr>
            <w:tcW w:w="715" w:type="pct"/>
            <w:tcBorders>
              <w:top w:val="nil"/>
            </w:tcBorders>
            <w:shd w:val="clear" w:color="auto" w:fill="auto"/>
          </w:tcPr>
          <w:p w:rsidR="003C2ABF" w:rsidRDefault="003C2ABF" w:rsidP="00947046">
            <w:pPr>
              <w:spacing w:before="40" w:after="120"/>
              <w:ind w:right="113"/>
              <w:rPr>
                <w:lang w:val="es-ES_tradnl"/>
              </w:rPr>
            </w:pPr>
          </w:p>
        </w:tc>
      </w:tr>
      <w:tr w:rsidR="003C2ABF" w:rsidTr="00947046">
        <w:tblPrEx>
          <w:tblCellMar>
            <w:top w:w="0" w:type="dxa"/>
            <w:bottom w:w="0" w:type="dxa"/>
          </w:tblCellMar>
        </w:tblPrEx>
        <w:trPr>
          <w:cantSplit/>
          <w:trHeight w:val="240"/>
          <w:jc w:val="center"/>
        </w:trPr>
        <w:tc>
          <w:tcPr>
            <w:tcW w:w="2857" w:type="pct"/>
            <w:shd w:val="clear" w:color="auto" w:fill="auto"/>
          </w:tcPr>
          <w:p w:rsidR="003C2ABF" w:rsidRDefault="003C2ABF" w:rsidP="00947046">
            <w:pPr>
              <w:spacing w:before="40" w:after="120"/>
              <w:ind w:right="113"/>
              <w:rPr>
                <w:lang w:val="es-ES_tradnl"/>
              </w:rPr>
            </w:pPr>
            <w:r>
              <w:rPr>
                <w:lang w:val="es-ES_tradnl"/>
              </w:rPr>
              <w:t>Convención sobre la protección y la promoción de la diversidad de las expresiones culturales</w:t>
            </w:r>
          </w:p>
        </w:tc>
        <w:tc>
          <w:tcPr>
            <w:tcW w:w="714" w:type="pct"/>
            <w:shd w:val="clear" w:color="auto" w:fill="auto"/>
          </w:tcPr>
          <w:p w:rsidR="003C2ABF" w:rsidRDefault="003C2ABF" w:rsidP="00947046">
            <w:pPr>
              <w:spacing w:before="40" w:after="120"/>
              <w:ind w:right="113"/>
              <w:rPr>
                <w:lang w:val="es-ES_tradnl"/>
              </w:rPr>
            </w:pPr>
          </w:p>
        </w:tc>
        <w:tc>
          <w:tcPr>
            <w:tcW w:w="714" w:type="pct"/>
            <w:shd w:val="clear" w:color="auto" w:fill="auto"/>
          </w:tcPr>
          <w:p w:rsidR="003C2ABF" w:rsidRDefault="003C2ABF" w:rsidP="00947046">
            <w:pPr>
              <w:spacing w:before="40" w:after="120"/>
              <w:ind w:right="113"/>
              <w:rPr>
                <w:lang w:val="es-ES_tradnl"/>
              </w:rPr>
            </w:pPr>
          </w:p>
        </w:tc>
        <w:tc>
          <w:tcPr>
            <w:tcW w:w="715" w:type="pct"/>
            <w:shd w:val="clear" w:color="auto" w:fill="auto"/>
          </w:tcPr>
          <w:p w:rsidR="003C2ABF" w:rsidRDefault="003C2ABF" w:rsidP="00947046">
            <w:pPr>
              <w:spacing w:before="40" w:after="120"/>
              <w:ind w:right="113"/>
              <w:rPr>
                <w:lang w:val="es-ES_tradnl"/>
              </w:rPr>
            </w:pPr>
            <w:r>
              <w:rPr>
                <w:lang w:val="es-ES_tradnl"/>
              </w:rPr>
              <w:t xml:space="preserve">5 de octubre </w:t>
            </w:r>
            <w:r>
              <w:rPr>
                <w:lang w:val="es-ES_tradnl"/>
              </w:rPr>
              <w:br/>
              <w:t>de 2007</w:t>
            </w:r>
            <w:r>
              <w:rPr>
                <w:lang w:val="es-ES_tradnl"/>
              </w:rPr>
              <w:br/>
              <w:t>2 de enero de 2008</w:t>
            </w:r>
            <w:r>
              <w:rPr>
                <w:lang w:val="es-ES_tradnl"/>
              </w:rPr>
              <w:br/>
              <w:t>(entrada en vigor)</w:t>
            </w:r>
          </w:p>
        </w:tc>
      </w:tr>
      <w:tr w:rsidR="003C2ABF" w:rsidTr="00947046">
        <w:tblPrEx>
          <w:tblCellMar>
            <w:top w:w="0" w:type="dxa"/>
            <w:bottom w:w="0" w:type="dxa"/>
          </w:tblCellMar>
        </w:tblPrEx>
        <w:trPr>
          <w:cantSplit/>
          <w:trHeight w:val="240"/>
          <w:jc w:val="center"/>
        </w:trPr>
        <w:tc>
          <w:tcPr>
            <w:tcW w:w="2857" w:type="pct"/>
            <w:tcBorders>
              <w:bottom w:val="single" w:sz="12" w:space="0" w:color="auto"/>
            </w:tcBorders>
            <w:shd w:val="clear" w:color="auto" w:fill="auto"/>
          </w:tcPr>
          <w:p w:rsidR="003C2ABF" w:rsidRDefault="003C2ABF" w:rsidP="00947046">
            <w:pPr>
              <w:spacing w:before="40" w:after="120"/>
              <w:ind w:right="113"/>
              <w:rPr>
                <w:lang w:val="es-ES_tradnl"/>
              </w:rPr>
            </w:pPr>
            <w:r>
              <w:rPr>
                <w:lang w:val="es-ES_tradnl"/>
              </w:rPr>
              <w:t>Convención para la Salvaguardia del Patrimonio Cultural Inmaterial, 2003</w:t>
            </w:r>
          </w:p>
        </w:tc>
        <w:tc>
          <w:tcPr>
            <w:tcW w:w="714" w:type="pct"/>
            <w:tcBorders>
              <w:bottom w:val="single" w:sz="12" w:space="0" w:color="auto"/>
            </w:tcBorders>
            <w:shd w:val="clear" w:color="auto" w:fill="auto"/>
          </w:tcPr>
          <w:p w:rsidR="003C2ABF" w:rsidRDefault="003C2ABF" w:rsidP="00947046">
            <w:pPr>
              <w:spacing w:before="40" w:after="120"/>
              <w:ind w:right="113"/>
              <w:rPr>
                <w:lang w:val="es-ES_tradnl"/>
              </w:rPr>
            </w:pPr>
            <w:r>
              <w:rPr>
                <w:lang w:val="es-ES_tradnl"/>
              </w:rPr>
              <w:t>No es parte</w:t>
            </w:r>
          </w:p>
        </w:tc>
        <w:tc>
          <w:tcPr>
            <w:tcW w:w="714" w:type="pct"/>
            <w:tcBorders>
              <w:bottom w:val="single" w:sz="12" w:space="0" w:color="auto"/>
            </w:tcBorders>
            <w:shd w:val="clear" w:color="auto" w:fill="auto"/>
          </w:tcPr>
          <w:p w:rsidR="003C2ABF" w:rsidRDefault="003C2ABF" w:rsidP="00947046">
            <w:pPr>
              <w:spacing w:before="40" w:after="120"/>
              <w:ind w:right="113"/>
              <w:rPr>
                <w:lang w:val="es-ES_tradnl"/>
              </w:rPr>
            </w:pPr>
          </w:p>
        </w:tc>
        <w:tc>
          <w:tcPr>
            <w:tcW w:w="715" w:type="pct"/>
            <w:tcBorders>
              <w:bottom w:val="single" w:sz="12" w:space="0" w:color="auto"/>
            </w:tcBorders>
            <w:shd w:val="clear" w:color="auto" w:fill="auto"/>
          </w:tcPr>
          <w:p w:rsidR="003C2ABF" w:rsidRDefault="003C2ABF" w:rsidP="00947046">
            <w:pPr>
              <w:spacing w:before="40" w:after="120"/>
              <w:ind w:right="113"/>
              <w:rPr>
                <w:lang w:val="es-ES_tradnl"/>
              </w:rPr>
            </w:pPr>
          </w:p>
        </w:tc>
      </w:tr>
    </w:tbl>
    <w:p w:rsidR="003C2ABF" w:rsidRDefault="003C2ABF" w:rsidP="003C2ABF">
      <w:pPr>
        <w:pStyle w:val="H1G"/>
        <w:rPr>
          <w:lang w:val="es-ES_tradnl"/>
        </w:rPr>
      </w:pPr>
      <w:r>
        <w:rPr>
          <w:lang w:val="es-ES_tradnl"/>
        </w:rPr>
        <w:tab/>
      </w:r>
      <w:r>
        <w:rPr>
          <w:lang w:val="es-ES_tradnl"/>
        </w:rPr>
        <w:tab/>
        <w:t>Convenios de la Conferencia de La Haya de Derecho Internacional Privado</w:t>
      </w:r>
    </w:p>
    <w:tbl>
      <w:tblPr>
        <w:tblW w:w="12359" w:type="dxa"/>
        <w:jc w:val="center"/>
        <w:tblBorders>
          <w:top w:val="single" w:sz="4" w:space="0" w:color="auto"/>
        </w:tblBorders>
        <w:tblCellMar>
          <w:left w:w="0" w:type="dxa"/>
          <w:right w:w="113" w:type="dxa"/>
        </w:tblCellMar>
        <w:tblLook w:val="0000" w:firstRow="0" w:lastRow="0" w:firstColumn="0" w:lastColumn="0" w:noHBand="0" w:noVBand="0"/>
      </w:tblPr>
      <w:tblGrid>
        <w:gridCol w:w="7050"/>
        <w:gridCol w:w="1755"/>
        <w:gridCol w:w="1797"/>
        <w:gridCol w:w="1757"/>
      </w:tblGrid>
      <w:tr w:rsidR="003C2ABF" w:rsidTr="00947046">
        <w:tblPrEx>
          <w:tblCellMar>
            <w:top w:w="0" w:type="dxa"/>
            <w:bottom w:w="0" w:type="dxa"/>
          </w:tblCellMar>
        </w:tblPrEx>
        <w:trPr>
          <w:cantSplit/>
          <w:trHeight w:val="240"/>
          <w:tblHeader/>
          <w:jc w:val="center"/>
        </w:trPr>
        <w:tc>
          <w:tcPr>
            <w:tcW w:w="2852" w:type="pct"/>
            <w:tcBorders>
              <w:top w:val="single" w:sz="4" w:space="0" w:color="auto"/>
              <w:bottom w:val="single" w:sz="12" w:space="0" w:color="auto"/>
            </w:tcBorders>
            <w:shd w:val="clear" w:color="auto" w:fill="auto"/>
            <w:vAlign w:val="bottom"/>
          </w:tcPr>
          <w:p w:rsidR="003C2ABF" w:rsidRDefault="003C2ABF" w:rsidP="00947046">
            <w:pPr>
              <w:spacing w:before="80" w:after="80" w:line="200" w:lineRule="exact"/>
              <w:rPr>
                <w:i/>
                <w:sz w:val="16"/>
                <w:lang w:val="es-ES_tradnl"/>
              </w:rPr>
            </w:pPr>
            <w:r>
              <w:rPr>
                <w:i/>
                <w:sz w:val="16"/>
                <w:lang w:val="es-ES_tradnl"/>
              </w:rPr>
              <w:t>Convenios de la Conferencia de La Haya de Derecho Internacional Privado</w:t>
            </w:r>
          </w:p>
        </w:tc>
        <w:tc>
          <w:tcPr>
            <w:tcW w:w="710" w:type="pct"/>
            <w:tcBorders>
              <w:top w:val="single" w:sz="4" w:space="0" w:color="auto"/>
              <w:bottom w:val="single" w:sz="12" w:space="0" w:color="auto"/>
            </w:tcBorders>
            <w:shd w:val="clear" w:color="auto" w:fill="auto"/>
            <w:vAlign w:val="bottom"/>
          </w:tcPr>
          <w:p w:rsidR="003C2ABF" w:rsidRDefault="003C2ABF" w:rsidP="00947046">
            <w:pPr>
              <w:spacing w:before="80" w:after="80" w:line="200" w:lineRule="exact"/>
              <w:rPr>
                <w:i/>
                <w:sz w:val="16"/>
                <w:lang w:val="es-ES_tradnl"/>
              </w:rPr>
            </w:pPr>
            <w:r>
              <w:rPr>
                <w:i/>
                <w:sz w:val="16"/>
                <w:lang w:val="es-ES_tradnl"/>
              </w:rPr>
              <w:t>Firma</w:t>
            </w:r>
          </w:p>
        </w:tc>
        <w:tc>
          <w:tcPr>
            <w:tcW w:w="727" w:type="pct"/>
            <w:tcBorders>
              <w:top w:val="single" w:sz="4" w:space="0" w:color="auto"/>
              <w:bottom w:val="single" w:sz="12" w:space="0" w:color="auto"/>
            </w:tcBorders>
            <w:shd w:val="clear" w:color="auto" w:fill="auto"/>
            <w:vAlign w:val="bottom"/>
          </w:tcPr>
          <w:p w:rsidR="003C2ABF" w:rsidRDefault="003C2ABF" w:rsidP="00947046">
            <w:pPr>
              <w:spacing w:before="80" w:after="80" w:line="200" w:lineRule="exact"/>
              <w:rPr>
                <w:i/>
                <w:sz w:val="16"/>
                <w:lang w:val="es-ES_tradnl"/>
              </w:rPr>
            </w:pPr>
            <w:r>
              <w:rPr>
                <w:i/>
                <w:sz w:val="16"/>
                <w:lang w:val="es-ES_tradnl"/>
              </w:rPr>
              <w:t>Ratificación</w:t>
            </w:r>
          </w:p>
        </w:tc>
        <w:tc>
          <w:tcPr>
            <w:tcW w:w="711" w:type="pct"/>
            <w:tcBorders>
              <w:top w:val="single" w:sz="4" w:space="0" w:color="auto"/>
              <w:bottom w:val="single" w:sz="12" w:space="0" w:color="auto"/>
            </w:tcBorders>
            <w:shd w:val="clear" w:color="auto" w:fill="auto"/>
            <w:vAlign w:val="bottom"/>
          </w:tcPr>
          <w:p w:rsidR="003C2ABF" w:rsidRDefault="003C2ABF" w:rsidP="00947046">
            <w:pPr>
              <w:spacing w:before="80" w:after="80" w:line="200" w:lineRule="exact"/>
              <w:rPr>
                <w:i/>
                <w:sz w:val="16"/>
                <w:lang w:val="es-ES_tradnl"/>
              </w:rPr>
            </w:pPr>
            <w:r>
              <w:rPr>
                <w:i/>
                <w:sz w:val="16"/>
                <w:lang w:val="es-ES_tradnl"/>
              </w:rPr>
              <w:t>Adhesión</w:t>
            </w:r>
          </w:p>
        </w:tc>
      </w:tr>
      <w:tr w:rsidR="003C2ABF" w:rsidTr="00947046">
        <w:tblPrEx>
          <w:tblCellMar>
            <w:top w:w="0" w:type="dxa"/>
            <w:bottom w:w="0" w:type="dxa"/>
          </w:tblCellMar>
        </w:tblPrEx>
        <w:trPr>
          <w:cantSplit/>
          <w:trHeight w:hRule="exact" w:val="113"/>
          <w:tblHeader/>
          <w:jc w:val="center"/>
        </w:trPr>
        <w:tc>
          <w:tcPr>
            <w:tcW w:w="2852" w:type="pct"/>
            <w:tcBorders>
              <w:top w:val="single" w:sz="12" w:space="0" w:color="auto"/>
              <w:bottom w:val="nil"/>
            </w:tcBorders>
            <w:shd w:val="clear" w:color="auto" w:fill="auto"/>
          </w:tcPr>
          <w:p w:rsidR="003C2ABF" w:rsidRDefault="003C2ABF" w:rsidP="00947046">
            <w:pPr>
              <w:spacing w:before="40" w:after="120"/>
              <w:rPr>
                <w:lang w:val="es-ES_tradnl"/>
              </w:rPr>
            </w:pPr>
          </w:p>
        </w:tc>
        <w:tc>
          <w:tcPr>
            <w:tcW w:w="710" w:type="pct"/>
            <w:tcBorders>
              <w:top w:val="single" w:sz="12" w:space="0" w:color="auto"/>
              <w:bottom w:val="nil"/>
            </w:tcBorders>
            <w:shd w:val="clear" w:color="auto" w:fill="auto"/>
          </w:tcPr>
          <w:p w:rsidR="003C2ABF" w:rsidRDefault="003C2ABF" w:rsidP="00947046">
            <w:pPr>
              <w:spacing w:before="40" w:after="120"/>
              <w:rPr>
                <w:lang w:val="es-ES_tradnl"/>
              </w:rPr>
            </w:pPr>
          </w:p>
        </w:tc>
        <w:tc>
          <w:tcPr>
            <w:tcW w:w="727" w:type="pct"/>
            <w:tcBorders>
              <w:top w:val="single" w:sz="12" w:space="0" w:color="auto"/>
              <w:bottom w:val="nil"/>
            </w:tcBorders>
            <w:shd w:val="clear" w:color="auto" w:fill="auto"/>
          </w:tcPr>
          <w:p w:rsidR="003C2ABF" w:rsidRDefault="003C2ABF" w:rsidP="00947046">
            <w:pPr>
              <w:spacing w:before="40" w:after="120"/>
              <w:rPr>
                <w:lang w:val="es-ES_tradnl"/>
              </w:rPr>
            </w:pPr>
          </w:p>
        </w:tc>
        <w:tc>
          <w:tcPr>
            <w:tcW w:w="711" w:type="pct"/>
            <w:tcBorders>
              <w:top w:val="single" w:sz="12" w:space="0" w:color="auto"/>
              <w:bottom w:val="nil"/>
            </w:tcBorders>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2" w:type="pct"/>
            <w:tcBorders>
              <w:top w:val="nil"/>
            </w:tcBorders>
            <w:shd w:val="clear" w:color="auto" w:fill="auto"/>
          </w:tcPr>
          <w:p w:rsidR="003C2ABF" w:rsidRDefault="003C2ABF" w:rsidP="00947046">
            <w:pPr>
              <w:spacing w:before="40" w:after="120"/>
              <w:rPr>
                <w:lang w:val="es-ES_tradnl"/>
              </w:rPr>
            </w:pPr>
            <w:r>
              <w:rPr>
                <w:lang w:val="es-ES_tradnl"/>
              </w:rPr>
              <w:t>Convenio relativo a la solución de los conflictos entre la ley nacional y la ley del domicilio, 1955</w:t>
            </w:r>
          </w:p>
        </w:tc>
        <w:tc>
          <w:tcPr>
            <w:tcW w:w="710" w:type="pct"/>
            <w:tcBorders>
              <w:top w:val="nil"/>
            </w:tcBorders>
            <w:shd w:val="clear" w:color="auto" w:fill="auto"/>
          </w:tcPr>
          <w:p w:rsidR="003C2ABF" w:rsidRDefault="003C2ABF" w:rsidP="00947046">
            <w:pPr>
              <w:spacing w:before="40" w:after="120"/>
              <w:rPr>
                <w:lang w:val="es-ES_tradnl"/>
              </w:rPr>
            </w:pPr>
            <w:r>
              <w:rPr>
                <w:lang w:val="es-ES_tradnl"/>
              </w:rPr>
              <w:t>No es parte</w:t>
            </w:r>
          </w:p>
        </w:tc>
        <w:tc>
          <w:tcPr>
            <w:tcW w:w="727" w:type="pct"/>
            <w:tcBorders>
              <w:top w:val="nil"/>
            </w:tcBorders>
            <w:shd w:val="clear" w:color="auto" w:fill="auto"/>
          </w:tcPr>
          <w:p w:rsidR="003C2ABF" w:rsidRDefault="003C2ABF" w:rsidP="00947046">
            <w:pPr>
              <w:spacing w:before="40" w:after="120"/>
              <w:rPr>
                <w:lang w:val="es-ES_tradnl"/>
              </w:rPr>
            </w:pPr>
          </w:p>
        </w:tc>
        <w:tc>
          <w:tcPr>
            <w:tcW w:w="711" w:type="pct"/>
            <w:tcBorders>
              <w:top w:val="nil"/>
            </w:tcBorders>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2" w:type="pct"/>
            <w:shd w:val="clear" w:color="auto" w:fill="auto"/>
          </w:tcPr>
          <w:p w:rsidR="003C2ABF" w:rsidRDefault="003C2ABF" w:rsidP="00947046">
            <w:pPr>
              <w:spacing w:before="40" w:after="120"/>
              <w:rPr>
                <w:lang w:val="es-ES_tradnl"/>
              </w:rPr>
            </w:pPr>
            <w:r>
              <w:rPr>
                <w:lang w:val="es-ES_tradnl"/>
              </w:rPr>
              <w:t>Convención sobre la Obtención de Alimentos en el Extranjero, 1956</w:t>
            </w:r>
          </w:p>
        </w:tc>
        <w:tc>
          <w:tcPr>
            <w:tcW w:w="710" w:type="pct"/>
            <w:shd w:val="clear" w:color="auto" w:fill="auto"/>
          </w:tcPr>
          <w:p w:rsidR="003C2ABF" w:rsidRDefault="003C2ABF" w:rsidP="00947046">
            <w:pPr>
              <w:spacing w:before="40" w:after="120"/>
              <w:rPr>
                <w:lang w:val="es-ES_tradnl"/>
              </w:rPr>
            </w:pPr>
          </w:p>
        </w:tc>
        <w:tc>
          <w:tcPr>
            <w:tcW w:w="727" w:type="pct"/>
            <w:shd w:val="clear" w:color="auto" w:fill="auto"/>
          </w:tcPr>
          <w:p w:rsidR="003C2ABF" w:rsidRDefault="003C2ABF" w:rsidP="00947046">
            <w:pPr>
              <w:spacing w:before="40" w:after="120"/>
              <w:rPr>
                <w:lang w:val="es-ES_tradnl"/>
              </w:rPr>
            </w:pPr>
          </w:p>
        </w:tc>
        <w:tc>
          <w:tcPr>
            <w:tcW w:w="711" w:type="pct"/>
            <w:shd w:val="clear" w:color="auto" w:fill="auto"/>
          </w:tcPr>
          <w:p w:rsidR="003C2ABF" w:rsidRDefault="003C2ABF" w:rsidP="00947046">
            <w:pPr>
              <w:spacing w:before="40" w:after="120"/>
              <w:rPr>
                <w:lang w:val="es-ES_tradnl"/>
              </w:rPr>
            </w:pPr>
            <w:r>
              <w:rPr>
                <w:lang w:val="es-ES_tradnl"/>
              </w:rPr>
              <w:t xml:space="preserve">26 de febrero </w:t>
            </w:r>
            <w:r>
              <w:rPr>
                <w:lang w:val="es-ES_tradnl"/>
              </w:rPr>
              <w:br/>
              <w:t>de 1986</w:t>
            </w:r>
            <w:r>
              <w:rPr>
                <w:lang w:val="es-ES_tradnl"/>
              </w:rPr>
              <w:br/>
              <w:t xml:space="preserve">28 de marzo </w:t>
            </w:r>
            <w:r>
              <w:rPr>
                <w:lang w:val="es-ES_tradnl"/>
              </w:rPr>
              <w:br/>
              <w:t xml:space="preserve">de 1986 </w:t>
            </w:r>
            <w:r>
              <w:rPr>
                <w:lang w:val="es-ES_tradnl"/>
              </w:rPr>
              <w:br/>
              <w:t>(entrada en vigor)</w:t>
            </w:r>
          </w:p>
        </w:tc>
      </w:tr>
      <w:tr w:rsidR="003C2ABF" w:rsidTr="00947046">
        <w:tblPrEx>
          <w:tblCellMar>
            <w:top w:w="0" w:type="dxa"/>
            <w:bottom w:w="0" w:type="dxa"/>
          </w:tblCellMar>
        </w:tblPrEx>
        <w:trPr>
          <w:cantSplit/>
          <w:trHeight w:val="240"/>
          <w:jc w:val="center"/>
        </w:trPr>
        <w:tc>
          <w:tcPr>
            <w:tcW w:w="2852" w:type="pct"/>
            <w:shd w:val="clear" w:color="auto" w:fill="auto"/>
          </w:tcPr>
          <w:p w:rsidR="003C2ABF" w:rsidRDefault="003C2ABF" w:rsidP="00947046">
            <w:pPr>
              <w:spacing w:before="40" w:after="120"/>
              <w:rPr>
                <w:lang w:val="es-ES_tradnl"/>
              </w:rPr>
            </w:pPr>
            <w:r>
              <w:rPr>
                <w:lang w:val="es-ES_tradnl"/>
              </w:rPr>
              <w:t>Convenio sobre el reconocimiento y la aplicación de decisiones relativas a las obligaciones alimentarias con los hijos, 1958</w:t>
            </w:r>
          </w:p>
        </w:tc>
        <w:tc>
          <w:tcPr>
            <w:tcW w:w="710" w:type="pct"/>
            <w:shd w:val="clear" w:color="auto" w:fill="auto"/>
          </w:tcPr>
          <w:p w:rsidR="003C2ABF" w:rsidRDefault="003C2ABF" w:rsidP="00947046">
            <w:pPr>
              <w:spacing w:before="40" w:after="120"/>
              <w:rPr>
                <w:lang w:val="es-ES_tradnl"/>
              </w:rPr>
            </w:pPr>
            <w:r>
              <w:rPr>
                <w:lang w:val="es-ES_tradnl"/>
              </w:rPr>
              <w:t>No es parte</w:t>
            </w:r>
          </w:p>
        </w:tc>
        <w:tc>
          <w:tcPr>
            <w:tcW w:w="727" w:type="pct"/>
            <w:shd w:val="clear" w:color="auto" w:fill="auto"/>
          </w:tcPr>
          <w:p w:rsidR="003C2ABF" w:rsidRDefault="003C2ABF" w:rsidP="00947046">
            <w:pPr>
              <w:spacing w:before="40" w:after="120"/>
              <w:rPr>
                <w:lang w:val="es-ES_tradnl"/>
              </w:rPr>
            </w:pPr>
          </w:p>
        </w:tc>
        <w:tc>
          <w:tcPr>
            <w:tcW w:w="711" w:type="pct"/>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2" w:type="pct"/>
            <w:shd w:val="clear" w:color="auto" w:fill="auto"/>
          </w:tcPr>
          <w:p w:rsidR="003C2ABF" w:rsidRDefault="003C2ABF" w:rsidP="00947046">
            <w:pPr>
              <w:spacing w:before="40" w:after="120"/>
              <w:rPr>
                <w:lang w:val="es-ES_tradnl"/>
              </w:rPr>
            </w:pPr>
            <w:r>
              <w:rPr>
                <w:lang w:val="es-ES_tradnl"/>
              </w:rPr>
              <w:t>Convenio sobre la competencia de las autoridades y la ley aplicable en materia de protección de menores, 1961</w:t>
            </w:r>
          </w:p>
        </w:tc>
        <w:tc>
          <w:tcPr>
            <w:tcW w:w="710" w:type="pct"/>
            <w:shd w:val="clear" w:color="auto" w:fill="auto"/>
          </w:tcPr>
          <w:p w:rsidR="003C2ABF" w:rsidRDefault="003C2ABF" w:rsidP="00947046">
            <w:pPr>
              <w:spacing w:before="40" w:after="120"/>
              <w:rPr>
                <w:lang w:val="es-ES_tradnl"/>
              </w:rPr>
            </w:pPr>
            <w:r>
              <w:rPr>
                <w:lang w:val="es-ES_tradnl"/>
              </w:rPr>
              <w:t>No es parte</w:t>
            </w:r>
          </w:p>
        </w:tc>
        <w:tc>
          <w:tcPr>
            <w:tcW w:w="727" w:type="pct"/>
            <w:shd w:val="clear" w:color="auto" w:fill="auto"/>
          </w:tcPr>
          <w:p w:rsidR="003C2ABF" w:rsidRDefault="003C2ABF" w:rsidP="00947046">
            <w:pPr>
              <w:spacing w:before="40" w:after="120"/>
              <w:rPr>
                <w:lang w:val="es-ES_tradnl"/>
              </w:rPr>
            </w:pPr>
          </w:p>
        </w:tc>
        <w:tc>
          <w:tcPr>
            <w:tcW w:w="711" w:type="pct"/>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2" w:type="pct"/>
            <w:shd w:val="clear" w:color="auto" w:fill="auto"/>
          </w:tcPr>
          <w:p w:rsidR="003C2ABF" w:rsidRDefault="003C2ABF" w:rsidP="00947046">
            <w:pPr>
              <w:spacing w:before="40" w:after="120"/>
              <w:rPr>
                <w:lang w:val="es-ES_tradnl"/>
              </w:rPr>
            </w:pPr>
            <w:r>
              <w:rPr>
                <w:lang w:val="es-ES_tradnl"/>
              </w:rPr>
              <w:t>Convenio sobre la competencia de las autoridades, la ley aplicable y el reconocimiento de las decisiones en materia de adopción, 1965</w:t>
            </w:r>
          </w:p>
        </w:tc>
        <w:tc>
          <w:tcPr>
            <w:tcW w:w="710" w:type="pct"/>
            <w:shd w:val="clear" w:color="auto" w:fill="auto"/>
          </w:tcPr>
          <w:p w:rsidR="003C2ABF" w:rsidRDefault="003C2ABF" w:rsidP="00947046">
            <w:pPr>
              <w:spacing w:before="40" w:after="120"/>
              <w:rPr>
                <w:lang w:val="es-ES_tradnl"/>
              </w:rPr>
            </w:pPr>
            <w:r>
              <w:rPr>
                <w:lang w:val="es-ES_tradnl"/>
              </w:rPr>
              <w:t>No es parte</w:t>
            </w:r>
          </w:p>
        </w:tc>
        <w:tc>
          <w:tcPr>
            <w:tcW w:w="727" w:type="pct"/>
            <w:shd w:val="clear" w:color="auto" w:fill="auto"/>
          </w:tcPr>
          <w:p w:rsidR="003C2ABF" w:rsidRDefault="003C2ABF" w:rsidP="00947046">
            <w:pPr>
              <w:spacing w:before="40" w:after="120"/>
              <w:rPr>
                <w:lang w:val="es-ES_tradnl"/>
              </w:rPr>
            </w:pPr>
          </w:p>
        </w:tc>
        <w:tc>
          <w:tcPr>
            <w:tcW w:w="711" w:type="pct"/>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2" w:type="pct"/>
            <w:shd w:val="clear" w:color="auto" w:fill="auto"/>
          </w:tcPr>
          <w:p w:rsidR="003C2ABF" w:rsidRDefault="003C2ABF" w:rsidP="00947046">
            <w:pPr>
              <w:spacing w:before="40" w:after="120"/>
              <w:rPr>
                <w:lang w:val="es-ES_tradnl"/>
              </w:rPr>
            </w:pPr>
            <w:r>
              <w:rPr>
                <w:lang w:val="es-ES_tradnl"/>
              </w:rPr>
              <w:t>Convenio sobre el derecho aplicable a las obligaciones alimentarias, 1973</w:t>
            </w:r>
          </w:p>
        </w:tc>
        <w:tc>
          <w:tcPr>
            <w:tcW w:w="710" w:type="pct"/>
            <w:shd w:val="clear" w:color="auto" w:fill="auto"/>
          </w:tcPr>
          <w:p w:rsidR="003C2ABF" w:rsidRDefault="003C2ABF" w:rsidP="00947046">
            <w:pPr>
              <w:spacing w:before="40" w:after="120"/>
              <w:rPr>
                <w:lang w:val="es-ES_tradnl"/>
              </w:rPr>
            </w:pPr>
            <w:r>
              <w:rPr>
                <w:lang w:val="es-ES_tradnl"/>
              </w:rPr>
              <w:t>No es parte</w:t>
            </w:r>
          </w:p>
        </w:tc>
        <w:tc>
          <w:tcPr>
            <w:tcW w:w="727" w:type="pct"/>
            <w:shd w:val="clear" w:color="auto" w:fill="auto"/>
          </w:tcPr>
          <w:p w:rsidR="003C2ABF" w:rsidRDefault="003C2ABF" w:rsidP="00947046">
            <w:pPr>
              <w:spacing w:before="40" w:after="120"/>
              <w:rPr>
                <w:lang w:val="es-ES_tradnl"/>
              </w:rPr>
            </w:pPr>
          </w:p>
        </w:tc>
        <w:tc>
          <w:tcPr>
            <w:tcW w:w="711" w:type="pct"/>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2" w:type="pct"/>
            <w:shd w:val="clear" w:color="auto" w:fill="auto"/>
          </w:tcPr>
          <w:p w:rsidR="003C2ABF" w:rsidRDefault="003C2ABF" w:rsidP="00947046">
            <w:pPr>
              <w:spacing w:before="40" w:after="120"/>
              <w:rPr>
                <w:lang w:val="es-ES_tradnl"/>
              </w:rPr>
            </w:pPr>
            <w:r>
              <w:rPr>
                <w:lang w:val="es-ES_tradnl"/>
              </w:rPr>
              <w:t>Convenio sobre el reconocimiento de los divorcios y las separaciones judiciales, 1970</w:t>
            </w:r>
          </w:p>
        </w:tc>
        <w:tc>
          <w:tcPr>
            <w:tcW w:w="710" w:type="pct"/>
            <w:shd w:val="clear" w:color="auto" w:fill="auto"/>
          </w:tcPr>
          <w:p w:rsidR="003C2ABF" w:rsidRDefault="003C2ABF" w:rsidP="00947046">
            <w:pPr>
              <w:spacing w:before="40" w:after="120"/>
              <w:rPr>
                <w:lang w:val="es-ES_tradnl"/>
              </w:rPr>
            </w:pPr>
            <w:r>
              <w:rPr>
                <w:lang w:val="es-ES_tradnl"/>
              </w:rPr>
              <w:t>No es parte</w:t>
            </w:r>
          </w:p>
        </w:tc>
        <w:tc>
          <w:tcPr>
            <w:tcW w:w="727" w:type="pct"/>
            <w:shd w:val="clear" w:color="auto" w:fill="auto"/>
          </w:tcPr>
          <w:p w:rsidR="003C2ABF" w:rsidRDefault="003C2ABF" w:rsidP="00947046">
            <w:pPr>
              <w:spacing w:before="40" w:after="120"/>
              <w:rPr>
                <w:lang w:val="es-ES_tradnl"/>
              </w:rPr>
            </w:pPr>
          </w:p>
        </w:tc>
        <w:tc>
          <w:tcPr>
            <w:tcW w:w="711" w:type="pct"/>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2" w:type="pct"/>
            <w:shd w:val="clear" w:color="auto" w:fill="auto"/>
          </w:tcPr>
          <w:p w:rsidR="003C2ABF" w:rsidRDefault="003C2ABF" w:rsidP="00947046">
            <w:pPr>
              <w:spacing w:before="40" w:after="120"/>
              <w:rPr>
                <w:lang w:val="es-ES_tradnl"/>
              </w:rPr>
            </w:pPr>
            <w:r>
              <w:rPr>
                <w:lang w:val="es-ES_tradnl"/>
              </w:rPr>
              <w:t>Convenio sobre el reconocimiento y la aplicación de decisiones relativas a las obligaciones alimentarias, 1973</w:t>
            </w:r>
          </w:p>
        </w:tc>
        <w:tc>
          <w:tcPr>
            <w:tcW w:w="710" w:type="pct"/>
            <w:shd w:val="clear" w:color="auto" w:fill="auto"/>
          </w:tcPr>
          <w:p w:rsidR="003C2ABF" w:rsidRDefault="003C2ABF" w:rsidP="00947046">
            <w:pPr>
              <w:spacing w:before="40" w:after="120"/>
              <w:rPr>
                <w:lang w:val="es-ES_tradnl"/>
              </w:rPr>
            </w:pPr>
            <w:r>
              <w:rPr>
                <w:lang w:val="es-ES_tradnl"/>
              </w:rPr>
              <w:t>No es parte</w:t>
            </w:r>
          </w:p>
        </w:tc>
        <w:tc>
          <w:tcPr>
            <w:tcW w:w="727" w:type="pct"/>
            <w:shd w:val="clear" w:color="auto" w:fill="auto"/>
          </w:tcPr>
          <w:p w:rsidR="003C2ABF" w:rsidRDefault="003C2ABF" w:rsidP="00947046">
            <w:pPr>
              <w:spacing w:before="40" w:after="120"/>
              <w:rPr>
                <w:lang w:val="es-ES_tradnl"/>
              </w:rPr>
            </w:pPr>
          </w:p>
        </w:tc>
        <w:tc>
          <w:tcPr>
            <w:tcW w:w="711" w:type="pct"/>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2" w:type="pct"/>
            <w:shd w:val="clear" w:color="auto" w:fill="auto"/>
          </w:tcPr>
          <w:p w:rsidR="003C2ABF" w:rsidRDefault="003C2ABF" w:rsidP="00947046">
            <w:pPr>
              <w:spacing w:before="40" w:after="120"/>
              <w:rPr>
                <w:lang w:val="es-ES_tradnl"/>
              </w:rPr>
            </w:pPr>
            <w:r>
              <w:rPr>
                <w:lang w:val="es-ES_tradnl"/>
              </w:rPr>
              <w:t>Convenio sobre los aspectos civiles del secuestro internacional de niños, 1980</w:t>
            </w:r>
          </w:p>
        </w:tc>
        <w:tc>
          <w:tcPr>
            <w:tcW w:w="710" w:type="pct"/>
            <w:shd w:val="clear" w:color="auto" w:fill="auto"/>
          </w:tcPr>
          <w:p w:rsidR="003C2ABF" w:rsidRDefault="003C2ABF" w:rsidP="00947046">
            <w:pPr>
              <w:spacing w:before="40" w:after="120"/>
              <w:rPr>
                <w:lang w:val="es-ES_tradnl"/>
              </w:rPr>
            </w:pPr>
          </w:p>
        </w:tc>
        <w:tc>
          <w:tcPr>
            <w:tcW w:w="727" w:type="pct"/>
            <w:shd w:val="clear" w:color="auto" w:fill="auto"/>
          </w:tcPr>
          <w:p w:rsidR="003C2ABF" w:rsidRDefault="003C2ABF" w:rsidP="00947046">
            <w:pPr>
              <w:spacing w:before="40" w:after="120"/>
              <w:rPr>
                <w:lang w:val="es-ES_tradnl"/>
              </w:rPr>
            </w:pPr>
          </w:p>
        </w:tc>
        <w:tc>
          <w:tcPr>
            <w:tcW w:w="711" w:type="pct"/>
            <w:shd w:val="clear" w:color="auto" w:fill="auto"/>
          </w:tcPr>
          <w:p w:rsidR="003C2ABF" w:rsidRDefault="003C2ABF" w:rsidP="00947046">
            <w:pPr>
              <w:spacing w:before="40" w:after="120"/>
              <w:rPr>
                <w:lang w:val="es-ES_tradnl"/>
              </w:rPr>
            </w:pPr>
            <w:r>
              <w:rPr>
                <w:lang w:val="es-ES_tradnl"/>
              </w:rPr>
              <w:t>31 de mayo de 1991</w:t>
            </w:r>
            <w:r>
              <w:rPr>
                <w:lang w:val="es-ES_tradnl"/>
              </w:rPr>
              <w:br/>
              <w:t xml:space="preserve">1º de agosto de 1991 </w:t>
            </w:r>
            <w:r>
              <w:rPr>
                <w:lang w:val="es-ES_tradnl"/>
              </w:rPr>
              <w:br/>
              <w:t>(entrada en vigor)</w:t>
            </w:r>
          </w:p>
        </w:tc>
      </w:tr>
      <w:tr w:rsidR="003C2ABF" w:rsidTr="00947046">
        <w:tblPrEx>
          <w:tblCellMar>
            <w:top w:w="0" w:type="dxa"/>
            <w:bottom w:w="0" w:type="dxa"/>
          </w:tblCellMar>
        </w:tblPrEx>
        <w:trPr>
          <w:cantSplit/>
          <w:trHeight w:val="240"/>
          <w:jc w:val="center"/>
        </w:trPr>
        <w:tc>
          <w:tcPr>
            <w:tcW w:w="2852" w:type="pct"/>
            <w:shd w:val="clear" w:color="auto" w:fill="auto"/>
          </w:tcPr>
          <w:p w:rsidR="003C2ABF" w:rsidRDefault="003C2ABF" w:rsidP="00947046">
            <w:pPr>
              <w:spacing w:before="40" w:after="120"/>
              <w:rPr>
                <w:lang w:val="es-ES_tradnl"/>
              </w:rPr>
            </w:pPr>
            <w:r>
              <w:rPr>
                <w:lang w:val="es-ES_tradnl"/>
              </w:rPr>
              <w:t>Convenio sobre la celebración y el reconocimiento de la validez de los matrimonios, 1978</w:t>
            </w:r>
          </w:p>
        </w:tc>
        <w:tc>
          <w:tcPr>
            <w:tcW w:w="710" w:type="pct"/>
            <w:shd w:val="clear" w:color="auto" w:fill="auto"/>
          </w:tcPr>
          <w:p w:rsidR="003C2ABF" w:rsidRDefault="003C2ABF" w:rsidP="00947046">
            <w:pPr>
              <w:spacing w:before="40" w:after="120"/>
              <w:rPr>
                <w:lang w:val="es-ES_tradnl"/>
              </w:rPr>
            </w:pPr>
            <w:r>
              <w:rPr>
                <w:lang w:val="es-ES_tradnl"/>
              </w:rPr>
              <w:t>No es parte</w:t>
            </w:r>
          </w:p>
        </w:tc>
        <w:tc>
          <w:tcPr>
            <w:tcW w:w="727" w:type="pct"/>
            <w:shd w:val="clear" w:color="auto" w:fill="auto"/>
          </w:tcPr>
          <w:p w:rsidR="003C2ABF" w:rsidRDefault="003C2ABF" w:rsidP="00947046">
            <w:pPr>
              <w:spacing w:before="40" w:after="120"/>
              <w:rPr>
                <w:lang w:val="es-ES_tradnl"/>
              </w:rPr>
            </w:pPr>
          </w:p>
        </w:tc>
        <w:tc>
          <w:tcPr>
            <w:tcW w:w="711" w:type="pct"/>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2" w:type="pct"/>
            <w:shd w:val="clear" w:color="auto" w:fill="auto"/>
          </w:tcPr>
          <w:p w:rsidR="003C2ABF" w:rsidRDefault="003C2ABF" w:rsidP="00947046">
            <w:pPr>
              <w:spacing w:before="40" w:after="120"/>
              <w:rPr>
                <w:lang w:val="es-ES_tradnl"/>
              </w:rPr>
            </w:pPr>
            <w:r>
              <w:rPr>
                <w:lang w:val="es-ES_tradnl"/>
              </w:rPr>
              <w:t>Convenio sobre la ley aplicable a los regímenes matrimoniales, 1978</w:t>
            </w:r>
          </w:p>
        </w:tc>
        <w:tc>
          <w:tcPr>
            <w:tcW w:w="710" w:type="pct"/>
            <w:shd w:val="clear" w:color="auto" w:fill="auto"/>
          </w:tcPr>
          <w:p w:rsidR="003C2ABF" w:rsidRDefault="003C2ABF" w:rsidP="00947046">
            <w:pPr>
              <w:spacing w:before="40" w:after="120"/>
              <w:rPr>
                <w:lang w:val="es-ES_tradnl"/>
              </w:rPr>
            </w:pPr>
            <w:r>
              <w:rPr>
                <w:lang w:val="es-ES_tradnl"/>
              </w:rPr>
              <w:t>No es parte</w:t>
            </w:r>
          </w:p>
        </w:tc>
        <w:tc>
          <w:tcPr>
            <w:tcW w:w="727" w:type="pct"/>
            <w:shd w:val="clear" w:color="auto" w:fill="auto"/>
          </w:tcPr>
          <w:p w:rsidR="003C2ABF" w:rsidRDefault="003C2ABF" w:rsidP="00947046">
            <w:pPr>
              <w:spacing w:before="40" w:after="120"/>
              <w:rPr>
                <w:lang w:val="es-ES_tradnl"/>
              </w:rPr>
            </w:pPr>
          </w:p>
        </w:tc>
        <w:tc>
          <w:tcPr>
            <w:tcW w:w="711" w:type="pct"/>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2" w:type="pct"/>
            <w:shd w:val="clear" w:color="auto" w:fill="auto"/>
          </w:tcPr>
          <w:p w:rsidR="003C2ABF" w:rsidRDefault="003C2ABF" w:rsidP="00947046">
            <w:pPr>
              <w:spacing w:before="40" w:after="120"/>
              <w:rPr>
                <w:lang w:val="es-ES_tradnl"/>
              </w:rPr>
            </w:pPr>
            <w:r>
              <w:rPr>
                <w:lang w:val="es-ES_tradnl"/>
              </w:rPr>
              <w:t>Convenio sobre el acceso internacional a la justicia, 1980</w:t>
            </w:r>
          </w:p>
        </w:tc>
        <w:tc>
          <w:tcPr>
            <w:tcW w:w="710" w:type="pct"/>
            <w:shd w:val="clear" w:color="auto" w:fill="auto"/>
          </w:tcPr>
          <w:p w:rsidR="003C2ABF" w:rsidRDefault="003C2ABF" w:rsidP="00947046">
            <w:pPr>
              <w:spacing w:before="40" w:after="120"/>
              <w:rPr>
                <w:lang w:val="es-ES_tradnl"/>
              </w:rPr>
            </w:pPr>
            <w:r>
              <w:rPr>
                <w:lang w:val="es-ES_tradnl"/>
              </w:rPr>
              <w:t>No es parte</w:t>
            </w:r>
          </w:p>
        </w:tc>
        <w:tc>
          <w:tcPr>
            <w:tcW w:w="727" w:type="pct"/>
            <w:shd w:val="clear" w:color="auto" w:fill="auto"/>
          </w:tcPr>
          <w:p w:rsidR="003C2ABF" w:rsidRDefault="003C2ABF" w:rsidP="00947046">
            <w:pPr>
              <w:spacing w:before="40" w:after="120"/>
              <w:rPr>
                <w:lang w:val="es-ES_tradnl"/>
              </w:rPr>
            </w:pPr>
          </w:p>
        </w:tc>
        <w:tc>
          <w:tcPr>
            <w:tcW w:w="711" w:type="pct"/>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2" w:type="pct"/>
            <w:shd w:val="clear" w:color="auto" w:fill="auto"/>
          </w:tcPr>
          <w:p w:rsidR="003C2ABF" w:rsidRDefault="003C2ABF" w:rsidP="00947046">
            <w:pPr>
              <w:spacing w:before="40" w:after="120"/>
              <w:rPr>
                <w:lang w:val="es-ES_tradnl"/>
              </w:rPr>
            </w:pPr>
            <w:r>
              <w:rPr>
                <w:lang w:val="es-ES_tradnl"/>
              </w:rPr>
              <w:t>Convenio sobre la ley aplicable a las sucesiones en caso de muerte, 1989</w:t>
            </w:r>
          </w:p>
        </w:tc>
        <w:tc>
          <w:tcPr>
            <w:tcW w:w="710" w:type="pct"/>
            <w:shd w:val="clear" w:color="auto" w:fill="auto"/>
          </w:tcPr>
          <w:p w:rsidR="003C2ABF" w:rsidRDefault="003C2ABF" w:rsidP="00947046">
            <w:pPr>
              <w:spacing w:before="40" w:after="120"/>
              <w:rPr>
                <w:lang w:val="es-ES_tradnl"/>
              </w:rPr>
            </w:pPr>
            <w:r>
              <w:rPr>
                <w:lang w:val="es-ES_tradnl"/>
              </w:rPr>
              <w:t>No es parte</w:t>
            </w:r>
          </w:p>
        </w:tc>
        <w:tc>
          <w:tcPr>
            <w:tcW w:w="727" w:type="pct"/>
            <w:shd w:val="clear" w:color="auto" w:fill="auto"/>
          </w:tcPr>
          <w:p w:rsidR="003C2ABF" w:rsidRDefault="003C2ABF" w:rsidP="00947046">
            <w:pPr>
              <w:spacing w:before="40" w:after="120"/>
              <w:rPr>
                <w:lang w:val="es-ES_tradnl"/>
              </w:rPr>
            </w:pPr>
          </w:p>
        </w:tc>
        <w:tc>
          <w:tcPr>
            <w:tcW w:w="711" w:type="pct"/>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2" w:type="pct"/>
            <w:shd w:val="clear" w:color="auto" w:fill="auto"/>
          </w:tcPr>
          <w:p w:rsidR="003C2ABF" w:rsidRDefault="003C2ABF" w:rsidP="00947046">
            <w:pPr>
              <w:spacing w:before="40" w:after="120"/>
              <w:rPr>
                <w:lang w:val="es-ES_tradnl"/>
              </w:rPr>
            </w:pPr>
            <w:r>
              <w:rPr>
                <w:lang w:val="es-ES_tradnl"/>
              </w:rPr>
              <w:t>Convenio sobre la protección de los niños y la cooperación en materia de adopción internacional, 1993</w:t>
            </w:r>
          </w:p>
        </w:tc>
        <w:tc>
          <w:tcPr>
            <w:tcW w:w="710" w:type="pct"/>
            <w:shd w:val="clear" w:color="auto" w:fill="auto"/>
          </w:tcPr>
          <w:p w:rsidR="003C2ABF" w:rsidRDefault="003C2ABF" w:rsidP="00947046">
            <w:pPr>
              <w:spacing w:before="40" w:after="120"/>
              <w:rPr>
                <w:lang w:val="es-ES_tradnl"/>
              </w:rPr>
            </w:pPr>
          </w:p>
        </w:tc>
        <w:tc>
          <w:tcPr>
            <w:tcW w:w="727" w:type="pct"/>
            <w:shd w:val="clear" w:color="auto" w:fill="auto"/>
          </w:tcPr>
          <w:p w:rsidR="003C2ABF" w:rsidRDefault="003C2ABF" w:rsidP="00947046">
            <w:pPr>
              <w:spacing w:before="40" w:after="120"/>
              <w:rPr>
                <w:lang w:val="es-ES_tradnl"/>
              </w:rPr>
            </w:pPr>
          </w:p>
        </w:tc>
        <w:tc>
          <w:tcPr>
            <w:tcW w:w="711" w:type="pct"/>
            <w:shd w:val="clear" w:color="auto" w:fill="auto"/>
          </w:tcPr>
          <w:p w:rsidR="003C2ABF" w:rsidRDefault="003C2ABF" w:rsidP="00947046">
            <w:pPr>
              <w:spacing w:before="40" w:after="120"/>
              <w:rPr>
                <w:lang w:val="es-ES_tradnl"/>
              </w:rPr>
            </w:pPr>
            <w:r>
              <w:rPr>
                <w:lang w:val="es-ES_tradnl"/>
              </w:rPr>
              <w:t xml:space="preserve">18 de septiembre </w:t>
            </w:r>
            <w:r>
              <w:rPr>
                <w:lang w:val="es-ES_tradnl"/>
              </w:rPr>
              <w:br/>
              <w:t>de 1998</w:t>
            </w:r>
            <w:r>
              <w:rPr>
                <w:lang w:val="es-ES_tradnl"/>
              </w:rPr>
              <w:br/>
              <w:t>1º de enero de 1999 (entrada en vigor)</w:t>
            </w:r>
          </w:p>
        </w:tc>
      </w:tr>
      <w:tr w:rsidR="003C2ABF" w:rsidTr="00947046">
        <w:tblPrEx>
          <w:tblCellMar>
            <w:top w:w="0" w:type="dxa"/>
            <w:bottom w:w="0" w:type="dxa"/>
          </w:tblCellMar>
        </w:tblPrEx>
        <w:trPr>
          <w:cantSplit/>
          <w:trHeight w:val="240"/>
          <w:jc w:val="center"/>
        </w:trPr>
        <w:tc>
          <w:tcPr>
            <w:tcW w:w="2852" w:type="pct"/>
            <w:shd w:val="clear" w:color="auto" w:fill="auto"/>
          </w:tcPr>
          <w:p w:rsidR="003C2ABF" w:rsidRDefault="003C2ABF" w:rsidP="00947046">
            <w:pPr>
              <w:spacing w:before="40" w:after="120"/>
              <w:rPr>
                <w:lang w:val="es-ES_tradnl"/>
              </w:rPr>
            </w:pPr>
            <w:r>
              <w:rPr>
                <w:lang w:val="es-ES_tradnl"/>
              </w:rPr>
              <w:t>Convenio relativo a la competencia, la ley aplicable, el reconocimiento, la ejecución y la cooperación en materia de responsabilidad parental y de medidas de protección de los niños, 1996</w:t>
            </w:r>
          </w:p>
        </w:tc>
        <w:tc>
          <w:tcPr>
            <w:tcW w:w="710" w:type="pct"/>
            <w:shd w:val="clear" w:color="auto" w:fill="auto"/>
          </w:tcPr>
          <w:p w:rsidR="003C2ABF" w:rsidRDefault="003C2ABF" w:rsidP="00947046">
            <w:pPr>
              <w:spacing w:before="40" w:after="120"/>
              <w:rPr>
                <w:lang w:val="es-ES_tradnl"/>
              </w:rPr>
            </w:pPr>
            <w:r>
              <w:rPr>
                <w:lang w:val="es-ES_tradnl"/>
              </w:rPr>
              <w:t>No es parte</w:t>
            </w:r>
          </w:p>
        </w:tc>
        <w:tc>
          <w:tcPr>
            <w:tcW w:w="727" w:type="pct"/>
            <w:shd w:val="clear" w:color="auto" w:fill="auto"/>
          </w:tcPr>
          <w:p w:rsidR="003C2ABF" w:rsidRDefault="003C2ABF" w:rsidP="00947046">
            <w:pPr>
              <w:spacing w:before="40" w:after="120"/>
              <w:rPr>
                <w:lang w:val="es-ES_tradnl"/>
              </w:rPr>
            </w:pPr>
          </w:p>
        </w:tc>
        <w:tc>
          <w:tcPr>
            <w:tcW w:w="711" w:type="pct"/>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2" w:type="pct"/>
            <w:tcBorders>
              <w:bottom w:val="single" w:sz="12" w:space="0" w:color="auto"/>
            </w:tcBorders>
            <w:shd w:val="clear" w:color="auto" w:fill="auto"/>
          </w:tcPr>
          <w:p w:rsidR="003C2ABF" w:rsidRDefault="003C2ABF" w:rsidP="00947046">
            <w:pPr>
              <w:spacing w:before="40" w:after="120"/>
              <w:rPr>
                <w:lang w:val="es-ES_tradnl"/>
              </w:rPr>
            </w:pPr>
            <w:r>
              <w:rPr>
                <w:lang w:val="es-ES_tradnl"/>
              </w:rPr>
              <w:t>Convenio sobre la protección internacional de los adultos, 2000</w:t>
            </w:r>
          </w:p>
        </w:tc>
        <w:tc>
          <w:tcPr>
            <w:tcW w:w="710" w:type="pct"/>
            <w:tcBorders>
              <w:bottom w:val="single" w:sz="12" w:space="0" w:color="auto"/>
            </w:tcBorders>
            <w:shd w:val="clear" w:color="auto" w:fill="auto"/>
          </w:tcPr>
          <w:p w:rsidR="003C2ABF" w:rsidRDefault="003C2ABF" w:rsidP="00947046">
            <w:pPr>
              <w:spacing w:before="40" w:after="120"/>
              <w:rPr>
                <w:lang w:val="es-ES_tradnl"/>
              </w:rPr>
            </w:pPr>
            <w:r>
              <w:rPr>
                <w:lang w:val="es-ES_tradnl"/>
              </w:rPr>
              <w:t>No es parte</w:t>
            </w:r>
          </w:p>
        </w:tc>
        <w:tc>
          <w:tcPr>
            <w:tcW w:w="727" w:type="pct"/>
            <w:tcBorders>
              <w:bottom w:val="single" w:sz="12" w:space="0" w:color="auto"/>
            </w:tcBorders>
            <w:shd w:val="clear" w:color="auto" w:fill="auto"/>
          </w:tcPr>
          <w:p w:rsidR="003C2ABF" w:rsidRDefault="003C2ABF" w:rsidP="00947046">
            <w:pPr>
              <w:spacing w:before="40" w:after="120"/>
              <w:rPr>
                <w:lang w:val="es-ES_tradnl"/>
              </w:rPr>
            </w:pPr>
          </w:p>
        </w:tc>
        <w:tc>
          <w:tcPr>
            <w:tcW w:w="711" w:type="pct"/>
            <w:tcBorders>
              <w:bottom w:val="single" w:sz="12" w:space="0" w:color="auto"/>
            </w:tcBorders>
            <w:shd w:val="clear" w:color="auto" w:fill="auto"/>
          </w:tcPr>
          <w:p w:rsidR="003C2ABF" w:rsidRDefault="003C2ABF" w:rsidP="00947046">
            <w:pPr>
              <w:spacing w:before="40" w:after="120"/>
              <w:rPr>
                <w:lang w:val="es-ES_tradnl"/>
              </w:rPr>
            </w:pPr>
          </w:p>
        </w:tc>
      </w:tr>
    </w:tbl>
    <w:p w:rsidR="003C2ABF" w:rsidRDefault="003C2ABF" w:rsidP="003C2ABF">
      <w:pPr>
        <w:pStyle w:val="H1G"/>
        <w:rPr>
          <w:lang w:val="es-ES_tradnl"/>
        </w:rPr>
      </w:pPr>
      <w:r>
        <w:rPr>
          <w:lang w:val="es-ES_tradnl"/>
        </w:rPr>
        <w:tab/>
      </w:r>
      <w:r>
        <w:rPr>
          <w:lang w:val="es-ES_tradnl"/>
        </w:rPr>
        <w:tab/>
        <w:t>Convenios de Ginebra y tratados de derecho internacional humanitario</w:t>
      </w:r>
    </w:p>
    <w:tbl>
      <w:tblPr>
        <w:tblW w:w="12359" w:type="dxa"/>
        <w:jc w:val="center"/>
        <w:tblBorders>
          <w:top w:val="single" w:sz="4" w:space="0" w:color="auto"/>
        </w:tblBorders>
        <w:tblCellMar>
          <w:left w:w="0" w:type="dxa"/>
          <w:right w:w="113" w:type="dxa"/>
        </w:tblCellMar>
        <w:tblLook w:val="0000" w:firstRow="0" w:lastRow="0" w:firstColumn="0" w:lastColumn="0" w:noHBand="0" w:noVBand="0"/>
      </w:tblPr>
      <w:tblGrid>
        <w:gridCol w:w="7062"/>
        <w:gridCol w:w="1765"/>
        <w:gridCol w:w="1765"/>
        <w:gridCol w:w="1767"/>
      </w:tblGrid>
      <w:tr w:rsidR="003C2ABF" w:rsidTr="00947046">
        <w:tblPrEx>
          <w:tblCellMar>
            <w:top w:w="0" w:type="dxa"/>
            <w:bottom w:w="0" w:type="dxa"/>
          </w:tblCellMar>
        </w:tblPrEx>
        <w:trPr>
          <w:cantSplit/>
          <w:trHeight w:val="240"/>
          <w:tblHeader/>
          <w:jc w:val="center"/>
        </w:trPr>
        <w:tc>
          <w:tcPr>
            <w:tcW w:w="2857" w:type="pct"/>
            <w:tcBorders>
              <w:top w:val="single" w:sz="4" w:space="0" w:color="auto"/>
              <w:bottom w:val="single" w:sz="12" w:space="0" w:color="auto"/>
            </w:tcBorders>
            <w:shd w:val="clear" w:color="auto" w:fill="auto"/>
            <w:vAlign w:val="bottom"/>
          </w:tcPr>
          <w:p w:rsidR="003C2ABF" w:rsidRDefault="003C2ABF" w:rsidP="00947046">
            <w:pPr>
              <w:keepNext/>
              <w:spacing w:before="80" w:after="80" w:line="200" w:lineRule="exact"/>
              <w:rPr>
                <w:i/>
                <w:sz w:val="16"/>
                <w:lang w:val="es-ES_tradnl"/>
              </w:rPr>
            </w:pPr>
            <w:r>
              <w:rPr>
                <w:i/>
                <w:sz w:val="16"/>
                <w:lang w:val="es-ES_tradnl"/>
              </w:rPr>
              <w:t>Convenios de Ginebra y otros tratados de derecho internacional humanitario</w:t>
            </w:r>
          </w:p>
        </w:tc>
        <w:tc>
          <w:tcPr>
            <w:tcW w:w="714" w:type="pct"/>
            <w:tcBorders>
              <w:top w:val="single" w:sz="4" w:space="0" w:color="auto"/>
              <w:bottom w:val="single" w:sz="12" w:space="0" w:color="auto"/>
            </w:tcBorders>
            <w:shd w:val="clear" w:color="auto" w:fill="auto"/>
            <w:vAlign w:val="bottom"/>
          </w:tcPr>
          <w:p w:rsidR="003C2ABF" w:rsidRDefault="003C2ABF" w:rsidP="00947046">
            <w:pPr>
              <w:keepNext/>
              <w:spacing w:before="80" w:after="80" w:line="200" w:lineRule="exact"/>
              <w:rPr>
                <w:i/>
                <w:sz w:val="16"/>
                <w:lang w:val="es-ES_tradnl"/>
              </w:rPr>
            </w:pPr>
            <w:r>
              <w:rPr>
                <w:i/>
                <w:sz w:val="16"/>
                <w:lang w:val="es-ES_tradnl"/>
              </w:rPr>
              <w:t>Firma</w:t>
            </w:r>
          </w:p>
        </w:tc>
        <w:tc>
          <w:tcPr>
            <w:tcW w:w="714" w:type="pct"/>
            <w:tcBorders>
              <w:top w:val="single" w:sz="4" w:space="0" w:color="auto"/>
              <w:bottom w:val="single" w:sz="12" w:space="0" w:color="auto"/>
            </w:tcBorders>
            <w:shd w:val="clear" w:color="auto" w:fill="auto"/>
            <w:vAlign w:val="bottom"/>
          </w:tcPr>
          <w:p w:rsidR="003C2ABF" w:rsidRDefault="003C2ABF" w:rsidP="00947046">
            <w:pPr>
              <w:keepNext/>
              <w:spacing w:before="80" w:after="80" w:line="200" w:lineRule="exact"/>
              <w:rPr>
                <w:i/>
                <w:sz w:val="16"/>
                <w:lang w:val="es-ES_tradnl"/>
              </w:rPr>
            </w:pPr>
            <w:r>
              <w:rPr>
                <w:i/>
                <w:sz w:val="16"/>
                <w:lang w:val="es-ES_tradnl"/>
              </w:rPr>
              <w:t>Ratificación</w:t>
            </w:r>
          </w:p>
        </w:tc>
        <w:tc>
          <w:tcPr>
            <w:tcW w:w="715" w:type="pct"/>
            <w:tcBorders>
              <w:top w:val="single" w:sz="4" w:space="0" w:color="auto"/>
              <w:bottom w:val="single" w:sz="12" w:space="0" w:color="auto"/>
            </w:tcBorders>
            <w:shd w:val="clear" w:color="auto" w:fill="auto"/>
            <w:vAlign w:val="bottom"/>
          </w:tcPr>
          <w:p w:rsidR="003C2ABF" w:rsidRDefault="003C2ABF" w:rsidP="00947046">
            <w:pPr>
              <w:keepNext/>
              <w:spacing w:before="80" w:after="80" w:line="200" w:lineRule="exact"/>
              <w:rPr>
                <w:i/>
                <w:sz w:val="16"/>
                <w:lang w:val="es-ES_tradnl"/>
              </w:rPr>
            </w:pPr>
            <w:r>
              <w:rPr>
                <w:i/>
                <w:sz w:val="16"/>
                <w:lang w:val="es-ES_tradnl"/>
              </w:rPr>
              <w:t>Adhesión</w:t>
            </w:r>
          </w:p>
        </w:tc>
      </w:tr>
      <w:tr w:rsidR="003C2ABF" w:rsidTr="00947046">
        <w:tblPrEx>
          <w:tblCellMar>
            <w:top w:w="0" w:type="dxa"/>
            <w:bottom w:w="0" w:type="dxa"/>
          </w:tblCellMar>
        </w:tblPrEx>
        <w:trPr>
          <w:cantSplit/>
          <w:trHeight w:hRule="exact" w:val="113"/>
          <w:tblHeader/>
          <w:jc w:val="center"/>
        </w:trPr>
        <w:tc>
          <w:tcPr>
            <w:tcW w:w="2857" w:type="pct"/>
            <w:tcBorders>
              <w:top w:val="single" w:sz="12" w:space="0" w:color="auto"/>
              <w:bottom w:val="nil"/>
            </w:tcBorders>
            <w:shd w:val="clear" w:color="auto" w:fill="auto"/>
          </w:tcPr>
          <w:p w:rsidR="003C2ABF" w:rsidRDefault="003C2ABF" w:rsidP="00947046">
            <w:pPr>
              <w:keepNext/>
              <w:spacing w:before="40" w:after="120"/>
              <w:rPr>
                <w:lang w:val="es-ES_tradnl"/>
              </w:rPr>
            </w:pPr>
          </w:p>
        </w:tc>
        <w:tc>
          <w:tcPr>
            <w:tcW w:w="714" w:type="pct"/>
            <w:tcBorders>
              <w:top w:val="single" w:sz="12" w:space="0" w:color="auto"/>
              <w:bottom w:val="nil"/>
            </w:tcBorders>
            <w:shd w:val="clear" w:color="auto" w:fill="auto"/>
          </w:tcPr>
          <w:p w:rsidR="003C2ABF" w:rsidRDefault="003C2ABF" w:rsidP="00947046">
            <w:pPr>
              <w:keepNext/>
              <w:spacing w:before="40" w:after="120"/>
              <w:rPr>
                <w:lang w:val="es-ES_tradnl"/>
              </w:rPr>
            </w:pPr>
          </w:p>
        </w:tc>
        <w:tc>
          <w:tcPr>
            <w:tcW w:w="714" w:type="pct"/>
            <w:tcBorders>
              <w:top w:val="single" w:sz="12" w:space="0" w:color="auto"/>
              <w:bottom w:val="nil"/>
            </w:tcBorders>
            <w:shd w:val="clear" w:color="auto" w:fill="auto"/>
          </w:tcPr>
          <w:p w:rsidR="003C2ABF" w:rsidRDefault="003C2ABF" w:rsidP="00947046">
            <w:pPr>
              <w:keepNext/>
              <w:spacing w:before="40" w:after="120"/>
              <w:rPr>
                <w:lang w:val="es-ES_tradnl"/>
              </w:rPr>
            </w:pPr>
          </w:p>
        </w:tc>
        <w:tc>
          <w:tcPr>
            <w:tcW w:w="715" w:type="pct"/>
            <w:tcBorders>
              <w:top w:val="single" w:sz="12" w:space="0" w:color="auto"/>
              <w:bottom w:val="nil"/>
            </w:tcBorders>
            <w:shd w:val="clear" w:color="auto" w:fill="auto"/>
          </w:tcPr>
          <w:p w:rsidR="003C2ABF" w:rsidRDefault="003C2ABF" w:rsidP="00947046">
            <w:pPr>
              <w:keepNext/>
              <w:spacing w:before="40" w:after="120"/>
              <w:rPr>
                <w:lang w:val="es-ES_tradnl"/>
              </w:rPr>
            </w:pPr>
          </w:p>
        </w:tc>
      </w:tr>
      <w:tr w:rsidR="003C2ABF" w:rsidTr="00947046">
        <w:tblPrEx>
          <w:tblCellMar>
            <w:top w:w="0" w:type="dxa"/>
            <w:bottom w:w="0" w:type="dxa"/>
          </w:tblCellMar>
        </w:tblPrEx>
        <w:trPr>
          <w:cantSplit/>
          <w:trHeight w:val="240"/>
          <w:jc w:val="center"/>
        </w:trPr>
        <w:tc>
          <w:tcPr>
            <w:tcW w:w="2857" w:type="pct"/>
            <w:tcBorders>
              <w:top w:val="nil"/>
            </w:tcBorders>
            <w:shd w:val="clear" w:color="auto" w:fill="auto"/>
          </w:tcPr>
          <w:p w:rsidR="003C2ABF" w:rsidRDefault="003C2ABF" w:rsidP="00947046">
            <w:pPr>
              <w:spacing w:before="40" w:after="120"/>
              <w:rPr>
                <w:lang w:val="es-ES_tradnl"/>
              </w:rPr>
            </w:pPr>
            <w:r>
              <w:rPr>
                <w:lang w:val="es-ES_tradnl"/>
              </w:rPr>
              <w:t>Convenio de Ginebra (I) de 12 de agosto de 1949 para aliviar la suerte que corren los heridos y los enfermos de las fuerzas armadas en campaña</w:t>
            </w:r>
          </w:p>
        </w:tc>
        <w:tc>
          <w:tcPr>
            <w:tcW w:w="714" w:type="pct"/>
            <w:tcBorders>
              <w:top w:val="nil"/>
            </w:tcBorders>
            <w:shd w:val="clear" w:color="auto" w:fill="auto"/>
          </w:tcPr>
          <w:p w:rsidR="003C2ABF" w:rsidRDefault="003C2ABF" w:rsidP="00947046">
            <w:pPr>
              <w:spacing w:before="40" w:after="120"/>
              <w:rPr>
                <w:lang w:val="es-ES_tradnl"/>
              </w:rPr>
            </w:pPr>
            <w:r>
              <w:rPr>
                <w:lang w:val="es-ES_tradnl"/>
              </w:rPr>
              <w:t xml:space="preserve">11 de febrero </w:t>
            </w:r>
            <w:r>
              <w:rPr>
                <w:lang w:val="es-ES_tradnl"/>
              </w:rPr>
              <w:br/>
              <w:t>de 1950</w:t>
            </w:r>
          </w:p>
        </w:tc>
        <w:tc>
          <w:tcPr>
            <w:tcW w:w="714" w:type="pct"/>
            <w:tcBorders>
              <w:top w:val="nil"/>
            </w:tcBorders>
            <w:shd w:val="clear" w:color="auto" w:fill="auto"/>
          </w:tcPr>
          <w:p w:rsidR="003C2ABF" w:rsidRDefault="003C2ABF" w:rsidP="00947046">
            <w:pPr>
              <w:spacing w:before="40" w:after="120"/>
              <w:rPr>
                <w:lang w:val="es-ES_tradnl"/>
              </w:rPr>
            </w:pPr>
            <w:r>
              <w:rPr>
                <w:lang w:val="es-ES_tradnl"/>
              </w:rPr>
              <w:t>2 de mayo de 1959</w:t>
            </w:r>
            <w:r>
              <w:rPr>
                <w:lang w:val="es-ES_tradnl"/>
              </w:rPr>
              <w:br/>
              <w:t xml:space="preserve">2 de noviembre </w:t>
            </w:r>
            <w:r>
              <w:rPr>
                <w:lang w:val="es-ES_tradnl"/>
              </w:rPr>
              <w:br/>
              <w:t xml:space="preserve">de 1959 </w:t>
            </w:r>
            <w:r>
              <w:rPr>
                <w:lang w:val="es-ES_tradnl"/>
              </w:rPr>
              <w:br/>
              <w:t>(entrada en vigor)</w:t>
            </w:r>
          </w:p>
        </w:tc>
        <w:tc>
          <w:tcPr>
            <w:tcW w:w="715" w:type="pct"/>
            <w:tcBorders>
              <w:top w:val="nil"/>
            </w:tcBorders>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7" w:type="pct"/>
            <w:shd w:val="clear" w:color="auto" w:fill="auto"/>
          </w:tcPr>
          <w:p w:rsidR="003C2ABF" w:rsidRDefault="003C2ABF" w:rsidP="00947046">
            <w:pPr>
              <w:spacing w:before="40" w:after="120"/>
              <w:rPr>
                <w:lang w:val="es-ES_tradnl"/>
              </w:rPr>
            </w:pPr>
            <w:r>
              <w:rPr>
                <w:lang w:val="es-ES_tradnl"/>
              </w:rPr>
              <w:t>Convenio de Ginebra (II) de 1949 para aliviar la suerte que corren los heridos, los enfermos y los náufragos de las fuerzas armadas en el mar</w:t>
            </w:r>
          </w:p>
        </w:tc>
        <w:tc>
          <w:tcPr>
            <w:tcW w:w="714" w:type="pct"/>
            <w:shd w:val="clear" w:color="auto" w:fill="auto"/>
          </w:tcPr>
          <w:p w:rsidR="003C2ABF" w:rsidRDefault="003C2ABF" w:rsidP="00947046">
            <w:pPr>
              <w:spacing w:before="40" w:after="120"/>
              <w:rPr>
                <w:lang w:val="es-ES_tradnl"/>
              </w:rPr>
            </w:pPr>
            <w:r>
              <w:rPr>
                <w:lang w:val="es-ES_tradnl"/>
              </w:rPr>
              <w:t xml:space="preserve">11 de febrero </w:t>
            </w:r>
            <w:r>
              <w:rPr>
                <w:lang w:val="es-ES_tradnl"/>
              </w:rPr>
              <w:br/>
              <w:t>de 1950</w:t>
            </w:r>
          </w:p>
        </w:tc>
        <w:tc>
          <w:tcPr>
            <w:tcW w:w="714" w:type="pct"/>
            <w:shd w:val="clear" w:color="auto" w:fill="auto"/>
          </w:tcPr>
          <w:p w:rsidR="003C2ABF" w:rsidRDefault="003C2ABF" w:rsidP="00947046">
            <w:pPr>
              <w:spacing w:before="40" w:after="120"/>
              <w:rPr>
                <w:lang w:val="es-ES_tradnl"/>
              </w:rPr>
            </w:pPr>
            <w:r>
              <w:rPr>
                <w:lang w:val="es-ES_tradnl"/>
              </w:rPr>
              <w:t>2 de mayo de 1959</w:t>
            </w:r>
            <w:r>
              <w:rPr>
                <w:lang w:val="es-ES_tradnl"/>
              </w:rPr>
              <w:br/>
              <w:t xml:space="preserve">2 de noviembre de 1959 </w:t>
            </w:r>
            <w:r>
              <w:rPr>
                <w:lang w:val="es-ES_tradnl"/>
              </w:rPr>
              <w:br/>
              <w:t>(entrada en vigor)</w:t>
            </w:r>
          </w:p>
        </w:tc>
        <w:tc>
          <w:tcPr>
            <w:tcW w:w="715" w:type="pct"/>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7" w:type="pct"/>
            <w:shd w:val="clear" w:color="auto" w:fill="auto"/>
          </w:tcPr>
          <w:p w:rsidR="003C2ABF" w:rsidRDefault="003C2ABF" w:rsidP="00947046">
            <w:pPr>
              <w:spacing w:before="40" w:after="120"/>
              <w:rPr>
                <w:lang w:val="es-ES_tradnl"/>
              </w:rPr>
            </w:pPr>
            <w:r>
              <w:rPr>
                <w:lang w:val="es-ES_tradnl"/>
              </w:rPr>
              <w:t>Convenio de Ginebra (III) relativo al trato debido a los prisioneros de guerra, 1949</w:t>
            </w:r>
          </w:p>
        </w:tc>
        <w:tc>
          <w:tcPr>
            <w:tcW w:w="714" w:type="pct"/>
            <w:shd w:val="clear" w:color="auto" w:fill="auto"/>
          </w:tcPr>
          <w:p w:rsidR="003C2ABF" w:rsidRDefault="003C2ABF" w:rsidP="00947046">
            <w:pPr>
              <w:spacing w:before="40" w:after="120"/>
              <w:rPr>
                <w:lang w:val="es-ES_tradnl"/>
              </w:rPr>
            </w:pPr>
            <w:r>
              <w:rPr>
                <w:lang w:val="es-ES_tradnl"/>
              </w:rPr>
              <w:t>11 de febrero de 1950</w:t>
            </w:r>
          </w:p>
        </w:tc>
        <w:tc>
          <w:tcPr>
            <w:tcW w:w="714" w:type="pct"/>
            <w:shd w:val="clear" w:color="auto" w:fill="auto"/>
          </w:tcPr>
          <w:p w:rsidR="003C2ABF" w:rsidRDefault="003C2ABF" w:rsidP="00947046">
            <w:pPr>
              <w:spacing w:before="40" w:after="120"/>
              <w:rPr>
                <w:lang w:val="es-ES_tradnl"/>
              </w:rPr>
            </w:pPr>
            <w:r>
              <w:rPr>
                <w:lang w:val="es-ES_tradnl"/>
              </w:rPr>
              <w:t>2 de mayo de 1959</w:t>
            </w:r>
            <w:r>
              <w:rPr>
                <w:lang w:val="es-ES_tradnl"/>
              </w:rPr>
              <w:br/>
              <w:t xml:space="preserve">2 de noviembre </w:t>
            </w:r>
            <w:r>
              <w:rPr>
                <w:lang w:val="es-ES_tradnl"/>
              </w:rPr>
              <w:br/>
              <w:t xml:space="preserve">de 1959 </w:t>
            </w:r>
            <w:r>
              <w:rPr>
                <w:lang w:val="es-ES_tradnl"/>
              </w:rPr>
              <w:br/>
              <w:t>(entrada en vigor)</w:t>
            </w:r>
          </w:p>
        </w:tc>
        <w:tc>
          <w:tcPr>
            <w:tcW w:w="715" w:type="pct"/>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7" w:type="pct"/>
            <w:shd w:val="clear" w:color="auto" w:fill="auto"/>
          </w:tcPr>
          <w:p w:rsidR="003C2ABF" w:rsidRDefault="003C2ABF" w:rsidP="00947046">
            <w:pPr>
              <w:spacing w:before="40" w:after="120"/>
              <w:rPr>
                <w:lang w:val="es-ES_tradnl"/>
              </w:rPr>
            </w:pPr>
            <w:r>
              <w:rPr>
                <w:lang w:val="es-ES_tradnl"/>
              </w:rPr>
              <w:t>Convenio de Ginebra (IV) relativo a la protección debida a las personas civiles en tiempo de guerra, 1949</w:t>
            </w:r>
          </w:p>
        </w:tc>
        <w:tc>
          <w:tcPr>
            <w:tcW w:w="714" w:type="pct"/>
            <w:shd w:val="clear" w:color="auto" w:fill="auto"/>
          </w:tcPr>
          <w:p w:rsidR="003C2ABF" w:rsidRDefault="003C2ABF" w:rsidP="00947046">
            <w:pPr>
              <w:spacing w:before="40" w:after="120"/>
              <w:rPr>
                <w:lang w:val="es-ES_tradnl"/>
              </w:rPr>
            </w:pPr>
            <w:r>
              <w:rPr>
                <w:lang w:val="es-ES_tradnl"/>
              </w:rPr>
              <w:t>11 de febrero de 1950</w:t>
            </w:r>
          </w:p>
        </w:tc>
        <w:tc>
          <w:tcPr>
            <w:tcW w:w="714" w:type="pct"/>
            <w:shd w:val="clear" w:color="auto" w:fill="auto"/>
          </w:tcPr>
          <w:p w:rsidR="003C2ABF" w:rsidRDefault="003C2ABF" w:rsidP="00947046">
            <w:pPr>
              <w:spacing w:before="40" w:after="120"/>
              <w:rPr>
                <w:lang w:val="es-ES_tradnl"/>
              </w:rPr>
            </w:pPr>
            <w:r>
              <w:rPr>
                <w:lang w:val="es-ES_tradnl"/>
              </w:rPr>
              <w:t>2 de mayo de 1959</w:t>
            </w:r>
            <w:r>
              <w:rPr>
                <w:lang w:val="es-ES_tradnl"/>
              </w:rPr>
              <w:br/>
              <w:t xml:space="preserve">2 de noviembre de 1959 </w:t>
            </w:r>
            <w:r>
              <w:rPr>
                <w:lang w:val="es-ES_tradnl"/>
              </w:rPr>
              <w:br/>
              <w:t>(entrada en vigor)</w:t>
            </w:r>
          </w:p>
        </w:tc>
        <w:tc>
          <w:tcPr>
            <w:tcW w:w="715" w:type="pct"/>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7" w:type="pct"/>
            <w:shd w:val="clear" w:color="auto" w:fill="auto"/>
          </w:tcPr>
          <w:p w:rsidR="003C2ABF" w:rsidRDefault="003C2ABF" w:rsidP="00947046">
            <w:pPr>
              <w:spacing w:before="40" w:after="120"/>
              <w:rPr>
                <w:lang w:val="es-ES_tradnl"/>
              </w:rPr>
            </w:pPr>
            <w:r>
              <w:rPr>
                <w:lang w:val="es-ES_tradnl"/>
              </w:rPr>
              <w:t>Protocolo Adicional de los Convenios de Ginebra de 12 de agosto de 1949 relativo a la protección de las víctimas de los conflictos armados internacionales (Protocolo I), 1977</w:t>
            </w:r>
          </w:p>
        </w:tc>
        <w:tc>
          <w:tcPr>
            <w:tcW w:w="714" w:type="pct"/>
            <w:shd w:val="clear" w:color="auto" w:fill="auto"/>
          </w:tcPr>
          <w:p w:rsidR="003C2ABF" w:rsidRDefault="003C2ABF" w:rsidP="00947046">
            <w:pPr>
              <w:spacing w:before="40" w:after="120"/>
              <w:rPr>
                <w:lang w:val="es-ES_tradnl"/>
              </w:rPr>
            </w:pPr>
            <w:r>
              <w:rPr>
                <w:lang w:val="es-ES_tradnl"/>
              </w:rPr>
              <w:t>27 de noviembre de 1978</w:t>
            </w:r>
          </w:p>
        </w:tc>
        <w:tc>
          <w:tcPr>
            <w:tcW w:w="714" w:type="pct"/>
            <w:shd w:val="clear" w:color="auto" w:fill="auto"/>
          </w:tcPr>
          <w:p w:rsidR="003C2ABF" w:rsidRDefault="003C2ABF" w:rsidP="00947046">
            <w:pPr>
              <w:spacing w:before="40" w:after="120"/>
              <w:rPr>
                <w:lang w:val="es-ES_tradnl"/>
              </w:rPr>
            </w:pPr>
            <w:r>
              <w:rPr>
                <w:lang w:val="es-ES_tradnl"/>
              </w:rPr>
              <w:t>8 de febrero de 1988</w:t>
            </w:r>
            <w:r>
              <w:rPr>
                <w:lang w:val="es-ES_tradnl"/>
              </w:rPr>
              <w:br/>
              <w:t>8 de agosto de 1988 (entrada en vigor)</w:t>
            </w:r>
          </w:p>
        </w:tc>
        <w:tc>
          <w:tcPr>
            <w:tcW w:w="715" w:type="pct"/>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7" w:type="pct"/>
            <w:shd w:val="clear" w:color="auto" w:fill="auto"/>
          </w:tcPr>
          <w:p w:rsidR="003C2ABF" w:rsidRDefault="003C2ABF" w:rsidP="00947046">
            <w:pPr>
              <w:spacing w:before="40" w:after="120"/>
              <w:rPr>
                <w:lang w:val="es-ES_tradnl"/>
              </w:rPr>
            </w:pPr>
            <w:r>
              <w:rPr>
                <w:lang w:val="es-ES_tradnl"/>
              </w:rPr>
              <w:t>Protocolo Adicional de los Convenios de Ginebra de 12 de agosto de 1949 relativo a la protección de las víctimas de conflictos armados sin carácter internacional (Protocolo II), 1977</w:t>
            </w:r>
          </w:p>
        </w:tc>
        <w:tc>
          <w:tcPr>
            <w:tcW w:w="714" w:type="pct"/>
            <w:shd w:val="clear" w:color="auto" w:fill="auto"/>
          </w:tcPr>
          <w:p w:rsidR="003C2ABF" w:rsidRDefault="003C2ABF" w:rsidP="00947046">
            <w:pPr>
              <w:spacing w:before="40" w:after="120"/>
              <w:rPr>
                <w:lang w:val="es-ES_tradnl"/>
              </w:rPr>
            </w:pPr>
            <w:r>
              <w:rPr>
                <w:lang w:val="es-ES_tradnl"/>
              </w:rPr>
              <w:t>27 de noviembre de 1978</w:t>
            </w:r>
          </w:p>
        </w:tc>
        <w:tc>
          <w:tcPr>
            <w:tcW w:w="714" w:type="pct"/>
            <w:shd w:val="clear" w:color="auto" w:fill="auto"/>
          </w:tcPr>
          <w:p w:rsidR="003C2ABF" w:rsidRDefault="003C2ABF" w:rsidP="00947046">
            <w:pPr>
              <w:spacing w:before="40" w:after="120"/>
              <w:rPr>
                <w:lang w:val="es-ES_tradnl"/>
              </w:rPr>
            </w:pPr>
            <w:r>
              <w:rPr>
                <w:lang w:val="es-ES_tradnl"/>
              </w:rPr>
              <w:t>8 de febrero de 1988</w:t>
            </w:r>
            <w:r>
              <w:rPr>
                <w:lang w:val="es-ES_tradnl"/>
              </w:rPr>
              <w:br/>
              <w:t>8 de agosto de 1988 (entrada en vigor)</w:t>
            </w:r>
          </w:p>
        </w:tc>
        <w:tc>
          <w:tcPr>
            <w:tcW w:w="715" w:type="pct"/>
            <w:shd w:val="clear" w:color="auto" w:fill="auto"/>
          </w:tcPr>
          <w:p w:rsidR="003C2ABF" w:rsidRDefault="003C2ABF" w:rsidP="00947046">
            <w:pPr>
              <w:spacing w:before="40" w:after="120"/>
              <w:rPr>
                <w:lang w:val="es-ES_tradnl"/>
              </w:rPr>
            </w:pPr>
          </w:p>
        </w:tc>
      </w:tr>
      <w:tr w:rsidR="003C2ABF" w:rsidTr="00947046">
        <w:tblPrEx>
          <w:tblCellMar>
            <w:top w:w="0" w:type="dxa"/>
            <w:bottom w:w="0" w:type="dxa"/>
          </w:tblCellMar>
        </w:tblPrEx>
        <w:trPr>
          <w:cantSplit/>
          <w:trHeight w:val="240"/>
          <w:jc w:val="center"/>
        </w:trPr>
        <w:tc>
          <w:tcPr>
            <w:tcW w:w="2857" w:type="pct"/>
            <w:tcBorders>
              <w:bottom w:val="single" w:sz="12" w:space="0" w:color="auto"/>
            </w:tcBorders>
            <w:shd w:val="clear" w:color="auto" w:fill="auto"/>
          </w:tcPr>
          <w:p w:rsidR="003C2ABF" w:rsidRDefault="003C2ABF" w:rsidP="00947046">
            <w:pPr>
              <w:keepNext/>
              <w:spacing w:before="40" w:after="120"/>
              <w:rPr>
                <w:lang w:val="es-ES_tradnl"/>
              </w:rPr>
            </w:pPr>
            <w:r>
              <w:rPr>
                <w:lang w:val="es-ES_tradnl"/>
              </w:rPr>
              <w:t>Convención sobre la Prohibición del Empleo, Almacenamiento, Producción y Transferencia de Minas Antipersonal y sobre su Destrucción, 1987</w:t>
            </w:r>
          </w:p>
        </w:tc>
        <w:tc>
          <w:tcPr>
            <w:tcW w:w="714" w:type="pct"/>
            <w:tcBorders>
              <w:bottom w:val="single" w:sz="12" w:space="0" w:color="auto"/>
            </w:tcBorders>
            <w:shd w:val="clear" w:color="auto" w:fill="auto"/>
          </w:tcPr>
          <w:p w:rsidR="003C2ABF" w:rsidRDefault="003C2ABF" w:rsidP="00947046">
            <w:pPr>
              <w:keepNext/>
              <w:spacing w:before="40" w:after="120"/>
              <w:rPr>
                <w:lang w:val="es-ES_tradnl"/>
              </w:rPr>
            </w:pPr>
            <w:r>
              <w:rPr>
                <w:lang w:val="es-ES_tradnl"/>
              </w:rPr>
              <w:t>3 de diciembre de 1997</w:t>
            </w:r>
          </w:p>
        </w:tc>
        <w:tc>
          <w:tcPr>
            <w:tcW w:w="714" w:type="pct"/>
            <w:tcBorders>
              <w:bottom w:val="single" w:sz="12" w:space="0" w:color="auto"/>
            </w:tcBorders>
            <w:shd w:val="clear" w:color="auto" w:fill="auto"/>
          </w:tcPr>
          <w:p w:rsidR="003C2ABF" w:rsidRDefault="003C2ABF" w:rsidP="00947046">
            <w:pPr>
              <w:keepNext/>
              <w:spacing w:before="40" w:after="120"/>
              <w:rPr>
                <w:lang w:val="es-ES_tradnl"/>
              </w:rPr>
            </w:pPr>
            <w:r>
              <w:rPr>
                <w:lang w:val="es-ES_tradnl"/>
              </w:rPr>
              <w:t>27 de enero de 1999</w:t>
            </w:r>
            <w:r>
              <w:rPr>
                <w:lang w:val="es-ES_tradnl"/>
              </w:rPr>
              <w:br/>
              <w:t xml:space="preserve">1º de julio de 1999 </w:t>
            </w:r>
            <w:r>
              <w:rPr>
                <w:lang w:val="es-ES_tradnl"/>
              </w:rPr>
              <w:br/>
              <w:t>(entrada en vigor)</w:t>
            </w:r>
          </w:p>
        </w:tc>
        <w:tc>
          <w:tcPr>
            <w:tcW w:w="715" w:type="pct"/>
            <w:tcBorders>
              <w:bottom w:val="single" w:sz="12" w:space="0" w:color="auto"/>
            </w:tcBorders>
            <w:shd w:val="clear" w:color="auto" w:fill="auto"/>
          </w:tcPr>
          <w:p w:rsidR="003C2ABF" w:rsidRDefault="003C2ABF" w:rsidP="00947046">
            <w:pPr>
              <w:keepNext/>
              <w:spacing w:before="40" w:after="120"/>
              <w:rPr>
                <w:lang w:val="es-ES_tradnl"/>
              </w:rPr>
            </w:pPr>
          </w:p>
        </w:tc>
      </w:tr>
    </w:tbl>
    <w:p w:rsidR="003C2ABF" w:rsidRDefault="003C2ABF" w:rsidP="003C2ABF">
      <w:pPr>
        <w:pStyle w:val="SingleTxtG"/>
        <w:spacing w:before="240"/>
        <w:jc w:val="center"/>
        <w:rPr>
          <w:u w:val="single"/>
          <w:lang w:val="es-ES_tradnl"/>
        </w:rPr>
      </w:pPr>
      <w:r>
        <w:rPr>
          <w:u w:val="single"/>
          <w:lang w:val="es-ES_tradnl"/>
        </w:rPr>
        <w:tab/>
      </w:r>
      <w:r>
        <w:rPr>
          <w:u w:val="single"/>
          <w:lang w:val="es-ES_tradnl"/>
        </w:rPr>
        <w:tab/>
      </w:r>
      <w:r>
        <w:rPr>
          <w:u w:val="single"/>
          <w:lang w:val="es-ES_tradnl"/>
        </w:rPr>
        <w:tab/>
      </w:r>
    </w:p>
    <w:p w:rsidR="003C2ABF" w:rsidRPr="001B4095" w:rsidRDefault="003C2ABF" w:rsidP="003C2ABF">
      <w:pPr>
        <w:spacing w:after="240" w:line="240" w:lineRule="auto"/>
        <w:rPr>
          <w:lang w:val="es-ES_tradnl"/>
        </w:rPr>
      </w:pPr>
    </w:p>
    <w:sectPr w:rsidR="003C2ABF" w:rsidRPr="001B4095" w:rsidSect="00F236D5">
      <w:headerReference w:type="even" r:id="rId53"/>
      <w:headerReference w:type="default" r:id="rId54"/>
      <w:footerReference w:type="even" r:id="rId55"/>
      <w:footerReference w:type="default" r:id="rId56"/>
      <w:headerReference w:type="first" r:id="rId57"/>
      <w:pgSz w:w="16838" w:h="11906" w:orient="landscape" w:code="9"/>
      <w:pgMar w:top="1134" w:right="1701" w:bottom="1134" w:left="226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E4A" w:rsidRDefault="00E77E4A">
      <w:r>
        <w:separator/>
      </w:r>
    </w:p>
  </w:endnote>
  <w:endnote w:type="continuationSeparator" w:id="0">
    <w:p w:rsidR="00E77E4A" w:rsidRDefault="00E77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6D5" w:rsidRPr="00F236D5" w:rsidRDefault="00F236D5" w:rsidP="00F236D5">
    <w:pPr>
      <w:pStyle w:val="Footer"/>
      <w:tabs>
        <w:tab w:val="right" w:pos="9638"/>
      </w:tabs>
    </w:pPr>
    <w:r w:rsidRPr="00F236D5">
      <w:rPr>
        <w:b/>
        <w:sz w:val="18"/>
      </w:rPr>
      <w:fldChar w:fldCharType="begin"/>
    </w:r>
    <w:r w:rsidRPr="00F236D5">
      <w:rPr>
        <w:b/>
        <w:sz w:val="18"/>
      </w:rPr>
      <w:instrText xml:space="preserve"> PAGE  \* MERGEFORMAT </w:instrText>
    </w:r>
    <w:r w:rsidRPr="00F236D5">
      <w:rPr>
        <w:b/>
        <w:sz w:val="18"/>
      </w:rPr>
      <w:fldChar w:fldCharType="separate"/>
    </w:r>
    <w:r w:rsidR="00CB63B0">
      <w:rPr>
        <w:b/>
        <w:noProof/>
        <w:sz w:val="18"/>
      </w:rPr>
      <w:t>70</w:t>
    </w:r>
    <w:r w:rsidRPr="00F236D5">
      <w:rPr>
        <w:b/>
        <w:sz w:val="18"/>
      </w:rPr>
      <w:fldChar w:fldCharType="end"/>
    </w:r>
    <w:r>
      <w:rPr>
        <w:b/>
        <w:sz w:val="18"/>
      </w:rPr>
      <w:tab/>
    </w:r>
    <w:r>
      <w:t>GE.11-41620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6D5" w:rsidRPr="00F236D5" w:rsidRDefault="00F236D5" w:rsidP="00F236D5">
    <w:pPr>
      <w:pStyle w:val="Footer"/>
      <w:tabs>
        <w:tab w:val="right" w:pos="9638"/>
      </w:tabs>
      <w:rPr>
        <w:b/>
        <w:sz w:val="18"/>
      </w:rPr>
    </w:pPr>
    <w:r>
      <w:t>GE.11-41620</w:t>
    </w:r>
    <w:r>
      <w:tab/>
    </w:r>
    <w:r w:rsidRPr="00F236D5">
      <w:rPr>
        <w:b/>
        <w:sz w:val="18"/>
      </w:rPr>
      <w:fldChar w:fldCharType="begin"/>
    </w:r>
    <w:r w:rsidRPr="00F236D5">
      <w:rPr>
        <w:b/>
        <w:sz w:val="18"/>
      </w:rPr>
      <w:instrText xml:space="preserve"> PAGE  \* MERGEFORMAT </w:instrText>
    </w:r>
    <w:r w:rsidRPr="00F236D5">
      <w:rPr>
        <w:b/>
        <w:sz w:val="18"/>
      </w:rPr>
      <w:fldChar w:fldCharType="separate"/>
    </w:r>
    <w:r w:rsidR="00CB63B0">
      <w:rPr>
        <w:b/>
        <w:noProof/>
        <w:sz w:val="18"/>
      </w:rPr>
      <w:t>71</w:t>
    </w:r>
    <w:r w:rsidRPr="00F236D5">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EA" w:rsidRPr="00F236D5" w:rsidRDefault="00F236D5">
    <w:pPr>
      <w:pStyle w:val="Footer"/>
      <w:rPr>
        <w:sz w:val="20"/>
      </w:rPr>
    </w:pPr>
    <w:r>
      <w:rPr>
        <w:sz w:val="20"/>
      </w:rPr>
      <w:t>GE.</w:t>
    </w:r>
    <w:r w:rsidR="004F09E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97.15pt;margin-top:-6.95pt;width:85.5pt;height:18pt;z-index:1;mso-position-horizontal-relative:text;mso-position-vertical-relative:text" wrapcoords="18189 0 0 9900 -189 12600 -189 17100 758 19800 19516 19800 20274 19800 21032 14400 21600 14400 21600 8100 20653 0 18189 0">
          <v:imagedata r:id="rId1" o:title="recycle_Spanish"/>
          <w10:anchorlock/>
        </v:shape>
      </w:pict>
    </w:r>
    <w:r>
      <w:rPr>
        <w:sz w:val="20"/>
      </w:rPr>
      <w:t>11-41620  (S)</w:t>
    </w:r>
    <w:r w:rsidR="00BA4C8C">
      <w:rPr>
        <w:sz w:val="20"/>
      </w:rPr>
      <w:t xml:space="preserve">    120511    </w:t>
    </w:r>
    <w:r w:rsidR="00E302C4">
      <w:rPr>
        <w:sz w:val="20"/>
      </w:rPr>
      <w:t>20</w:t>
    </w:r>
    <w:r w:rsidR="00BA4C8C">
      <w:rPr>
        <w:sz w:val="20"/>
      </w:rPr>
      <w:t>0511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6D5" w:rsidRPr="00F236D5" w:rsidRDefault="00F236D5" w:rsidP="00F236D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6D5" w:rsidRPr="00F236D5" w:rsidRDefault="00F236D5" w:rsidP="00F236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E4A" w:rsidRPr="001075E9" w:rsidRDefault="00E77E4A" w:rsidP="001075E9">
      <w:pPr>
        <w:tabs>
          <w:tab w:val="right" w:pos="2155"/>
        </w:tabs>
        <w:spacing w:after="80" w:line="240" w:lineRule="auto"/>
        <w:ind w:left="680"/>
        <w:rPr>
          <w:u w:val="single"/>
        </w:rPr>
      </w:pPr>
      <w:r>
        <w:rPr>
          <w:u w:val="single"/>
        </w:rPr>
        <w:tab/>
      </w:r>
    </w:p>
  </w:footnote>
  <w:footnote w:type="continuationSeparator" w:id="0">
    <w:p w:rsidR="00E77E4A" w:rsidRDefault="00E77E4A">
      <w:r>
        <w:continuationSeparator/>
      </w:r>
    </w:p>
  </w:footnote>
  <w:footnote w:id="1">
    <w:p w:rsidR="00F236D5" w:rsidRPr="00924671" w:rsidRDefault="00F236D5" w:rsidP="00F236D5">
      <w:pPr>
        <w:pStyle w:val="FootnoteText"/>
        <w:rPr>
          <w:sz w:val="20"/>
        </w:rPr>
      </w:pPr>
      <w:r>
        <w:tab/>
      </w:r>
      <w:r w:rsidRPr="00924671">
        <w:rPr>
          <w:rStyle w:val="FootnoteReference"/>
          <w:sz w:val="20"/>
          <w:vertAlign w:val="baseline"/>
        </w:rPr>
        <w:t>*</w:t>
      </w:r>
      <w:r w:rsidRPr="00924671">
        <w:tab/>
        <w:t>Con arreglo a la información transmitida a los Estados partes acerca de</w:t>
      </w:r>
      <w:r>
        <w:t xml:space="preserve"> </w:t>
      </w:r>
      <w:r w:rsidRPr="00924671">
        <w:t>l</w:t>
      </w:r>
      <w:r>
        <w:t>a</w:t>
      </w:r>
      <w:r w:rsidRPr="00924671">
        <w:t xml:space="preserve"> </w:t>
      </w:r>
      <w:r>
        <w:t xml:space="preserve">publicación </w:t>
      </w:r>
      <w:r w:rsidRPr="00924671">
        <w:t>de sus informes, el presente documento no fue objeto de revisión editorial antes de ser enviado a los servicios de traducción de las Naciones Unidas.</w:t>
      </w:r>
    </w:p>
  </w:footnote>
  <w:footnote w:id="2">
    <w:p w:rsidR="00F236D5" w:rsidRDefault="00F236D5" w:rsidP="00F236D5">
      <w:pPr>
        <w:pStyle w:val="FootnoteText"/>
      </w:pPr>
      <w:r>
        <w:tab/>
      </w:r>
      <w:r>
        <w:rPr>
          <w:rStyle w:val="FootnoteReference"/>
        </w:rPr>
        <w:footnoteRef/>
      </w:r>
      <w:r>
        <w:tab/>
      </w:r>
      <w:r w:rsidRPr="0058324D">
        <w:t xml:space="preserve">La expresión </w:t>
      </w:r>
      <w:r>
        <w:t>"</w:t>
      </w:r>
      <w:r w:rsidRPr="0058324D">
        <w:t>pueblos del Pacífico</w:t>
      </w:r>
      <w:r>
        <w:t>"</w:t>
      </w:r>
      <w:r w:rsidRPr="0058324D">
        <w:t xml:space="preserve"> se refiere a las personas que se identifican con los países insulares del Pacífico</w:t>
      </w:r>
      <w:r>
        <w:t>.</w:t>
      </w:r>
    </w:p>
  </w:footnote>
  <w:footnote w:id="3">
    <w:p w:rsidR="00F236D5" w:rsidRDefault="00F236D5" w:rsidP="00F236D5">
      <w:pPr>
        <w:pStyle w:val="FootnoteText"/>
      </w:pPr>
      <w:r>
        <w:tab/>
      </w:r>
      <w:r>
        <w:rPr>
          <w:rStyle w:val="FootnoteReference"/>
        </w:rPr>
        <w:footnoteRef/>
      </w:r>
      <w:r>
        <w:tab/>
      </w:r>
      <w:r w:rsidRPr="00CF1D5C">
        <w:t>Todas las cantidades están expresadas en dólares neozelandeses a menos que se indique otra cosa.</w:t>
      </w:r>
    </w:p>
  </w:footnote>
  <w:footnote w:id="4">
    <w:p w:rsidR="00F236D5" w:rsidRDefault="00F236D5" w:rsidP="00F236D5">
      <w:pPr>
        <w:pStyle w:val="FootnoteText"/>
      </w:pPr>
      <w:r>
        <w:tab/>
      </w:r>
      <w:r>
        <w:rPr>
          <w:rStyle w:val="FootnoteReference"/>
        </w:rPr>
        <w:footnoteRef/>
      </w:r>
      <w:r>
        <w:tab/>
      </w:r>
      <w:r w:rsidRPr="00943553">
        <w:t>La prestación para fines domésticos es un pago sem</w:t>
      </w:r>
      <w:r>
        <w:t>a</w:t>
      </w:r>
      <w:r w:rsidRPr="00943553">
        <w:t xml:space="preserve">nal que hace el Gobierno a las familias </w:t>
      </w:r>
      <w:r>
        <w:t>monoparentales con</w:t>
      </w:r>
      <w:r w:rsidRPr="00943553">
        <w:t xml:space="preserve"> hijos a cargo</w:t>
      </w:r>
      <w:r>
        <w:t xml:space="preserve"> que no disponen de</w:t>
      </w:r>
      <w:r w:rsidRPr="00943553">
        <w:t xml:space="preserve"> ninguna otra fuente de ingresos.</w:t>
      </w:r>
    </w:p>
  </w:footnote>
  <w:footnote w:id="5">
    <w:p w:rsidR="00F236D5" w:rsidRDefault="00F236D5" w:rsidP="00F236D5">
      <w:pPr>
        <w:pStyle w:val="FootnoteText"/>
      </w:pPr>
      <w:r>
        <w:tab/>
      </w:r>
      <w:r>
        <w:rPr>
          <w:rStyle w:val="FootnoteReference"/>
        </w:rPr>
        <w:footnoteRef/>
      </w:r>
      <w:r>
        <w:tab/>
        <w:t>La renta de los hogares en Nueva Zelandia: tendencias de los indicadores de desigualdad y penuria, 1982 a 2009, estudio preparado por Brian Perry, Ministro de Desarrollo Social, agosto de 2010.</w:t>
      </w:r>
    </w:p>
  </w:footnote>
  <w:footnote w:id="6">
    <w:p w:rsidR="00F236D5" w:rsidRPr="00156040" w:rsidRDefault="00F236D5" w:rsidP="00F236D5">
      <w:pPr>
        <w:pStyle w:val="FootnoteText"/>
      </w:pPr>
      <w:r>
        <w:tab/>
      </w:r>
      <w:r>
        <w:rPr>
          <w:rStyle w:val="FootnoteReference"/>
        </w:rPr>
        <w:footnoteRef/>
      </w:r>
      <w:r>
        <w:tab/>
        <w:t>No se dispone de tasas normalizadas y desglosadas por edad para el período 2002-2005 con respecto a todas las causas de mortalidad relacionadas con el grupo étnico de los pueblos del Pacífico ni con respecto a todas las causas de mortalidad de los grupos étnicos distintos del maorí o de los pueblos del Pacífico. En esta sección se presentan datos relativos a 2006 únicamente; sin embargo, como no se registraron tendencias extremas durante ese período de cinco años, es probable que un análisis del período ulterior no arroje diferencias significativas.</w:t>
      </w:r>
    </w:p>
  </w:footnote>
  <w:footnote w:id="7">
    <w:p w:rsidR="00F236D5" w:rsidRPr="00FA315F" w:rsidRDefault="00F236D5" w:rsidP="00F236D5">
      <w:pPr>
        <w:pStyle w:val="FootnoteText"/>
      </w:pPr>
      <w:r>
        <w:tab/>
      </w:r>
      <w:r>
        <w:rPr>
          <w:rStyle w:val="FootnoteReference"/>
        </w:rPr>
        <w:footnoteRef/>
      </w:r>
      <w:r>
        <w:tab/>
      </w:r>
      <w:r w:rsidRPr="00FA315F">
        <w:t xml:space="preserve">Datos procedentes del informe </w:t>
      </w:r>
      <w:r>
        <w:t>de</w:t>
      </w:r>
      <w:r w:rsidRPr="00FA315F">
        <w:t xml:space="preserve"> 2009 del Comité de </w:t>
      </w:r>
      <w:r>
        <w:t>E</w:t>
      </w:r>
      <w:r w:rsidRPr="00FA315F">
        <w:t xml:space="preserve">xamen de la </w:t>
      </w:r>
      <w:r>
        <w:t>M</w:t>
      </w:r>
      <w:r w:rsidRPr="00FA315F">
        <w:t xml:space="preserve">ortalidad </w:t>
      </w:r>
      <w:r>
        <w:t>I</w:t>
      </w:r>
      <w:r w:rsidRPr="00FA315F">
        <w:t xml:space="preserve">nfantil y </w:t>
      </w:r>
      <w:r>
        <w:t>J</w:t>
      </w:r>
      <w:r w:rsidRPr="00FA315F">
        <w:t>uvenil</w:t>
      </w:r>
      <w:r>
        <w:t xml:space="preserve"> (CYMRC), </w:t>
      </w:r>
      <w:r w:rsidRPr="00FA315F">
        <w:t>www.cymrc.govt.nz</w:t>
      </w:r>
      <w:r>
        <w:t xml:space="preserve">. Este Comité </w:t>
      </w:r>
      <w:r w:rsidRPr="00266E79">
        <w:t>fue</w:t>
      </w:r>
      <w:r>
        <w:t xml:space="preserve"> creado por el Ministerio de Salud en 2009 con el mandato de estudiar la mortalidad de los niños y jóvenes entre las edades de 28 días y 24 años.</w:t>
      </w:r>
    </w:p>
  </w:footnote>
  <w:footnote w:id="8">
    <w:p w:rsidR="00F236D5" w:rsidRPr="00FA315F" w:rsidRDefault="00F236D5" w:rsidP="00F236D5">
      <w:pPr>
        <w:pStyle w:val="FootnoteText"/>
      </w:pPr>
      <w:r>
        <w:tab/>
      </w:r>
      <w:r w:rsidRPr="00FA315F">
        <w:rPr>
          <w:rStyle w:val="FootnoteReference"/>
        </w:rPr>
        <w:footnoteRef/>
      </w:r>
      <w:r>
        <w:tab/>
      </w:r>
      <w:r w:rsidRPr="00FA315F">
        <w:t>Las enfermedades incluidas son las siguientes</w:t>
      </w:r>
      <w:r>
        <w:t xml:space="preserve">: infarto de miocardio agudo; enfermedad cerebrovascular; diabetes; enfermedades diarreicas; hepatitis; VIH/SIDA; hipertensión; fiebre reumática; cardiopatía reumática; tuberculosis; infección respiratoria aguda. Esta última se ha dividido en tres grupos a efectos de su </w:t>
      </w:r>
      <w:r w:rsidRPr="001F1FB3">
        <w:t>representación</w:t>
      </w:r>
      <w:r>
        <w:t xml:space="preserve"> gráfica: enfermedad aguda de las vías respiratorias inferiores (enfermedades que afectan a las vías respiratorias inferiores, incluidos los pulmones, y enfermedad pulmonar obstructiva crónica, enfisema, bronquitis, asma, tuberculosis y dolencias que afectan a los fumadores); enfermedad aguda de las vías respiratorias superiores (enfermedades causadas por una infección aguda de las vías respiratorias superiores: nariz, senos nasales, faringe o laringe); influenza y neumonía.</w:t>
      </w:r>
    </w:p>
  </w:footnote>
  <w:footnote w:id="9">
    <w:p w:rsidR="00F236D5" w:rsidRPr="00B0169E" w:rsidRDefault="00F236D5" w:rsidP="00F236D5">
      <w:pPr>
        <w:pStyle w:val="FootnoteText"/>
      </w:pPr>
      <w:r>
        <w:tab/>
      </w:r>
      <w:r>
        <w:rPr>
          <w:rStyle w:val="FootnoteReference"/>
        </w:rPr>
        <w:footnoteRef/>
      </w:r>
      <w:r w:rsidRPr="00B0169E">
        <w:rPr>
          <w:lang w:val="en-GB"/>
        </w:rPr>
        <w:tab/>
      </w:r>
      <w:r w:rsidRPr="00B0169E">
        <w:rPr>
          <w:i/>
          <w:lang w:val="en-GB"/>
        </w:rPr>
        <w:t>Family Doctors: Methodology and description of the activity of private GPs: The National Primary Medical Care Survey</w:t>
      </w:r>
      <w:r w:rsidRPr="00B0169E">
        <w:rPr>
          <w:lang w:val="en-GB"/>
        </w:rPr>
        <w:t xml:space="preserve"> (NatMedCa): 2001/02. </w:t>
      </w:r>
      <w:r w:rsidRPr="00B0169E">
        <w:t>Report 1. Wellington: Ministerio de Salud. Este informe se basa en datos facilitados por 199 médicos generalistas privados que mantuvieron registros de 36.211 consultas y proporcionaron información detallada sobre 8.258 de ellas.</w:t>
      </w:r>
      <w:r>
        <w:tab/>
      </w:r>
    </w:p>
  </w:footnote>
  <w:footnote w:id="10">
    <w:p w:rsidR="00F236D5" w:rsidRPr="00B0169E" w:rsidRDefault="00F236D5" w:rsidP="00F236D5">
      <w:pPr>
        <w:pStyle w:val="FootnoteText"/>
        <w:widowControl w:val="0"/>
        <w:tabs>
          <w:tab w:val="clear" w:pos="1021"/>
          <w:tab w:val="right" w:pos="1020"/>
        </w:tabs>
        <w:suppressAutoHyphens/>
      </w:pPr>
      <w:r>
        <w:tab/>
      </w:r>
      <w:r>
        <w:rPr>
          <w:rStyle w:val="FootnoteReference"/>
        </w:rPr>
        <w:footnoteRef/>
      </w:r>
      <w:r>
        <w:tab/>
      </w:r>
      <w:r w:rsidRPr="00B0169E">
        <w:t>Datos sobre el VIH/SIDA reunidos por el Grupo de Epidemiología sobre el SIDA de la Universidad de Otago (http://dnmeds.otago.ac.nz/departments/psm/research/aids/index.html; email: aidsepigroup@otago.ac.nz).</w:t>
      </w:r>
    </w:p>
  </w:footnote>
  <w:footnote w:id="11">
    <w:p w:rsidR="00F236D5" w:rsidRPr="00AB1EE0" w:rsidRDefault="00F236D5" w:rsidP="00F236D5">
      <w:pPr>
        <w:pStyle w:val="FootnoteText"/>
        <w:spacing w:line="240" w:lineRule="auto"/>
        <w:rPr>
          <w:lang w:val="en-GB"/>
        </w:rPr>
      </w:pPr>
      <w:r w:rsidRPr="00F236D5">
        <w:rPr>
          <w:i/>
          <w:iCs/>
        </w:rPr>
        <w:tab/>
      </w:r>
      <w:r>
        <w:rPr>
          <w:rStyle w:val="FootnoteReference"/>
        </w:rPr>
        <w:footnoteRef/>
      </w:r>
      <w:r>
        <w:rPr>
          <w:i/>
          <w:iCs/>
          <w:lang w:val="en-GB"/>
        </w:rPr>
        <w:tab/>
      </w:r>
      <w:r w:rsidRPr="00AB1EE0">
        <w:rPr>
          <w:i/>
          <w:iCs/>
          <w:lang w:val="en-GB"/>
        </w:rPr>
        <w:t>Simpson v. Attorney-General</w:t>
      </w:r>
      <w:r w:rsidRPr="00AB1EE0">
        <w:rPr>
          <w:lang w:val="en-GB"/>
        </w:rPr>
        <w:t xml:space="preserve"> [1994] 3 NZLR 667 (caso </w:t>
      </w:r>
      <w:r w:rsidRPr="00AB1EE0">
        <w:rPr>
          <w:i/>
          <w:iCs/>
          <w:lang w:val="en-GB"/>
        </w:rPr>
        <w:t>Baigent</w:t>
      </w:r>
      <w:r w:rsidRPr="00AB1EE0">
        <w:rPr>
          <w:lang w:val="en-GB"/>
        </w:rPr>
        <w:t>).</w:t>
      </w:r>
    </w:p>
  </w:footnote>
  <w:footnote w:id="12">
    <w:p w:rsidR="00F236D5" w:rsidRPr="00F63A2F" w:rsidRDefault="00F236D5" w:rsidP="00F236D5">
      <w:pPr>
        <w:pStyle w:val="FootnoteText"/>
        <w:spacing w:line="240" w:lineRule="auto"/>
        <w:rPr>
          <w:lang w:val="en-US"/>
        </w:rPr>
      </w:pPr>
      <w:r>
        <w:rPr>
          <w:lang w:val="en-US"/>
        </w:rPr>
        <w:tab/>
      </w:r>
      <w:r>
        <w:rPr>
          <w:rStyle w:val="FootnoteReference"/>
        </w:rPr>
        <w:footnoteRef/>
      </w:r>
      <w:r>
        <w:rPr>
          <w:lang w:val="en-US"/>
        </w:rPr>
        <w:tab/>
      </w:r>
      <w:r w:rsidRPr="00F63A2F">
        <w:rPr>
          <w:i/>
          <w:iCs/>
          <w:lang w:val="en-US"/>
        </w:rPr>
        <w:t xml:space="preserve">Martin </w:t>
      </w:r>
      <w:r>
        <w:rPr>
          <w:i/>
          <w:iCs/>
          <w:lang w:val="en-US"/>
        </w:rPr>
        <w:t>v</w:t>
      </w:r>
      <w:r w:rsidRPr="00F63A2F">
        <w:rPr>
          <w:i/>
          <w:iCs/>
          <w:lang w:val="en-US"/>
        </w:rPr>
        <w:t>. Tauranga</w:t>
      </w:r>
      <w:r>
        <w:rPr>
          <w:i/>
          <w:iCs/>
          <w:lang w:val="en-US"/>
        </w:rPr>
        <w:t xml:space="preserve"> District Court</w:t>
      </w:r>
      <w:r w:rsidRPr="00F63A2F">
        <w:rPr>
          <w:i/>
          <w:iCs/>
          <w:lang w:val="en-US"/>
        </w:rPr>
        <w:t xml:space="preserve"> </w:t>
      </w:r>
      <w:r w:rsidRPr="00F63A2F">
        <w:rPr>
          <w:lang w:val="en-US"/>
        </w:rPr>
        <w:t>[1995] 2 NZLR 419.</w:t>
      </w:r>
    </w:p>
  </w:footnote>
  <w:footnote w:id="13">
    <w:p w:rsidR="00F236D5" w:rsidRPr="00AB1EE0" w:rsidRDefault="00F236D5" w:rsidP="00F236D5">
      <w:pPr>
        <w:pStyle w:val="FootnoteText"/>
        <w:spacing w:line="240" w:lineRule="auto"/>
        <w:rPr>
          <w:lang w:val="en-GB"/>
        </w:rPr>
      </w:pPr>
      <w:r>
        <w:rPr>
          <w:i/>
          <w:iCs/>
          <w:lang w:val="en-GB"/>
        </w:rPr>
        <w:tab/>
      </w:r>
      <w:r>
        <w:rPr>
          <w:rStyle w:val="FootnoteReference"/>
        </w:rPr>
        <w:footnoteRef/>
      </w:r>
      <w:r>
        <w:rPr>
          <w:i/>
          <w:iCs/>
          <w:lang w:val="en-GB"/>
        </w:rPr>
        <w:tab/>
      </w:r>
      <w:r w:rsidRPr="00AB1EE0">
        <w:rPr>
          <w:i/>
          <w:iCs/>
          <w:lang w:val="en-GB"/>
        </w:rPr>
        <w:t>Moonen v. Film and Literature Board of Review</w:t>
      </w:r>
      <w:r w:rsidRPr="00AB1EE0">
        <w:rPr>
          <w:lang w:val="en-GB"/>
        </w:rPr>
        <w:t xml:space="preserve"> [2000] 2 NZLR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6D5" w:rsidRPr="00F236D5" w:rsidRDefault="00F236D5">
    <w:pPr>
      <w:pStyle w:val="Header"/>
    </w:pPr>
    <w:r>
      <w:t>HRI/CORE/NZL/2010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6D5" w:rsidRPr="00F236D5" w:rsidRDefault="00F236D5" w:rsidP="00F236D5">
    <w:pPr>
      <w:pStyle w:val="Header"/>
      <w:jc w:val="right"/>
    </w:pPr>
    <w:r>
      <w:t>HRI/CORE/NZL/2010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6D5" w:rsidRPr="00F236D5" w:rsidRDefault="00F236D5" w:rsidP="00F236D5">
    <w:pPr>
      <w:pStyle w:val="Header"/>
      <w:pBdr>
        <w:bottom w:val="none" w:sz="0" w:space="0" w:color="auto"/>
      </w:pBdr>
    </w:pPr>
    <w:r>
      <w:rPr>
        <w:noProof/>
      </w:rPr>
      <w:pict>
        <v:shapetype id="_x0000_t202" coordsize="21600,21600" o:spt="202" path="m,l,21600r21600,l21600,xe">
          <v:stroke joinstyle="miter"/>
          <v:path gradientshapeok="t" o:connecttype="rect"/>
        </v:shapetype>
        <v:shape id="_x0000_s2051" type="#_x0000_t202" style="position:absolute;margin-left:83.3pt;margin-top:56.65pt;width:17.55pt;height:481.9pt;z-index:3;mso-position-horizontal-relative:page;mso-position-vertical-relative:page" stroked="f">
          <v:textbox style="layout-flow:vertical" inset="0,0,0,0">
            <w:txbxContent>
              <w:p w:rsidR="00F236D5" w:rsidRPr="00F236D5" w:rsidRDefault="00F236D5" w:rsidP="00F236D5">
                <w:pPr>
                  <w:pStyle w:val="Footer"/>
                  <w:tabs>
                    <w:tab w:val="right" w:pos="9638"/>
                  </w:tabs>
                </w:pPr>
                <w:r w:rsidRPr="00F236D5">
                  <w:rPr>
                    <w:b/>
                    <w:sz w:val="18"/>
                  </w:rPr>
                  <w:fldChar w:fldCharType="begin"/>
                </w:r>
                <w:r w:rsidRPr="00F236D5">
                  <w:rPr>
                    <w:b/>
                    <w:sz w:val="18"/>
                  </w:rPr>
                  <w:instrText xml:space="preserve"> PAGE  \* MERGEFORMAT </w:instrText>
                </w:r>
                <w:r w:rsidRPr="00F236D5">
                  <w:rPr>
                    <w:b/>
                    <w:sz w:val="18"/>
                  </w:rPr>
                  <w:fldChar w:fldCharType="separate"/>
                </w:r>
                <w:r w:rsidR="00CB63B0">
                  <w:rPr>
                    <w:b/>
                    <w:noProof/>
                    <w:sz w:val="18"/>
                  </w:rPr>
                  <w:t>72</w:t>
                </w:r>
                <w:r w:rsidRPr="00F236D5">
                  <w:rPr>
                    <w:b/>
                    <w:sz w:val="18"/>
                  </w:rPr>
                  <w:fldChar w:fldCharType="end"/>
                </w:r>
                <w:r>
                  <w:rPr>
                    <w:b/>
                    <w:sz w:val="18"/>
                  </w:rPr>
                  <w:tab/>
                </w:r>
                <w:r>
                  <w:t>GE.11-41620</w:t>
                </w:r>
              </w:p>
              <w:p w:rsidR="00F236D5" w:rsidRDefault="00F236D5"/>
            </w:txbxContent>
          </v:textbox>
          <w10:anchorlock/>
        </v:shape>
      </w:pict>
    </w:r>
    <w:r>
      <w:rPr>
        <w:noProof/>
      </w:rPr>
      <w:pict>
        <v:shape id="_x0000_s2050" type="#_x0000_t202" style="position:absolute;margin-left:771pt;margin-top:56.65pt;width:17.55pt;height:481.9pt;z-index:2;mso-position-horizontal-relative:page;mso-position-vertical-relative:page" stroked="f">
          <v:textbox style="layout-flow:vertical" inset="0,0,0,0">
            <w:txbxContent>
              <w:p w:rsidR="00F236D5" w:rsidRPr="00F236D5" w:rsidRDefault="00F236D5" w:rsidP="00F236D5">
                <w:pPr>
                  <w:pStyle w:val="Header"/>
                </w:pPr>
                <w:r>
                  <w:t>HRI/CORE/NZL/2010</w:t>
                </w:r>
              </w:p>
              <w:p w:rsidR="00F236D5" w:rsidRDefault="00F236D5"/>
            </w:txbxContent>
          </v:textbox>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6D5" w:rsidRPr="00F236D5" w:rsidRDefault="00F236D5" w:rsidP="00F236D5">
    <w:pPr>
      <w:pStyle w:val="Header"/>
      <w:pBdr>
        <w:bottom w:val="none" w:sz="0" w:space="0" w:color="auto"/>
      </w:pBdr>
    </w:pPr>
    <w:r>
      <w:rPr>
        <w:noProof/>
      </w:rPr>
      <w:pict>
        <v:shapetype id="_x0000_t202" coordsize="21600,21600" o:spt="202" path="m,l,21600r21600,l21600,xe">
          <v:stroke joinstyle="miter"/>
          <v:path gradientshapeok="t" o:connecttype="rect"/>
        </v:shapetype>
        <v:shape id="_x0000_s2053" type="#_x0000_t202" style="position:absolute;margin-left:78.5pt;margin-top:56.65pt;width:17.55pt;height:481.9pt;z-index:5;mso-position-horizontal-relative:page;mso-position-vertical-relative:page" stroked="f">
          <v:textbox style="layout-flow:vertical" inset="0,0,0,0">
            <w:txbxContent>
              <w:p w:rsidR="00F236D5" w:rsidRPr="00F236D5" w:rsidRDefault="00F236D5" w:rsidP="00F236D5">
                <w:pPr>
                  <w:pStyle w:val="Footer"/>
                  <w:tabs>
                    <w:tab w:val="right" w:pos="9598"/>
                  </w:tabs>
                  <w:rPr>
                    <w:b/>
                    <w:sz w:val="18"/>
                  </w:rPr>
                </w:pPr>
                <w:r>
                  <w:t>GE.11-41620</w:t>
                </w:r>
                <w:r>
                  <w:tab/>
                </w:r>
                <w:r w:rsidRPr="00F236D5">
                  <w:rPr>
                    <w:b/>
                    <w:sz w:val="18"/>
                  </w:rPr>
                  <w:fldChar w:fldCharType="begin"/>
                </w:r>
                <w:r w:rsidRPr="00F236D5">
                  <w:rPr>
                    <w:b/>
                    <w:sz w:val="18"/>
                  </w:rPr>
                  <w:instrText xml:space="preserve"> PAGE  \* MERGEFORMAT </w:instrText>
                </w:r>
                <w:r w:rsidRPr="00F236D5">
                  <w:rPr>
                    <w:b/>
                    <w:sz w:val="18"/>
                  </w:rPr>
                  <w:fldChar w:fldCharType="separate"/>
                </w:r>
                <w:r w:rsidR="00CB63B0">
                  <w:rPr>
                    <w:b/>
                    <w:noProof/>
                    <w:sz w:val="18"/>
                  </w:rPr>
                  <w:t>83</w:t>
                </w:r>
                <w:r w:rsidRPr="00F236D5">
                  <w:rPr>
                    <w:b/>
                    <w:sz w:val="18"/>
                  </w:rPr>
                  <w:fldChar w:fldCharType="end"/>
                </w:r>
              </w:p>
              <w:p w:rsidR="00F236D5" w:rsidRDefault="00F236D5"/>
            </w:txbxContent>
          </v:textbox>
          <w10:anchorlock/>
        </v:shape>
      </w:pict>
    </w:r>
    <w:r>
      <w:rPr>
        <w:noProof/>
      </w:rPr>
      <w:pict>
        <v:shape id="_x0000_s2052" type="#_x0000_t202" style="position:absolute;margin-left:768.15pt;margin-top:56.65pt;width:17.55pt;height:481.9pt;z-index:4;mso-position-horizontal-relative:page;mso-position-vertical-relative:page" stroked="f">
          <v:textbox style="layout-flow:vertical" inset="0,0,0,0">
            <w:txbxContent>
              <w:p w:rsidR="00F236D5" w:rsidRPr="00F236D5" w:rsidRDefault="00F236D5" w:rsidP="00F236D5">
                <w:pPr>
                  <w:pStyle w:val="Header"/>
                  <w:jc w:val="right"/>
                </w:pPr>
                <w:r>
                  <w:t>HRI/CORE/NZL/2010</w:t>
                </w:r>
              </w:p>
              <w:p w:rsidR="00F236D5" w:rsidRDefault="00F236D5"/>
            </w:txbxContent>
          </v:textbox>
          <w10:anchorlock/>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6D5" w:rsidRDefault="00F236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F4F98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B84A9F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766AF7A"/>
    <w:lvl w:ilvl="0">
      <w:start w:val="1"/>
      <w:numFmt w:val="decimal"/>
      <w:pStyle w:val="ListNumber3"/>
      <w:lvlText w:val="%1."/>
      <w:lvlJc w:val="left"/>
      <w:pPr>
        <w:tabs>
          <w:tab w:val="num" w:pos="926"/>
        </w:tabs>
        <w:ind w:left="926" w:hanging="360"/>
      </w:pPr>
    </w:lvl>
  </w:abstractNum>
  <w:abstractNum w:abstractNumId="3">
    <w:nsid w:val="FFFFFF7F"/>
    <w:multiLevelType w:val="singleLevel"/>
    <w:tmpl w:val="E9364602"/>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E641A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E4A488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44C40A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D24638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E87518"/>
    <w:lvl w:ilvl="0">
      <w:start w:val="1"/>
      <w:numFmt w:val="decimal"/>
      <w:pStyle w:val="ListNumber"/>
      <w:lvlText w:val="%1."/>
      <w:lvlJc w:val="left"/>
      <w:pPr>
        <w:tabs>
          <w:tab w:val="num" w:pos="360"/>
        </w:tabs>
        <w:ind w:left="360" w:hanging="360"/>
      </w:pPr>
    </w:lvl>
  </w:abstractNum>
  <w:abstractNum w:abstractNumId="9">
    <w:nsid w:val="FFFFFF89"/>
    <w:multiLevelType w:val="singleLevel"/>
    <w:tmpl w:val="5670838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6A7743B"/>
    <w:multiLevelType w:val="hybridMultilevel"/>
    <w:tmpl w:val="165289D8"/>
    <w:lvl w:ilvl="0" w:tplc="14C64E84">
      <w:start w:val="1"/>
      <w:numFmt w:val="bullet"/>
      <w:pStyle w:val="Bullet2G"/>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5E6B006F"/>
    <w:multiLevelType w:val="multilevel"/>
    <w:tmpl w:val="0C0A0023"/>
    <w:styleLink w:val="ArticleSectio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2"/>
  </w:num>
  <w:num w:numId="2">
    <w:abstractNumId w:val="10"/>
  </w:num>
  <w:num w:numId="3">
    <w:abstractNumId w:val="14"/>
  </w:num>
  <w:num w:numId="4">
    <w:abstractNumId w:val="13"/>
  </w:num>
  <w:num w:numId="5">
    <w:abstractNumId w:val="11"/>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F09EA"/>
    <w:rsid w:val="00017119"/>
    <w:rsid w:val="00033EE1"/>
    <w:rsid w:val="000402F8"/>
    <w:rsid w:val="000B57E7"/>
    <w:rsid w:val="000C6966"/>
    <w:rsid w:val="000F09DF"/>
    <w:rsid w:val="000F61B2"/>
    <w:rsid w:val="001075E9"/>
    <w:rsid w:val="001256EA"/>
    <w:rsid w:val="001560AB"/>
    <w:rsid w:val="001611AC"/>
    <w:rsid w:val="00180183"/>
    <w:rsid w:val="0018649F"/>
    <w:rsid w:val="00196389"/>
    <w:rsid w:val="001B6D15"/>
    <w:rsid w:val="001B79EB"/>
    <w:rsid w:val="001C7A89"/>
    <w:rsid w:val="00275991"/>
    <w:rsid w:val="00281A85"/>
    <w:rsid w:val="002A2EFC"/>
    <w:rsid w:val="002B0F41"/>
    <w:rsid w:val="002C0E18"/>
    <w:rsid w:val="002D5AAC"/>
    <w:rsid w:val="00301299"/>
    <w:rsid w:val="00310833"/>
    <w:rsid w:val="00322004"/>
    <w:rsid w:val="003402C2"/>
    <w:rsid w:val="003809AF"/>
    <w:rsid w:val="00381C24"/>
    <w:rsid w:val="003958D0"/>
    <w:rsid w:val="003A76E8"/>
    <w:rsid w:val="003B00E5"/>
    <w:rsid w:val="003C2ABF"/>
    <w:rsid w:val="003E1BB1"/>
    <w:rsid w:val="00414A16"/>
    <w:rsid w:val="00427F10"/>
    <w:rsid w:val="00454E07"/>
    <w:rsid w:val="00465412"/>
    <w:rsid w:val="004705A5"/>
    <w:rsid w:val="004C662A"/>
    <w:rsid w:val="004D3D0B"/>
    <w:rsid w:val="004D45DB"/>
    <w:rsid w:val="004F09EA"/>
    <w:rsid w:val="0050108D"/>
    <w:rsid w:val="00513FB9"/>
    <w:rsid w:val="00515B0A"/>
    <w:rsid w:val="00557AA7"/>
    <w:rsid w:val="00572E19"/>
    <w:rsid w:val="005969C2"/>
    <w:rsid w:val="005A1AA8"/>
    <w:rsid w:val="005B4E73"/>
    <w:rsid w:val="005C43E4"/>
    <w:rsid w:val="005F0B42"/>
    <w:rsid w:val="0065294B"/>
    <w:rsid w:val="00666938"/>
    <w:rsid w:val="006B7E9E"/>
    <w:rsid w:val="006C1EF8"/>
    <w:rsid w:val="006E0F88"/>
    <w:rsid w:val="006F35EE"/>
    <w:rsid w:val="007021FF"/>
    <w:rsid w:val="007358B2"/>
    <w:rsid w:val="00757357"/>
    <w:rsid w:val="00764249"/>
    <w:rsid w:val="00772BCD"/>
    <w:rsid w:val="007972A8"/>
    <w:rsid w:val="007B24D2"/>
    <w:rsid w:val="0082699E"/>
    <w:rsid w:val="00834B71"/>
    <w:rsid w:val="008504FF"/>
    <w:rsid w:val="0086445C"/>
    <w:rsid w:val="0088626E"/>
    <w:rsid w:val="008945EB"/>
    <w:rsid w:val="008A08D7"/>
    <w:rsid w:val="008C1073"/>
    <w:rsid w:val="00906890"/>
    <w:rsid w:val="00947046"/>
    <w:rsid w:val="00951972"/>
    <w:rsid w:val="0096216B"/>
    <w:rsid w:val="00996BF2"/>
    <w:rsid w:val="009D0F1D"/>
    <w:rsid w:val="009E2E33"/>
    <w:rsid w:val="009E38EA"/>
    <w:rsid w:val="009F1B0D"/>
    <w:rsid w:val="00A508B3"/>
    <w:rsid w:val="00A917B3"/>
    <w:rsid w:val="00AB4B51"/>
    <w:rsid w:val="00B10CC7"/>
    <w:rsid w:val="00B31513"/>
    <w:rsid w:val="00B376D5"/>
    <w:rsid w:val="00B43F85"/>
    <w:rsid w:val="00B62458"/>
    <w:rsid w:val="00BA4C8C"/>
    <w:rsid w:val="00BA56B6"/>
    <w:rsid w:val="00BB6203"/>
    <w:rsid w:val="00BD33EE"/>
    <w:rsid w:val="00C324BD"/>
    <w:rsid w:val="00C57E42"/>
    <w:rsid w:val="00C60F0C"/>
    <w:rsid w:val="00C805C9"/>
    <w:rsid w:val="00CA1679"/>
    <w:rsid w:val="00CB0B12"/>
    <w:rsid w:val="00CB3FA8"/>
    <w:rsid w:val="00CB63B0"/>
    <w:rsid w:val="00D05606"/>
    <w:rsid w:val="00D33D63"/>
    <w:rsid w:val="00D346B4"/>
    <w:rsid w:val="00D4001E"/>
    <w:rsid w:val="00D90138"/>
    <w:rsid w:val="00DB6076"/>
    <w:rsid w:val="00DC036C"/>
    <w:rsid w:val="00E17493"/>
    <w:rsid w:val="00E2391B"/>
    <w:rsid w:val="00E302C4"/>
    <w:rsid w:val="00E73F76"/>
    <w:rsid w:val="00E77E4A"/>
    <w:rsid w:val="00EB4E0C"/>
    <w:rsid w:val="00EC2B77"/>
    <w:rsid w:val="00EF1360"/>
    <w:rsid w:val="00EF3220"/>
    <w:rsid w:val="00EF62BD"/>
    <w:rsid w:val="00F236D5"/>
    <w:rsid w:val="00F2520F"/>
    <w:rsid w:val="00F43394"/>
    <w:rsid w:val="00F80811"/>
    <w:rsid w:val="00F871AE"/>
    <w:rsid w:val="00F94155"/>
    <w:rsid w:val="00FC2C61"/>
    <w:rsid w:val="00FD2EF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520F"/>
    <w:pPr>
      <w:spacing w:line="240" w:lineRule="atLeast"/>
    </w:pPr>
    <w:rPr>
      <w:lang w:val="es-ES" w:eastAsia="es-ES"/>
    </w:rPr>
  </w:style>
  <w:style w:type="paragraph" w:styleId="Heading1">
    <w:name w:val="heading 1"/>
    <w:aliases w:val="Table_G"/>
    <w:basedOn w:val="SingleTxtG"/>
    <w:next w:val="SingleTxtG"/>
    <w:link w:val="Heading1Char"/>
    <w:qFormat/>
    <w:rsid w:val="00B43F85"/>
    <w:pPr>
      <w:keepNext/>
      <w:spacing w:after="0" w:line="240" w:lineRule="auto"/>
      <w:outlineLvl w:val="0"/>
    </w:pPr>
    <w:rPr>
      <w:rFonts w:cs="Arial"/>
      <w:bCs/>
      <w:szCs w:val="32"/>
    </w:rPr>
  </w:style>
  <w:style w:type="paragraph" w:styleId="Heading2">
    <w:name w:val="heading 2"/>
    <w:basedOn w:val="Normal"/>
    <w:next w:val="Normal"/>
    <w:qFormat/>
    <w:rsid w:val="00F2520F"/>
    <w:pPr>
      <w:keepNext/>
      <w:outlineLvl w:val="1"/>
    </w:pPr>
    <w:rPr>
      <w:rFonts w:cs="Arial"/>
      <w:bCs/>
      <w:iCs/>
      <w:szCs w:val="28"/>
    </w:rPr>
  </w:style>
  <w:style w:type="paragraph" w:styleId="Heading3">
    <w:name w:val="heading 3"/>
    <w:basedOn w:val="Normal"/>
    <w:next w:val="Normal"/>
    <w:qFormat/>
    <w:rsid w:val="00F2520F"/>
    <w:pPr>
      <w:keepNext/>
      <w:spacing w:before="240" w:after="60"/>
      <w:outlineLvl w:val="2"/>
    </w:pPr>
    <w:rPr>
      <w:rFonts w:ascii="Arial" w:hAnsi="Arial" w:cs="Arial"/>
      <w:b/>
      <w:bCs/>
      <w:sz w:val="26"/>
      <w:szCs w:val="26"/>
    </w:rPr>
  </w:style>
  <w:style w:type="paragraph" w:styleId="Heading4">
    <w:name w:val="heading 4"/>
    <w:basedOn w:val="Normal"/>
    <w:next w:val="Normal"/>
    <w:qFormat/>
    <w:rsid w:val="00F2520F"/>
    <w:pPr>
      <w:keepNext/>
      <w:spacing w:before="240" w:after="60"/>
      <w:outlineLvl w:val="3"/>
    </w:pPr>
    <w:rPr>
      <w:b/>
      <w:bCs/>
      <w:sz w:val="28"/>
      <w:szCs w:val="28"/>
    </w:rPr>
  </w:style>
  <w:style w:type="paragraph" w:styleId="Heading5">
    <w:name w:val="heading 5"/>
    <w:basedOn w:val="Normal"/>
    <w:next w:val="Normal"/>
    <w:qFormat/>
    <w:rsid w:val="00F2520F"/>
    <w:pPr>
      <w:spacing w:before="240" w:after="60"/>
      <w:outlineLvl w:val="4"/>
    </w:pPr>
    <w:rPr>
      <w:b/>
      <w:bCs/>
      <w:i/>
      <w:iCs/>
      <w:sz w:val="26"/>
      <w:szCs w:val="26"/>
    </w:rPr>
  </w:style>
  <w:style w:type="paragraph" w:styleId="Heading6">
    <w:name w:val="heading 6"/>
    <w:basedOn w:val="Normal"/>
    <w:next w:val="Normal"/>
    <w:qFormat/>
    <w:rsid w:val="00F2520F"/>
    <w:pPr>
      <w:spacing w:before="240" w:after="60"/>
      <w:outlineLvl w:val="5"/>
    </w:pPr>
    <w:rPr>
      <w:b/>
      <w:bCs/>
      <w:sz w:val="22"/>
      <w:szCs w:val="22"/>
    </w:rPr>
  </w:style>
  <w:style w:type="paragraph" w:styleId="Heading7">
    <w:name w:val="heading 7"/>
    <w:basedOn w:val="Normal"/>
    <w:next w:val="Normal"/>
    <w:qFormat/>
    <w:rsid w:val="00F2520F"/>
    <w:pPr>
      <w:spacing w:before="240" w:after="60"/>
      <w:outlineLvl w:val="6"/>
    </w:pPr>
    <w:rPr>
      <w:sz w:val="24"/>
      <w:szCs w:val="24"/>
    </w:rPr>
  </w:style>
  <w:style w:type="paragraph" w:styleId="Heading8">
    <w:name w:val="heading 8"/>
    <w:basedOn w:val="Normal"/>
    <w:next w:val="Normal"/>
    <w:qFormat/>
    <w:rsid w:val="00F2520F"/>
    <w:pPr>
      <w:spacing w:before="240" w:after="60"/>
      <w:outlineLvl w:val="7"/>
    </w:pPr>
    <w:rPr>
      <w:i/>
      <w:iCs/>
      <w:sz w:val="24"/>
      <w:szCs w:val="24"/>
    </w:rPr>
  </w:style>
  <w:style w:type="paragraph" w:styleId="Heading9">
    <w:name w:val="heading 9"/>
    <w:basedOn w:val="Normal"/>
    <w:next w:val="Normal"/>
    <w:qFormat/>
    <w:rsid w:val="00F2520F"/>
    <w:pPr>
      <w:spacing w:before="240" w:after="60"/>
      <w:outlineLvl w:val="8"/>
    </w:pPr>
    <w:rPr>
      <w:rFonts w:ascii="Arial" w:hAnsi="Arial" w:cs="Arial"/>
      <w:sz w:val="22"/>
      <w:szCs w:val="22"/>
    </w:rPr>
  </w:style>
  <w:style w:type="character" w:default="1" w:styleId="DefaultParagraphFont">
    <w:name w:val="Default Paragraph Font"/>
    <w:semiHidden/>
    <w:rsid w:val="00F2520F"/>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F2520F"/>
  </w:style>
  <w:style w:type="character" w:styleId="FootnoteReference">
    <w:name w:val="footnote reference"/>
    <w:aliases w:val="4_G"/>
    <w:rsid w:val="00F2520F"/>
    <w:rPr>
      <w:rFonts w:ascii="Times New Roman" w:hAnsi="Times New Roman"/>
      <w:sz w:val="18"/>
      <w:vertAlign w:val="superscript"/>
    </w:rPr>
  </w:style>
  <w:style w:type="paragraph" w:customStyle="1" w:styleId="HMG">
    <w:name w:val="_ H __M_G"/>
    <w:basedOn w:val="Normal"/>
    <w:next w:val="Normal"/>
    <w:rsid w:val="00F2520F"/>
    <w:pPr>
      <w:keepNext/>
      <w:keepLines/>
      <w:tabs>
        <w:tab w:val="right" w:pos="851"/>
      </w:tabs>
      <w:suppressAutoHyphens/>
      <w:spacing w:before="240" w:after="240" w:line="360" w:lineRule="exact"/>
      <w:ind w:left="1134" w:right="1134" w:hanging="1134"/>
    </w:pPr>
    <w:rPr>
      <w:b/>
      <w:sz w:val="34"/>
    </w:rPr>
  </w:style>
  <w:style w:type="paragraph" w:customStyle="1" w:styleId="HChG">
    <w:name w:val="_ H _Ch_G"/>
    <w:basedOn w:val="Normal"/>
    <w:next w:val="Normal"/>
    <w:rsid w:val="00F2520F"/>
    <w:pPr>
      <w:keepNext/>
      <w:keepLines/>
      <w:tabs>
        <w:tab w:val="right" w:pos="851"/>
      </w:tabs>
      <w:suppressAutoHyphens/>
      <w:spacing w:before="360" w:after="240" w:line="300" w:lineRule="exact"/>
      <w:ind w:left="1134" w:right="1134" w:hanging="1134"/>
    </w:pPr>
    <w:rPr>
      <w:b/>
      <w:sz w:val="28"/>
    </w:rPr>
  </w:style>
  <w:style w:type="character" w:customStyle="1" w:styleId="SingleTxtGCar">
    <w:name w:val="_ Single Txt_G Car"/>
    <w:link w:val="SingleTxtG"/>
    <w:rsid w:val="00F236D5"/>
    <w:rPr>
      <w:lang w:val="es-ES" w:eastAsia="es-ES" w:bidi="ar-SA"/>
    </w:rPr>
  </w:style>
  <w:style w:type="character" w:customStyle="1" w:styleId="Heading1Char">
    <w:name w:val="Heading 1 Char"/>
    <w:aliases w:val="Table_G Char"/>
    <w:link w:val="Heading1"/>
    <w:rsid w:val="00F236D5"/>
    <w:rPr>
      <w:rFonts w:cs="Arial"/>
      <w:bCs/>
      <w:szCs w:val="32"/>
      <w:lang w:val="es-ES" w:eastAsia="es-ES" w:bidi="ar-SA"/>
    </w:rPr>
  </w:style>
  <w:style w:type="paragraph" w:customStyle="1" w:styleId="H1G">
    <w:name w:val="_ H_1_G"/>
    <w:basedOn w:val="Normal"/>
    <w:next w:val="Normal"/>
    <w:rsid w:val="00F2520F"/>
    <w:pPr>
      <w:keepNext/>
      <w:keepLines/>
      <w:tabs>
        <w:tab w:val="right" w:pos="851"/>
      </w:tabs>
      <w:suppressAutoHyphens/>
      <w:spacing w:before="360" w:after="240" w:line="270" w:lineRule="exact"/>
      <w:ind w:left="1134" w:right="1134" w:hanging="1134"/>
    </w:pPr>
    <w:rPr>
      <w:b/>
      <w:sz w:val="24"/>
    </w:rPr>
  </w:style>
  <w:style w:type="paragraph" w:customStyle="1" w:styleId="H23G">
    <w:name w:val="_ H_2/3_G"/>
    <w:basedOn w:val="Normal"/>
    <w:next w:val="Normal"/>
    <w:rsid w:val="00F2520F"/>
    <w:pPr>
      <w:keepNext/>
      <w:keepLines/>
      <w:tabs>
        <w:tab w:val="right" w:pos="851"/>
      </w:tabs>
      <w:suppressAutoHyphens/>
      <w:spacing w:before="240" w:after="120" w:line="240" w:lineRule="exact"/>
      <w:ind w:left="1134" w:right="1134" w:hanging="1134"/>
    </w:pPr>
    <w:rPr>
      <w:b/>
    </w:rPr>
  </w:style>
  <w:style w:type="paragraph" w:customStyle="1" w:styleId="H4G">
    <w:name w:val="_ H_4_G"/>
    <w:basedOn w:val="Normal"/>
    <w:next w:val="Normal"/>
    <w:rsid w:val="00F2520F"/>
    <w:pPr>
      <w:keepNext/>
      <w:keepLines/>
      <w:tabs>
        <w:tab w:val="right" w:pos="851"/>
      </w:tabs>
      <w:suppressAutoHyphens/>
      <w:spacing w:before="240" w:after="120" w:line="240" w:lineRule="exact"/>
      <w:ind w:left="1134" w:right="1134" w:hanging="1134"/>
    </w:pPr>
    <w:rPr>
      <w:i/>
    </w:rPr>
  </w:style>
  <w:style w:type="paragraph" w:customStyle="1" w:styleId="H56G">
    <w:name w:val="_ H_5/6_G"/>
    <w:basedOn w:val="Normal"/>
    <w:next w:val="Normal"/>
    <w:rsid w:val="00F2520F"/>
    <w:pPr>
      <w:keepNext/>
      <w:keepLines/>
      <w:tabs>
        <w:tab w:val="right" w:pos="851"/>
      </w:tabs>
      <w:suppressAutoHyphens/>
      <w:spacing w:before="240" w:after="120" w:line="240" w:lineRule="exact"/>
      <w:ind w:left="1134" w:right="1134" w:hanging="1134"/>
    </w:pPr>
  </w:style>
  <w:style w:type="paragraph" w:styleId="Header">
    <w:name w:val="header"/>
    <w:aliases w:val="6_G"/>
    <w:basedOn w:val="Normal"/>
    <w:next w:val="Normal"/>
    <w:rsid w:val="001611AC"/>
    <w:pPr>
      <w:pBdr>
        <w:bottom w:val="single" w:sz="4" w:space="4" w:color="auto"/>
      </w:pBdr>
      <w:spacing w:line="240" w:lineRule="auto"/>
    </w:pPr>
    <w:rPr>
      <w:b/>
      <w:sz w:val="18"/>
    </w:rPr>
  </w:style>
  <w:style w:type="paragraph" w:customStyle="1" w:styleId="SingleTxtG">
    <w:name w:val="_ Single Txt_G"/>
    <w:basedOn w:val="Normal"/>
    <w:link w:val="SingleTxtGCar"/>
    <w:rsid w:val="00F2520F"/>
    <w:pPr>
      <w:spacing w:after="120"/>
      <w:ind w:left="1134" w:right="1134"/>
      <w:jc w:val="both"/>
    </w:pPr>
  </w:style>
  <w:style w:type="paragraph" w:customStyle="1" w:styleId="SMG">
    <w:name w:val="__S_M_G"/>
    <w:basedOn w:val="Normal"/>
    <w:next w:val="Normal"/>
    <w:rsid w:val="00F2520F"/>
    <w:pPr>
      <w:keepNext/>
      <w:keepLines/>
      <w:suppressAutoHyphens/>
      <w:spacing w:before="240" w:after="240" w:line="420" w:lineRule="exact"/>
      <w:ind w:left="1134" w:right="1134"/>
    </w:pPr>
    <w:rPr>
      <w:b/>
      <w:sz w:val="40"/>
    </w:rPr>
  </w:style>
  <w:style w:type="paragraph" w:customStyle="1" w:styleId="SLG">
    <w:name w:val="__S_L_G"/>
    <w:basedOn w:val="Normal"/>
    <w:next w:val="Normal"/>
    <w:rsid w:val="00F2520F"/>
    <w:pPr>
      <w:keepNext/>
      <w:keepLines/>
      <w:spacing w:before="240" w:after="240" w:line="580" w:lineRule="exact"/>
      <w:ind w:left="1134" w:right="1134"/>
    </w:pPr>
    <w:rPr>
      <w:b/>
      <w:sz w:val="56"/>
    </w:rPr>
  </w:style>
  <w:style w:type="paragraph" w:customStyle="1" w:styleId="SSG">
    <w:name w:val="__S_S_G"/>
    <w:basedOn w:val="Normal"/>
    <w:next w:val="Normal"/>
    <w:rsid w:val="00F2520F"/>
    <w:pPr>
      <w:keepNext/>
      <w:keepLines/>
      <w:spacing w:before="240" w:after="240" w:line="300" w:lineRule="exact"/>
      <w:ind w:left="1134" w:right="1134"/>
    </w:pPr>
    <w:rPr>
      <w:b/>
      <w:sz w:val="28"/>
    </w:rPr>
  </w:style>
  <w:style w:type="paragraph" w:styleId="Footer">
    <w:name w:val="footer"/>
    <w:aliases w:val="3_G"/>
    <w:basedOn w:val="Normal"/>
    <w:next w:val="Normal"/>
    <w:rsid w:val="00F2520F"/>
    <w:rPr>
      <w:sz w:val="16"/>
    </w:rPr>
  </w:style>
  <w:style w:type="paragraph" w:customStyle="1" w:styleId="XLargeG">
    <w:name w:val="__XLarge_G"/>
    <w:basedOn w:val="Normal"/>
    <w:next w:val="Normal"/>
    <w:rsid w:val="00F2520F"/>
    <w:pPr>
      <w:keepNext/>
      <w:keepLines/>
      <w:spacing w:before="240" w:after="240" w:line="420" w:lineRule="exact"/>
      <w:ind w:left="1134" w:right="1134"/>
    </w:pPr>
    <w:rPr>
      <w:b/>
      <w:sz w:val="40"/>
    </w:rPr>
  </w:style>
  <w:style w:type="paragraph" w:styleId="FootnoteText">
    <w:name w:val="footnote text"/>
    <w:aliases w:val="5_G"/>
    <w:basedOn w:val="Normal"/>
    <w:rsid w:val="00F2520F"/>
    <w:pPr>
      <w:tabs>
        <w:tab w:val="right" w:pos="1021"/>
      </w:tabs>
      <w:spacing w:line="220" w:lineRule="exact"/>
      <w:ind w:left="1134" w:right="1134" w:hanging="1134"/>
    </w:pPr>
    <w:rPr>
      <w:sz w:val="18"/>
    </w:rPr>
  </w:style>
  <w:style w:type="table" w:styleId="TableGrid">
    <w:name w:val="Table Grid"/>
    <w:basedOn w:val="TableNormal"/>
    <w:semiHidden/>
    <w:rsid w:val="00F2520F"/>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rsid w:val="00F2520F"/>
    <w:pPr>
      <w:numPr>
        <w:numId w:val="3"/>
      </w:numPr>
    </w:pPr>
  </w:style>
  <w:style w:type="numbering" w:styleId="1ai">
    <w:name w:val="Outline List 1"/>
    <w:basedOn w:val="NoList"/>
    <w:semiHidden/>
    <w:rsid w:val="00F2520F"/>
    <w:pPr>
      <w:numPr>
        <w:numId w:val="4"/>
      </w:numPr>
    </w:pPr>
  </w:style>
  <w:style w:type="character" w:styleId="HTMLAcronym">
    <w:name w:val="HTML Acronym"/>
    <w:basedOn w:val="DefaultParagraphFont"/>
    <w:semiHidden/>
    <w:rsid w:val="00F2520F"/>
  </w:style>
  <w:style w:type="numbering" w:styleId="ArticleSection">
    <w:name w:val="Outline List 3"/>
    <w:basedOn w:val="NoList"/>
    <w:semiHidden/>
    <w:rsid w:val="00F2520F"/>
    <w:pPr>
      <w:numPr>
        <w:numId w:val="5"/>
      </w:numPr>
    </w:pPr>
  </w:style>
  <w:style w:type="paragraph" w:styleId="Closing">
    <w:name w:val="Closing"/>
    <w:basedOn w:val="Normal"/>
    <w:semiHidden/>
    <w:rsid w:val="00F2520F"/>
    <w:pPr>
      <w:ind w:left="4252"/>
    </w:pPr>
  </w:style>
  <w:style w:type="character" w:styleId="HTMLCite">
    <w:name w:val="HTML Cite"/>
    <w:semiHidden/>
    <w:rsid w:val="00F2520F"/>
    <w:rPr>
      <w:i/>
      <w:iCs/>
    </w:rPr>
  </w:style>
  <w:style w:type="character" w:styleId="HTMLCode">
    <w:name w:val="HTML Code"/>
    <w:semiHidden/>
    <w:rsid w:val="00F2520F"/>
    <w:rPr>
      <w:rFonts w:ascii="Courier New" w:hAnsi="Courier New" w:cs="Courier New"/>
      <w:sz w:val="20"/>
      <w:szCs w:val="20"/>
    </w:rPr>
  </w:style>
  <w:style w:type="paragraph" w:styleId="ListContinue">
    <w:name w:val="List Continue"/>
    <w:basedOn w:val="Normal"/>
    <w:semiHidden/>
    <w:rsid w:val="00F2520F"/>
    <w:pPr>
      <w:spacing w:after="120"/>
      <w:ind w:left="283"/>
    </w:pPr>
  </w:style>
  <w:style w:type="paragraph" w:styleId="ListContinue2">
    <w:name w:val="List Continue 2"/>
    <w:basedOn w:val="Normal"/>
    <w:semiHidden/>
    <w:rsid w:val="00F2520F"/>
    <w:pPr>
      <w:spacing w:after="120"/>
      <w:ind w:left="566"/>
    </w:pPr>
  </w:style>
  <w:style w:type="paragraph" w:styleId="ListContinue3">
    <w:name w:val="List Continue 3"/>
    <w:basedOn w:val="Normal"/>
    <w:semiHidden/>
    <w:rsid w:val="00F2520F"/>
    <w:pPr>
      <w:spacing w:after="120"/>
      <w:ind w:left="849"/>
    </w:pPr>
  </w:style>
  <w:style w:type="paragraph" w:styleId="ListContinue4">
    <w:name w:val="List Continue 4"/>
    <w:basedOn w:val="Normal"/>
    <w:semiHidden/>
    <w:rsid w:val="00F2520F"/>
    <w:pPr>
      <w:spacing w:after="120"/>
      <w:ind w:left="1132"/>
    </w:pPr>
  </w:style>
  <w:style w:type="paragraph" w:styleId="ListContinue5">
    <w:name w:val="List Continue 5"/>
    <w:basedOn w:val="Normal"/>
    <w:semiHidden/>
    <w:rsid w:val="00F2520F"/>
    <w:pPr>
      <w:spacing w:after="120"/>
      <w:ind w:left="1415"/>
    </w:pPr>
  </w:style>
  <w:style w:type="character" w:styleId="HTMLDefinition">
    <w:name w:val="HTML Definition"/>
    <w:semiHidden/>
    <w:rsid w:val="00F2520F"/>
    <w:rPr>
      <w:i/>
      <w:iCs/>
    </w:rPr>
  </w:style>
  <w:style w:type="paragraph" w:styleId="HTMLAddress">
    <w:name w:val="HTML Address"/>
    <w:basedOn w:val="Normal"/>
    <w:semiHidden/>
    <w:rsid w:val="00F2520F"/>
    <w:rPr>
      <w:i/>
      <w:iCs/>
    </w:rPr>
  </w:style>
  <w:style w:type="paragraph" w:styleId="EnvelopeAddress">
    <w:name w:val="envelope address"/>
    <w:basedOn w:val="Normal"/>
    <w:semiHidden/>
    <w:rsid w:val="00F2520F"/>
    <w:pPr>
      <w:framePr w:w="7920" w:h="1980" w:hRule="exact" w:hSpace="141" w:wrap="auto" w:hAnchor="page" w:xAlign="center" w:yAlign="bottom"/>
      <w:ind w:left="2880"/>
    </w:pPr>
    <w:rPr>
      <w:rFonts w:ascii="Arial" w:hAnsi="Arial" w:cs="Arial"/>
      <w:sz w:val="24"/>
      <w:szCs w:val="24"/>
    </w:rPr>
  </w:style>
  <w:style w:type="character" w:styleId="HTMLSample">
    <w:name w:val="HTML Sample"/>
    <w:semiHidden/>
    <w:rsid w:val="00F2520F"/>
    <w:rPr>
      <w:rFonts w:ascii="Courier New" w:hAnsi="Courier New" w:cs="Courier New"/>
    </w:rPr>
  </w:style>
  <w:style w:type="paragraph" w:styleId="MessageHeader">
    <w:name w:val="Message Header"/>
    <w:basedOn w:val="Normal"/>
    <w:semiHidden/>
    <w:rsid w:val="00F2520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teHeading">
    <w:name w:val="Note Heading"/>
    <w:basedOn w:val="Normal"/>
    <w:next w:val="Normal"/>
    <w:semiHidden/>
    <w:rsid w:val="00F2520F"/>
  </w:style>
  <w:style w:type="character" w:styleId="Emphasis">
    <w:name w:val="Emphasis"/>
    <w:qFormat/>
    <w:rsid w:val="00F2520F"/>
    <w:rPr>
      <w:i/>
      <w:iCs/>
    </w:rPr>
  </w:style>
  <w:style w:type="paragraph" w:styleId="Date">
    <w:name w:val="Date"/>
    <w:basedOn w:val="Normal"/>
    <w:next w:val="Normal"/>
    <w:semiHidden/>
    <w:rsid w:val="00F2520F"/>
  </w:style>
  <w:style w:type="paragraph" w:styleId="Signature">
    <w:name w:val="Signature"/>
    <w:basedOn w:val="Normal"/>
    <w:semiHidden/>
    <w:rsid w:val="00F2520F"/>
    <w:pPr>
      <w:ind w:left="4252"/>
    </w:pPr>
  </w:style>
  <w:style w:type="paragraph" w:styleId="E-mailSignature">
    <w:name w:val="E-mail Signature"/>
    <w:basedOn w:val="Normal"/>
    <w:semiHidden/>
    <w:rsid w:val="00F2520F"/>
  </w:style>
  <w:style w:type="character" w:styleId="Hyperlink">
    <w:name w:val="Hyperlink"/>
    <w:semiHidden/>
    <w:rsid w:val="00F2520F"/>
    <w:rPr>
      <w:color w:val="0000FF"/>
      <w:u w:val="single"/>
    </w:rPr>
  </w:style>
  <w:style w:type="character" w:styleId="FollowedHyperlink">
    <w:name w:val="FollowedHyperlink"/>
    <w:semiHidden/>
    <w:rsid w:val="00F2520F"/>
    <w:rPr>
      <w:color w:val="800080"/>
      <w:u w:val="single"/>
    </w:rPr>
  </w:style>
  <w:style w:type="paragraph" w:styleId="HTMLPreformatted">
    <w:name w:val="HTML Preformatted"/>
    <w:basedOn w:val="Normal"/>
    <w:semiHidden/>
    <w:rsid w:val="00F2520F"/>
    <w:rPr>
      <w:rFonts w:ascii="Courier New" w:hAnsi="Courier New" w:cs="Courier New"/>
    </w:rPr>
  </w:style>
  <w:style w:type="paragraph" w:styleId="List">
    <w:name w:val="List"/>
    <w:basedOn w:val="Normal"/>
    <w:semiHidden/>
    <w:rsid w:val="00F2520F"/>
    <w:pPr>
      <w:ind w:left="283" w:hanging="283"/>
    </w:pPr>
  </w:style>
  <w:style w:type="paragraph" w:styleId="List2">
    <w:name w:val="List 2"/>
    <w:basedOn w:val="Normal"/>
    <w:semiHidden/>
    <w:rsid w:val="00F2520F"/>
    <w:pPr>
      <w:ind w:left="566" w:hanging="283"/>
    </w:pPr>
  </w:style>
  <w:style w:type="paragraph" w:styleId="List3">
    <w:name w:val="List 3"/>
    <w:basedOn w:val="Normal"/>
    <w:semiHidden/>
    <w:rsid w:val="00F2520F"/>
    <w:pPr>
      <w:ind w:left="849" w:hanging="283"/>
    </w:pPr>
  </w:style>
  <w:style w:type="paragraph" w:styleId="List4">
    <w:name w:val="List 4"/>
    <w:basedOn w:val="Normal"/>
    <w:semiHidden/>
    <w:rsid w:val="00F2520F"/>
    <w:pPr>
      <w:ind w:left="1132" w:hanging="283"/>
    </w:pPr>
  </w:style>
  <w:style w:type="paragraph" w:styleId="List5">
    <w:name w:val="List 5"/>
    <w:basedOn w:val="Normal"/>
    <w:semiHidden/>
    <w:rsid w:val="00F2520F"/>
    <w:pPr>
      <w:ind w:left="1415" w:hanging="283"/>
    </w:pPr>
  </w:style>
  <w:style w:type="paragraph" w:styleId="ListNumber">
    <w:name w:val="List Number"/>
    <w:basedOn w:val="Normal"/>
    <w:semiHidden/>
    <w:rsid w:val="00F2520F"/>
    <w:pPr>
      <w:numPr>
        <w:numId w:val="6"/>
      </w:numPr>
    </w:pPr>
  </w:style>
  <w:style w:type="paragraph" w:styleId="ListNumber2">
    <w:name w:val="List Number 2"/>
    <w:basedOn w:val="Normal"/>
    <w:semiHidden/>
    <w:rsid w:val="00F2520F"/>
    <w:pPr>
      <w:numPr>
        <w:numId w:val="7"/>
      </w:numPr>
    </w:pPr>
  </w:style>
  <w:style w:type="paragraph" w:styleId="ListNumber3">
    <w:name w:val="List Number 3"/>
    <w:basedOn w:val="Normal"/>
    <w:semiHidden/>
    <w:rsid w:val="00F2520F"/>
    <w:pPr>
      <w:numPr>
        <w:numId w:val="8"/>
      </w:numPr>
    </w:pPr>
  </w:style>
  <w:style w:type="paragraph" w:styleId="ListNumber4">
    <w:name w:val="List Number 4"/>
    <w:basedOn w:val="Normal"/>
    <w:semiHidden/>
    <w:rsid w:val="00F2520F"/>
    <w:pPr>
      <w:numPr>
        <w:numId w:val="9"/>
      </w:numPr>
    </w:pPr>
  </w:style>
  <w:style w:type="paragraph" w:styleId="ListNumber5">
    <w:name w:val="List Number 5"/>
    <w:basedOn w:val="Normal"/>
    <w:semiHidden/>
    <w:rsid w:val="00F2520F"/>
    <w:pPr>
      <w:numPr>
        <w:numId w:val="10"/>
      </w:numPr>
    </w:pPr>
  </w:style>
  <w:style w:type="paragraph" w:styleId="ListBullet">
    <w:name w:val="List Bullet"/>
    <w:basedOn w:val="Normal"/>
    <w:semiHidden/>
    <w:rsid w:val="00F2520F"/>
    <w:pPr>
      <w:numPr>
        <w:numId w:val="11"/>
      </w:numPr>
    </w:pPr>
  </w:style>
  <w:style w:type="paragraph" w:styleId="ListBullet2">
    <w:name w:val="List Bullet 2"/>
    <w:basedOn w:val="Normal"/>
    <w:semiHidden/>
    <w:rsid w:val="00F2520F"/>
    <w:pPr>
      <w:numPr>
        <w:numId w:val="12"/>
      </w:numPr>
    </w:pPr>
  </w:style>
  <w:style w:type="paragraph" w:styleId="ListBullet3">
    <w:name w:val="List Bullet 3"/>
    <w:basedOn w:val="Normal"/>
    <w:semiHidden/>
    <w:rsid w:val="00F2520F"/>
    <w:pPr>
      <w:numPr>
        <w:numId w:val="13"/>
      </w:numPr>
    </w:pPr>
  </w:style>
  <w:style w:type="paragraph" w:styleId="ListBullet4">
    <w:name w:val="List Bullet 4"/>
    <w:basedOn w:val="Normal"/>
    <w:semiHidden/>
    <w:rsid w:val="00F2520F"/>
    <w:pPr>
      <w:numPr>
        <w:numId w:val="14"/>
      </w:numPr>
    </w:pPr>
  </w:style>
  <w:style w:type="paragraph" w:styleId="ListBullet5">
    <w:name w:val="List Bullet 5"/>
    <w:basedOn w:val="Normal"/>
    <w:semiHidden/>
    <w:rsid w:val="00F2520F"/>
    <w:pPr>
      <w:numPr>
        <w:numId w:val="15"/>
      </w:numPr>
    </w:pPr>
  </w:style>
  <w:style w:type="character" w:styleId="HTMLTypewriter">
    <w:name w:val="HTML Typewriter"/>
    <w:semiHidden/>
    <w:rsid w:val="00F2520F"/>
    <w:rPr>
      <w:rFonts w:ascii="Courier New" w:hAnsi="Courier New" w:cs="Courier New"/>
      <w:sz w:val="20"/>
      <w:szCs w:val="20"/>
    </w:rPr>
  </w:style>
  <w:style w:type="paragraph" w:styleId="NormalWeb">
    <w:name w:val="Normal (Web)"/>
    <w:basedOn w:val="Normal"/>
    <w:semiHidden/>
    <w:rsid w:val="00F2520F"/>
    <w:rPr>
      <w:sz w:val="24"/>
      <w:szCs w:val="24"/>
    </w:rPr>
  </w:style>
  <w:style w:type="character" w:styleId="LineNumber">
    <w:name w:val="line number"/>
    <w:basedOn w:val="DefaultParagraphFont"/>
    <w:semiHidden/>
    <w:rsid w:val="00F2520F"/>
  </w:style>
  <w:style w:type="character" w:styleId="PageNumber">
    <w:name w:val="page number"/>
    <w:aliases w:val="7_G"/>
    <w:rsid w:val="00F2520F"/>
    <w:rPr>
      <w:b/>
      <w:sz w:val="18"/>
    </w:rPr>
  </w:style>
  <w:style w:type="character" w:styleId="EndnoteReference">
    <w:name w:val="endnote reference"/>
    <w:aliases w:val="1_G"/>
    <w:basedOn w:val="FootnoteReference"/>
    <w:rsid w:val="00F2520F"/>
    <w:rPr>
      <w:rFonts w:ascii="Times New Roman" w:hAnsi="Times New Roman"/>
      <w:sz w:val="18"/>
      <w:vertAlign w:val="superscript"/>
    </w:rPr>
  </w:style>
  <w:style w:type="paragraph" w:styleId="EnvelopeReturn">
    <w:name w:val="envelope return"/>
    <w:basedOn w:val="Normal"/>
    <w:semiHidden/>
    <w:rsid w:val="00F2520F"/>
    <w:rPr>
      <w:rFonts w:ascii="Arial" w:hAnsi="Arial" w:cs="Arial"/>
    </w:rPr>
  </w:style>
  <w:style w:type="paragraph" w:styleId="Salutation">
    <w:name w:val="Salutation"/>
    <w:basedOn w:val="Normal"/>
    <w:next w:val="Normal"/>
    <w:semiHidden/>
    <w:rsid w:val="00F2520F"/>
  </w:style>
  <w:style w:type="paragraph" w:styleId="BodyTextIndent2">
    <w:name w:val="Body Text Indent 2"/>
    <w:basedOn w:val="Normal"/>
    <w:semiHidden/>
    <w:rsid w:val="00F2520F"/>
    <w:pPr>
      <w:spacing w:after="120" w:line="480" w:lineRule="auto"/>
      <w:ind w:left="283"/>
    </w:pPr>
  </w:style>
  <w:style w:type="paragraph" w:styleId="BodyTextIndent3">
    <w:name w:val="Body Text Indent 3"/>
    <w:basedOn w:val="Normal"/>
    <w:semiHidden/>
    <w:rsid w:val="00F2520F"/>
    <w:pPr>
      <w:spacing w:after="120"/>
      <w:ind w:left="283"/>
    </w:pPr>
    <w:rPr>
      <w:sz w:val="16"/>
      <w:szCs w:val="16"/>
    </w:rPr>
  </w:style>
  <w:style w:type="paragraph" w:styleId="BodyTextIndent">
    <w:name w:val="Body Text Indent"/>
    <w:basedOn w:val="Normal"/>
    <w:semiHidden/>
    <w:rsid w:val="00F2520F"/>
    <w:pPr>
      <w:spacing w:after="120"/>
      <w:ind w:left="283"/>
    </w:pPr>
  </w:style>
  <w:style w:type="paragraph" w:styleId="NormalIndent">
    <w:name w:val="Normal Indent"/>
    <w:basedOn w:val="Normal"/>
    <w:semiHidden/>
    <w:rsid w:val="00F2520F"/>
    <w:pPr>
      <w:ind w:left="567"/>
    </w:pPr>
  </w:style>
  <w:style w:type="paragraph" w:styleId="Subtitle">
    <w:name w:val="Subtitle"/>
    <w:basedOn w:val="Normal"/>
    <w:qFormat/>
    <w:rsid w:val="00F2520F"/>
    <w:pPr>
      <w:spacing w:after="60"/>
      <w:jc w:val="center"/>
      <w:outlineLvl w:val="1"/>
    </w:pPr>
    <w:rPr>
      <w:rFonts w:ascii="Arial" w:hAnsi="Arial" w:cs="Arial"/>
      <w:sz w:val="24"/>
      <w:szCs w:val="24"/>
    </w:rPr>
  </w:style>
  <w:style w:type="table" w:styleId="TableSimple1">
    <w:name w:val="Table Simple 1"/>
    <w:basedOn w:val="TableNormal"/>
    <w:semiHidden/>
    <w:rsid w:val="00F2520F"/>
    <w:pPr>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2520F"/>
    <w:pPr>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2520F"/>
    <w:pPr>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F2520F"/>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2520F"/>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2520F"/>
    <w:pPr>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2520F"/>
    <w:pPr>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rsid w:val="00F2520F"/>
    <w:pPr>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2520F"/>
    <w:pPr>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2520F"/>
    <w:pPr>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2520F"/>
    <w:pPr>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2520F"/>
    <w:pPr>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F2520F"/>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2520F"/>
    <w:pPr>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2520F"/>
    <w:pPr>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2520F"/>
    <w:pPr>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2520F"/>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2520F"/>
    <w:pPr>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2520F"/>
    <w:pPr>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2520F"/>
    <w:pPr>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F2520F"/>
    <w:pPr>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2520F"/>
    <w:pPr>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2520F"/>
    <w:pPr>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semiHidden/>
    <w:rsid w:val="00F2520F"/>
    <w:pPr>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2520F"/>
    <w:pPr>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2520F"/>
    <w:pPr>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2520F"/>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2520F"/>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2520F"/>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2520F"/>
    <w:pPr>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2520F"/>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F2520F"/>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semiHidden/>
    <w:rsid w:val="00F2520F"/>
    <w:pPr>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F2520F"/>
    <w:pPr>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semiHidden/>
    <w:rsid w:val="00F2520F"/>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2520F"/>
    <w:pPr>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2520F"/>
    <w:pPr>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1">
    <w:name w:val="Table Colorful 1"/>
    <w:basedOn w:val="TableNormal"/>
    <w:semiHidden/>
    <w:rsid w:val="00F2520F"/>
    <w:pPr>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2520F"/>
    <w:pPr>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2520F"/>
    <w:pPr>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F2520F"/>
    <w:pPr>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2520F"/>
    <w:pPr>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2520F"/>
    <w:pPr>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semiHidden/>
    <w:rsid w:val="00F2520F"/>
    <w:rPr>
      <w:rFonts w:ascii="Courier New" w:hAnsi="Courier New" w:cs="Courier New"/>
      <w:sz w:val="20"/>
      <w:szCs w:val="20"/>
    </w:rPr>
  </w:style>
  <w:style w:type="paragraph" w:styleId="BlockText">
    <w:name w:val="Block Text"/>
    <w:basedOn w:val="Normal"/>
    <w:semiHidden/>
    <w:rsid w:val="00F2520F"/>
    <w:pPr>
      <w:spacing w:after="120"/>
      <w:ind w:left="1440" w:right="1440"/>
    </w:pPr>
  </w:style>
  <w:style w:type="character" w:styleId="Strong">
    <w:name w:val="Strong"/>
    <w:qFormat/>
    <w:rsid w:val="00F2520F"/>
    <w:rPr>
      <w:b/>
      <w:bCs/>
    </w:rPr>
  </w:style>
  <w:style w:type="paragraph" w:styleId="BodyText">
    <w:name w:val="Body Text"/>
    <w:basedOn w:val="Normal"/>
    <w:semiHidden/>
    <w:rsid w:val="00F2520F"/>
    <w:pPr>
      <w:spacing w:after="120"/>
    </w:pPr>
  </w:style>
  <w:style w:type="paragraph" w:styleId="BodyText2">
    <w:name w:val="Body Text 2"/>
    <w:basedOn w:val="Normal"/>
    <w:semiHidden/>
    <w:rsid w:val="00F2520F"/>
    <w:pPr>
      <w:spacing w:after="120" w:line="480" w:lineRule="auto"/>
    </w:pPr>
  </w:style>
  <w:style w:type="paragraph" w:styleId="BodyText3">
    <w:name w:val="Body Text 3"/>
    <w:basedOn w:val="Normal"/>
    <w:semiHidden/>
    <w:rsid w:val="00F2520F"/>
    <w:pPr>
      <w:spacing w:after="120"/>
    </w:pPr>
    <w:rPr>
      <w:sz w:val="16"/>
      <w:szCs w:val="16"/>
    </w:rPr>
  </w:style>
  <w:style w:type="paragraph" w:styleId="BodyTextFirstIndent">
    <w:name w:val="Body Text First Indent"/>
    <w:basedOn w:val="BodyText"/>
    <w:semiHidden/>
    <w:rsid w:val="00F2520F"/>
    <w:pPr>
      <w:ind w:firstLine="210"/>
    </w:pPr>
  </w:style>
  <w:style w:type="paragraph" w:styleId="BodyTextFirstIndent2">
    <w:name w:val="Body Text First Indent 2"/>
    <w:basedOn w:val="BodyTextIndent"/>
    <w:semiHidden/>
    <w:rsid w:val="00F2520F"/>
    <w:pPr>
      <w:ind w:firstLine="210"/>
    </w:pPr>
  </w:style>
  <w:style w:type="paragraph" w:styleId="EndnoteText">
    <w:name w:val="endnote text"/>
    <w:aliases w:val="2_G"/>
    <w:basedOn w:val="FootnoteText"/>
    <w:rsid w:val="00F2520F"/>
  </w:style>
  <w:style w:type="paragraph" w:styleId="PlainText">
    <w:name w:val="Plain Text"/>
    <w:basedOn w:val="Normal"/>
    <w:semiHidden/>
    <w:rsid w:val="00F2520F"/>
    <w:rPr>
      <w:rFonts w:ascii="Courier New" w:hAnsi="Courier New" w:cs="Courier New"/>
    </w:rPr>
  </w:style>
  <w:style w:type="paragraph" w:styleId="Title">
    <w:name w:val="Title"/>
    <w:basedOn w:val="Normal"/>
    <w:qFormat/>
    <w:rsid w:val="00F2520F"/>
    <w:pPr>
      <w:spacing w:before="240" w:after="60"/>
      <w:jc w:val="center"/>
      <w:outlineLvl w:val="0"/>
    </w:pPr>
    <w:rPr>
      <w:rFonts w:ascii="Arial" w:hAnsi="Arial" w:cs="Arial"/>
      <w:b/>
      <w:bCs/>
      <w:kern w:val="28"/>
      <w:sz w:val="32"/>
      <w:szCs w:val="32"/>
    </w:rPr>
  </w:style>
  <w:style w:type="character" w:styleId="HTMLVariable">
    <w:name w:val="HTML Variable"/>
    <w:semiHidden/>
    <w:rsid w:val="00F2520F"/>
    <w:rPr>
      <w:i/>
      <w:iCs/>
    </w:rPr>
  </w:style>
  <w:style w:type="paragraph" w:customStyle="1" w:styleId="Bullet1G">
    <w:name w:val="_Bullet 1_G"/>
    <w:basedOn w:val="Normal"/>
    <w:rsid w:val="00F2520F"/>
    <w:pPr>
      <w:numPr>
        <w:numId w:val="1"/>
      </w:numPr>
      <w:spacing w:after="120"/>
      <w:ind w:right="1134"/>
      <w:jc w:val="both"/>
    </w:pPr>
    <w:rPr>
      <w:lang w:eastAsia="en-US"/>
    </w:rPr>
  </w:style>
  <w:style w:type="paragraph" w:customStyle="1" w:styleId="Bullet2G">
    <w:name w:val="_Bullet 2_G"/>
    <w:basedOn w:val="Normal"/>
    <w:rsid w:val="00F2520F"/>
    <w:pPr>
      <w:numPr>
        <w:numId w:val="2"/>
      </w:numPr>
      <w:spacing w:after="120"/>
      <w:ind w:right="113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20.bin"/><Relationship Id="rId50" Type="http://schemas.openxmlformats.org/officeDocument/2006/relationships/footer" Target="footer1.xml"/><Relationship Id="rId55" Type="http://schemas.openxmlformats.org/officeDocument/2006/relationships/footer" Target="footer4.xml"/><Relationship Id="rId7" Type="http://schemas.openxmlformats.org/officeDocument/2006/relationships/image" Target="media/image1.wmf"/><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5.bin"/><Relationship Id="rId40" Type="http://schemas.openxmlformats.org/officeDocument/2006/relationships/image" Target="media/image18.emf"/><Relationship Id="rId45" Type="http://schemas.openxmlformats.org/officeDocument/2006/relationships/oleObject" Target="embeddings/oleObject19.bin"/><Relationship Id="rId53" Type="http://schemas.openxmlformats.org/officeDocument/2006/relationships/header" Target="header3.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header" Target="header2.xml"/><Relationship Id="rId57" Type="http://schemas.openxmlformats.org/officeDocument/2006/relationships/header" Target="header5.xml"/><Relationship Id="rId10" Type="http://schemas.openxmlformats.org/officeDocument/2006/relationships/image" Target="media/image3.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0.emf"/><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0.bin"/><Relationship Id="rId30" Type="http://schemas.openxmlformats.org/officeDocument/2006/relationships/image" Target="media/image13.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header" Target="header1.xml"/><Relationship Id="rId56" Type="http://schemas.openxmlformats.org/officeDocument/2006/relationships/footer" Target="footer5.xml"/><Relationship Id="rId8" Type="http://schemas.openxmlformats.org/officeDocument/2006/relationships/image" Target="media/image2.emf"/><Relationship Id="rId51" Type="http://schemas.openxmlformats.org/officeDocument/2006/relationships/footer" Target="footer2.xml"/><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NEW%20FORMAT\HR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HRI</Template>
  <TotalTime>4</TotalTime>
  <Pages>84</Pages>
  <Words>33165</Words>
  <Characters>182410</Characters>
  <Application>Microsoft Office Word</Application>
  <DocSecurity>4</DocSecurity>
  <Lines>1520</Lines>
  <Paragraphs>430</Paragraphs>
  <ScaleCrop>false</ScaleCrop>
  <HeadingPairs>
    <vt:vector size="2" baseType="variant">
      <vt:variant>
        <vt:lpstr>Título</vt:lpstr>
      </vt:variant>
      <vt:variant>
        <vt:i4>1</vt:i4>
      </vt:variant>
    </vt:vector>
  </HeadingPairs>
  <TitlesOfParts>
    <vt:vector size="1" baseType="lpstr">
      <vt:lpstr>HRI/CORE/NZL/2010 - 11-41620</vt:lpstr>
    </vt:vector>
  </TitlesOfParts>
  <Company/>
  <LinksUpToDate>false</LinksUpToDate>
  <CharactersWithSpaces>215145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HRI/CORE/NZL/2010 - 11-41620</dc:title>
  <dc:subject/>
  <dc:creator>Tomero</dc:creator>
  <cp:keywords/>
  <dc:description/>
  <cp:lastModifiedBy>Tomero</cp:lastModifiedBy>
  <cp:revision>2</cp:revision>
  <cp:lastPrinted>2011-05-20T07:59:00Z</cp:lastPrinted>
  <dcterms:created xsi:type="dcterms:W3CDTF">2011-05-20T08:00:00Z</dcterms:created>
  <dcterms:modified xsi:type="dcterms:W3CDTF">2011-05-20T08:00:00Z</dcterms:modified>
</cp:coreProperties>
</file>